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rFonts w:ascii="Arial" w:cs="Arial" w:eastAsia="Arial" w:hAnsi="Arial"/>
          <w:sz w:val="18"/>
          <w:szCs w:val="18"/>
          <w:b w:val="1"/>
          <w:bCs w:val="1"/>
          <w:u w:val="single" w:color="auto"/>
          <w:color w:val="0000EE"/>
        </w:rPr>
      </w:pPr>
      <w:hyperlink w:anchor="page4">
        <w:r>
          <w:rPr>
            <w:rFonts w:ascii="Arial" w:cs="Arial" w:eastAsia="Arial" w:hAnsi="Arial"/>
            <w:sz w:val="18"/>
            <w:szCs w:val="18"/>
            <w:b w:val="1"/>
            <w:bCs w:val="1"/>
            <w:u w:val="single" w:color="auto"/>
            <w:color w:val="0000EE"/>
          </w:rPr>
          <w:t>Table of Contents</w:t>
        </w:r>
      </w:hyperlink>
    </w:p>
    <w:p>
      <w:pPr>
        <w:spacing w:after="0" w:line="306" w:lineRule="exact"/>
        <w:rPr>
          <w:sz w:val="24"/>
          <w:szCs w:val="24"/>
          <w:color w:val="auto"/>
        </w:rPr>
      </w:pPr>
    </w:p>
    <w:p>
      <w:pPr>
        <w:ind w:left="2980"/>
        <w:spacing w:after="0"/>
        <w:rPr>
          <w:sz w:val="20"/>
          <w:szCs w:val="20"/>
          <w:color w:val="auto"/>
        </w:rPr>
      </w:pPr>
      <w:r>
        <w:rPr>
          <w:rFonts w:ascii="Arial" w:cs="Arial" w:eastAsia="Arial" w:hAnsi="Arial"/>
          <w:sz w:val="18"/>
          <w:szCs w:val="18"/>
          <w:b w:val="1"/>
          <w:bCs w:val="1"/>
          <w:color w:val="auto"/>
        </w:rPr>
        <w:t>As filed with the Securities and Exchange Commission on May 27, 2014</w:t>
      </w:r>
    </w:p>
    <w:p>
      <w:pPr>
        <w:spacing w:after="0" w:line="27" w:lineRule="exact"/>
        <w:rPr>
          <w:sz w:val="24"/>
          <w:szCs w:val="24"/>
          <w:color w:val="auto"/>
        </w:rPr>
      </w:pPr>
    </w:p>
    <w:p>
      <w:pPr>
        <w:jc w:val="right"/>
        <w:spacing w:after="0"/>
        <w:rPr>
          <w:sz w:val="20"/>
          <w:szCs w:val="20"/>
          <w:color w:val="auto"/>
        </w:rPr>
      </w:pPr>
      <w:r>
        <w:rPr>
          <w:rFonts w:ascii="Arial" w:cs="Arial" w:eastAsia="Arial" w:hAnsi="Arial"/>
          <w:sz w:val="18"/>
          <w:szCs w:val="18"/>
          <w:b w:val="1"/>
          <w:bCs w:val="1"/>
          <w:color w:val="auto"/>
        </w:rPr>
        <w:t>Registration No. 333-</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66040</wp:posOffset>
            </wp:positionV>
            <wp:extent cx="72466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108585</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23" w:lineRule="exact"/>
        <w:rPr>
          <w:sz w:val="24"/>
          <w:szCs w:val="24"/>
          <w:color w:val="auto"/>
        </w:rPr>
      </w:pPr>
    </w:p>
    <w:p>
      <w:pPr>
        <w:jc w:val="center"/>
        <w:ind w:right="-539"/>
        <w:spacing w:after="0"/>
        <w:rPr>
          <w:sz w:val="20"/>
          <w:szCs w:val="20"/>
          <w:color w:val="auto"/>
        </w:rPr>
      </w:pPr>
      <w:r>
        <w:rPr>
          <w:rFonts w:ascii="Arial" w:cs="Arial" w:eastAsia="Arial" w:hAnsi="Arial"/>
          <w:sz w:val="25"/>
          <w:szCs w:val="25"/>
          <w:b w:val="1"/>
          <w:bCs w:val="1"/>
          <w:color w:val="auto"/>
        </w:rPr>
        <w:t>UNITED STATES</w:t>
      </w:r>
    </w:p>
    <w:p>
      <w:pPr>
        <w:spacing w:after="0" w:line="38" w:lineRule="exact"/>
        <w:rPr>
          <w:sz w:val="24"/>
          <w:szCs w:val="24"/>
          <w:color w:val="auto"/>
        </w:rPr>
      </w:pPr>
    </w:p>
    <w:p>
      <w:pPr>
        <w:jc w:val="center"/>
        <w:ind w:right="-539"/>
        <w:spacing w:after="0"/>
        <w:rPr>
          <w:sz w:val="20"/>
          <w:szCs w:val="20"/>
          <w:color w:val="auto"/>
        </w:rPr>
      </w:pPr>
      <w:r>
        <w:rPr>
          <w:rFonts w:ascii="Arial" w:cs="Arial" w:eastAsia="Arial" w:hAnsi="Arial"/>
          <w:sz w:val="25"/>
          <w:szCs w:val="25"/>
          <w:b w:val="1"/>
          <w:bCs w:val="1"/>
          <w:color w:val="auto"/>
        </w:rPr>
        <w:t>SECURITIES AND EXCHANGE COMMISSION</w:t>
      </w:r>
    </w:p>
    <w:p>
      <w:pPr>
        <w:spacing w:after="0" w:line="10" w:lineRule="exact"/>
        <w:rPr>
          <w:sz w:val="24"/>
          <w:szCs w:val="24"/>
          <w:color w:val="auto"/>
        </w:rPr>
      </w:pPr>
    </w:p>
    <w:p>
      <w:pPr>
        <w:jc w:val="center"/>
        <w:ind w:right="-539"/>
        <w:spacing w:after="0"/>
        <w:rPr>
          <w:sz w:val="20"/>
          <w:szCs w:val="20"/>
          <w:color w:val="auto"/>
        </w:rPr>
      </w:pPr>
      <w:r>
        <w:rPr>
          <w:rFonts w:ascii="Arial" w:cs="Arial" w:eastAsia="Arial" w:hAnsi="Arial"/>
          <w:sz w:val="25"/>
          <w:szCs w:val="25"/>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226060</wp:posOffset>
            </wp:positionV>
            <wp:extent cx="151765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324" w:lineRule="exact"/>
        <w:rPr>
          <w:sz w:val="24"/>
          <w:szCs w:val="24"/>
          <w:color w:val="auto"/>
        </w:rPr>
      </w:pPr>
    </w:p>
    <w:p>
      <w:pPr>
        <w:jc w:val="center"/>
        <w:ind w:right="-539"/>
        <w:spacing w:after="0"/>
        <w:rPr>
          <w:sz w:val="20"/>
          <w:szCs w:val="20"/>
          <w:color w:val="auto"/>
        </w:rPr>
      </w:pPr>
      <w:r>
        <w:rPr>
          <w:rFonts w:ascii="Arial" w:cs="Arial" w:eastAsia="Arial" w:hAnsi="Arial"/>
          <w:sz w:val="32"/>
          <w:szCs w:val="32"/>
          <w:b w:val="1"/>
          <w:bCs w:val="1"/>
          <w:color w:val="auto"/>
        </w:rPr>
        <w:t>FORM S-1</w:t>
      </w:r>
    </w:p>
    <w:p>
      <w:pPr>
        <w:spacing w:after="0" w:line="25" w:lineRule="exact"/>
        <w:rPr>
          <w:sz w:val="24"/>
          <w:szCs w:val="24"/>
          <w:color w:val="auto"/>
        </w:rPr>
      </w:pPr>
    </w:p>
    <w:p>
      <w:pPr>
        <w:jc w:val="center"/>
        <w:ind w:right="-539"/>
        <w:spacing w:after="0"/>
        <w:rPr>
          <w:sz w:val="20"/>
          <w:szCs w:val="20"/>
          <w:color w:val="auto"/>
        </w:rPr>
      </w:pPr>
      <w:r>
        <w:rPr>
          <w:rFonts w:ascii="Arial" w:cs="Arial" w:eastAsia="Arial" w:hAnsi="Arial"/>
          <w:sz w:val="22"/>
          <w:szCs w:val="22"/>
          <w:b w:val="1"/>
          <w:bCs w:val="1"/>
          <w:color w:val="auto"/>
        </w:rPr>
        <w:t>REGISTRATION STATEMENT</w:t>
      </w:r>
    </w:p>
    <w:p>
      <w:pPr>
        <w:jc w:val="center"/>
        <w:ind w:right="-539"/>
        <w:spacing w:after="0" w:line="230" w:lineRule="auto"/>
        <w:rPr>
          <w:sz w:val="20"/>
          <w:szCs w:val="20"/>
          <w:color w:val="auto"/>
        </w:rPr>
      </w:pPr>
      <w:r>
        <w:rPr>
          <w:rFonts w:ascii="Arial" w:cs="Arial" w:eastAsia="Arial" w:hAnsi="Arial"/>
          <w:sz w:val="22"/>
          <w:szCs w:val="22"/>
          <w:b w:val="1"/>
          <w:bCs w:val="1"/>
          <w:color w:val="auto"/>
        </w:rPr>
        <w:t>UNDER</w:t>
      </w:r>
    </w:p>
    <w:p>
      <w:pPr>
        <w:spacing w:after="0" w:line="1" w:lineRule="exact"/>
        <w:rPr>
          <w:sz w:val="24"/>
          <w:szCs w:val="24"/>
          <w:color w:val="auto"/>
        </w:rPr>
      </w:pPr>
    </w:p>
    <w:p>
      <w:pPr>
        <w:jc w:val="center"/>
        <w:ind w:right="-539"/>
        <w:spacing w:after="0"/>
        <w:rPr>
          <w:sz w:val="20"/>
          <w:szCs w:val="20"/>
          <w:color w:val="auto"/>
        </w:rPr>
      </w:pPr>
      <w:r>
        <w:rPr>
          <w:rFonts w:ascii="Arial" w:cs="Arial" w:eastAsia="Arial" w:hAnsi="Arial"/>
          <w:sz w:val="22"/>
          <w:szCs w:val="22"/>
          <w:b w:val="1"/>
          <w:bCs w:val="1"/>
          <w:color w:val="auto"/>
        </w:rPr>
        <w:t>THE SECURITIES ACT OF 1933</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219075</wp:posOffset>
            </wp:positionV>
            <wp:extent cx="151765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311" w:lineRule="exact"/>
        <w:rPr>
          <w:sz w:val="24"/>
          <w:szCs w:val="24"/>
          <w:color w:val="auto"/>
        </w:rPr>
      </w:pPr>
    </w:p>
    <w:p>
      <w:pPr>
        <w:jc w:val="center"/>
        <w:ind w:right="-539"/>
        <w:spacing w:after="0"/>
        <w:rPr>
          <w:sz w:val="20"/>
          <w:szCs w:val="20"/>
          <w:color w:val="auto"/>
        </w:rPr>
      </w:pPr>
      <w:r>
        <w:rPr>
          <w:rFonts w:ascii="Arial" w:cs="Arial" w:eastAsia="Arial" w:hAnsi="Arial"/>
          <w:sz w:val="43"/>
          <w:szCs w:val="43"/>
          <w:b w:val="1"/>
          <w:bCs w:val="1"/>
          <w:color w:val="auto"/>
        </w:rPr>
        <w:t>TimkenSteel Corporation</w:t>
      </w:r>
    </w:p>
    <w:p>
      <w:pPr>
        <w:spacing w:after="0" w:line="42" w:lineRule="exact"/>
        <w:rPr>
          <w:sz w:val="24"/>
          <w:szCs w:val="24"/>
          <w:color w:val="auto"/>
        </w:rPr>
      </w:pPr>
    </w:p>
    <w:p>
      <w:pPr>
        <w:ind w:left="4200"/>
        <w:spacing w:after="0"/>
        <w:rPr>
          <w:sz w:val="20"/>
          <w:szCs w:val="20"/>
          <w:color w:val="auto"/>
        </w:rPr>
      </w:pPr>
      <w:r>
        <w:rPr>
          <w:rFonts w:ascii="Arial" w:cs="Arial" w:eastAsia="Arial" w:hAnsi="Arial"/>
          <w:sz w:val="14"/>
          <w:szCs w:val="14"/>
          <w:i w:val="1"/>
          <w:i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219075</wp:posOffset>
            </wp:positionV>
            <wp:extent cx="151765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4" w:lineRule="exact"/>
        <w:rPr>
          <w:sz w:val="24"/>
          <w:szCs w:val="24"/>
          <w:color w:val="auto"/>
        </w:rPr>
      </w:pPr>
    </w:p>
    <w:tbl>
      <w:tblPr>
        <w:tblLayout w:type="fixed"/>
        <w:tblInd w:w="1060" w:type="dxa"/>
        <w:tblCellMar>
          <w:top w:w="0" w:type="dxa"/>
          <w:left w:w="0" w:type="dxa"/>
          <w:bottom w:w="0" w:type="dxa"/>
          <w:right w:w="0" w:type="dxa"/>
        </w:tblCellMar>
      </w:tblPr>
      <w:tr>
        <w:trPr>
          <w:trHeight w:val="216"/>
        </w:trPr>
        <w:tc>
          <w:tcPr>
            <w:tcW w:w="2860" w:type="dxa"/>
            <w:vAlign w:val="bottom"/>
          </w:tcPr>
          <w:p>
            <w:pPr>
              <w:jc w:val="center"/>
              <w:ind w:right="1002"/>
              <w:spacing w:after="0"/>
              <w:rPr>
                <w:sz w:val="20"/>
                <w:szCs w:val="20"/>
                <w:color w:val="auto"/>
              </w:rPr>
            </w:pPr>
            <w:r>
              <w:rPr>
                <w:rFonts w:ascii="Arial" w:cs="Arial" w:eastAsia="Arial" w:hAnsi="Arial"/>
                <w:sz w:val="18"/>
                <w:szCs w:val="18"/>
                <w:b w:val="1"/>
                <w:bCs w:val="1"/>
                <w:color w:val="auto"/>
                <w:w w:val="92"/>
              </w:rPr>
              <w:t>Ohio</w:t>
            </w:r>
          </w:p>
        </w:tc>
        <w:tc>
          <w:tcPr>
            <w:tcW w:w="3900" w:type="dxa"/>
            <w:vAlign w:val="bottom"/>
          </w:tcPr>
          <w:p>
            <w:pPr>
              <w:jc w:val="center"/>
              <w:spacing w:after="0"/>
              <w:rPr>
                <w:sz w:val="20"/>
                <w:szCs w:val="20"/>
                <w:color w:val="auto"/>
              </w:rPr>
            </w:pPr>
            <w:r>
              <w:rPr>
                <w:rFonts w:ascii="Arial" w:cs="Arial" w:eastAsia="Arial" w:hAnsi="Arial"/>
                <w:sz w:val="18"/>
                <w:szCs w:val="18"/>
                <w:b w:val="1"/>
                <w:bCs w:val="1"/>
                <w:color w:val="auto"/>
                <w:w w:val="89"/>
              </w:rPr>
              <w:t>3312</w:t>
            </w:r>
          </w:p>
        </w:tc>
        <w:tc>
          <w:tcPr>
            <w:tcW w:w="2420" w:type="dxa"/>
            <w:vAlign w:val="bottom"/>
          </w:tcPr>
          <w:p>
            <w:pPr>
              <w:jc w:val="center"/>
              <w:ind w:left="1062"/>
              <w:spacing w:after="0"/>
              <w:rPr>
                <w:sz w:val="20"/>
                <w:szCs w:val="20"/>
                <w:color w:val="auto"/>
              </w:rPr>
            </w:pPr>
            <w:r>
              <w:rPr>
                <w:rFonts w:ascii="Arial" w:cs="Arial" w:eastAsia="Arial" w:hAnsi="Arial"/>
                <w:sz w:val="18"/>
                <w:szCs w:val="18"/>
                <w:b w:val="1"/>
                <w:bCs w:val="1"/>
                <w:color w:val="auto"/>
                <w:w w:val="91"/>
              </w:rPr>
              <w:t>46-4024951</w:t>
            </w:r>
          </w:p>
        </w:tc>
      </w:tr>
      <w:tr>
        <w:trPr>
          <w:trHeight w:val="149"/>
        </w:trPr>
        <w:tc>
          <w:tcPr>
            <w:tcW w:w="2860" w:type="dxa"/>
            <w:vAlign w:val="bottom"/>
          </w:tcPr>
          <w:p>
            <w:pPr>
              <w:jc w:val="center"/>
              <w:ind w:right="1022"/>
              <w:spacing w:after="0" w:line="149" w:lineRule="exact"/>
              <w:rPr>
                <w:sz w:val="20"/>
                <w:szCs w:val="20"/>
                <w:color w:val="auto"/>
              </w:rPr>
            </w:pPr>
            <w:r>
              <w:rPr>
                <w:rFonts w:ascii="Arial" w:cs="Arial" w:eastAsia="Arial" w:hAnsi="Arial"/>
                <w:sz w:val="14"/>
                <w:szCs w:val="14"/>
                <w:i w:val="1"/>
                <w:iCs w:val="1"/>
                <w:color w:val="auto"/>
                <w:w w:val="95"/>
              </w:rPr>
              <w:t>(State or other jurisdiction of</w:t>
            </w:r>
          </w:p>
        </w:tc>
        <w:tc>
          <w:tcPr>
            <w:tcW w:w="3900" w:type="dxa"/>
            <w:vAlign w:val="bottom"/>
          </w:tcPr>
          <w:p>
            <w:pPr>
              <w:jc w:val="center"/>
              <w:spacing w:after="0" w:line="149" w:lineRule="exact"/>
              <w:rPr>
                <w:sz w:val="20"/>
                <w:szCs w:val="20"/>
                <w:color w:val="auto"/>
              </w:rPr>
            </w:pPr>
            <w:r>
              <w:rPr>
                <w:rFonts w:ascii="Arial" w:cs="Arial" w:eastAsia="Arial" w:hAnsi="Arial"/>
                <w:sz w:val="14"/>
                <w:szCs w:val="14"/>
                <w:i w:val="1"/>
                <w:iCs w:val="1"/>
                <w:color w:val="auto"/>
                <w:w w:val="96"/>
              </w:rPr>
              <w:t>(Primary Standard Industrial</w:t>
            </w:r>
          </w:p>
        </w:tc>
        <w:tc>
          <w:tcPr>
            <w:tcW w:w="2420" w:type="dxa"/>
            <w:vAlign w:val="bottom"/>
          </w:tcPr>
          <w:p>
            <w:pPr>
              <w:jc w:val="center"/>
              <w:ind w:left="1042"/>
              <w:spacing w:after="0" w:line="149" w:lineRule="exact"/>
              <w:rPr>
                <w:sz w:val="20"/>
                <w:szCs w:val="20"/>
                <w:color w:val="auto"/>
              </w:rPr>
            </w:pPr>
            <w:r>
              <w:rPr>
                <w:rFonts w:ascii="Arial" w:cs="Arial" w:eastAsia="Arial" w:hAnsi="Arial"/>
                <w:sz w:val="14"/>
                <w:szCs w:val="14"/>
                <w:i w:val="1"/>
                <w:iCs w:val="1"/>
                <w:color w:val="auto"/>
                <w:w w:val="92"/>
              </w:rPr>
              <w:t>(I.R.S. employer</w:t>
            </w:r>
          </w:p>
        </w:tc>
      </w:tr>
      <w:tr>
        <w:trPr>
          <w:trHeight w:val="182"/>
        </w:trPr>
        <w:tc>
          <w:tcPr>
            <w:tcW w:w="2860" w:type="dxa"/>
            <w:vAlign w:val="bottom"/>
          </w:tcPr>
          <w:p>
            <w:pPr>
              <w:jc w:val="center"/>
              <w:ind w:right="1002"/>
              <w:spacing w:after="0"/>
              <w:rPr>
                <w:sz w:val="20"/>
                <w:szCs w:val="20"/>
                <w:color w:val="auto"/>
              </w:rPr>
            </w:pPr>
            <w:r>
              <w:rPr>
                <w:rFonts w:ascii="Arial" w:cs="Arial" w:eastAsia="Arial" w:hAnsi="Arial"/>
                <w:sz w:val="14"/>
                <w:szCs w:val="14"/>
                <w:i w:val="1"/>
                <w:iCs w:val="1"/>
                <w:color w:val="auto"/>
                <w:w w:val="97"/>
              </w:rPr>
              <w:t>incorporation or organization)</w:t>
            </w:r>
          </w:p>
        </w:tc>
        <w:tc>
          <w:tcPr>
            <w:tcW w:w="3900" w:type="dxa"/>
            <w:vAlign w:val="bottom"/>
          </w:tcPr>
          <w:p>
            <w:pPr>
              <w:jc w:val="center"/>
              <w:spacing w:after="0"/>
              <w:rPr>
                <w:sz w:val="20"/>
                <w:szCs w:val="20"/>
                <w:color w:val="auto"/>
              </w:rPr>
            </w:pPr>
            <w:r>
              <w:rPr>
                <w:rFonts w:ascii="Arial" w:cs="Arial" w:eastAsia="Arial" w:hAnsi="Arial"/>
                <w:sz w:val="14"/>
                <w:szCs w:val="14"/>
                <w:i w:val="1"/>
                <w:iCs w:val="1"/>
                <w:color w:val="auto"/>
                <w:w w:val="94"/>
              </w:rPr>
              <w:t>Classification Code Number)</w:t>
            </w:r>
          </w:p>
        </w:tc>
        <w:tc>
          <w:tcPr>
            <w:tcW w:w="2420" w:type="dxa"/>
            <w:vAlign w:val="bottom"/>
          </w:tcPr>
          <w:p>
            <w:pPr>
              <w:jc w:val="center"/>
              <w:ind w:left="1062"/>
              <w:spacing w:after="0"/>
              <w:rPr>
                <w:sz w:val="20"/>
                <w:szCs w:val="20"/>
                <w:color w:val="auto"/>
              </w:rPr>
            </w:pPr>
            <w:r>
              <w:rPr>
                <w:rFonts w:ascii="Arial" w:cs="Arial" w:eastAsia="Arial" w:hAnsi="Arial"/>
                <w:sz w:val="14"/>
                <w:szCs w:val="14"/>
                <w:i w:val="1"/>
                <w:iCs w:val="1"/>
                <w:color w:val="auto"/>
                <w:w w:val="95"/>
              </w:rPr>
              <w:t>identification number)</w:t>
            </w: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222250</wp:posOffset>
            </wp:positionV>
            <wp:extent cx="151765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341" w:lineRule="exact"/>
        <w:rPr>
          <w:sz w:val="24"/>
          <w:szCs w:val="24"/>
          <w:color w:val="auto"/>
        </w:rPr>
      </w:pPr>
    </w:p>
    <w:p>
      <w:pPr>
        <w:jc w:val="center"/>
        <w:ind w:right="-539"/>
        <w:spacing w:after="0"/>
        <w:rPr>
          <w:sz w:val="20"/>
          <w:szCs w:val="20"/>
          <w:color w:val="auto"/>
        </w:rPr>
      </w:pPr>
      <w:r>
        <w:rPr>
          <w:rFonts w:ascii="Arial" w:cs="Arial" w:eastAsia="Arial" w:hAnsi="Arial"/>
          <w:sz w:val="18"/>
          <w:szCs w:val="18"/>
          <w:b w:val="1"/>
          <w:bCs w:val="1"/>
          <w:color w:val="auto"/>
        </w:rPr>
        <w:t>1835 Dueber Ave., S.W.,</w:t>
      </w:r>
    </w:p>
    <w:p>
      <w:pPr>
        <w:spacing w:after="0" w:line="27" w:lineRule="exact"/>
        <w:rPr>
          <w:sz w:val="24"/>
          <w:szCs w:val="24"/>
          <w:color w:val="auto"/>
        </w:rPr>
      </w:pPr>
    </w:p>
    <w:p>
      <w:pPr>
        <w:jc w:val="center"/>
        <w:ind w:right="-539"/>
        <w:spacing w:after="0"/>
        <w:rPr>
          <w:sz w:val="20"/>
          <w:szCs w:val="20"/>
          <w:color w:val="auto"/>
        </w:rPr>
      </w:pPr>
      <w:r>
        <w:rPr>
          <w:rFonts w:ascii="Arial" w:cs="Arial" w:eastAsia="Arial" w:hAnsi="Arial"/>
          <w:sz w:val="18"/>
          <w:szCs w:val="18"/>
          <w:b w:val="1"/>
          <w:bCs w:val="1"/>
          <w:color w:val="auto"/>
        </w:rPr>
        <w:t>Canton, Ohio 44706-2798</w:t>
      </w:r>
    </w:p>
    <w:p>
      <w:pPr>
        <w:spacing w:after="0" w:line="9" w:lineRule="exact"/>
        <w:rPr>
          <w:sz w:val="24"/>
          <w:szCs w:val="24"/>
          <w:color w:val="auto"/>
        </w:rPr>
      </w:pPr>
    </w:p>
    <w:p>
      <w:pPr>
        <w:jc w:val="center"/>
        <w:ind w:right="-539"/>
        <w:spacing w:after="0"/>
        <w:rPr>
          <w:sz w:val="20"/>
          <w:szCs w:val="20"/>
          <w:color w:val="auto"/>
        </w:rPr>
      </w:pPr>
      <w:r>
        <w:rPr>
          <w:rFonts w:ascii="Arial" w:cs="Arial" w:eastAsia="Arial" w:hAnsi="Arial"/>
          <w:sz w:val="18"/>
          <w:szCs w:val="18"/>
          <w:b w:val="1"/>
          <w:bCs w:val="1"/>
          <w:color w:val="auto"/>
        </w:rPr>
        <w:t>(330) 438-3000</w:t>
      </w:r>
    </w:p>
    <w:p>
      <w:pPr>
        <w:spacing w:after="0" w:line="2" w:lineRule="exact"/>
        <w:rPr>
          <w:sz w:val="24"/>
          <w:szCs w:val="24"/>
          <w:color w:val="auto"/>
        </w:rPr>
      </w:pPr>
    </w:p>
    <w:p>
      <w:pPr>
        <w:ind w:left="2380"/>
        <w:spacing w:after="0"/>
        <w:rPr>
          <w:sz w:val="20"/>
          <w:szCs w:val="20"/>
          <w:color w:val="auto"/>
        </w:rPr>
      </w:pPr>
      <w:r>
        <w:rPr>
          <w:rFonts w:ascii="Arial" w:cs="Arial" w:eastAsia="Arial" w:hAnsi="Arial"/>
          <w:sz w:val="14"/>
          <w:szCs w:val="14"/>
          <w:i w:val="1"/>
          <w:iCs w:val="1"/>
          <w:color w:val="auto"/>
        </w:rPr>
        <w:t>(Address, including zip code, and telephone number, including area code, of registrant’s principal executive offices)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227965</wp:posOffset>
            </wp:positionV>
            <wp:extent cx="151765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350" w:lineRule="exact"/>
        <w:rPr>
          <w:sz w:val="24"/>
          <w:szCs w:val="24"/>
          <w:color w:val="auto"/>
        </w:rPr>
      </w:pPr>
    </w:p>
    <w:p>
      <w:pPr>
        <w:jc w:val="center"/>
        <w:ind w:right="-539"/>
        <w:spacing w:after="0"/>
        <w:rPr>
          <w:sz w:val="20"/>
          <w:szCs w:val="20"/>
          <w:color w:val="auto"/>
        </w:rPr>
      </w:pPr>
      <w:r>
        <w:rPr>
          <w:rFonts w:ascii="Arial" w:cs="Arial" w:eastAsia="Arial" w:hAnsi="Arial"/>
          <w:sz w:val="18"/>
          <w:szCs w:val="18"/>
          <w:b w:val="1"/>
          <w:bCs w:val="1"/>
          <w:color w:val="auto"/>
        </w:rPr>
        <w:t>Frank A. DiPiero</w:t>
      </w:r>
    </w:p>
    <w:p>
      <w:pPr>
        <w:spacing w:after="0" w:line="27" w:lineRule="exact"/>
        <w:rPr>
          <w:sz w:val="24"/>
          <w:szCs w:val="24"/>
          <w:color w:val="auto"/>
        </w:rPr>
      </w:pPr>
    </w:p>
    <w:p>
      <w:pPr>
        <w:jc w:val="center"/>
        <w:ind w:right="-539"/>
        <w:spacing w:after="0"/>
        <w:rPr>
          <w:sz w:val="20"/>
          <w:szCs w:val="20"/>
          <w:color w:val="auto"/>
        </w:rPr>
      </w:pPr>
      <w:r>
        <w:rPr>
          <w:rFonts w:ascii="Arial" w:cs="Arial" w:eastAsia="Arial" w:hAnsi="Arial"/>
          <w:sz w:val="18"/>
          <w:szCs w:val="18"/>
          <w:b w:val="1"/>
          <w:bCs w:val="1"/>
          <w:color w:val="auto"/>
        </w:rPr>
        <w:t>Executive Vice President, General Counsel and Secretary</w:t>
      </w:r>
    </w:p>
    <w:p>
      <w:pPr>
        <w:spacing w:after="0" w:line="9" w:lineRule="exact"/>
        <w:rPr>
          <w:sz w:val="24"/>
          <w:szCs w:val="24"/>
          <w:color w:val="auto"/>
        </w:rPr>
      </w:pPr>
    </w:p>
    <w:p>
      <w:pPr>
        <w:jc w:val="center"/>
        <w:ind w:right="-539"/>
        <w:spacing w:after="0"/>
        <w:rPr>
          <w:sz w:val="20"/>
          <w:szCs w:val="20"/>
          <w:color w:val="auto"/>
        </w:rPr>
      </w:pPr>
      <w:r>
        <w:rPr>
          <w:rFonts w:ascii="Arial" w:cs="Arial" w:eastAsia="Arial" w:hAnsi="Arial"/>
          <w:sz w:val="18"/>
          <w:szCs w:val="18"/>
          <w:b w:val="1"/>
          <w:bCs w:val="1"/>
          <w:color w:val="auto"/>
        </w:rPr>
        <w:t>TimkenSteel Corporation</w:t>
      </w:r>
    </w:p>
    <w:p>
      <w:pPr>
        <w:spacing w:after="0" w:line="9" w:lineRule="exact"/>
        <w:rPr>
          <w:sz w:val="24"/>
          <w:szCs w:val="24"/>
          <w:color w:val="auto"/>
        </w:rPr>
      </w:pPr>
    </w:p>
    <w:p>
      <w:pPr>
        <w:jc w:val="center"/>
        <w:ind w:right="-539"/>
        <w:spacing w:after="0"/>
        <w:rPr>
          <w:sz w:val="20"/>
          <w:szCs w:val="20"/>
          <w:color w:val="auto"/>
        </w:rPr>
      </w:pPr>
      <w:r>
        <w:rPr>
          <w:rFonts w:ascii="Arial" w:cs="Arial" w:eastAsia="Arial" w:hAnsi="Arial"/>
          <w:sz w:val="18"/>
          <w:szCs w:val="18"/>
          <w:b w:val="1"/>
          <w:bCs w:val="1"/>
          <w:color w:val="auto"/>
        </w:rPr>
        <w:t>1835 Dueber Ave., S.W.,</w:t>
      </w:r>
    </w:p>
    <w:p>
      <w:pPr>
        <w:spacing w:after="0" w:line="9" w:lineRule="exact"/>
        <w:rPr>
          <w:sz w:val="24"/>
          <w:szCs w:val="24"/>
          <w:color w:val="auto"/>
        </w:rPr>
      </w:pPr>
    </w:p>
    <w:p>
      <w:pPr>
        <w:jc w:val="center"/>
        <w:ind w:right="-539"/>
        <w:spacing w:after="0"/>
        <w:rPr>
          <w:sz w:val="20"/>
          <w:szCs w:val="20"/>
          <w:color w:val="auto"/>
        </w:rPr>
      </w:pPr>
      <w:r>
        <w:rPr>
          <w:rFonts w:ascii="Arial" w:cs="Arial" w:eastAsia="Arial" w:hAnsi="Arial"/>
          <w:sz w:val="18"/>
          <w:szCs w:val="18"/>
          <w:b w:val="1"/>
          <w:bCs w:val="1"/>
          <w:color w:val="auto"/>
        </w:rPr>
        <w:t>Canton, Ohio 44706-2798</w:t>
      </w:r>
    </w:p>
    <w:p>
      <w:pPr>
        <w:spacing w:after="0" w:line="9" w:lineRule="exact"/>
        <w:rPr>
          <w:sz w:val="24"/>
          <w:szCs w:val="24"/>
          <w:color w:val="auto"/>
        </w:rPr>
      </w:pPr>
    </w:p>
    <w:p>
      <w:pPr>
        <w:jc w:val="center"/>
        <w:ind w:right="-539"/>
        <w:spacing w:after="0"/>
        <w:rPr>
          <w:sz w:val="20"/>
          <w:szCs w:val="20"/>
          <w:color w:val="auto"/>
        </w:rPr>
      </w:pPr>
      <w:r>
        <w:rPr>
          <w:rFonts w:ascii="Arial" w:cs="Arial" w:eastAsia="Arial" w:hAnsi="Arial"/>
          <w:sz w:val="18"/>
          <w:szCs w:val="18"/>
          <w:b w:val="1"/>
          <w:bCs w:val="1"/>
          <w:color w:val="auto"/>
        </w:rPr>
        <w:t>(330) 438-3000</w:t>
      </w:r>
    </w:p>
    <w:p>
      <w:pPr>
        <w:spacing w:after="0" w:line="2" w:lineRule="exact"/>
        <w:rPr>
          <w:sz w:val="24"/>
          <w:szCs w:val="24"/>
          <w:color w:val="auto"/>
        </w:rPr>
      </w:pPr>
    </w:p>
    <w:p>
      <w:pPr>
        <w:ind w:left="2800"/>
        <w:spacing w:after="0"/>
        <w:rPr>
          <w:sz w:val="20"/>
          <w:szCs w:val="20"/>
          <w:color w:val="auto"/>
        </w:rPr>
      </w:pPr>
      <w:r>
        <w:rPr>
          <w:rFonts w:ascii="Arial" w:cs="Arial" w:eastAsia="Arial" w:hAnsi="Arial"/>
          <w:sz w:val="14"/>
          <w:szCs w:val="14"/>
          <w:i w:val="1"/>
          <w:iCs w:val="1"/>
          <w:color w:val="auto"/>
        </w:rPr>
        <w:t>(Name, address, including zip code, and telephone number, including area code, of agent for service)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219075</wp:posOffset>
            </wp:positionV>
            <wp:extent cx="151765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341" w:lineRule="exact"/>
        <w:rPr>
          <w:sz w:val="24"/>
          <w:szCs w:val="24"/>
          <w:color w:val="auto"/>
        </w:rPr>
      </w:pPr>
    </w:p>
    <w:p>
      <w:pPr>
        <w:jc w:val="center"/>
        <w:ind w:right="-539"/>
        <w:spacing w:after="0"/>
        <w:rPr>
          <w:sz w:val="20"/>
          <w:szCs w:val="20"/>
          <w:color w:val="auto"/>
        </w:rPr>
      </w:pPr>
      <w:r>
        <w:rPr>
          <w:rFonts w:ascii="Arial" w:cs="Arial" w:eastAsia="Arial" w:hAnsi="Arial"/>
          <w:sz w:val="18"/>
          <w:szCs w:val="18"/>
          <w:i w:val="1"/>
          <w:iCs w:val="1"/>
          <w:color w:val="auto"/>
        </w:rPr>
        <w:t>Copies to:</w:t>
      </w:r>
    </w:p>
    <w:p>
      <w:pPr>
        <w:spacing w:after="0" w:line="221" w:lineRule="exact"/>
        <w:rPr>
          <w:sz w:val="24"/>
          <w:szCs w:val="24"/>
          <w:color w:val="auto"/>
        </w:rPr>
      </w:pPr>
    </w:p>
    <w:p>
      <w:pPr>
        <w:jc w:val="center"/>
        <w:ind w:right="-539"/>
        <w:spacing w:after="0"/>
        <w:rPr>
          <w:sz w:val="20"/>
          <w:szCs w:val="20"/>
          <w:color w:val="auto"/>
        </w:rPr>
      </w:pPr>
      <w:r>
        <w:rPr>
          <w:rFonts w:ascii="Arial" w:cs="Arial" w:eastAsia="Arial" w:hAnsi="Arial"/>
          <w:sz w:val="18"/>
          <w:szCs w:val="18"/>
          <w:b w:val="1"/>
          <w:bCs w:val="1"/>
          <w:color w:val="auto"/>
        </w:rPr>
        <w:t>Michael J. Solecki</w:t>
      </w:r>
    </w:p>
    <w:p>
      <w:pPr>
        <w:spacing w:after="0" w:line="27" w:lineRule="exact"/>
        <w:rPr>
          <w:sz w:val="24"/>
          <w:szCs w:val="24"/>
          <w:color w:val="auto"/>
        </w:rPr>
      </w:pPr>
    </w:p>
    <w:p>
      <w:pPr>
        <w:jc w:val="center"/>
        <w:ind w:right="-539"/>
        <w:spacing w:after="0"/>
        <w:rPr>
          <w:sz w:val="20"/>
          <w:szCs w:val="20"/>
          <w:color w:val="auto"/>
        </w:rPr>
      </w:pPr>
      <w:r>
        <w:rPr>
          <w:rFonts w:ascii="Arial" w:cs="Arial" w:eastAsia="Arial" w:hAnsi="Arial"/>
          <w:sz w:val="18"/>
          <w:szCs w:val="18"/>
          <w:b w:val="1"/>
          <w:bCs w:val="1"/>
          <w:color w:val="auto"/>
        </w:rPr>
        <w:t>Jones Day</w:t>
      </w:r>
    </w:p>
    <w:p>
      <w:pPr>
        <w:spacing w:after="0" w:line="9" w:lineRule="exact"/>
        <w:rPr>
          <w:sz w:val="24"/>
          <w:szCs w:val="24"/>
          <w:color w:val="auto"/>
        </w:rPr>
      </w:pPr>
    </w:p>
    <w:p>
      <w:pPr>
        <w:ind w:left="4640" w:right="4100" w:firstLine="271"/>
        <w:spacing w:after="0" w:line="281" w:lineRule="auto"/>
        <w:tabs>
          <w:tab w:leader="none" w:pos="5219" w:val="left"/>
        </w:tabs>
        <w:numPr>
          <w:ilvl w:val="0"/>
          <w:numId w:val="1"/>
        </w:numPr>
        <w:rPr>
          <w:rFonts w:ascii="Arial" w:cs="Arial" w:eastAsia="Arial" w:hAnsi="Arial"/>
          <w:sz w:val="16"/>
          <w:szCs w:val="16"/>
          <w:b w:val="1"/>
          <w:bCs w:val="1"/>
          <w:color w:val="auto"/>
        </w:rPr>
      </w:pPr>
      <w:r>
        <w:rPr>
          <w:rFonts w:ascii="Arial" w:cs="Arial" w:eastAsia="Arial" w:hAnsi="Arial"/>
          <w:sz w:val="16"/>
          <w:szCs w:val="16"/>
          <w:b w:val="1"/>
          <w:bCs w:val="1"/>
          <w:color w:val="auto"/>
        </w:rPr>
        <w:t>Lakeside Avenue Cleveland, Ohio 44114-1190</w:t>
      </w:r>
    </w:p>
    <w:p>
      <w:pPr>
        <w:spacing w:after="0" w:line="1" w:lineRule="exact"/>
        <w:rPr>
          <w:rFonts w:ascii="Arial" w:cs="Arial" w:eastAsia="Arial" w:hAnsi="Arial"/>
          <w:sz w:val="16"/>
          <w:szCs w:val="16"/>
          <w:b w:val="1"/>
          <w:bCs w:val="1"/>
          <w:color w:val="auto"/>
        </w:rPr>
      </w:pPr>
    </w:p>
    <w:p>
      <w:pPr>
        <w:ind w:left="5580" w:hanging="428"/>
        <w:spacing w:after="0"/>
        <w:tabs>
          <w:tab w:leader="none" w:pos="5580" w:val="left"/>
        </w:tabs>
        <w:numPr>
          <w:ilvl w:val="1"/>
          <w:numId w:val="1"/>
        </w:numPr>
        <w:rPr>
          <w:rFonts w:ascii="Arial" w:cs="Arial" w:eastAsia="Arial" w:hAnsi="Arial"/>
          <w:sz w:val="18"/>
          <w:szCs w:val="18"/>
          <w:b w:val="1"/>
          <w:bCs w:val="1"/>
          <w:color w:val="auto"/>
        </w:rPr>
      </w:pPr>
      <w:r>
        <w:rPr>
          <w:rFonts w:ascii="Arial" w:cs="Arial" w:eastAsia="Arial" w:hAnsi="Arial"/>
          <w:sz w:val="18"/>
          <w:szCs w:val="18"/>
          <w:b w:val="1"/>
          <w:bCs w:val="1"/>
          <w:color w:val="auto"/>
        </w:rPr>
        <w:t>586-3939</w:t>
      </w:r>
    </w:p>
    <w:p>
      <w:pPr>
        <w:spacing w:after="0" w:line="9" w:lineRule="exact"/>
        <w:rPr>
          <w:sz w:val="24"/>
          <w:szCs w:val="24"/>
          <w:color w:val="auto"/>
        </w:rPr>
      </w:pPr>
    </w:p>
    <w:p>
      <w:pPr>
        <w:ind w:left="4960"/>
        <w:spacing w:after="0"/>
        <w:rPr>
          <w:sz w:val="20"/>
          <w:szCs w:val="20"/>
          <w:color w:val="auto"/>
        </w:rPr>
      </w:pPr>
      <w:r>
        <w:rPr>
          <w:rFonts w:ascii="Arial" w:cs="Arial" w:eastAsia="Arial" w:hAnsi="Arial"/>
          <w:sz w:val="18"/>
          <w:szCs w:val="18"/>
          <w:b w:val="1"/>
          <w:bCs w:val="1"/>
          <w:color w:val="auto"/>
        </w:rPr>
        <w:t>Fax: (216) 579-0212</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228600</wp:posOffset>
            </wp:positionV>
            <wp:extent cx="151765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ectPr>
          <w:pgSz w:w="11900" w:h="16838" w:orient="portrait"/>
          <w:cols w:equalWidth="0" w:num="1">
            <w:col w:w="10880"/>
          </w:cols>
          <w:pgMar w:left="240" w:top="230" w:right="779" w:bottom="1440" w:gutter="0" w:footer="0" w:header="0"/>
        </w:sectPr>
      </w:pPr>
    </w:p>
    <w:bookmarkStart w:id="1" w:name="page2"/>
    <w:bookmarkEnd w:id="1"/>
    <w:p>
      <w:pPr>
        <w:ind w:left="460"/>
        <w:spacing w:after="0"/>
        <w:rPr>
          <w:sz w:val="20"/>
          <w:szCs w:val="20"/>
          <w:color w:val="auto"/>
        </w:rPr>
      </w:pPr>
      <w:r>
        <w:rPr>
          <w:rFonts w:ascii="Arial" w:cs="Arial" w:eastAsia="Arial" w:hAnsi="Arial"/>
          <w:sz w:val="16"/>
          <w:szCs w:val="16"/>
          <w:b w:val="1"/>
          <w:bCs w:val="1"/>
          <w:color w:val="auto"/>
        </w:rPr>
        <w:t xml:space="preserve">Approximate date of commencement of proposed sale to the public: </w:t>
      </w:r>
      <w:r>
        <w:rPr>
          <w:rFonts w:ascii="Arial" w:cs="Arial" w:eastAsia="Arial" w:hAnsi="Arial"/>
          <w:sz w:val="16"/>
          <w:szCs w:val="16"/>
          <w:color w:val="auto"/>
        </w:rPr>
        <w:t>As soon as practicable after the effective date of this Registration Statement.</w:t>
      </w:r>
    </w:p>
    <w:p>
      <w:pPr>
        <w:spacing w:after="0" w:line="252" w:lineRule="exact"/>
        <w:rPr>
          <w:sz w:val="20"/>
          <w:szCs w:val="20"/>
          <w:color w:val="auto"/>
        </w:rPr>
      </w:pPr>
    </w:p>
    <w:p>
      <w:pPr>
        <w:ind w:right="40" w:firstLine="456"/>
        <w:spacing w:after="0" w:line="233" w:lineRule="exact"/>
        <w:rPr>
          <w:sz w:val="20"/>
          <w:szCs w:val="20"/>
          <w:color w:val="auto"/>
        </w:rPr>
      </w:pPr>
      <w:r>
        <w:rPr>
          <w:rFonts w:ascii="Arial" w:cs="Arial" w:eastAsia="Arial" w:hAnsi="Arial"/>
          <w:sz w:val="18"/>
          <w:szCs w:val="18"/>
          <w:color w:val="auto"/>
        </w:rPr>
        <w:t xml:space="preserve">If any of the securities being registered on this Form are to be offered on a delayed or continuous basis pursuant to Rule 415 under the Securities Act of 1933 check the following box. </w:t>
      </w:r>
      <w:r>
        <w:rPr>
          <w:rFonts w:ascii="MS PGothic" w:cs="MS PGothic" w:eastAsia="MS PGothic" w:hAnsi="MS PGothic"/>
          <w:sz w:val="18"/>
          <w:szCs w:val="18"/>
          <w:color w:val="auto"/>
        </w:rPr>
        <w:t>☒</w:t>
      </w:r>
    </w:p>
    <w:p>
      <w:pPr>
        <w:spacing w:after="0" w:line="183" w:lineRule="exact"/>
        <w:rPr>
          <w:sz w:val="20"/>
          <w:szCs w:val="20"/>
          <w:color w:val="auto"/>
        </w:rPr>
      </w:pPr>
    </w:p>
    <w:p>
      <w:pPr>
        <w:ind w:right="40" w:firstLine="456"/>
        <w:spacing w:after="0" w:line="233" w:lineRule="exact"/>
        <w:rPr>
          <w:sz w:val="20"/>
          <w:szCs w:val="20"/>
          <w:color w:val="auto"/>
        </w:rPr>
      </w:pPr>
      <w:r>
        <w:rPr>
          <w:rFonts w:ascii="Arial" w:cs="Arial" w:eastAsia="Arial" w:hAnsi="Arial"/>
          <w:sz w:val="18"/>
          <w:szCs w:val="18"/>
          <w:color w:val="auto"/>
        </w:rPr>
        <w:t xml:space="preserve">If this Form is filed to register additional securities for an offering pursuant to Rule 462(b) under the Securities Act, please check the following box and list the Securities Act registration statement number of the earlier effective registration statement for the same offering. </w:t>
      </w:r>
      <w:r>
        <w:rPr>
          <w:rFonts w:ascii="MS PGothic" w:cs="MS PGothic" w:eastAsia="MS PGothic" w:hAnsi="MS PGothic"/>
          <w:sz w:val="18"/>
          <w:szCs w:val="18"/>
          <w:color w:val="auto"/>
        </w:rPr>
        <w:t>☐</w:t>
      </w:r>
    </w:p>
    <w:p>
      <w:pPr>
        <w:spacing w:after="0" w:line="183" w:lineRule="exact"/>
        <w:rPr>
          <w:sz w:val="20"/>
          <w:szCs w:val="20"/>
          <w:color w:val="auto"/>
        </w:rPr>
      </w:pPr>
    </w:p>
    <w:p>
      <w:pPr>
        <w:ind w:right="260" w:firstLine="456"/>
        <w:spacing w:after="0" w:line="233" w:lineRule="exact"/>
        <w:rPr>
          <w:sz w:val="20"/>
          <w:szCs w:val="20"/>
          <w:color w:val="auto"/>
        </w:rPr>
      </w:pPr>
      <w:r>
        <w:rPr>
          <w:rFonts w:ascii="Arial" w:cs="Arial" w:eastAsia="Arial" w:hAnsi="Arial"/>
          <w:sz w:val="18"/>
          <w:szCs w:val="18"/>
          <w:color w:val="auto"/>
        </w:rPr>
        <w:t xml:space="preserve">If this Form is a post-effective amendment filed pursuant to Rule 462(c) under the Securities Act, check the following box and list the Securities Act registration statement number of the earlier effective registration statement for the same offering. </w:t>
      </w:r>
      <w:r>
        <w:rPr>
          <w:rFonts w:ascii="MS PGothic" w:cs="MS PGothic" w:eastAsia="MS PGothic" w:hAnsi="MS PGothic"/>
          <w:sz w:val="18"/>
          <w:szCs w:val="18"/>
          <w:color w:val="auto"/>
        </w:rPr>
        <w:t>☐</w:t>
      </w:r>
    </w:p>
    <w:p>
      <w:pPr>
        <w:spacing w:after="0" w:line="183" w:lineRule="exact"/>
        <w:rPr>
          <w:sz w:val="20"/>
          <w:szCs w:val="20"/>
          <w:color w:val="auto"/>
        </w:rPr>
      </w:pPr>
    </w:p>
    <w:p>
      <w:pPr>
        <w:ind w:right="240" w:firstLine="456"/>
        <w:spacing w:after="0" w:line="233" w:lineRule="exact"/>
        <w:rPr>
          <w:sz w:val="20"/>
          <w:szCs w:val="20"/>
          <w:color w:val="auto"/>
        </w:rPr>
      </w:pPr>
      <w:r>
        <w:rPr>
          <w:rFonts w:ascii="Arial" w:cs="Arial" w:eastAsia="Arial" w:hAnsi="Arial"/>
          <w:sz w:val="18"/>
          <w:szCs w:val="18"/>
          <w:color w:val="auto"/>
        </w:rPr>
        <w:t xml:space="preserve">If this Form is a post-effective amendment filed pursuant to Rule 462(d) under the Securities Act, check the following box and list the Securities Act registration statement number of the earlier effective registration statement for the same offering. </w:t>
      </w:r>
      <w:r>
        <w:rPr>
          <w:rFonts w:ascii="MS PGothic" w:cs="MS PGothic" w:eastAsia="MS PGothic" w:hAnsi="MS PGothic"/>
          <w:sz w:val="18"/>
          <w:szCs w:val="18"/>
          <w:color w:val="auto"/>
        </w:rPr>
        <w:t>☐</w:t>
      </w:r>
    </w:p>
    <w:p>
      <w:pPr>
        <w:spacing w:after="0" w:line="183" w:lineRule="exact"/>
        <w:rPr>
          <w:sz w:val="20"/>
          <w:szCs w:val="20"/>
          <w:color w:val="auto"/>
        </w:rPr>
      </w:pPr>
    </w:p>
    <w:p>
      <w:pPr>
        <w:ind w:left="460"/>
        <w:spacing w:after="0"/>
        <w:rPr>
          <w:sz w:val="20"/>
          <w:szCs w:val="20"/>
          <w:color w:val="auto"/>
        </w:rPr>
      </w:pPr>
      <w:r>
        <w:rPr>
          <w:rFonts w:ascii="Arial" w:cs="Arial" w:eastAsia="Arial" w:hAnsi="Arial"/>
          <w:sz w:val="16"/>
          <w:szCs w:val="16"/>
          <w:color w:val="auto"/>
        </w:rPr>
        <w:t>Indicate by check mark whether the registrant is a large accelerated filer, an accelerated filer, a non-accelerated filer or a smaller reporting company.</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See the definitions of “accelerated filer,” “large accelerated filer” and “smaller reporting company” in Rule 12b-2 of the Exchange Act.</w:t>
      </w:r>
    </w:p>
    <w:p>
      <w:pPr>
        <w:spacing w:after="0" w:line="205" w:lineRule="exact"/>
        <w:rPr>
          <w:sz w:val="20"/>
          <w:szCs w:val="20"/>
          <w:color w:val="auto"/>
        </w:rPr>
      </w:pPr>
    </w:p>
    <w:tbl>
      <w:tblPr>
        <w:tblLayout w:type="fixed"/>
        <w:tblInd w:w="0" w:type="dxa"/>
        <w:tblCellMar>
          <w:top w:w="0" w:type="dxa"/>
          <w:left w:w="0" w:type="dxa"/>
          <w:bottom w:w="0" w:type="dxa"/>
          <w:right w:w="0" w:type="dxa"/>
        </w:tblCellMar>
      </w:tblPr>
      <w:tr>
        <w:trPr>
          <w:trHeight w:val="283"/>
        </w:trPr>
        <w:tc>
          <w:tcPr>
            <w:tcW w:w="1660" w:type="dxa"/>
            <w:vAlign w:val="bottom"/>
            <w:gridSpan w:val="2"/>
          </w:tcPr>
          <w:p>
            <w:pPr>
              <w:spacing w:after="0"/>
              <w:rPr>
                <w:sz w:val="20"/>
                <w:szCs w:val="20"/>
                <w:color w:val="auto"/>
              </w:rPr>
            </w:pPr>
            <w:r>
              <w:rPr>
                <w:rFonts w:ascii="Arial" w:cs="Arial" w:eastAsia="Arial" w:hAnsi="Arial"/>
                <w:sz w:val="18"/>
                <w:szCs w:val="18"/>
                <w:color w:val="auto"/>
                <w:w w:val="92"/>
              </w:rPr>
              <w:t>Large accelerated filer</w:t>
            </w:r>
          </w:p>
        </w:tc>
        <w:tc>
          <w:tcPr>
            <w:tcW w:w="2000" w:type="dxa"/>
            <w:vAlign w:val="bottom"/>
          </w:tcPr>
          <w:p>
            <w:pPr>
              <w:ind w:left="260"/>
              <w:spacing w:after="0" w:line="181" w:lineRule="exact"/>
              <w:rPr>
                <w:sz w:val="20"/>
                <w:szCs w:val="20"/>
                <w:color w:val="auto"/>
              </w:rPr>
            </w:pPr>
            <w:r>
              <w:rPr>
                <w:rFonts w:ascii="MS PGothic" w:cs="MS PGothic" w:eastAsia="MS PGothic" w:hAnsi="MS PGothic"/>
                <w:sz w:val="18"/>
                <w:szCs w:val="18"/>
                <w:color w:val="auto"/>
              </w:rPr>
              <w:t>☐</w:t>
            </w:r>
          </w:p>
        </w:tc>
        <w:tc>
          <w:tcPr>
            <w:tcW w:w="1400" w:type="dxa"/>
            <w:vAlign w:val="bottom"/>
          </w:tcPr>
          <w:p>
            <w:pPr>
              <w:spacing w:after="0"/>
              <w:rPr>
                <w:sz w:val="24"/>
                <w:szCs w:val="24"/>
                <w:color w:val="auto"/>
              </w:rPr>
            </w:pPr>
          </w:p>
        </w:tc>
        <w:tc>
          <w:tcPr>
            <w:tcW w:w="1600" w:type="dxa"/>
            <w:vAlign w:val="bottom"/>
          </w:tcPr>
          <w:p>
            <w:pPr>
              <w:spacing w:after="0"/>
              <w:rPr>
                <w:sz w:val="24"/>
                <w:szCs w:val="24"/>
                <w:color w:val="auto"/>
              </w:rPr>
            </w:pPr>
          </w:p>
        </w:tc>
        <w:tc>
          <w:tcPr>
            <w:tcW w:w="1600" w:type="dxa"/>
            <w:vAlign w:val="bottom"/>
          </w:tcPr>
          <w:p>
            <w:pPr>
              <w:spacing w:after="0"/>
              <w:rPr>
                <w:sz w:val="24"/>
                <w:szCs w:val="24"/>
                <w:color w:val="auto"/>
              </w:rPr>
            </w:pPr>
          </w:p>
        </w:tc>
        <w:tc>
          <w:tcPr>
            <w:tcW w:w="1940" w:type="dxa"/>
            <w:vAlign w:val="bottom"/>
            <w:gridSpan w:val="2"/>
          </w:tcPr>
          <w:p>
            <w:pPr>
              <w:ind w:left="600"/>
              <w:spacing w:after="0"/>
              <w:rPr>
                <w:sz w:val="20"/>
                <w:szCs w:val="20"/>
                <w:color w:val="auto"/>
              </w:rPr>
            </w:pPr>
            <w:r>
              <w:rPr>
                <w:rFonts w:ascii="Arial" w:cs="Arial" w:eastAsia="Arial" w:hAnsi="Arial"/>
                <w:sz w:val="18"/>
                <w:szCs w:val="18"/>
                <w:color w:val="auto"/>
              </w:rPr>
              <w:t>Accelerated filer</w:t>
            </w:r>
          </w:p>
        </w:tc>
        <w:tc>
          <w:tcPr>
            <w:tcW w:w="960" w:type="dxa"/>
            <w:vAlign w:val="bottom"/>
          </w:tcPr>
          <w:p>
            <w:pPr>
              <w:spacing w:after="0"/>
              <w:rPr>
                <w:sz w:val="24"/>
                <w:szCs w:val="24"/>
                <w:color w:val="auto"/>
              </w:rPr>
            </w:pPr>
          </w:p>
        </w:tc>
        <w:tc>
          <w:tcPr>
            <w:tcW w:w="260" w:type="dxa"/>
            <w:vAlign w:val="bottom"/>
          </w:tcPr>
          <w:p>
            <w:pPr>
              <w:ind w:left="100"/>
              <w:spacing w:after="0" w:line="181" w:lineRule="exact"/>
              <w:rPr>
                <w:sz w:val="20"/>
                <w:szCs w:val="20"/>
                <w:color w:val="auto"/>
              </w:rPr>
            </w:pPr>
            <w:r>
              <w:rPr>
                <w:rFonts w:ascii="MS PGothic" w:cs="MS PGothic" w:eastAsia="MS PGothic" w:hAnsi="MS PGothic"/>
                <w:sz w:val="18"/>
                <w:szCs w:val="18"/>
                <w:color w:val="auto"/>
                <w:w w:val="77"/>
              </w:rPr>
              <w:t>☐</w:t>
            </w:r>
          </w:p>
        </w:tc>
        <w:tc>
          <w:tcPr>
            <w:tcW w:w="0" w:type="dxa"/>
            <w:vAlign w:val="bottom"/>
          </w:tcPr>
          <w:p>
            <w:pPr>
              <w:spacing w:after="0"/>
              <w:rPr>
                <w:sz w:val="1"/>
                <w:szCs w:val="1"/>
                <w:color w:val="auto"/>
              </w:rPr>
            </w:pPr>
          </w:p>
        </w:tc>
      </w:tr>
      <w:tr>
        <w:trPr>
          <w:trHeight w:val="324"/>
        </w:trPr>
        <w:tc>
          <w:tcPr>
            <w:tcW w:w="1660" w:type="dxa"/>
            <w:vAlign w:val="bottom"/>
            <w:gridSpan w:val="2"/>
          </w:tcPr>
          <w:p>
            <w:pPr>
              <w:spacing w:after="0"/>
              <w:rPr>
                <w:sz w:val="20"/>
                <w:szCs w:val="20"/>
                <w:color w:val="auto"/>
              </w:rPr>
            </w:pPr>
            <w:r>
              <w:rPr>
                <w:rFonts w:ascii="Arial" w:cs="Arial" w:eastAsia="Arial" w:hAnsi="Arial"/>
                <w:sz w:val="18"/>
                <w:szCs w:val="18"/>
                <w:color w:val="auto"/>
                <w:w w:val="98"/>
              </w:rPr>
              <w:t>Non-accelerated filer</w:t>
            </w:r>
          </w:p>
        </w:tc>
        <w:tc>
          <w:tcPr>
            <w:tcW w:w="5000" w:type="dxa"/>
            <w:vAlign w:val="bottom"/>
            <w:gridSpan w:val="3"/>
          </w:tcPr>
          <w:p>
            <w:pPr>
              <w:ind w:left="26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(Do not check if a smaller reporting company)</w:t>
            </w:r>
          </w:p>
        </w:tc>
        <w:tc>
          <w:tcPr>
            <w:tcW w:w="1600" w:type="dxa"/>
            <w:vAlign w:val="bottom"/>
          </w:tcPr>
          <w:p>
            <w:pPr>
              <w:spacing w:after="0"/>
              <w:rPr>
                <w:sz w:val="24"/>
                <w:szCs w:val="24"/>
                <w:color w:val="auto"/>
              </w:rPr>
            </w:pPr>
          </w:p>
        </w:tc>
        <w:tc>
          <w:tcPr>
            <w:tcW w:w="2900" w:type="dxa"/>
            <w:vAlign w:val="bottom"/>
            <w:gridSpan w:val="3"/>
          </w:tcPr>
          <w:p>
            <w:pPr>
              <w:ind w:left="600"/>
              <w:spacing w:after="0"/>
              <w:rPr>
                <w:sz w:val="20"/>
                <w:szCs w:val="20"/>
                <w:color w:val="auto"/>
              </w:rPr>
            </w:pPr>
            <w:r>
              <w:rPr>
                <w:rFonts w:ascii="Arial" w:cs="Arial" w:eastAsia="Arial" w:hAnsi="Arial"/>
                <w:sz w:val="18"/>
                <w:szCs w:val="18"/>
                <w:color w:val="auto"/>
              </w:rPr>
              <w:t>Smaller reporting company</w:t>
            </w:r>
          </w:p>
        </w:tc>
        <w:tc>
          <w:tcPr>
            <w:tcW w:w="260" w:type="dxa"/>
            <w:vAlign w:val="bottom"/>
          </w:tcPr>
          <w:p>
            <w:pPr>
              <w:ind w:left="100"/>
              <w:spacing w:after="0" w:line="181" w:lineRule="exact"/>
              <w:rPr>
                <w:sz w:val="20"/>
                <w:szCs w:val="20"/>
                <w:color w:val="auto"/>
              </w:rPr>
            </w:pPr>
            <w:r>
              <w:rPr>
                <w:rFonts w:ascii="MS PGothic" w:cs="MS PGothic" w:eastAsia="MS PGothic" w:hAnsi="MS PGothic"/>
                <w:sz w:val="18"/>
                <w:szCs w:val="18"/>
                <w:color w:val="auto"/>
                <w:w w:val="77"/>
              </w:rPr>
              <w:t>☐</w:t>
            </w:r>
          </w:p>
        </w:tc>
        <w:tc>
          <w:tcPr>
            <w:tcW w:w="0" w:type="dxa"/>
            <w:vAlign w:val="bottom"/>
          </w:tcPr>
          <w:p>
            <w:pPr>
              <w:spacing w:after="0"/>
              <w:rPr>
                <w:sz w:val="1"/>
                <w:szCs w:val="1"/>
                <w:color w:val="auto"/>
              </w:rPr>
            </w:pPr>
          </w:p>
        </w:tc>
      </w:tr>
      <w:tr>
        <w:trPr>
          <w:trHeight w:val="412"/>
        </w:trPr>
        <w:tc>
          <w:tcPr>
            <w:tcW w:w="20" w:type="dxa"/>
            <w:vAlign w:val="bottom"/>
          </w:tcPr>
          <w:p>
            <w:pPr>
              <w:spacing w:after="0"/>
              <w:rPr>
                <w:sz w:val="24"/>
                <w:szCs w:val="24"/>
                <w:color w:val="auto"/>
              </w:rPr>
            </w:pPr>
          </w:p>
        </w:tc>
        <w:tc>
          <w:tcPr>
            <w:tcW w:w="1640" w:type="dxa"/>
            <w:vAlign w:val="bottom"/>
          </w:tcPr>
          <w:p>
            <w:pPr>
              <w:spacing w:after="0"/>
              <w:rPr>
                <w:sz w:val="24"/>
                <w:szCs w:val="24"/>
                <w:color w:val="auto"/>
              </w:rPr>
            </w:pPr>
          </w:p>
        </w:tc>
        <w:tc>
          <w:tcPr>
            <w:tcW w:w="2000" w:type="dxa"/>
            <w:vAlign w:val="bottom"/>
          </w:tcPr>
          <w:p>
            <w:pPr>
              <w:spacing w:after="0"/>
              <w:rPr>
                <w:sz w:val="24"/>
                <w:szCs w:val="24"/>
                <w:color w:val="auto"/>
              </w:rPr>
            </w:pPr>
          </w:p>
        </w:tc>
        <w:tc>
          <w:tcPr>
            <w:tcW w:w="4600" w:type="dxa"/>
            <w:vAlign w:val="bottom"/>
            <w:gridSpan w:val="3"/>
          </w:tcPr>
          <w:p>
            <w:pPr>
              <w:ind w:left="320"/>
              <w:spacing w:after="0"/>
              <w:rPr>
                <w:sz w:val="20"/>
                <w:szCs w:val="20"/>
                <w:color w:val="auto"/>
              </w:rPr>
            </w:pPr>
            <w:r>
              <w:rPr>
                <w:rFonts w:ascii="Arial" w:cs="Arial" w:eastAsia="Arial" w:hAnsi="Arial"/>
                <w:sz w:val="18"/>
                <w:szCs w:val="18"/>
                <w:b w:val="1"/>
                <w:bCs w:val="1"/>
                <w:color w:val="auto"/>
              </w:rPr>
              <w:t>CALCULATION OF REGISTRATION FEE</w:t>
            </w:r>
          </w:p>
        </w:tc>
        <w:tc>
          <w:tcPr>
            <w:tcW w:w="16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1640" w:type="dxa"/>
            <w:vAlign w:val="bottom"/>
            <w:tcBorders>
              <w:bottom w:val="single" w:sz="8" w:color="auto"/>
            </w:tcBorders>
          </w:tcPr>
          <w:p>
            <w:pPr>
              <w:spacing w:after="0"/>
              <w:rPr>
                <w:sz w:val="7"/>
                <w:szCs w:val="7"/>
                <w:color w:val="auto"/>
              </w:rPr>
            </w:pPr>
          </w:p>
        </w:tc>
        <w:tc>
          <w:tcPr>
            <w:tcW w:w="2000" w:type="dxa"/>
            <w:vAlign w:val="bottom"/>
            <w:tcBorders>
              <w:bottom w:val="single" w:sz="8" w:color="auto"/>
            </w:tcBorders>
          </w:tcPr>
          <w:p>
            <w:pPr>
              <w:spacing w:after="0"/>
              <w:rPr>
                <w:sz w:val="7"/>
                <w:szCs w:val="7"/>
                <w:color w:val="auto"/>
              </w:rPr>
            </w:pPr>
          </w:p>
        </w:tc>
        <w:tc>
          <w:tcPr>
            <w:tcW w:w="1400" w:type="dxa"/>
            <w:vAlign w:val="bottom"/>
            <w:tcBorders>
              <w:bottom w:val="single" w:sz="8" w:color="auto"/>
            </w:tcBorders>
          </w:tcPr>
          <w:p>
            <w:pPr>
              <w:spacing w:after="0"/>
              <w:rPr>
                <w:sz w:val="7"/>
                <w:szCs w:val="7"/>
                <w:color w:val="auto"/>
              </w:rPr>
            </w:pPr>
          </w:p>
        </w:tc>
        <w:tc>
          <w:tcPr>
            <w:tcW w:w="1600" w:type="dxa"/>
            <w:vAlign w:val="bottom"/>
            <w:tcBorders>
              <w:bottom w:val="single" w:sz="8" w:color="auto"/>
            </w:tcBorders>
          </w:tcPr>
          <w:p>
            <w:pPr>
              <w:spacing w:after="0"/>
              <w:rPr>
                <w:sz w:val="7"/>
                <w:szCs w:val="7"/>
                <w:color w:val="auto"/>
              </w:rPr>
            </w:pPr>
          </w:p>
        </w:tc>
        <w:tc>
          <w:tcPr>
            <w:tcW w:w="1600" w:type="dxa"/>
            <w:vAlign w:val="bottom"/>
            <w:tcBorders>
              <w:bottom w:val="single" w:sz="8" w:color="auto"/>
            </w:tcBorders>
          </w:tcPr>
          <w:p>
            <w:pPr>
              <w:spacing w:after="0"/>
              <w:rPr>
                <w:sz w:val="7"/>
                <w:szCs w:val="7"/>
                <w:color w:val="auto"/>
              </w:rPr>
            </w:pPr>
          </w:p>
        </w:tc>
        <w:tc>
          <w:tcPr>
            <w:tcW w:w="1600" w:type="dxa"/>
            <w:vAlign w:val="bottom"/>
            <w:tcBorders>
              <w:bottom w:val="single" w:sz="8" w:color="auto"/>
            </w:tcBorders>
          </w:tcPr>
          <w:p>
            <w:pPr>
              <w:spacing w:after="0"/>
              <w:rPr>
                <w:sz w:val="7"/>
                <w:szCs w:val="7"/>
                <w:color w:val="auto"/>
              </w:rPr>
            </w:pPr>
          </w:p>
        </w:tc>
        <w:tc>
          <w:tcPr>
            <w:tcW w:w="340" w:type="dxa"/>
            <w:vAlign w:val="bottom"/>
            <w:tcBorders>
              <w:bottom w:val="single" w:sz="8" w:color="auto"/>
            </w:tcBorders>
          </w:tcPr>
          <w:p>
            <w:pPr>
              <w:spacing w:after="0"/>
              <w:rPr>
                <w:sz w:val="7"/>
                <w:szCs w:val="7"/>
                <w:color w:val="auto"/>
              </w:rPr>
            </w:pPr>
          </w:p>
        </w:tc>
        <w:tc>
          <w:tcPr>
            <w:tcW w:w="960" w:type="dxa"/>
            <w:vAlign w:val="bottom"/>
            <w:tcBorders>
              <w:bottom w:val="single" w:sz="8" w:color="auto"/>
            </w:tcBorders>
          </w:tcPr>
          <w:p>
            <w:pPr>
              <w:spacing w:after="0"/>
              <w:rPr>
                <w:sz w:val="7"/>
                <w:szCs w:val="7"/>
                <w:color w:val="auto"/>
              </w:rPr>
            </w:pPr>
          </w:p>
        </w:tc>
        <w:tc>
          <w:tcPr>
            <w:tcW w:w="260" w:type="dxa"/>
            <w:vAlign w:val="bottom"/>
            <w:tcBorders>
              <w:bottom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640" w:type="dxa"/>
            <w:vAlign w:val="bottom"/>
            <w:tcBorders>
              <w:bottom w:val="single" w:sz="8" w:color="auto"/>
            </w:tcBorders>
          </w:tcPr>
          <w:p>
            <w:pPr>
              <w:spacing w:after="0" w:line="20" w:lineRule="exact"/>
              <w:rPr>
                <w:sz w:val="1"/>
                <w:szCs w:val="1"/>
                <w:color w:val="auto"/>
              </w:rPr>
            </w:pPr>
          </w:p>
        </w:tc>
        <w:tc>
          <w:tcPr>
            <w:tcW w:w="2000" w:type="dxa"/>
            <w:vAlign w:val="bottom"/>
            <w:tcBorders>
              <w:bottom w:val="single" w:sz="8" w:color="auto"/>
            </w:tcBorders>
          </w:tcPr>
          <w:p>
            <w:pPr>
              <w:spacing w:after="0" w:line="20" w:lineRule="exact"/>
              <w:rPr>
                <w:sz w:val="1"/>
                <w:szCs w:val="1"/>
                <w:color w:val="auto"/>
              </w:rPr>
            </w:pPr>
          </w:p>
        </w:tc>
        <w:tc>
          <w:tcPr>
            <w:tcW w:w="1400" w:type="dxa"/>
            <w:vAlign w:val="bottom"/>
            <w:tcBorders>
              <w:bottom w:val="single" w:sz="8" w:color="auto"/>
            </w:tcBorders>
          </w:tcPr>
          <w:p>
            <w:pPr>
              <w:spacing w:after="0" w:line="20" w:lineRule="exact"/>
              <w:rPr>
                <w:sz w:val="1"/>
                <w:szCs w:val="1"/>
                <w:color w:val="auto"/>
              </w:rPr>
            </w:pPr>
          </w:p>
        </w:tc>
        <w:tc>
          <w:tcPr>
            <w:tcW w:w="1600" w:type="dxa"/>
            <w:vAlign w:val="bottom"/>
            <w:tcBorders>
              <w:bottom w:val="single" w:sz="8" w:color="auto"/>
            </w:tcBorders>
          </w:tcPr>
          <w:p>
            <w:pPr>
              <w:spacing w:after="0" w:line="20" w:lineRule="exact"/>
              <w:rPr>
                <w:sz w:val="1"/>
                <w:szCs w:val="1"/>
                <w:color w:val="auto"/>
              </w:rPr>
            </w:pPr>
          </w:p>
        </w:tc>
        <w:tc>
          <w:tcPr>
            <w:tcW w:w="1600" w:type="dxa"/>
            <w:vAlign w:val="bottom"/>
            <w:tcBorders>
              <w:bottom w:val="single" w:sz="8" w:color="auto"/>
            </w:tcBorders>
          </w:tcPr>
          <w:p>
            <w:pPr>
              <w:spacing w:after="0" w:line="20" w:lineRule="exact"/>
              <w:rPr>
                <w:sz w:val="1"/>
                <w:szCs w:val="1"/>
                <w:color w:val="auto"/>
              </w:rPr>
            </w:pPr>
          </w:p>
        </w:tc>
        <w:tc>
          <w:tcPr>
            <w:tcW w:w="1940" w:type="dxa"/>
            <w:vAlign w:val="bottom"/>
            <w:tcBorders>
              <w:bottom w:val="single" w:sz="8" w:color="auto"/>
            </w:tcBorders>
            <w:gridSpan w:val="2"/>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16"/>
        </w:trPr>
        <w:tc>
          <w:tcPr>
            <w:tcW w:w="20" w:type="dxa"/>
            <w:vAlign w:val="bottom"/>
          </w:tcPr>
          <w:p>
            <w:pPr>
              <w:spacing w:after="0"/>
              <w:rPr>
                <w:sz w:val="10"/>
                <w:szCs w:val="10"/>
                <w:color w:val="auto"/>
              </w:rPr>
            </w:pPr>
          </w:p>
        </w:tc>
        <w:tc>
          <w:tcPr>
            <w:tcW w:w="1640" w:type="dxa"/>
            <w:vAlign w:val="bottom"/>
          </w:tcPr>
          <w:p>
            <w:pPr>
              <w:spacing w:after="0"/>
              <w:rPr>
                <w:sz w:val="10"/>
                <w:szCs w:val="10"/>
                <w:color w:val="auto"/>
              </w:rPr>
            </w:pPr>
          </w:p>
        </w:tc>
        <w:tc>
          <w:tcPr>
            <w:tcW w:w="2000" w:type="dxa"/>
            <w:vAlign w:val="bottom"/>
            <w:vMerge w:val="restart"/>
          </w:tcPr>
          <w:p>
            <w:pPr>
              <w:jc w:val="center"/>
              <w:ind w:right="199"/>
              <w:spacing w:after="0"/>
              <w:rPr>
                <w:sz w:val="20"/>
                <w:szCs w:val="20"/>
                <w:color w:val="auto"/>
              </w:rPr>
            </w:pPr>
            <w:r>
              <w:rPr>
                <w:rFonts w:ascii="Arial" w:cs="Arial" w:eastAsia="Arial" w:hAnsi="Arial"/>
                <w:sz w:val="14"/>
                <w:szCs w:val="14"/>
                <w:b w:val="1"/>
                <w:bCs w:val="1"/>
                <w:color w:val="auto"/>
                <w:w w:val="93"/>
              </w:rPr>
              <w:t>Title of Each Class of</w:t>
            </w:r>
          </w:p>
        </w:tc>
        <w:tc>
          <w:tcPr>
            <w:tcW w:w="1400" w:type="dxa"/>
            <w:vAlign w:val="bottom"/>
            <w:tcBorders>
              <w:right w:val="single" w:sz="8" w:color="auto"/>
            </w:tcBorders>
          </w:tcPr>
          <w:p>
            <w:pPr>
              <w:spacing w:after="0"/>
              <w:rPr>
                <w:sz w:val="10"/>
                <w:szCs w:val="10"/>
                <w:color w:val="auto"/>
              </w:rPr>
            </w:pPr>
          </w:p>
        </w:tc>
        <w:tc>
          <w:tcPr>
            <w:tcW w:w="1600" w:type="dxa"/>
            <w:vAlign w:val="bottom"/>
            <w:tcBorders>
              <w:right w:val="single" w:sz="8" w:color="auto"/>
            </w:tcBorders>
            <w:vMerge w:val="restart"/>
          </w:tcPr>
          <w:p>
            <w:pPr>
              <w:jc w:val="center"/>
              <w:ind w:left="2"/>
              <w:spacing w:after="0"/>
              <w:rPr>
                <w:sz w:val="20"/>
                <w:szCs w:val="20"/>
                <w:color w:val="auto"/>
              </w:rPr>
            </w:pPr>
            <w:r>
              <w:rPr>
                <w:rFonts w:ascii="Arial" w:cs="Arial" w:eastAsia="Arial" w:hAnsi="Arial"/>
                <w:sz w:val="14"/>
                <w:szCs w:val="14"/>
                <w:b w:val="1"/>
                <w:bCs w:val="1"/>
                <w:color w:val="auto"/>
                <w:w w:val="93"/>
              </w:rPr>
              <w:t>Amount to be</w:t>
            </w:r>
          </w:p>
        </w:tc>
        <w:tc>
          <w:tcPr>
            <w:tcW w:w="1600" w:type="dxa"/>
            <w:vAlign w:val="bottom"/>
            <w:tcBorders>
              <w:right w:val="single" w:sz="8" w:color="auto"/>
            </w:tcBorders>
          </w:tcPr>
          <w:p>
            <w:pPr>
              <w:jc w:val="center"/>
              <w:ind w:left="5"/>
              <w:spacing w:after="0" w:line="116" w:lineRule="exact"/>
              <w:rPr>
                <w:sz w:val="20"/>
                <w:szCs w:val="20"/>
                <w:color w:val="auto"/>
              </w:rPr>
            </w:pPr>
            <w:r>
              <w:rPr>
                <w:rFonts w:ascii="Arial" w:cs="Arial" w:eastAsia="Arial" w:hAnsi="Arial"/>
                <w:sz w:val="13"/>
                <w:szCs w:val="13"/>
                <w:b w:val="1"/>
                <w:bCs w:val="1"/>
                <w:color w:val="auto"/>
              </w:rPr>
              <w:t>Proposed Maximum</w:t>
            </w:r>
          </w:p>
        </w:tc>
        <w:tc>
          <w:tcPr>
            <w:tcW w:w="1600" w:type="dxa"/>
            <w:vAlign w:val="bottom"/>
            <w:tcBorders>
              <w:right w:val="single" w:sz="8" w:color="auto"/>
            </w:tcBorders>
          </w:tcPr>
          <w:p>
            <w:pPr>
              <w:jc w:val="center"/>
              <w:spacing w:after="0" w:line="116" w:lineRule="exact"/>
              <w:rPr>
                <w:sz w:val="20"/>
                <w:szCs w:val="20"/>
                <w:color w:val="auto"/>
              </w:rPr>
            </w:pPr>
            <w:r>
              <w:rPr>
                <w:rFonts w:ascii="Arial" w:cs="Arial" w:eastAsia="Arial" w:hAnsi="Arial"/>
                <w:sz w:val="13"/>
                <w:szCs w:val="13"/>
                <w:b w:val="1"/>
                <w:bCs w:val="1"/>
                <w:color w:val="auto"/>
              </w:rPr>
              <w:t>Proposed Maximum</w:t>
            </w:r>
          </w:p>
        </w:tc>
        <w:tc>
          <w:tcPr>
            <w:tcW w:w="1560" w:type="dxa"/>
            <w:vAlign w:val="bottom"/>
            <w:gridSpan w:val="3"/>
            <w:vMerge w:val="restart"/>
          </w:tcPr>
          <w:p>
            <w:pPr>
              <w:jc w:val="center"/>
              <w:ind w:left="28"/>
              <w:spacing w:after="0"/>
              <w:rPr>
                <w:sz w:val="20"/>
                <w:szCs w:val="20"/>
                <w:color w:val="auto"/>
              </w:rPr>
            </w:pPr>
            <w:r>
              <w:rPr>
                <w:rFonts w:ascii="Arial" w:cs="Arial" w:eastAsia="Arial" w:hAnsi="Arial"/>
                <w:sz w:val="14"/>
                <w:szCs w:val="14"/>
                <w:b w:val="1"/>
                <w:bCs w:val="1"/>
                <w:color w:val="auto"/>
                <w:w w:val="93"/>
              </w:rPr>
              <w:t>Amount of Registration</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640" w:type="dxa"/>
            <w:vAlign w:val="bottom"/>
          </w:tcPr>
          <w:p>
            <w:pPr>
              <w:spacing w:after="0"/>
              <w:rPr>
                <w:sz w:val="12"/>
                <w:szCs w:val="12"/>
                <w:color w:val="auto"/>
              </w:rPr>
            </w:pPr>
          </w:p>
        </w:tc>
        <w:tc>
          <w:tcPr>
            <w:tcW w:w="2000" w:type="dxa"/>
            <w:vAlign w:val="bottom"/>
            <w:vMerge w:val="continue"/>
          </w:tcPr>
          <w:p>
            <w:pPr>
              <w:spacing w:after="0"/>
              <w:rPr>
                <w:sz w:val="12"/>
                <w:szCs w:val="12"/>
                <w:color w:val="auto"/>
              </w:rPr>
            </w:pPr>
          </w:p>
        </w:tc>
        <w:tc>
          <w:tcPr>
            <w:tcW w:w="1400" w:type="dxa"/>
            <w:vAlign w:val="bottom"/>
            <w:tcBorders>
              <w:right w:val="single" w:sz="8" w:color="auto"/>
            </w:tcBorders>
          </w:tcPr>
          <w:p>
            <w:pPr>
              <w:spacing w:after="0"/>
              <w:rPr>
                <w:sz w:val="12"/>
                <w:szCs w:val="12"/>
                <w:color w:val="auto"/>
              </w:rPr>
            </w:pPr>
          </w:p>
        </w:tc>
        <w:tc>
          <w:tcPr>
            <w:tcW w:w="1600" w:type="dxa"/>
            <w:vAlign w:val="bottom"/>
            <w:tcBorders>
              <w:right w:val="single" w:sz="8" w:color="auto"/>
            </w:tcBorders>
            <w:vMerge w:val="continue"/>
          </w:tcPr>
          <w:p>
            <w:pPr>
              <w:spacing w:after="0"/>
              <w:rPr>
                <w:sz w:val="12"/>
                <w:szCs w:val="12"/>
                <w:color w:val="auto"/>
              </w:rPr>
            </w:pPr>
          </w:p>
        </w:tc>
        <w:tc>
          <w:tcPr>
            <w:tcW w:w="1600" w:type="dxa"/>
            <w:vAlign w:val="bottom"/>
            <w:tcBorders>
              <w:right w:val="single" w:sz="8" w:color="auto"/>
            </w:tcBorders>
          </w:tcPr>
          <w:p>
            <w:pPr>
              <w:jc w:val="center"/>
              <w:ind w:left="5"/>
              <w:spacing w:after="0" w:line="149" w:lineRule="exact"/>
              <w:rPr>
                <w:sz w:val="20"/>
                <w:szCs w:val="20"/>
                <w:color w:val="auto"/>
              </w:rPr>
            </w:pPr>
            <w:r>
              <w:rPr>
                <w:rFonts w:ascii="Arial" w:cs="Arial" w:eastAsia="Arial" w:hAnsi="Arial"/>
                <w:sz w:val="14"/>
                <w:szCs w:val="14"/>
                <w:b w:val="1"/>
                <w:bCs w:val="1"/>
                <w:color w:val="auto"/>
                <w:w w:val="94"/>
              </w:rPr>
              <w:t>Offering Price</w:t>
            </w:r>
          </w:p>
        </w:tc>
        <w:tc>
          <w:tcPr>
            <w:tcW w:w="1600" w:type="dxa"/>
            <w:vAlign w:val="bottom"/>
            <w:tcBorders>
              <w:right w:val="single" w:sz="8" w:color="auto"/>
            </w:tcBorders>
          </w:tcPr>
          <w:p>
            <w:pPr>
              <w:jc w:val="center"/>
              <w:spacing w:after="0" w:line="149" w:lineRule="exact"/>
              <w:rPr>
                <w:sz w:val="20"/>
                <w:szCs w:val="20"/>
                <w:color w:val="auto"/>
              </w:rPr>
            </w:pPr>
            <w:r>
              <w:rPr>
                <w:rFonts w:ascii="Arial" w:cs="Arial" w:eastAsia="Arial" w:hAnsi="Arial"/>
                <w:sz w:val="14"/>
                <w:szCs w:val="14"/>
                <w:b w:val="1"/>
                <w:bCs w:val="1"/>
                <w:color w:val="auto"/>
                <w:w w:val="94"/>
              </w:rPr>
              <w:t>Aggregate Offering</w:t>
            </w:r>
          </w:p>
        </w:tc>
        <w:tc>
          <w:tcPr>
            <w:tcW w:w="1560" w:type="dxa"/>
            <w:vAlign w:val="bottom"/>
            <w:gridSpan w:val="3"/>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1640" w:type="dxa"/>
            <w:vAlign w:val="bottom"/>
            <w:tcBorders>
              <w:bottom w:val="single" w:sz="8" w:color="auto"/>
            </w:tcBorders>
          </w:tcPr>
          <w:p>
            <w:pPr>
              <w:spacing w:after="0"/>
              <w:rPr>
                <w:sz w:val="15"/>
                <w:szCs w:val="15"/>
                <w:color w:val="auto"/>
              </w:rPr>
            </w:pPr>
          </w:p>
        </w:tc>
        <w:tc>
          <w:tcPr>
            <w:tcW w:w="2000" w:type="dxa"/>
            <w:vAlign w:val="bottom"/>
            <w:tcBorders>
              <w:bottom w:val="single" w:sz="8" w:color="auto"/>
            </w:tcBorders>
          </w:tcPr>
          <w:p>
            <w:pPr>
              <w:jc w:val="center"/>
              <w:ind w:right="199"/>
              <w:spacing w:after="0"/>
              <w:rPr>
                <w:sz w:val="20"/>
                <w:szCs w:val="20"/>
                <w:color w:val="auto"/>
              </w:rPr>
            </w:pPr>
            <w:r>
              <w:rPr>
                <w:rFonts w:ascii="Arial" w:cs="Arial" w:eastAsia="Arial" w:hAnsi="Arial"/>
                <w:sz w:val="14"/>
                <w:szCs w:val="14"/>
                <w:b w:val="1"/>
                <w:bCs w:val="1"/>
                <w:color w:val="auto"/>
                <w:w w:val="90"/>
              </w:rPr>
              <w:t>Securities to be Registered</w:t>
            </w:r>
          </w:p>
        </w:tc>
        <w:tc>
          <w:tcPr>
            <w:tcW w:w="1400" w:type="dxa"/>
            <w:vAlign w:val="bottom"/>
            <w:tcBorders>
              <w:bottom w:val="single" w:sz="8" w:color="auto"/>
              <w:right w:val="single" w:sz="8" w:color="auto"/>
            </w:tcBorders>
          </w:tcPr>
          <w:p>
            <w:pPr>
              <w:spacing w:after="0"/>
              <w:rPr>
                <w:sz w:val="15"/>
                <w:szCs w:val="15"/>
                <w:color w:val="auto"/>
              </w:rPr>
            </w:pPr>
          </w:p>
        </w:tc>
        <w:tc>
          <w:tcPr>
            <w:tcW w:w="160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4"/>
                <w:szCs w:val="14"/>
                <w:b w:val="1"/>
                <w:bCs w:val="1"/>
                <w:color w:val="auto"/>
                <w:w w:val="91"/>
              </w:rPr>
              <w:t>Registered</w:t>
            </w:r>
          </w:p>
        </w:tc>
        <w:tc>
          <w:tcPr>
            <w:tcW w:w="1600" w:type="dxa"/>
            <w:vAlign w:val="bottom"/>
            <w:tcBorders>
              <w:bottom w:val="single" w:sz="8" w:color="auto"/>
              <w:right w:val="single" w:sz="8" w:color="auto"/>
            </w:tcBorders>
          </w:tcPr>
          <w:p>
            <w:pPr>
              <w:jc w:val="center"/>
              <w:ind w:left="5"/>
              <w:spacing w:after="0"/>
              <w:rPr>
                <w:sz w:val="20"/>
                <w:szCs w:val="20"/>
                <w:color w:val="auto"/>
              </w:rPr>
            </w:pPr>
            <w:r>
              <w:rPr>
                <w:rFonts w:ascii="Arial" w:cs="Arial" w:eastAsia="Arial" w:hAnsi="Arial"/>
                <w:sz w:val="14"/>
                <w:szCs w:val="14"/>
                <w:b w:val="1"/>
                <w:bCs w:val="1"/>
                <w:color w:val="auto"/>
                <w:w w:val="96"/>
              </w:rPr>
              <w:t>Per Unit</w:t>
            </w:r>
          </w:p>
        </w:tc>
        <w:tc>
          <w:tcPr>
            <w:tcW w:w="160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4"/>
                <w:szCs w:val="14"/>
                <w:b w:val="1"/>
                <w:bCs w:val="1"/>
                <w:color w:val="auto"/>
                <w:w w:val="93"/>
              </w:rPr>
              <w:t>Price</w:t>
            </w:r>
          </w:p>
        </w:tc>
        <w:tc>
          <w:tcPr>
            <w:tcW w:w="340" w:type="dxa"/>
            <w:vAlign w:val="bottom"/>
            <w:tcBorders>
              <w:bottom w:val="single" w:sz="8" w:color="auto"/>
            </w:tcBorders>
          </w:tcPr>
          <w:p>
            <w:pPr>
              <w:spacing w:after="0"/>
              <w:rPr>
                <w:sz w:val="15"/>
                <w:szCs w:val="15"/>
                <w:color w:val="auto"/>
              </w:rPr>
            </w:pPr>
          </w:p>
        </w:tc>
        <w:tc>
          <w:tcPr>
            <w:tcW w:w="9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0"/>
              </w:rPr>
              <w:t>Fee</w:t>
            </w:r>
          </w:p>
        </w:tc>
        <w:tc>
          <w:tcPr>
            <w:tcW w:w="260" w:type="dxa"/>
            <w:vAlign w:val="bottom"/>
            <w:tcBorders>
              <w:bottom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10"/>
        </w:trPr>
        <w:tc>
          <w:tcPr>
            <w:tcW w:w="20" w:type="dxa"/>
            <w:vAlign w:val="bottom"/>
            <w:tcBorders>
              <w:bottom w:val="single" w:sz="8" w:color="auto"/>
            </w:tcBorders>
          </w:tcPr>
          <w:p>
            <w:pPr>
              <w:spacing w:after="0"/>
              <w:rPr>
                <w:sz w:val="18"/>
                <w:szCs w:val="18"/>
                <w:color w:val="auto"/>
              </w:rPr>
            </w:pPr>
          </w:p>
        </w:tc>
        <w:tc>
          <w:tcPr>
            <w:tcW w:w="364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auto"/>
              </w:rPr>
              <w:t>Common Shares (without par value)</w:t>
            </w:r>
          </w:p>
        </w:tc>
        <w:tc>
          <w:tcPr>
            <w:tcW w:w="1400" w:type="dxa"/>
            <w:vAlign w:val="bottom"/>
            <w:tcBorders>
              <w:bottom w:val="single" w:sz="8" w:color="auto"/>
              <w:right w:val="single" w:sz="8" w:color="auto"/>
            </w:tcBorders>
          </w:tcPr>
          <w:p>
            <w:pPr>
              <w:spacing w:after="0"/>
              <w:rPr>
                <w:sz w:val="18"/>
                <w:szCs w:val="18"/>
                <w:color w:val="auto"/>
              </w:rPr>
            </w:pPr>
          </w:p>
        </w:tc>
        <w:tc>
          <w:tcPr>
            <w:tcW w:w="160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1"/>
              </w:rPr>
              <w:t xml:space="preserve">650,000 </w:t>
            </w:r>
            <w:r>
              <w:rPr>
                <w:rFonts w:ascii="Arial" w:cs="Arial" w:eastAsia="Arial" w:hAnsi="Arial"/>
                <w:sz w:val="15"/>
                <w:szCs w:val="15"/>
                <w:color w:val="auto"/>
                <w:w w:val="91"/>
              </w:rPr>
              <w:t>(1)(2)</w:t>
            </w:r>
          </w:p>
        </w:tc>
        <w:tc>
          <w:tcPr>
            <w:tcW w:w="1600" w:type="dxa"/>
            <w:vAlign w:val="bottom"/>
            <w:tcBorders>
              <w:bottom w:val="single" w:sz="8" w:color="auto"/>
              <w:right w:val="single" w:sz="8" w:color="auto"/>
            </w:tcBorders>
          </w:tcPr>
          <w:p>
            <w:pPr>
              <w:jc w:val="center"/>
              <w:ind w:left="5"/>
              <w:spacing w:after="0"/>
              <w:rPr>
                <w:sz w:val="20"/>
                <w:szCs w:val="20"/>
                <w:color w:val="auto"/>
              </w:rPr>
            </w:pPr>
            <w:r>
              <w:rPr>
                <w:rFonts w:ascii="Arial" w:cs="Arial" w:eastAsia="Arial" w:hAnsi="Arial"/>
                <w:sz w:val="18"/>
                <w:szCs w:val="18"/>
                <w:color w:val="auto"/>
                <w:w w:val="92"/>
              </w:rPr>
              <w:t>$18.04</w:t>
            </w:r>
            <w:r>
              <w:rPr>
                <w:rFonts w:ascii="Arial" w:cs="Arial" w:eastAsia="Arial" w:hAnsi="Arial"/>
                <w:sz w:val="15"/>
                <w:szCs w:val="15"/>
                <w:color w:val="auto"/>
                <w:w w:val="92"/>
              </w:rPr>
              <w:t>(3)</w:t>
            </w:r>
          </w:p>
        </w:tc>
        <w:tc>
          <w:tcPr>
            <w:tcW w:w="160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1"/>
              </w:rPr>
              <w:t>$11,726,000</w:t>
            </w:r>
            <w:r>
              <w:rPr>
                <w:rFonts w:ascii="Arial" w:cs="Arial" w:eastAsia="Arial" w:hAnsi="Arial"/>
                <w:sz w:val="15"/>
                <w:szCs w:val="15"/>
                <w:color w:val="auto"/>
                <w:w w:val="91"/>
              </w:rPr>
              <w:t>(3)</w:t>
            </w:r>
          </w:p>
        </w:tc>
        <w:tc>
          <w:tcPr>
            <w:tcW w:w="340" w:type="dxa"/>
            <w:vAlign w:val="bottom"/>
            <w:tcBorders>
              <w:bottom w:val="single" w:sz="8" w:color="auto"/>
            </w:tcBorders>
          </w:tcPr>
          <w:p>
            <w:pPr>
              <w:spacing w:after="0"/>
              <w:rPr>
                <w:sz w:val="18"/>
                <w:szCs w:val="18"/>
                <w:color w:val="auto"/>
              </w:rPr>
            </w:pPr>
          </w:p>
        </w:tc>
        <w:tc>
          <w:tcPr>
            <w:tcW w:w="96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89"/>
              </w:rPr>
              <w:t>$1,510.31</w:t>
            </w:r>
          </w:p>
        </w:tc>
        <w:tc>
          <w:tcPr>
            <w:tcW w:w="260" w:type="dxa"/>
            <w:vAlign w:val="bottom"/>
            <w:tcBorders>
              <w:bottom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640" w:type="dxa"/>
            <w:vAlign w:val="bottom"/>
            <w:tcBorders>
              <w:bottom w:val="single" w:sz="8" w:color="auto"/>
            </w:tcBorders>
          </w:tcPr>
          <w:p>
            <w:pPr>
              <w:spacing w:after="0" w:line="20" w:lineRule="exact"/>
              <w:rPr>
                <w:sz w:val="1"/>
                <w:szCs w:val="1"/>
                <w:color w:val="auto"/>
              </w:rPr>
            </w:pPr>
          </w:p>
        </w:tc>
        <w:tc>
          <w:tcPr>
            <w:tcW w:w="2000" w:type="dxa"/>
            <w:vAlign w:val="bottom"/>
            <w:tcBorders>
              <w:bottom w:val="single" w:sz="8" w:color="auto"/>
            </w:tcBorders>
          </w:tcPr>
          <w:p>
            <w:pPr>
              <w:spacing w:after="0" w:line="20" w:lineRule="exact"/>
              <w:rPr>
                <w:sz w:val="1"/>
                <w:szCs w:val="1"/>
                <w:color w:val="auto"/>
              </w:rPr>
            </w:pPr>
          </w:p>
        </w:tc>
        <w:tc>
          <w:tcPr>
            <w:tcW w:w="1400" w:type="dxa"/>
            <w:vAlign w:val="bottom"/>
            <w:tcBorders>
              <w:bottom w:val="single" w:sz="8" w:color="auto"/>
            </w:tcBorders>
          </w:tcPr>
          <w:p>
            <w:pPr>
              <w:spacing w:after="0" w:line="20" w:lineRule="exact"/>
              <w:rPr>
                <w:sz w:val="1"/>
                <w:szCs w:val="1"/>
                <w:color w:val="auto"/>
              </w:rPr>
            </w:pPr>
          </w:p>
        </w:tc>
        <w:tc>
          <w:tcPr>
            <w:tcW w:w="1600" w:type="dxa"/>
            <w:vAlign w:val="bottom"/>
            <w:tcBorders>
              <w:bottom w:val="single" w:sz="8" w:color="auto"/>
            </w:tcBorders>
          </w:tcPr>
          <w:p>
            <w:pPr>
              <w:spacing w:after="0" w:line="20" w:lineRule="exact"/>
              <w:rPr>
                <w:sz w:val="1"/>
                <w:szCs w:val="1"/>
                <w:color w:val="auto"/>
              </w:rPr>
            </w:pPr>
          </w:p>
        </w:tc>
        <w:tc>
          <w:tcPr>
            <w:tcW w:w="1600" w:type="dxa"/>
            <w:vAlign w:val="bottom"/>
            <w:tcBorders>
              <w:bottom w:val="single" w:sz="8" w:color="auto"/>
            </w:tcBorders>
          </w:tcPr>
          <w:p>
            <w:pPr>
              <w:spacing w:after="0" w:line="20" w:lineRule="exact"/>
              <w:rPr>
                <w:sz w:val="1"/>
                <w:szCs w:val="1"/>
                <w:color w:val="auto"/>
              </w:rPr>
            </w:pPr>
          </w:p>
        </w:tc>
        <w:tc>
          <w:tcPr>
            <w:tcW w:w="1600" w:type="dxa"/>
            <w:vAlign w:val="bottom"/>
            <w:tcBorders>
              <w:bottom w:val="single" w:sz="8" w:color="auto"/>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ind w:left="460" w:right="100" w:hanging="452"/>
        <w:spacing w:after="0" w:line="258" w:lineRule="auto"/>
        <w:tabs>
          <w:tab w:leader="none" w:pos="460" w:val="left"/>
        </w:tabs>
        <w:numPr>
          <w:ilvl w:val="0"/>
          <w:numId w:val="2"/>
        </w:numPr>
        <w:rPr>
          <w:rFonts w:ascii="Arial" w:cs="Arial" w:eastAsia="Arial" w:hAnsi="Arial"/>
          <w:sz w:val="18"/>
          <w:szCs w:val="18"/>
          <w:color w:val="auto"/>
        </w:rPr>
      </w:pPr>
      <w:r>
        <w:rPr>
          <w:rFonts w:ascii="Arial" w:cs="Arial" w:eastAsia="Arial" w:hAnsi="Arial"/>
          <w:sz w:val="18"/>
          <w:szCs w:val="18"/>
          <w:color w:val="auto"/>
        </w:rPr>
        <w:t>Represents the maximum number of common shares, without par value, of TimkenSteel Corporation issuable pursuant to the TimkenSteel Corporation 2014 Equity and Incentive Compensation Plan being registered hereon.</w:t>
      </w:r>
    </w:p>
    <w:p>
      <w:pPr>
        <w:ind w:left="460" w:right="700" w:hanging="452"/>
        <w:spacing w:after="0" w:line="250" w:lineRule="auto"/>
        <w:tabs>
          <w:tab w:leader="none" w:pos="460" w:val="left"/>
        </w:tabs>
        <w:numPr>
          <w:ilvl w:val="0"/>
          <w:numId w:val="2"/>
        </w:numPr>
        <w:rPr>
          <w:rFonts w:ascii="Arial" w:cs="Arial" w:eastAsia="Arial" w:hAnsi="Arial"/>
          <w:sz w:val="18"/>
          <w:szCs w:val="18"/>
          <w:color w:val="auto"/>
        </w:rPr>
      </w:pPr>
      <w:r>
        <w:rPr>
          <w:rFonts w:ascii="Arial" w:cs="Arial" w:eastAsia="Arial" w:hAnsi="Arial"/>
          <w:sz w:val="18"/>
          <w:szCs w:val="18"/>
          <w:color w:val="auto"/>
        </w:rPr>
        <w:t>Pursuant to Rule 416 of the Securities Act of 1933, as amended, or the Securities Act, this Registration Statement also covers such additional TimkenSteel common shares as may become issuable pursuant to the anti-dilution provisions of the TimkenSteel Corporation 2014 Equity and Incentive Compensation Plan.</w:t>
      </w:r>
    </w:p>
    <w:p>
      <w:pPr>
        <w:spacing w:after="0" w:line="1" w:lineRule="exact"/>
        <w:rPr>
          <w:rFonts w:ascii="Arial" w:cs="Arial" w:eastAsia="Arial" w:hAnsi="Arial"/>
          <w:sz w:val="18"/>
          <w:szCs w:val="18"/>
          <w:color w:val="auto"/>
        </w:rPr>
      </w:pPr>
    </w:p>
    <w:p>
      <w:pPr>
        <w:ind w:left="460" w:right="120" w:hanging="452"/>
        <w:spacing w:after="0" w:line="261" w:lineRule="auto"/>
        <w:tabs>
          <w:tab w:leader="none" w:pos="460" w:val="left"/>
        </w:tabs>
        <w:numPr>
          <w:ilvl w:val="0"/>
          <w:numId w:val="2"/>
        </w:numPr>
        <w:rPr>
          <w:rFonts w:ascii="Arial" w:cs="Arial" w:eastAsia="Arial" w:hAnsi="Arial"/>
          <w:sz w:val="18"/>
          <w:szCs w:val="18"/>
          <w:color w:val="auto"/>
        </w:rPr>
      </w:pPr>
      <w:r>
        <w:rPr>
          <w:rFonts w:ascii="Arial" w:cs="Arial" w:eastAsia="Arial" w:hAnsi="Arial"/>
          <w:sz w:val="18"/>
          <w:szCs w:val="18"/>
          <w:color w:val="auto"/>
        </w:rPr>
        <w:t>Estimated solely for purposes of calculating the registration fee and, pursuant to Rule 457(h) under the Securities Act, based upon the book value as of March 31, 2014 of TimkenSteel’s common shares, the latest practicable date.</w:t>
      </w:r>
    </w:p>
    <w:p>
      <w:pPr>
        <w:spacing w:after="0" w:line="180" w:lineRule="exact"/>
        <w:rPr>
          <w:sz w:val="20"/>
          <w:szCs w:val="20"/>
          <w:color w:val="auto"/>
        </w:rPr>
      </w:pPr>
    </w:p>
    <w:p>
      <w:pPr>
        <w:ind w:right="100" w:firstLine="456"/>
        <w:spacing w:after="0" w:line="261" w:lineRule="auto"/>
        <w:rPr>
          <w:sz w:val="20"/>
          <w:szCs w:val="20"/>
          <w:color w:val="auto"/>
        </w:rPr>
      </w:pPr>
      <w:r>
        <w:rPr>
          <w:rFonts w:ascii="Arial" w:cs="Arial" w:eastAsia="Arial" w:hAnsi="Arial"/>
          <w:sz w:val="18"/>
          <w:szCs w:val="18"/>
          <w:b w:val="1"/>
          <w:bCs w:val="1"/>
          <w:color w:val="auto"/>
        </w:rPr>
        <w:t>The registrant hereby amends this registration statement on such date or dates as may be necessary to delay its effective date until the registrant shall file a further amendment that specifically states that this registration statement shall thereafter become effective in accordance with Section 8(a) of the Securities Act of 1933, or until the registration statement shall become effective on such date as the Securities and Exchange Commission, acting pursuant to said Section 8(a), may determine.</w:t>
      </w:r>
    </w:p>
    <w:p>
      <w:pPr>
        <w:sectPr>
          <w:pgSz w:w="11900" w:h="16838" w:orient="portrait"/>
          <w:cols w:equalWidth="0" w:num="1">
            <w:col w:w="11420"/>
          </w:cols>
          <w:pgMar w:left="240" w:top="121" w:right="239" w:bottom="1440" w:gutter="0" w:footer="0" w:header="0"/>
        </w:sectPr>
      </w:pPr>
    </w:p>
    <w:bookmarkStart w:id="2" w:name="page3"/>
    <w:bookmarkEnd w:id="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spacing w:after="0" w:line="266" w:lineRule="auto"/>
        <w:rPr>
          <w:sz w:val="20"/>
          <w:szCs w:val="20"/>
          <w:color w:val="auto"/>
        </w:rPr>
      </w:pPr>
      <w:r>
        <w:rPr>
          <w:rFonts w:ascii="Arial" w:cs="Arial" w:eastAsia="Arial" w:hAnsi="Arial"/>
          <w:sz w:val="18"/>
          <w:szCs w:val="18"/>
          <w:b w:val="1"/>
          <w:bCs w:val="1"/>
          <w:color w:val="DE1A1E"/>
        </w:rPr>
        <w:t>The information in this prospectus is not complete and may be changed. These securities may not be sold until the registration statement filed with the Securities and Exchange Commission is effective. This prospectus is not an offer to sell these securities and it is not soliciting an offer to buy these securities in any state where the offer or sale is not permitted.</w:t>
      </w:r>
    </w:p>
    <w:p>
      <w:pPr>
        <w:spacing w:after="0" w:line="10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DE1A1E"/>
        </w:rPr>
        <w:t>Preliminary and Subject to Completion, dated May 27, 2014</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Prospectus</w:t>
      </w:r>
    </w:p>
    <w:p>
      <w:pPr>
        <w:spacing w:after="0" w:line="349" w:lineRule="exact"/>
        <w:rPr>
          <w:sz w:val="20"/>
          <w:szCs w:val="20"/>
          <w:color w:val="auto"/>
        </w:rPr>
      </w:pPr>
    </w:p>
    <w:p>
      <w:pPr>
        <w:jc w:val="center"/>
        <w:spacing w:after="0"/>
        <w:rPr>
          <w:sz w:val="20"/>
          <w:szCs w:val="20"/>
          <w:color w:val="auto"/>
        </w:rPr>
      </w:pPr>
      <w:r>
        <w:rPr>
          <w:rFonts w:ascii="Arial" w:cs="Arial" w:eastAsia="Arial" w:hAnsi="Arial"/>
          <w:sz w:val="43"/>
          <w:szCs w:val="43"/>
          <w:b w:val="1"/>
          <w:bCs w:val="1"/>
          <w:color w:val="auto"/>
        </w:rPr>
        <w:t>TimkenSteel Corporation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1831975</wp:posOffset>
            </wp:positionH>
            <wp:positionV relativeFrom="paragraph">
              <wp:posOffset>262255</wp:posOffset>
            </wp:positionV>
            <wp:extent cx="3601720" cy="45466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3601720" cy="45466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jc w:val="center"/>
        <w:spacing w:after="0"/>
        <w:rPr>
          <w:sz w:val="20"/>
          <w:szCs w:val="20"/>
          <w:color w:val="auto"/>
        </w:rPr>
      </w:pPr>
      <w:r>
        <w:rPr>
          <w:rFonts w:ascii="Arial" w:cs="Arial" w:eastAsia="Arial" w:hAnsi="Arial"/>
          <w:sz w:val="32"/>
          <w:szCs w:val="32"/>
          <w:b w:val="1"/>
          <w:bCs w:val="1"/>
          <w:color w:val="auto"/>
        </w:rPr>
        <w:t>TimkenSteel Corporation</w:t>
      </w:r>
    </w:p>
    <w:p>
      <w:pPr>
        <w:spacing w:after="0" w:line="33" w:lineRule="exact"/>
        <w:rPr>
          <w:sz w:val="20"/>
          <w:szCs w:val="20"/>
          <w:color w:val="auto"/>
        </w:rPr>
      </w:pPr>
    </w:p>
    <w:p>
      <w:pPr>
        <w:jc w:val="center"/>
        <w:spacing w:after="0"/>
        <w:rPr>
          <w:sz w:val="20"/>
          <w:szCs w:val="20"/>
          <w:color w:val="auto"/>
        </w:rPr>
      </w:pPr>
      <w:r>
        <w:rPr>
          <w:rFonts w:ascii="Arial" w:cs="Arial" w:eastAsia="Arial" w:hAnsi="Arial"/>
          <w:sz w:val="32"/>
          <w:szCs w:val="32"/>
          <w:b w:val="1"/>
          <w:bCs w:val="1"/>
          <w:color w:val="auto"/>
        </w:rPr>
        <w:t>2014 Equity and Incentive Compensation Plan</w:t>
      </w:r>
    </w:p>
    <w:p>
      <w:pPr>
        <w:spacing w:after="0" w:line="177" w:lineRule="exact"/>
        <w:rPr>
          <w:sz w:val="20"/>
          <w:szCs w:val="20"/>
          <w:color w:val="auto"/>
        </w:rPr>
      </w:pPr>
    </w:p>
    <w:p>
      <w:pPr>
        <w:jc w:val="center"/>
        <w:spacing w:after="0"/>
        <w:rPr>
          <w:sz w:val="20"/>
          <w:szCs w:val="20"/>
          <w:color w:val="auto"/>
        </w:rPr>
      </w:pPr>
      <w:r>
        <w:rPr>
          <w:rFonts w:ascii="Arial" w:cs="Arial" w:eastAsia="Arial" w:hAnsi="Arial"/>
          <w:sz w:val="32"/>
          <w:szCs w:val="32"/>
          <w:b w:val="1"/>
          <w:bCs w:val="1"/>
          <w:color w:val="auto"/>
        </w:rPr>
        <w:t>Common Shares</w:t>
      </w:r>
    </w:p>
    <w:p>
      <w:pPr>
        <w:spacing w:after="0" w:line="33" w:lineRule="exact"/>
        <w:rPr>
          <w:sz w:val="20"/>
          <w:szCs w:val="20"/>
          <w:color w:val="auto"/>
        </w:rPr>
      </w:pPr>
    </w:p>
    <w:p>
      <w:pPr>
        <w:jc w:val="center"/>
        <w:spacing w:after="0"/>
        <w:rPr>
          <w:sz w:val="20"/>
          <w:szCs w:val="20"/>
          <w:color w:val="auto"/>
        </w:rPr>
      </w:pPr>
      <w:r>
        <w:rPr>
          <w:rFonts w:ascii="Arial" w:cs="Arial" w:eastAsia="Arial" w:hAnsi="Arial"/>
          <w:sz w:val="32"/>
          <w:szCs w:val="32"/>
          <w:b w:val="1"/>
          <w:bCs w:val="1"/>
          <w:color w:val="auto"/>
        </w:rPr>
        <w:t>(without par value)</w:t>
      </w:r>
    </w:p>
    <w:p>
      <w:pPr>
        <w:spacing w:after="0" w:line="136" w:lineRule="exact"/>
        <w:rPr>
          <w:sz w:val="20"/>
          <w:szCs w:val="20"/>
          <w:color w:val="auto"/>
        </w:rPr>
      </w:pPr>
    </w:p>
    <w:p>
      <w:pPr>
        <w:ind w:right="60" w:firstLine="799"/>
        <w:spacing w:after="0" w:line="257" w:lineRule="auto"/>
        <w:rPr>
          <w:sz w:val="20"/>
          <w:szCs w:val="20"/>
          <w:color w:val="auto"/>
        </w:rPr>
      </w:pPr>
      <w:r>
        <w:rPr>
          <w:rFonts w:ascii="Arial" w:cs="Arial" w:eastAsia="Arial" w:hAnsi="Arial"/>
          <w:sz w:val="18"/>
          <w:szCs w:val="18"/>
          <w:color w:val="auto"/>
        </w:rPr>
        <w:t>The 650,000 common shares covered by this prospectus may be acquired by participants in the TimkenSteel Corporation 2014 Equity and Incentive Compensation Plan, which we refer to as the 2014 Plan, upon the exercise of certain options to purchase our common shares and upon vesting of certain restricted shares, performance shares, restricted stock units and deferred share awards (collectively, “awards”) issued pursuant to the 2014 Plan. All awards are subject to the terms of the 2014 Plan and the applicable award agreement. Any proceeds received by us from the exercise of stock options covered by the 2014 Plan will be used for general corporate purposes.</w:t>
      </w:r>
    </w:p>
    <w:p>
      <w:pPr>
        <w:spacing w:after="0" w:line="215" w:lineRule="exact"/>
        <w:rPr>
          <w:sz w:val="20"/>
          <w:szCs w:val="20"/>
          <w:color w:val="auto"/>
        </w:rPr>
      </w:pPr>
    </w:p>
    <w:p>
      <w:pPr>
        <w:ind w:right="60" w:firstLine="799"/>
        <w:spacing w:after="0" w:line="277" w:lineRule="auto"/>
        <w:rPr>
          <w:sz w:val="20"/>
          <w:szCs w:val="20"/>
          <w:color w:val="auto"/>
        </w:rPr>
      </w:pPr>
      <w:r>
        <w:rPr>
          <w:rFonts w:ascii="Arial" w:cs="Arial" w:eastAsia="Arial" w:hAnsi="Arial"/>
          <w:sz w:val="18"/>
          <w:szCs w:val="18"/>
          <w:color w:val="auto"/>
        </w:rPr>
        <w:t>We are currently a subsidiary of The Timken Company, which has determined to spin off our company through a distribution to its shareholders of 100% of the outstanding TimkenSteel common shares.</w:t>
      </w:r>
    </w:p>
    <w:p>
      <w:pPr>
        <w:spacing w:after="0" w:line="211" w:lineRule="exact"/>
        <w:rPr>
          <w:sz w:val="20"/>
          <w:szCs w:val="20"/>
          <w:color w:val="auto"/>
        </w:rPr>
      </w:pPr>
    </w:p>
    <w:p>
      <w:pPr>
        <w:ind w:right="380" w:firstLine="799"/>
        <w:spacing w:after="0" w:line="259" w:lineRule="auto"/>
        <w:rPr>
          <w:sz w:val="20"/>
          <w:szCs w:val="20"/>
          <w:color w:val="auto"/>
        </w:rPr>
      </w:pPr>
      <w:r>
        <w:rPr>
          <w:rFonts w:ascii="Arial" w:cs="Arial" w:eastAsia="Arial" w:hAnsi="Arial"/>
          <w:sz w:val="18"/>
          <w:szCs w:val="18"/>
          <w:color w:val="auto"/>
        </w:rPr>
        <w:t>There is no current trading market for TimkenSteel common shares. However, we expect that a limited market, commonly known as a “when-issued” trading market, for TimkenSteel common shares will begin prior to the distribution date relating to the spinoff on or about June 19, 2014, and we expect that “regular way” trading of TimkenSteel common shares will begin the first day of trading after the distribution date. We have applied to list TimkenSteel common shares on the New York Stock Exchange under the symbol “TMST.”</w:t>
      </w:r>
    </w:p>
    <w:p>
      <w:pPr>
        <w:spacing w:after="0" w:line="214" w:lineRule="exact"/>
        <w:rPr>
          <w:sz w:val="20"/>
          <w:szCs w:val="20"/>
          <w:color w:val="auto"/>
        </w:rPr>
      </w:pPr>
    </w:p>
    <w:p>
      <w:pPr>
        <w:ind w:right="40" w:firstLine="799"/>
        <w:spacing w:after="0" w:line="256" w:lineRule="auto"/>
        <w:rPr>
          <w:rFonts w:ascii="Arial" w:cs="Arial" w:eastAsia="Arial" w:hAnsi="Arial"/>
          <w:sz w:val="22"/>
          <w:szCs w:val="22"/>
          <w:b w:val="1"/>
          <w:bCs w:val="1"/>
          <w:color w:val="auto"/>
        </w:rPr>
      </w:pPr>
      <w:r>
        <w:rPr>
          <w:rFonts w:ascii="Arial" w:cs="Arial" w:eastAsia="Arial" w:hAnsi="Arial"/>
          <w:sz w:val="22"/>
          <w:szCs w:val="22"/>
          <w:b w:val="1"/>
          <w:bCs w:val="1"/>
          <w:color w:val="auto"/>
        </w:rPr>
        <w:t>In reviewing this prospectus, you should carefully consider the matters described under the caption “</w:t>
      </w:r>
      <w:hyperlink w:anchor="page14">
        <w:r>
          <w:rPr>
            <w:rFonts w:ascii="Arial" w:cs="Arial" w:eastAsia="Arial" w:hAnsi="Arial"/>
            <w:sz w:val="22"/>
            <w:szCs w:val="22"/>
            <w:b w:val="1"/>
            <w:bCs w:val="1"/>
            <w:u w:val="single" w:color="auto"/>
            <w:color w:val="0000EE"/>
          </w:rPr>
          <w:t>Risk Factors</w:t>
        </w:r>
      </w:hyperlink>
      <w:r>
        <w:rPr>
          <w:rFonts w:ascii="Arial" w:cs="Arial" w:eastAsia="Arial" w:hAnsi="Arial"/>
          <w:sz w:val="22"/>
          <w:szCs w:val="22"/>
          <w:b w:val="1"/>
          <w:bCs w:val="1"/>
          <w:color w:val="auto"/>
        </w:rPr>
        <w:t>” beginning on page 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2869565</wp:posOffset>
            </wp:positionH>
            <wp:positionV relativeFrom="paragraph">
              <wp:posOffset>240665</wp:posOffset>
            </wp:positionV>
            <wp:extent cx="1517650"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11" w:lineRule="exact"/>
        <w:rPr>
          <w:sz w:val="20"/>
          <w:szCs w:val="20"/>
          <w:color w:val="auto"/>
        </w:rPr>
      </w:pPr>
    </w:p>
    <w:p>
      <w:pPr>
        <w:ind w:right="360" w:firstLine="799"/>
        <w:spacing w:after="0" w:line="347" w:lineRule="auto"/>
        <w:rPr>
          <w:sz w:val="20"/>
          <w:szCs w:val="20"/>
          <w:color w:val="auto"/>
        </w:rPr>
      </w:pPr>
      <w:r>
        <w:rPr>
          <w:rFonts w:ascii="Arial" w:cs="Arial" w:eastAsia="Arial" w:hAnsi="Arial"/>
          <w:sz w:val="16"/>
          <w:szCs w:val="16"/>
          <w:b w:val="1"/>
          <w:bCs w:val="1"/>
          <w:color w:val="auto"/>
        </w:rPr>
        <w:t>Neither the Securities and Exchange Commission, or the SEC, nor any state securities commission has approved or disapproved these securities or determined if this prospectus is truthful or complete. Any representation to the contrary is a criminal offense.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2869565</wp:posOffset>
            </wp:positionH>
            <wp:positionV relativeFrom="paragraph">
              <wp:posOffset>205740</wp:posOffset>
            </wp:positionV>
            <wp:extent cx="1517650" cy="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0"/>
          <w:szCs w:val="20"/>
          <w:color w:val="auto"/>
        </w:rPr>
      </w:pPr>
    </w:p>
    <w:p>
      <w:pPr>
        <w:spacing w:after="0" w:line="355" w:lineRule="exact"/>
        <w:rPr>
          <w:sz w:val="20"/>
          <w:szCs w:val="20"/>
          <w:color w:val="auto"/>
        </w:rPr>
      </w:pPr>
    </w:p>
    <w:tbl>
      <w:tblPr>
        <w:tblLayout w:type="fixed"/>
        <w:tblInd w:w="3900" w:type="dxa"/>
        <w:tblCellMar>
          <w:top w:w="0" w:type="dxa"/>
          <w:left w:w="0" w:type="dxa"/>
          <w:bottom w:w="0" w:type="dxa"/>
          <w:right w:w="0" w:type="dxa"/>
        </w:tblCellMar>
      </w:tblPr>
      <w:tr>
        <w:trPr>
          <w:trHeight w:val="234"/>
        </w:trPr>
        <w:tc>
          <w:tcPr>
            <w:tcW w:w="2700" w:type="dxa"/>
            <w:vAlign w:val="bottom"/>
          </w:tcPr>
          <w:p>
            <w:pPr>
              <w:spacing w:after="0"/>
              <w:rPr>
                <w:sz w:val="20"/>
                <w:szCs w:val="20"/>
                <w:color w:val="auto"/>
              </w:rPr>
            </w:pPr>
            <w:r>
              <w:rPr>
                <w:rFonts w:ascii="Arial" w:cs="Arial" w:eastAsia="Arial" w:hAnsi="Arial"/>
                <w:sz w:val="18"/>
                <w:szCs w:val="18"/>
                <w:b w:val="1"/>
                <w:bCs w:val="1"/>
                <w:color w:val="auto"/>
              </w:rPr>
              <w:t>The date of this prospectus is</w:t>
            </w:r>
          </w:p>
        </w:tc>
        <w:tc>
          <w:tcPr>
            <w:tcW w:w="920" w:type="dxa"/>
            <w:vAlign w:val="bottom"/>
          </w:tcPr>
          <w:p>
            <w:pPr>
              <w:jc w:val="right"/>
              <w:spacing w:after="0"/>
              <w:rPr>
                <w:sz w:val="20"/>
                <w:szCs w:val="20"/>
                <w:color w:val="auto"/>
              </w:rPr>
            </w:pPr>
            <w:r>
              <w:rPr>
                <w:rFonts w:ascii="Arial" w:cs="Arial" w:eastAsia="Arial" w:hAnsi="Arial"/>
                <w:sz w:val="18"/>
                <w:szCs w:val="18"/>
                <w:b w:val="1"/>
                <w:bCs w:val="1"/>
                <w:color w:val="auto"/>
              </w:rPr>
              <w:t>, 2014</w:t>
            </w:r>
          </w:p>
        </w:tc>
      </w:tr>
    </w:tbl>
    <w:p>
      <w:pPr>
        <w:sectPr>
          <w:pgSz w:w="11900" w:h="16838" w:orient="portrait"/>
          <w:cols w:equalWidth="0" w:num="1">
            <w:col w:w="11420"/>
          </w:cols>
          <w:pgMar w:left="240" w:top="459" w:right="239" w:bottom="1440" w:gutter="0" w:footer="0" w:header="0"/>
        </w:sectPr>
      </w:pPr>
    </w:p>
    <w:bookmarkStart w:id="3" w:name="page4"/>
    <w:bookmarkEnd w:id="3"/>
    <w:p>
      <w:pPr>
        <w:spacing w:after="0" w:line="1"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p>
    <w:tbl>
      <w:tblPr>
        <w:tblLayout w:type="fixed"/>
        <w:tblInd w:w="0" w:type="dxa"/>
        <w:tblCellMar>
          <w:top w:w="0" w:type="dxa"/>
          <w:left w:w="0" w:type="dxa"/>
          <w:bottom w:w="0" w:type="dxa"/>
          <w:right w:w="0" w:type="dxa"/>
        </w:tblCellMar>
      </w:tblPr>
      <w:tr>
        <w:trPr>
          <w:trHeight w:val="207"/>
        </w:trPr>
        <w:tc>
          <w:tcPr>
            <w:tcW w:w="10500" w:type="dxa"/>
            <w:vAlign w:val="bottom"/>
            <w:gridSpan w:val="22"/>
          </w:tcPr>
          <w:p>
            <w:pPr>
              <w:spacing w:after="0"/>
              <w:rPr>
                <w:rFonts w:ascii="Arial" w:cs="Arial" w:eastAsia="Arial" w:hAnsi="Arial"/>
                <w:sz w:val="18"/>
                <w:szCs w:val="18"/>
                <w:b w:val="1"/>
                <w:bCs w:val="1"/>
                <w:color w:val="0000EE"/>
              </w:rPr>
            </w:pPr>
            <w:hyperlink w:anchor="page4">
              <w:r>
                <w:rPr>
                  <w:rFonts w:ascii="Arial" w:cs="Arial" w:eastAsia="Arial" w:hAnsi="Arial"/>
                  <w:sz w:val="18"/>
                  <w:szCs w:val="18"/>
                  <w:b w:val="1"/>
                  <w:bCs w:val="1"/>
                  <w:color w:val="0000EE"/>
                </w:rPr>
                <w:t>Table of Contents</w:t>
              </w:r>
            </w:hyperlink>
          </w:p>
        </w:tc>
        <w:tc>
          <w:tcPr>
            <w:tcW w:w="38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360" w:type="dxa"/>
            <w:vAlign w:val="bottom"/>
          </w:tcPr>
          <w:p>
            <w:pPr>
              <w:spacing w:after="0"/>
              <w:rPr>
                <w:sz w:val="17"/>
                <w:szCs w:val="17"/>
                <w:color w:val="auto"/>
              </w:rPr>
            </w:pPr>
          </w:p>
        </w:tc>
      </w:tr>
      <w:tr>
        <w:trPr>
          <w:trHeight w:val="534"/>
        </w:trPr>
        <w:tc>
          <w:tcPr>
            <w:tcW w:w="780" w:type="dxa"/>
            <w:vAlign w:val="bottom"/>
            <w:tcBorders>
              <w:top w:val="single" w:sz="8" w:color="0000EE"/>
            </w:tcBorders>
          </w:tcPr>
          <w:p>
            <w:pPr>
              <w:spacing w:after="0"/>
              <w:rPr>
                <w:sz w:val="24"/>
                <w:szCs w:val="24"/>
                <w:color w:val="auto"/>
              </w:rPr>
            </w:pPr>
          </w:p>
        </w:tc>
        <w:tc>
          <w:tcPr>
            <w:tcW w:w="80" w:type="dxa"/>
            <w:vAlign w:val="bottom"/>
            <w:tcBorders>
              <w:top w:val="single" w:sz="8" w:color="0000EE"/>
            </w:tcBorders>
          </w:tcPr>
          <w:p>
            <w:pPr>
              <w:spacing w:after="0"/>
              <w:rPr>
                <w:sz w:val="24"/>
                <w:szCs w:val="24"/>
                <w:color w:val="auto"/>
              </w:rPr>
            </w:pPr>
          </w:p>
        </w:tc>
        <w:tc>
          <w:tcPr>
            <w:tcW w:w="260" w:type="dxa"/>
            <w:vAlign w:val="bottom"/>
            <w:tcBorders>
              <w:top w:val="single" w:sz="8" w:color="0000EE"/>
            </w:tcBorders>
          </w:tcPr>
          <w:p>
            <w:pPr>
              <w:spacing w:after="0"/>
              <w:rPr>
                <w:sz w:val="24"/>
                <w:szCs w:val="24"/>
                <w:color w:val="auto"/>
              </w:rPr>
            </w:pPr>
          </w:p>
        </w:tc>
        <w:tc>
          <w:tcPr>
            <w:tcW w:w="140" w:type="dxa"/>
            <w:vAlign w:val="bottom"/>
            <w:tcBorders>
              <w:top w:val="single" w:sz="8" w:color="0000EE"/>
            </w:tcBorders>
          </w:tcPr>
          <w:p>
            <w:pPr>
              <w:spacing w:after="0"/>
              <w:rPr>
                <w:sz w:val="24"/>
                <w:szCs w:val="24"/>
                <w:color w:val="auto"/>
              </w:rPr>
            </w:pPr>
          </w:p>
        </w:tc>
        <w:tc>
          <w:tcPr>
            <w:tcW w:w="20" w:type="dxa"/>
            <w:vAlign w:val="bottom"/>
            <w:tcBorders>
              <w:top w:val="single" w:sz="8" w:color="0000EE"/>
            </w:tcBorders>
          </w:tcPr>
          <w:p>
            <w:pPr>
              <w:spacing w:after="0"/>
              <w:rPr>
                <w:sz w:val="24"/>
                <w:szCs w:val="24"/>
                <w:color w:val="auto"/>
              </w:rPr>
            </w:pPr>
          </w:p>
        </w:tc>
        <w:tc>
          <w:tcPr>
            <w:tcW w:w="80" w:type="dxa"/>
            <w:vAlign w:val="bottom"/>
            <w:tcBorders>
              <w:top w:val="single" w:sz="8" w:color="0000EE"/>
            </w:tcBorders>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6680" w:type="dxa"/>
            <w:vAlign w:val="bottom"/>
            <w:gridSpan w:val="9"/>
          </w:tcPr>
          <w:p>
            <w:pPr>
              <w:jc w:val="center"/>
              <w:ind w:right="2880"/>
              <w:spacing w:after="0"/>
              <w:rPr>
                <w:sz w:val="20"/>
                <w:szCs w:val="20"/>
                <w:color w:val="auto"/>
              </w:rPr>
            </w:pPr>
            <w:r>
              <w:rPr>
                <w:rFonts w:ascii="Arial" w:cs="Arial" w:eastAsia="Arial" w:hAnsi="Arial"/>
                <w:sz w:val="18"/>
                <w:szCs w:val="18"/>
                <w:b w:val="1"/>
                <w:bCs w:val="1"/>
                <w:color w:val="auto"/>
                <w:w w:val="98"/>
              </w:rPr>
              <w:t>TABLE OF CONTENTS</w:t>
            </w:r>
          </w:p>
        </w:tc>
        <w:tc>
          <w:tcPr>
            <w:tcW w:w="3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60" w:type="dxa"/>
            <w:vAlign w:val="bottom"/>
          </w:tcPr>
          <w:p>
            <w:pPr>
              <w:spacing w:after="0"/>
              <w:rPr>
                <w:sz w:val="24"/>
                <w:szCs w:val="24"/>
                <w:color w:val="auto"/>
              </w:rPr>
            </w:pPr>
          </w:p>
        </w:tc>
      </w:tr>
      <w:tr>
        <w:trPr>
          <w:trHeight w:val="459"/>
        </w:trPr>
        <w:tc>
          <w:tcPr>
            <w:tcW w:w="7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180" w:type="dxa"/>
            <w:vAlign w:val="bottom"/>
          </w:tcPr>
          <w:p>
            <w:pPr>
              <w:spacing w:after="0"/>
              <w:rPr>
                <w:sz w:val="24"/>
                <w:szCs w:val="24"/>
                <w:color w:val="auto"/>
              </w:rPr>
            </w:pPr>
          </w:p>
        </w:tc>
        <w:tc>
          <w:tcPr>
            <w:tcW w:w="1580" w:type="dxa"/>
            <w:vAlign w:val="bottom"/>
          </w:tcPr>
          <w:p>
            <w:pPr>
              <w:spacing w:after="0"/>
              <w:rPr>
                <w:sz w:val="24"/>
                <w:szCs w:val="24"/>
                <w:color w:val="auto"/>
              </w:rPr>
            </w:pPr>
          </w:p>
        </w:tc>
        <w:tc>
          <w:tcPr>
            <w:tcW w:w="920" w:type="dxa"/>
            <w:vAlign w:val="bottom"/>
            <w:tcBorders>
              <w:bottom w:val="single" w:sz="8" w:color="auto"/>
            </w:tcBorders>
            <w:gridSpan w:val="5"/>
          </w:tcPr>
          <w:p>
            <w:pPr>
              <w:ind w:left="280"/>
              <w:spacing w:after="0"/>
              <w:rPr>
                <w:sz w:val="20"/>
                <w:szCs w:val="20"/>
                <w:color w:val="auto"/>
              </w:rPr>
            </w:pPr>
            <w:r>
              <w:rPr>
                <w:rFonts w:ascii="Arial" w:cs="Arial" w:eastAsia="Arial" w:hAnsi="Arial"/>
                <w:sz w:val="18"/>
                <w:szCs w:val="18"/>
                <w:b w:val="1"/>
                <w:bCs w:val="1"/>
                <w:color w:val="auto"/>
              </w:rPr>
              <w:t>Page</w:t>
            </w:r>
          </w:p>
        </w:tc>
      </w:tr>
      <w:tr>
        <w:trPr>
          <w:trHeight w:val="412"/>
        </w:trPr>
        <w:tc>
          <w:tcPr>
            <w:tcW w:w="2060" w:type="dxa"/>
            <w:vAlign w:val="bottom"/>
            <w:gridSpan w:val="9"/>
          </w:tcPr>
          <w:p>
            <w:pPr>
              <w:spacing w:after="0"/>
              <w:rPr>
                <w:rFonts w:ascii="Arial" w:cs="Arial" w:eastAsia="Arial" w:hAnsi="Arial"/>
                <w:sz w:val="18"/>
                <w:szCs w:val="18"/>
                <w:color w:val="0000EE"/>
                <w:w w:val="91"/>
              </w:rPr>
            </w:pPr>
            <w:hyperlink w:anchor="page6">
              <w:r>
                <w:rPr>
                  <w:rFonts w:ascii="Arial" w:cs="Arial" w:eastAsia="Arial" w:hAnsi="Arial"/>
                  <w:sz w:val="18"/>
                  <w:szCs w:val="18"/>
                  <w:color w:val="0000EE"/>
                  <w:w w:val="91"/>
                </w:rPr>
                <w:t>PROSPECTUS SUMMARY</w:t>
              </w:r>
            </w:hyperlink>
          </w:p>
        </w:tc>
        <w:tc>
          <w:tcPr>
            <w:tcW w:w="8440" w:type="dxa"/>
            <w:vAlign w:val="bottom"/>
            <w:gridSpan w:val="13"/>
          </w:tcPr>
          <w:p>
            <w:pPr>
              <w:spacing w:after="0"/>
              <w:rPr>
                <w:sz w:val="24"/>
                <w:szCs w:val="24"/>
                <w:color w:val="auto"/>
              </w:rPr>
            </w:pPr>
          </w:p>
        </w:tc>
        <w:tc>
          <w:tcPr>
            <w:tcW w:w="560" w:type="dxa"/>
            <w:vAlign w:val="bottom"/>
            <w:gridSpan w:val="4"/>
          </w:tcPr>
          <w:p>
            <w:pPr>
              <w:jc w:val="center"/>
              <w:ind w:left="270"/>
              <w:spacing w:after="0"/>
              <w:rPr>
                <w:sz w:val="20"/>
                <w:szCs w:val="20"/>
                <w:color w:val="auto"/>
              </w:rPr>
            </w:pPr>
            <w:r>
              <w:rPr>
                <w:rFonts w:ascii="Arial" w:cs="Arial" w:eastAsia="Arial" w:hAnsi="Arial"/>
                <w:sz w:val="18"/>
                <w:szCs w:val="18"/>
                <w:color w:val="0000FF"/>
                <w:w w:val="79"/>
              </w:rPr>
              <w:t>1</w:t>
            </w:r>
          </w:p>
        </w:tc>
        <w:tc>
          <w:tcPr>
            <w:tcW w:w="360" w:type="dxa"/>
            <w:vAlign w:val="bottom"/>
          </w:tcPr>
          <w:p>
            <w:pPr>
              <w:spacing w:after="0"/>
              <w:rPr>
                <w:sz w:val="24"/>
                <w:szCs w:val="24"/>
                <w:color w:val="auto"/>
              </w:rPr>
            </w:pPr>
          </w:p>
        </w:tc>
      </w:tr>
      <w:tr>
        <w:trPr>
          <w:trHeight w:val="20"/>
        </w:trPr>
        <w:tc>
          <w:tcPr>
            <w:tcW w:w="78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80" w:type="dxa"/>
            <w:vAlign w:val="bottom"/>
            <w:tcBorders>
              <w:left w:val="single" w:sz="8" w:color="0000EE"/>
            </w:tcBorders>
            <w:gridSpan w:val="2"/>
            <w:shd w:val="clear" w:color="auto" w:fill="0000EE"/>
          </w:tcPr>
          <w:p>
            <w:pPr>
              <w:spacing w:after="0" w:line="20" w:lineRule="exact"/>
              <w:rPr>
                <w:sz w:val="1"/>
                <w:szCs w:val="1"/>
                <w:color w:val="auto"/>
              </w:rPr>
            </w:pPr>
          </w:p>
        </w:tc>
        <w:tc>
          <w:tcPr>
            <w:tcW w:w="120" w:type="dxa"/>
            <w:vAlign w:val="bottom"/>
            <w:tcBorders>
              <w:left w:val="single" w:sz="8" w:color="0000EE"/>
            </w:tcBorders>
            <w:shd w:val="clear" w:color="auto" w:fill="0000EE"/>
          </w:tcPr>
          <w:p>
            <w:pPr>
              <w:spacing w:after="0" w:line="20" w:lineRule="exact"/>
              <w:rPr>
                <w:sz w:val="1"/>
                <w:szCs w:val="1"/>
                <w:color w:val="auto"/>
              </w:rPr>
            </w:pPr>
          </w:p>
        </w:tc>
        <w:tc>
          <w:tcPr>
            <w:tcW w:w="480" w:type="dxa"/>
            <w:vAlign w:val="bottom"/>
            <w:tcBorders>
              <w:left w:val="single" w:sz="8" w:color="0000EE"/>
            </w:tcBorders>
            <w:shd w:val="clear" w:color="auto" w:fill="0000EE"/>
          </w:tcPr>
          <w:p>
            <w:pPr>
              <w:spacing w:after="0" w:line="20" w:lineRule="exact"/>
              <w:rPr>
                <w:sz w:val="1"/>
                <w:szCs w:val="1"/>
                <w:color w:val="auto"/>
              </w:rPr>
            </w:pPr>
          </w:p>
        </w:tc>
        <w:tc>
          <w:tcPr>
            <w:tcW w:w="400" w:type="dxa"/>
            <w:vAlign w:val="bottom"/>
            <w:tcBorders>
              <w:left w:val="single" w:sz="8" w:color="0000EE"/>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180" w:type="dxa"/>
            <w:vAlign w:val="bottom"/>
          </w:tcPr>
          <w:p>
            <w:pPr>
              <w:spacing w:after="0" w:line="20" w:lineRule="exact"/>
              <w:rPr>
                <w:sz w:val="1"/>
                <w:szCs w:val="1"/>
                <w:color w:val="auto"/>
              </w:rPr>
            </w:pPr>
          </w:p>
        </w:tc>
        <w:tc>
          <w:tcPr>
            <w:tcW w:w="158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r>
      <w:tr>
        <w:trPr>
          <w:trHeight w:val="453"/>
        </w:trPr>
        <w:tc>
          <w:tcPr>
            <w:tcW w:w="1280" w:type="dxa"/>
            <w:vAlign w:val="bottom"/>
            <w:gridSpan w:val="5"/>
          </w:tcPr>
          <w:p>
            <w:pPr>
              <w:spacing w:after="0"/>
              <w:rPr>
                <w:rFonts w:ascii="Arial" w:cs="Arial" w:eastAsia="Arial" w:hAnsi="Arial"/>
                <w:sz w:val="18"/>
                <w:szCs w:val="18"/>
                <w:color w:val="0000EE"/>
                <w:w w:val="92"/>
              </w:rPr>
            </w:pPr>
            <w:hyperlink w:anchor="page13">
              <w:r>
                <w:rPr>
                  <w:rFonts w:ascii="Arial" w:cs="Arial" w:eastAsia="Arial" w:hAnsi="Arial"/>
                  <w:sz w:val="18"/>
                  <w:szCs w:val="18"/>
                  <w:color w:val="0000EE"/>
                  <w:w w:val="92"/>
                </w:rPr>
                <w:t>THE OFFERING</w:t>
              </w:r>
            </w:hyperlink>
          </w:p>
        </w:tc>
        <w:tc>
          <w:tcPr>
            <w:tcW w:w="780" w:type="dxa"/>
            <w:vAlign w:val="bottom"/>
            <w:gridSpan w:val="4"/>
          </w:tcPr>
          <w:p>
            <w:pPr>
              <w:spacing w:after="0"/>
              <w:rPr>
                <w:sz w:val="24"/>
                <w:szCs w:val="24"/>
                <w:color w:val="auto"/>
              </w:rPr>
            </w:pPr>
          </w:p>
        </w:tc>
        <w:tc>
          <w:tcPr>
            <w:tcW w:w="8440" w:type="dxa"/>
            <w:vAlign w:val="bottom"/>
            <w:gridSpan w:val="13"/>
          </w:tcPr>
          <w:p>
            <w:pPr>
              <w:spacing w:after="0"/>
              <w:rPr>
                <w:sz w:val="24"/>
                <w:szCs w:val="24"/>
                <w:color w:val="auto"/>
              </w:rPr>
            </w:pPr>
          </w:p>
        </w:tc>
        <w:tc>
          <w:tcPr>
            <w:tcW w:w="560" w:type="dxa"/>
            <w:vAlign w:val="bottom"/>
            <w:gridSpan w:val="4"/>
          </w:tcPr>
          <w:p>
            <w:pPr>
              <w:jc w:val="center"/>
              <w:ind w:left="270"/>
              <w:spacing w:after="0"/>
              <w:rPr>
                <w:sz w:val="20"/>
                <w:szCs w:val="20"/>
                <w:color w:val="auto"/>
              </w:rPr>
            </w:pPr>
            <w:r>
              <w:rPr>
                <w:rFonts w:ascii="Arial" w:cs="Arial" w:eastAsia="Arial" w:hAnsi="Arial"/>
                <w:sz w:val="18"/>
                <w:szCs w:val="18"/>
                <w:color w:val="0000FF"/>
                <w:w w:val="79"/>
              </w:rPr>
              <w:t>7</w:t>
            </w:r>
          </w:p>
        </w:tc>
        <w:tc>
          <w:tcPr>
            <w:tcW w:w="360" w:type="dxa"/>
            <w:vAlign w:val="bottom"/>
          </w:tcPr>
          <w:p>
            <w:pPr>
              <w:spacing w:after="0"/>
              <w:rPr>
                <w:sz w:val="24"/>
                <w:szCs w:val="24"/>
                <w:color w:val="auto"/>
              </w:rPr>
            </w:pPr>
          </w:p>
        </w:tc>
      </w:tr>
      <w:tr>
        <w:trPr>
          <w:trHeight w:val="20"/>
        </w:trPr>
        <w:tc>
          <w:tcPr>
            <w:tcW w:w="78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80" w:type="dxa"/>
            <w:vAlign w:val="bottom"/>
            <w:tcBorders>
              <w:left w:val="single" w:sz="8" w:color="0000EE"/>
            </w:tcBorders>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180" w:type="dxa"/>
            <w:vAlign w:val="bottom"/>
          </w:tcPr>
          <w:p>
            <w:pPr>
              <w:spacing w:after="0" w:line="20" w:lineRule="exact"/>
              <w:rPr>
                <w:sz w:val="1"/>
                <w:szCs w:val="1"/>
                <w:color w:val="auto"/>
              </w:rPr>
            </w:pPr>
          </w:p>
        </w:tc>
        <w:tc>
          <w:tcPr>
            <w:tcW w:w="158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r>
      <w:tr>
        <w:trPr>
          <w:trHeight w:val="453"/>
        </w:trPr>
        <w:tc>
          <w:tcPr>
            <w:tcW w:w="1260" w:type="dxa"/>
            <w:vAlign w:val="bottom"/>
            <w:gridSpan w:val="4"/>
          </w:tcPr>
          <w:p>
            <w:pPr>
              <w:spacing w:after="0"/>
              <w:rPr>
                <w:rFonts w:ascii="Arial" w:cs="Arial" w:eastAsia="Arial" w:hAnsi="Arial"/>
                <w:sz w:val="18"/>
                <w:szCs w:val="18"/>
                <w:color w:val="0000EE"/>
                <w:w w:val="93"/>
              </w:rPr>
            </w:pPr>
            <w:hyperlink w:anchor="page14">
              <w:r>
                <w:rPr>
                  <w:rFonts w:ascii="Arial" w:cs="Arial" w:eastAsia="Arial" w:hAnsi="Arial"/>
                  <w:sz w:val="18"/>
                  <w:szCs w:val="18"/>
                  <w:color w:val="0000EE"/>
                  <w:w w:val="93"/>
                </w:rPr>
                <w:t>RISK FACTORS</w:t>
              </w:r>
            </w:hyperlink>
          </w:p>
        </w:tc>
        <w:tc>
          <w:tcPr>
            <w:tcW w:w="20" w:type="dxa"/>
            <w:vAlign w:val="bottom"/>
          </w:tcPr>
          <w:p>
            <w:pPr>
              <w:spacing w:after="0"/>
              <w:rPr>
                <w:sz w:val="24"/>
                <w:szCs w:val="24"/>
                <w:color w:val="auto"/>
              </w:rPr>
            </w:pPr>
          </w:p>
        </w:tc>
        <w:tc>
          <w:tcPr>
            <w:tcW w:w="9220" w:type="dxa"/>
            <w:vAlign w:val="bottom"/>
            <w:gridSpan w:val="17"/>
          </w:tcPr>
          <w:p>
            <w:pPr>
              <w:spacing w:after="0"/>
              <w:rPr>
                <w:sz w:val="24"/>
                <w:szCs w:val="24"/>
                <w:color w:val="auto"/>
              </w:rPr>
            </w:pPr>
          </w:p>
        </w:tc>
        <w:tc>
          <w:tcPr>
            <w:tcW w:w="560" w:type="dxa"/>
            <w:vAlign w:val="bottom"/>
            <w:gridSpan w:val="4"/>
          </w:tcPr>
          <w:p>
            <w:pPr>
              <w:jc w:val="center"/>
              <w:ind w:left="270"/>
              <w:spacing w:after="0"/>
              <w:rPr>
                <w:sz w:val="20"/>
                <w:szCs w:val="20"/>
                <w:color w:val="auto"/>
              </w:rPr>
            </w:pPr>
            <w:r>
              <w:rPr>
                <w:rFonts w:ascii="Arial" w:cs="Arial" w:eastAsia="Arial" w:hAnsi="Arial"/>
                <w:sz w:val="18"/>
                <w:szCs w:val="18"/>
                <w:color w:val="0000FF"/>
                <w:w w:val="79"/>
              </w:rPr>
              <w:t>8</w:t>
            </w:r>
          </w:p>
        </w:tc>
        <w:tc>
          <w:tcPr>
            <w:tcW w:w="360" w:type="dxa"/>
            <w:vAlign w:val="bottom"/>
          </w:tcPr>
          <w:p>
            <w:pPr>
              <w:spacing w:after="0"/>
              <w:rPr>
                <w:sz w:val="24"/>
                <w:szCs w:val="24"/>
                <w:color w:val="auto"/>
              </w:rPr>
            </w:pPr>
          </w:p>
        </w:tc>
      </w:tr>
      <w:tr>
        <w:trPr>
          <w:trHeight w:val="20"/>
        </w:trPr>
        <w:tc>
          <w:tcPr>
            <w:tcW w:w="78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180" w:type="dxa"/>
            <w:vAlign w:val="bottom"/>
          </w:tcPr>
          <w:p>
            <w:pPr>
              <w:spacing w:after="0" w:line="20" w:lineRule="exact"/>
              <w:rPr>
                <w:sz w:val="1"/>
                <w:szCs w:val="1"/>
                <w:color w:val="auto"/>
              </w:rPr>
            </w:pPr>
          </w:p>
        </w:tc>
        <w:tc>
          <w:tcPr>
            <w:tcW w:w="158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r>
      <w:tr>
        <w:trPr>
          <w:trHeight w:val="453"/>
        </w:trPr>
        <w:tc>
          <w:tcPr>
            <w:tcW w:w="10500" w:type="dxa"/>
            <w:vAlign w:val="bottom"/>
            <w:gridSpan w:val="22"/>
          </w:tcPr>
          <w:p>
            <w:pPr>
              <w:spacing w:after="0"/>
              <w:rPr>
                <w:rFonts w:ascii="Arial" w:cs="Arial" w:eastAsia="Arial" w:hAnsi="Arial"/>
                <w:sz w:val="18"/>
                <w:szCs w:val="18"/>
                <w:color w:val="0000EE"/>
              </w:rPr>
            </w:pPr>
            <w:hyperlink w:anchor="page26">
              <w:r>
                <w:rPr>
                  <w:rFonts w:ascii="Arial" w:cs="Arial" w:eastAsia="Arial" w:hAnsi="Arial"/>
                  <w:sz w:val="18"/>
                  <w:szCs w:val="18"/>
                  <w:color w:val="0000EE"/>
                </w:rPr>
                <w:t>CAUTIONARY STATEMENT CONCERNING FORWARD-LOOKING STATEMENTS</w:t>
              </w:r>
            </w:hyperlink>
          </w:p>
        </w:tc>
        <w:tc>
          <w:tcPr>
            <w:tcW w:w="560" w:type="dxa"/>
            <w:vAlign w:val="bottom"/>
            <w:gridSpan w:val="4"/>
          </w:tcPr>
          <w:p>
            <w:pPr>
              <w:jc w:val="center"/>
              <w:ind w:left="290"/>
              <w:spacing w:after="0"/>
              <w:rPr>
                <w:sz w:val="20"/>
                <w:szCs w:val="20"/>
                <w:color w:val="auto"/>
              </w:rPr>
            </w:pPr>
            <w:r>
              <w:rPr>
                <w:rFonts w:ascii="Arial" w:cs="Arial" w:eastAsia="Arial" w:hAnsi="Arial"/>
                <w:sz w:val="18"/>
                <w:szCs w:val="18"/>
                <w:color w:val="0000FF"/>
                <w:w w:val="89"/>
              </w:rPr>
              <w:t>18</w:t>
            </w:r>
          </w:p>
        </w:tc>
        <w:tc>
          <w:tcPr>
            <w:tcW w:w="360" w:type="dxa"/>
            <w:vAlign w:val="bottom"/>
          </w:tcPr>
          <w:p>
            <w:pPr>
              <w:spacing w:after="0"/>
              <w:rPr>
                <w:sz w:val="24"/>
                <w:szCs w:val="24"/>
                <w:color w:val="auto"/>
              </w:rPr>
            </w:pPr>
          </w:p>
        </w:tc>
      </w:tr>
      <w:tr>
        <w:trPr>
          <w:trHeight w:val="20"/>
        </w:trPr>
        <w:tc>
          <w:tcPr>
            <w:tcW w:w="78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160" w:type="dxa"/>
            <w:vAlign w:val="bottom"/>
            <w:gridSpan w:val="2"/>
            <w:shd w:val="clear" w:color="auto" w:fill="0000EE"/>
          </w:tcPr>
          <w:p>
            <w:pPr>
              <w:spacing w:after="0" w:line="20" w:lineRule="exact"/>
              <w:rPr>
                <w:sz w:val="1"/>
                <w:szCs w:val="1"/>
                <w:color w:val="auto"/>
              </w:rPr>
            </w:pPr>
          </w:p>
        </w:tc>
        <w:tc>
          <w:tcPr>
            <w:tcW w:w="180" w:type="dxa"/>
            <w:vAlign w:val="bottom"/>
            <w:tcBorders>
              <w:left w:val="single" w:sz="8" w:color="0000EE"/>
            </w:tcBorders>
            <w:gridSpan w:val="2"/>
            <w:shd w:val="clear" w:color="auto" w:fill="0000EE"/>
          </w:tcPr>
          <w:p>
            <w:pPr>
              <w:spacing w:after="0" w:line="20" w:lineRule="exact"/>
              <w:rPr>
                <w:sz w:val="1"/>
                <w:szCs w:val="1"/>
                <w:color w:val="auto"/>
              </w:rPr>
            </w:pPr>
          </w:p>
        </w:tc>
        <w:tc>
          <w:tcPr>
            <w:tcW w:w="120" w:type="dxa"/>
            <w:vAlign w:val="bottom"/>
            <w:tcBorders>
              <w:left w:val="single" w:sz="8" w:color="0000EE"/>
            </w:tcBorders>
            <w:shd w:val="clear" w:color="auto" w:fill="0000EE"/>
          </w:tcPr>
          <w:p>
            <w:pPr>
              <w:spacing w:after="0" w:line="20" w:lineRule="exact"/>
              <w:rPr>
                <w:sz w:val="1"/>
                <w:szCs w:val="1"/>
                <w:color w:val="auto"/>
              </w:rPr>
            </w:pPr>
          </w:p>
        </w:tc>
        <w:tc>
          <w:tcPr>
            <w:tcW w:w="480" w:type="dxa"/>
            <w:vAlign w:val="bottom"/>
            <w:tcBorders>
              <w:left w:val="single" w:sz="8" w:color="0000EE"/>
            </w:tcBorders>
            <w:shd w:val="clear" w:color="auto" w:fill="0000EE"/>
          </w:tcPr>
          <w:p>
            <w:pPr>
              <w:spacing w:after="0" w:line="20" w:lineRule="exact"/>
              <w:rPr>
                <w:sz w:val="1"/>
                <w:szCs w:val="1"/>
                <w:color w:val="auto"/>
              </w:rPr>
            </w:pPr>
          </w:p>
        </w:tc>
        <w:tc>
          <w:tcPr>
            <w:tcW w:w="400" w:type="dxa"/>
            <w:vAlign w:val="bottom"/>
            <w:tcBorders>
              <w:left w:val="single" w:sz="8" w:color="0000EE"/>
            </w:tcBorders>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580" w:type="dxa"/>
            <w:vAlign w:val="bottom"/>
            <w:shd w:val="clear" w:color="auto" w:fill="0000EE"/>
          </w:tcPr>
          <w:p>
            <w:pPr>
              <w:spacing w:after="0" w:line="20" w:lineRule="exact"/>
              <w:rPr>
                <w:sz w:val="1"/>
                <w:szCs w:val="1"/>
                <w:color w:val="auto"/>
              </w:rPr>
            </w:pPr>
          </w:p>
        </w:tc>
        <w:tc>
          <w:tcPr>
            <w:tcW w:w="360" w:type="dxa"/>
            <w:vAlign w:val="bottom"/>
            <w:shd w:val="clear" w:color="auto" w:fill="0000EE"/>
          </w:tcPr>
          <w:p>
            <w:pPr>
              <w:spacing w:after="0" w:line="20" w:lineRule="exact"/>
              <w:rPr>
                <w:sz w:val="1"/>
                <w:szCs w:val="1"/>
                <w:color w:val="auto"/>
              </w:rPr>
            </w:pPr>
          </w:p>
        </w:tc>
        <w:tc>
          <w:tcPr>
            <w:tcW w:w="940" w:type="dxa"/>
            <w:vAlign w:val="bottom"/>
            <w:tcBorders>
              <w:left w:val="single" w:sz="8" w:color="0000EE"/>
            </w:tcBorders>
            <w:shd w:val="clear" w:color="auto" w:fill="0000EE"/>
          </w:tcPr>
          <w:p>
            <w:pPr>
              <w:spacing w:after="0" w:line="20" w:lineRule="exact"/>
              <w:rPr>
                <w:sz w:val="1"/>
                <w:szCs w:val="1"/>
                <w:color w:val="auto"/>
              </w:rPr>
            </w:pPr>
          </w:p>
        </w:tc>
        <w:tc>
          <w:tcPr>
            <w:tcW w:w="120" w:type="dxa"/>
            <w:vAlign w:val="bottom"/>
            <w:tcBorders>
              <w:left w:val="single" w:sz="8" w:color="0000EE"/>
            </w:tcBorders>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1060" w:type="dxa"/>
            <w:vAlign w:val="bottom"/>
            <w:shd w:val="clear" w:color="auto" w:fill="0000EE"/>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180" w:type="dxa"/>
            <w:vAlign w:val="bottom"/>
          </w:tcPr>
          <w:p>
            <w:pPr>
              <w:spacing w:after="0" w:line="20" w:lineRule="exact"/>
              <w:rPr>
                <w:sz w:val="1"/>
                <w:szCs w:val="1"/>
                <w:color w:val="auto"/>
              </w:rPr>
            </w:pPr>
          </w:p>
        </w:tc>
        <w:tc>
          <w:tcPr>
            <w:tcW w:w="158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80" w:type="dxa"/>
            <w:vAlign w:val="bottom"/>
            <w:gridSpan w:val="3"/>
            <w:shd w:val="clear" w:color="auto" w:fill="0000FF"/>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r>
      <w:tr>
        <w:trPr>
          <w:trHeight w:val="453"/>
        </w:trPr>
        <w:tc>
          <w:tcPr>
            <w:tcW w:w="1580" w:type="dxa"/>
            <w:vAlign w:val="bottom"/>
            <w:gridSpan w:val="8"/>
          </w:tcPr>
          <w:p>
            <w:pPr>
              <w:spacing w:after="0"/>
              <w:rPr>
                <w:rFonts w:ascii="Arial" w:cs="Arial" w:eastAsia="Arial" w:hAnsi="Arial"/>
                <w:sz w:val="18"/>
                <w:szCs w:val="18"/>
                <w:color w:val="0000EE"/>
                <w:w w:val="88"/>
              </w:rPr>
            </w:pPr>
            <w:hyperlink w:anchor="page27">
              <w:r>
                <w:rPr>
                  <w:rFonts w:ascii="Arial" w:cs="Arial" w:eastAsia="Arial" w:hAnsi="Arial"/>
                  <w:sz w:val="18"/>
                  <w:szCs w:val="18"/>
                  <w:color w:val="0000EE"/>
                  <w:w w:val="88"/>
                </w:rPr>
                <w:t>USE OF PROCEEDS</w:t>
              </w:r>
            </w:hyperlink>
          </w:p>
        </w:tc>
        <w:tc>
          <w:tcPr>
            <w:tcW w:w="4880" w:type="dxa"/>
            <w:vAlign w:val="bottom"/>
            <w:gridSpan w:val="11"/>
          </w:tcPr>
          <w:p>
            <w:pPr>
              <w:spacing w:after="0"/>
              <w:rPr>
                <w:sz w:val="24"/>
                <w:szCs w:val="24"/>
                <w:color w:val="auto"/>
              </w:rPr>
            </w:pPr>
          </w:p>
        </w:tc>
        <w:tc>
          <w:tcPr>
            <w:tcW w:w="4040" w:type="dxa"/>
            <w:vAlign w:val="bottom"/>
            <w:gridSpan w:val="3"/>
          </w:tcPr>
          <w:p>
            <w:pPr>
              <w:spacing w:after="0"/>
              <w:rPr>
                <w:sz w:val="24"/>
                <w:szCs w:val="24"/>
                <w:color w:val="auto"/>
              </w:rPr>
            </w:pPr>
          </w:p>
        </w:tc>
        <w:tc>
          <w:tcPr>
            <w:tcW w:w="560" w:type="dxa"/>
            <w:vAlign w:val="bottom"/>
            <w:gridSpan w:val="4"/>
          </w:tcPr>
          <w:p>
            <w:pPr>
              <w:jc w:val="center"/>
              <w:ind w:left="290"/>
              <w:spacing w:after="0"/>
              <w:rPr>
                <w:sz w:val="20"/>
                <w:szCs w:val="20"/>
                <w:color w:val="auto"/>
              </w:rPr>
            </w:pPr>
            <w:r>
              <w:rPr>
                <w:rFonts w:ascii="Arial" w:cs="Arial" w:eastAsia="Arial" w:hAnsi="Arial"/>
                <w:sz w:val="18"/>
                <w:szCs w:val="18"/>
                <w:color w:val="0000FF"/>
                <w:w w:val="89"/>
              </w:rPr>
              <w:t>19</w:t>
            </w:r>
          </w:p>
        </w:tc>
        <w:tc>
          <w:tcPr>
            <w:tcW w:w="360" w:type="dxa"/>
            <w:vAlign w:val="bottom"/>
          </w:tcPr>
          <w:p>
            <w:pPr>
              <w:spacing w:after="0"/>
              <w:rPr>
                <w:sz w:val="24"/>
                <w:szCs w:val="24"/>
                <w:color w:val="auto"/>
              </w:rPr>
            </w:pPr>
          </w:p>
        </w:tc>
      </w:tr>
      <w:tr>
        <w:trPr>
          <w:trHeight w:val="20"/>
        </w:trPr>
        <w:tc>
          <w:tcPr>
            <w:tcW w:w="78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160" w:type="dxa"/>
            <w:vAlign w:val="bottom"/>
            <w:gridSpan w:val="2"/>
            <w:shd w:val="clear" w:color="auto" w:fill="0000EE"/>
          </w:tcPr>
          <w:p>
            <w:pPr>
              <w:spacing w:after="0" w:line="20" w:lineRule="exact"/>
              <w:rPr>
                <w:sz w:val="1"/>
                <w:szCs w:val="1"/>
                <w:color w:val="auto"/>
              </w:rPr>
            </w:pPr>
          </w:p>
        </w:tc>
        <w:tc>
          <w:tcPr>
            <w:tcW w:w="180" w:type="dxa"/>
            <w:vAlign w:val="bottom"/>
            <w:tcBorders>
              <w:left w:val="single" w:sz="8" w:color="0000EE"/>
            </w:tcBorders>
            <w:gridSpan w:val="2"/>
            <w:shd w:val="clear" w:color="auto" w:fill="0000EE"/>
          </w:tcPr>
          <w:p>
            <w:pPr>
              <w:spacing w:after="0" w:line="20" w:lineRule="exact"/>
              <w:rPr>
                <w:sz w:val="1"/>
                <w:szCs w:val="1"/>
                <w:color w:val="auto"/>
              </w:rPr>
            </w:pPr>
          </w:p>
        </w:tc>
        <w:tc>
          <w:tcPr>
            <w:tcW w:w="120" w:type="dxa"/>
            <w:vAlign w:val="bottom"/>
            <w:tcBorders>
              <w:left w:val="single" w:sz="8" w:color="0000EE"/>
            </w:tcBorders>
            <w:shd w:val="clear" w:color="auto" w:fill="0000EE"/>
          </w:tcPr>
          <w:p>
            <w:pPr>
              <w:spacing w:after="0" w:line="20" w:lineRule="exact"/>
              <w:rPr>
                <w:sz w:val="1"/>
                <w:szCs w:val="1"/>
                <w:color w:val="auto"/>
              </w:rPr>
            </w:pPr>
          </w:p>
        </w:tc>
        <w:tc>
          <w:tcPr>
            <w:tcW w:w="480" w:type="dxa"/>
            <w:vAlign w:val="bottom"/>
            <w:tcBorders>
              <w:left w:val="single" w:sz="8" w:color="0000EE"/>
            </w:tcBorders>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600" w:type="dxa"/>
            <w:vAlign w:val="bottom"/>
            <w:gridSpan w:val="2"/>
          </w:tcPr>
          <w:p>
            <w:pPr>
              <w:spacing w:after="0" w:line="20" w:lineRule="exact"/>
              <w:rPr>
                <w:sz w:val="1"/>
                <w:szCs w:val="1"/>
                <w:color w:val="auto"/>
              </w:rPr>
            </w:pPr>
          </w:p>
        </w:tc>
        <w:tc>
          <w:tcPr>
            <w:tcW w:w="2180" w:type="dxa"/>
            <w:vAlign w:val="bottom"/>
          </w:tcPr>
          <w:p>
            <w:pPr>
              <w:spacing w:after="0" w:line="20" w:lineRule="exact"/>
              <w:rPr>
                <w:sz w:val="1"/>
                <w:szCs w:val="1"/>
                <w:color w:val="auto"/>
              </w:rPr>
            </w:pPr>
          </w:p>
        </w:tc>
        <w:tc>
          <w:tcPr>
            <w:tcW w:w="158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80" w:type="dxa"/>
            <w:vAlign w:val="bottom"/>
            <w:gridSpan w:val="3"/>
            <w:shd w:val="clear" w:color="auto" w:fill="0000FF"/>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r>
      <w:tr>
        <w:trPr>
          <w:trHeight w:val="453"/>
        </w:trPr>
        <w:tc>
          <w:tcPr>
            <w:tcW w:w="1460" w:type="dxa"/>
            <w:vAlign w:val="bottom"/>
            <w:gridSpan w:val="7"/>
          </w:tcPr>
          <w:p>
            <w:pPr>
              <w:spacing w:after="0"/>
              <w:rPr>
                <w:rFonts w:ascii="Arial" w:cs="Arial" w:eastAsia="Arial" w:hAnsi="Arial"/>
                <w:sz w:val="18"/>
                <w:szCs w:val="18"/>
                <w:color w:val="0000EE"/>
                <w:w w:val="97"/>
              </w:rPr>
            </w:pPr>
            <w:hyperlink w:anchor="page28">
              <w:r>
                <w:rPr>
                  <w:rFonts w:ascii="Arial" w:cs="Arial" w:eastAsia="Arial" w:hAnsi="Arial"/>
                  <w:sz w:val="18"/>
                  <w:szCs w:val="18"/>
                  <w:color w:val="0000EE"/>
                  <w:w w:val="97"/>
                </w:rPr>
                <w:t>CAPITALIZATION</w:t>
              </w:r>
            </w:hyperlink>
          </w:p>
        </w:tc>
        <w:tc>
          <w:tcPr>
            <w:tcW w:w="120" w:type="dxa"/>
            <w:vAlign w:val="bottom"/>
          </w:tcPr>
          <w:p>
            <w:pPr>
              <w:spacing w:after="0"/>
              <w:rPr>
                <w:sz w:val="24"/>
                <w:szCs w:val="24"/>
                <w:color w:val="auto"/>
              </w:rPr>
            </w:pPr>
          </w:p>
        </w:tc>
        <w:tc>
          <w:tcPr>
            <w:tcW w:w="8920" w:type="dxa"/>
            <w:vAlign w:val="bottom"/>
            <w:gridSpan w:val="14"/>
          </w:tcPr>
          <w:p>
            <w:pPr>
              <w:spacing w:after="0"/>
              <w:rPr>
                <w:sz w:val="24"/>
                <w:szCs w:val="24"/>
                <w:color w:val="auto"/>
              </w:rPr>
            </w:pPr>
          </w:p>
        </w:tc>
        <w:tc>
          <w:tcPr>
            <w:tcW w:w="560" w:type="dxa"/>
            <w:vAlign w:val="bottom"/>
            <w:gridSpan w:val="4"/>
          </w:tcPr>
          <w:p>
            <w:pPr>
              <w:jc w:val="center"/>
              <w:ind w:left="290"/>
              <w:spacing w:after="0"/>
              <w:rPr>
                <w:sz w:val="20"/>
                <w:szCs w:val="20"/>
                <w:color w:val="auto"/>
              </w:rPr>
            </w:pPr>
            <w:r>
              <w:rPr>
                <w:rFonts w:ascii="Arial" w:cs="Arial" w:eastAsia="Arial" w:hAnsi="Arial"/>
                <w:sz w:val="18"/>
                <w:szCs w:val="18"/>
                <w:color w:val="0000FF"/>
                <w:w w:val="89"/>
              </w:rPr>
              <w:t>20</w:t>
            </w:r>
          </w:p>
        </w:tc>
        <w:tc>
          <w:tcPr>
            <w:tcW w:w="360" w:type="dxa"/>
            <w:vAlign w:val="bottom"/>
          </w:tcPr>
          <w:p>
            <w:pPr>
              <w:spacing w:after="0"/>
              <w:rPr>
                <w:sz w:val="24"/>
                <w:szCs w:val="24"/>
                <w:color w:val="auto"/>
              </w:rPr>
            </w:pPr>
          </w:p>
        </w:tc>
      </w:tr>
      <w:tr>
        <w:trPr>
          <w:trHeight w:val="20"/>
        </w:trPr>
        <w:tc>
          <w:tcPr>
            <w:tcW w:w="78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160" w:type="dxa"/>
            <w:vAlign w:val="bottom"/>
            <w:gridSpan w:val="2"/>
            <w:shd w:val="clear" w:color="auto" w:fill="0000EE"/>
          </w:tcPr>
          <w:p>
            <w:pPr>
              <w:spacing w:after="0" w:line="20" w:lineRule="exact"/>
              <w:rPr>
                <w:sz w:val="1"/>
                <w:szCs w:val="1"/>
                <w:color w:val="auto"/>
              </w:rPr>
            </w:pPr>
          </w:p>
        </w:tc>
        <w:tc>
          <w:tcPr>
            <w:tcW w:w="180" w:type="dxa"/>
            <w:vAlign w:val="bottom"/>
            <w:tcBorders>
              <w:left w:val="single" w:sz="8" w:color="0000EE"/>
            </w:tcBorders>
            <w:gridSpan w:val="2"/>
            <w:shd w:val="clear" w:color="auto" w:fill="0000EE"/>
          </w:tcPr>
          <w:p>
            <w:pPr>
              <w:spacing w:after="0" w:line="20" w:lineRule="exact"/>
              <w:rPr>
                <w:sz w:val="1"/>
                <w:szCs w:val="1"/>
                <w:color w:val="auto"/>
              </w:rPr>
            </w:pPr>
          </w:p>
        </w:tc>
        <w:tc>
          <w:tcPr>
            <w:tcW w:w="120" w:type="dxa"/>
            <w:vAlign w:val="bottom"/>
            <w:tcBorders>
              <w:left w:val="single" w:sz="8" w:color="0000EE"/>
            </w:tcBorders>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600" w:type="dxa"/>
            <w:vAlign w:val="bottom"/>
            <w:gridSpan w:val="2"/>
          </w:tcPr>
          <w:p>
            <w:pPr>
              <w:spacing w:after="0" w:line="20" w:lineRule="exact"/>
              <w:rPr>
                <w:sz w:val="1"/>
                <w:szCs w:val="1"/>
                <w:color w:val="auto"/>
              </w:rPr>
            </w:pPr>
          </w:p>
        </w:tc>
        <w:tc>
          <w:tcPr>
            <w:tcW w:w="2180" w:type="dxa"/>
            <w:vAlign w:val="bottom"/>
          </w:tcPr>
          <w:p>
            <w:pPr>
              <w:spacing w:after="0" w:line="20" w:lineRule="exact"/>
              <w:rPr>
                <w:sz w:val="1"/>
                <w:szCs w:val="1"/>
                <w:color w:val="auto"/>
              </w:rPr>
            </w:pPr>
          </w:p>
        </w:tc>
        <w:tc>
          <w:tcPr>
            <w:tcW w:w="158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80" w:type="dxa"/>
            <w:vAlign w:val="bottom"/>
            <w:gridSpan w:val="3"/>
            <w:shd w:val="clear" w:color="auto" w:fill="0000FF"/>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r>
      <w:tr>
        <w:trPr>
          <w:trHeight w:val="453"/>
        </w:trPr>
        <w:tc>
          <w:tcPr>
            <w:tcW w:w="10500" w:type="dxa"/>
            <w:vAlign w:val="bottom"/>
            <w:gridSpan w:val="22"/>
          </w:tcPr>
          <w:p>
            <w:pPr>
              <w:spacing w:after="0"/>
              <w:rPr>
                <w:rFonts w:ascii="Arial" w:cs="Arial" w:eastAsia="Arial" w:hAnsi="Arial"/>
                <w:sz w:val="18"/>
                <w:szCs w:val="18"/>
                <w:color w:val="0000EE"/>
              </w:rPr>
            </w:pPr>
            <w:hyperlink w:anchor="page29">
              <w:r>
                <w:rPr>
                  <w:rFonts w:ascii="Arial" w:cs="Arial" w:eastAsia="Arial" w:hAnsi="Arial"/>
                  <w:sz w:val="18"/>
                  <w:szCs w:val="18"/>
                  <w:color w:val="0000EE"/>
                </w:rPr>
                <w:t>DIVIDEND POLICY</w:t>
              </w:r>
            </w:hyperlink>
          </w:p>
        </w:tc>
        <w:tc>
          <w:tcPr>
            <w:tcW w:w="560" w:type="dxa"/>
            <w:vAlign w:val="bottom"/>
            <w:gridSpan w:val="4"/>
          </w:tcPr>
          <w:p>
            <w:pPr>
              <w:jc w:val="center"/>
              <w:ind w:left="290"/>
              <w:spacing w:after="0"/>
              <w:rPr>
                <w:sz w:val="20"/>
                <w:szCs w:val="20"/>
                <w:color w:val="auto"/>
              </w:rPr>
            </w:pPr>
            <w:r>
              <w:rPr>
                <w:rFonts w:ascii="Arial" w:cs="Arial" w:eastAsia="Arial" w:hAnsi="Arial"/>
                <w:sz w:val="18"/>
                <w:szCs w:val="18"/>
                <w:color w:val="0000FF"/>
                <w:w w:val="89"/>
              </w:rPr>
              <w:t>21</w:t>
            </w:r>
          </w:p>
        </w:tc>
        <w:tc>
          <w:tcPr>
            <w:tcW w:w="360" w:type="dxa"/>
            <w:vAlign w:val="bottom"/>
          </w:tcPr>
          <w:p>
            <w:pPr>
              <w:spacing w:after="0"/>
              <w:rPr>
                <w:sz w:val="24"/>
                <w:szCs w:val="24"/>
                <w:color w:val="auto"/>
              </w:rPr>
            </w:pPr>
          </w:p>
        </w:tc>
      </w:tr>
      <w:tr>
        <w:trPr>
          <w:trHeight w:val="20"/>
        </w:trPr>
        <w:tc>
          <w:tcPr>
            <w:tcW w:w="78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160" w:type="dxa"/>
            <w:vAlign w:val="bottom"/>
            <w:gridSpan w:val="2"/>
            <w:shd w:val="clear" w:color="auto" w:fill="0000EE"/>
          </w:tcPr>
          <w:p>
            <w:pPr>
              <w:spacing w:after="0" w:line="20" w:lineRule="exact"/>
              <w:rPr>
                <w:sz w:val="1"/>
                <w:szCs w:val="1"/>
                <w:color w:val="auto"/>
              </w:rPr>
            </w:pPr>
          </w:p>
        </w:tc>
        <w:tc>
          <w:tcPr>
            <w:tcW w:w="180" w:type="dxa"/>
            <w:vAlign w:val="bottom"/>
            <w:tcBorders>
              <w:left w:val="single" w:sz="8" w:color="0000EE"/>
            </w:tcBorders>
            <w:gridSpan w:val="2"/>
            <w:shd w:val="clear" w:color="auto" w:fill="0000EE"/>
          </w:tcPr>
          <w:p>
            <w:pPr>
              <w:spacing w:after="0" w:line="20" w:lineRule="exact"/>
              <w:rPr>
                <w:sz w:val="1"/>
                <w:szCs w:val="1"/>
                <w:color w:val="auto"/>
              </w:rPr>
            </w:pPr>
          </w:p>
        </w:tc>
        <w:tc>
          <w:tcPr>
            <w:tcW w:w="120" w:type="dxa"/>
            <w:vAlign w:val="bottom"/>
            <w:tcBorders>
              <w:left w:val="single" w:sz="8" w:color="0000EE"/>
            </w:tcBorders>
            <w:shd w:val="clear" w:color="auto" w:fill="0000EE"/>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600" w:type="dxa"/>
            <w:vAlign w:val="bottom"/>
            <w:gridSpan w:val="2"/>
          </w:tcPr>
          <w:p>
            <w:pPr>
              <w:spacing w:after="0" w:line="20" w:lineRule="exact"/>
              <w:rPr>
                <w:sz w:val="1"/>
                <w:szCs w:val="1"/>
                <w:color w:val="auto"/>
              </w:rPr>
            </w:pPr>
          </w:p>
        </w:tc>
        <w:tc>
          <w:tcPr>
            <w:tcW w:w="2180" w:type="dxa"/>
            <w:vAlign w:val="bottom"/>
          </w:tcPr>
          <w:p>
            <w:pPr>
              <w:spacing w:after="0" w:line="20" w:lineRule="exact"/>
              <w:rPr>
                <w:sz w:val="1"/>
                <w:szCs w:val="1"/>
                <w:color w:val="auto"/>
              </w:rPr>
            </w:pPr>
          </w:p>
        </w:tc>
        <w:tc>
          <w:tcPr>
            <w:tcW w:w="158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80" w:type="dxa"/>
            <w:vAlign w:val="bottom"/>
            <w:gridSpan w:val="3"/>
            <w:shd w:val="clear" w:color="auto" w:fill="0000FF"/>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r>
      <w:tr>
        <w:trPr>
          <w:trHeight w:val="453"/>
        </w:trPr>
        <w:tc>
          <w:tcPr>
            <w:tcW w:w="1580" w:type="dxa"/>
            <w:vAlign w:val="bottom"/>
            <w:gridSpan w:val="8"/>
          </w:tcPr>
          <w:p>
            <w:pPr>
              <w:spacing w:after="0"/>
              <w:rPr>
                <w:rFonts w:ascii="Arial" w:cs="Arial" w:eastAsia="Arial" w:hAnsi="Arial"/>
                <w:sz w:val="18"/>
                <w:szCs w:val="18"/>
                <w:color w:val="0000EE"/>
              </w:rPr>
            </w:pPr>
            <w:hyperlink w:anchor="page30">
              <w:r>
                <w:rPr>
                  <w:rFonts w:ascii="Arial" w:cs="Arial" w:eastAsia="Arial" w:hAnsi="Arial"/>
                  <w:sz w:val="18"/>
                  <w:szCs w:val="18"/>
                  <w:color w:val="0000EE"/>
                </w:rPr>
                <w:t>THE SPINOFF</w:t>
              </w:r>
            </w:hyperlink>
          </w:p>
        </w:tc>
        <w:tc>
          <w:tcPr>
            <w:tcW w:w="8920" w:type="dxa"/>
            <w:vAlign w:val="bottom"/>
            <w:gridSpan w:val="14"/>
          </w:tcPr>
          <w:p>
            <w:pPr>
              <w:spacing w:after="0"/>
              <w:rPr>
                <w:sz w:val="24"/>
                <w:szCs w:val="24"/>
                <w:color w:val="auto"/>
              </w:rPr>
            </w:pPr>
          </w:p>
        </w:tc>
        <w:tc>
          <w:tcPr>
            <w:tcW w:w="560" w:type="dxa"/>
            <w:vAlign w:val="bottom"/>
            <w:gridSpan w:val="4"/>
          </w:tcPr>
          <w:p>
            <w:pPr>
              <w:jc w:val="center"/>
              <w:ind w:left="290"/>
              <w:spacing w:after="0"/>
              <w:rPr>
                <w:sz w:val="20"/>
                <w:szCs w:val="20"/>
                <w:color w:val="auto"/>
              </w:rPr>
            </w:pPr>
            <w:r>
              <w:rPr>
                <w:rFonts w:ascii="Arial" w:cs="Arial" w:eastAsia="Arial" w:hAnsi="Arial"/>
                <w:sz w:val="18"/>
                <w:szCs w:val="18"/>
                <w:color w:val="0000FF"/>
                <w:w w:val="89"/>
              </w:rPr>
              <w:t>22</w:t>
            </w:r>
          </w:p>
        </w:tc>
        <w:tc>
          <w:tcPr>
            <w:tcW w:w="360" w:type="dxa"/>
            <w:vAlign w:val="bottom"/>
          </w:tcPr>
          <w:p>
            <w:pPr>
              <w:spacing w:after="0"/>
              <w:rPr>
                <w:sz w:val="24"/>
                <w:szCs w:val="24"/>
                <w:color w:val="auto"/>
              </w:rPr>
            </w:pPr>
          </w:p>
        </w:tc>
      </w:tr>
      <w:tr>
        <w:trPr>
          <w:trHeight w:val="20"/>
        </w:trPr>
        <w:tc>
          <w:tcPr>
            <w:tcW w:w="78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c>
          <w:tcPr>
            <w:tcW w:w="180" w:type="dxa"/>
            <w:vAlign w:val="bottom"/>
            <w:gridSpan w:val="2"/>
          </w:tcPr>
          <w:p>
            <w:pPr>
              <w:spacing w:after="0" w:line="20" w:lineRule="exact"/>
              <w:rPr>
                <w:sz w:val="1"/>
                <w:szCs w:val="1"/>
                <w:color w:val="auto"/>
              </w:rPr>
            </w:pPr>
          </w:p>
        </w:tc>
        <w:tc>
          <w:tcPr>
            <w:tcW w:w="600" w:type="dxa"/>
            <w:vAlign w:val="bottom"/>
            <w:gridSpan w:val="2"/>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600" w:type="dxa"/>
            <w:vAlign w:val="bottom"/>
            <w:gridSpan w:val="2"/>
          </w:tcPr>
          <w:p>
            <w:pPr>
              <w:spacing w:after="0" w:line="20" w:lineRule="exact"/>
              <w:rPr>
                <w:sz w:val="1"/>
                <w:szCs w:val="1"/>
                <w:color w:val="auto"/>
              </w:rPr>
            </w:pPr>
          </w:p>
        </w:tc>
        <w:tc>
          <w:tcPr>
            <w:tcW w:w="2180" w:type="dxa"/>
            <w:vAlign w:val="bottom"/>
          </w:tcPr>
          <w:p>
            <w:pPr>
              <w:spacing w:after="0" w:line="20" w:lineRule="exact"/>
              <w:rPr>
                <w:sz w:val="1"/>
                <w:szCs w:val="1"/>
                <w:color w:val="auto"/>
              </w:rPr>
            </w:pPr>
          </w:p>
        </w:tc>
        <w:tc>
          <w:tcPr>
            <w:tcW w:w="158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80" w:type="dxa"/>
            <w:vAlign w:val="bottom"/>
            <w:gridSpan w:val="3"/>
            <w:shd w:val="clear" w:color="auto" w:fill="0000FF"/>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r>
      <w:tr>
        <w:trPr>
          <w:trHeight w:val="453"/>
        </w:trPr>
        <w:tc>
          <w:tcPr>
            <w:tcW w:w="10500" w:type="dxa"/>
            <w:vAlign w:val="bottom"/>
            <w:gridSpan w:val="22"/>
          </w:tcPr>
          <w:p>
            <w:pPr>
              <w:spacing w:after="0"/>
              <w:rPr>
                <w:rFonts w:ascii="Arial" w:cs="Arial" w:eastAsia="Arial" w:hAnsi="Arial"/>
                <w:sz w:val="18"/>
                <w:szCs w:val="18"/>
                <w:color w:val="0000EE"/>
              </w:rPr>
            </w:pPr>
            <w:hyperlink w:anchor="page35">
              <w:r>
                <w:rPr>
                  <w:rFonts w:ascii="Arial" w:cs="Arial" w:eastAsia="Arial" w:hAnsi="Arial"/>
                  <w:sz w:val="18"/>
                  <w:szCs w:val="18"/>
                  <w:color w:val="0000EE"/>
                </w:rPr>
                <w:t>SELECTED HISTORICAL CONSOLIDATED FINANCIAL DATA</w:t>
              </w:r>
            </w:hyperlink>
          </w:p>
        </w:tc>
        <w:tc>
          <w:tcPr>
            <w:tcW w:w="560" w:type="dxa"/>
            <w:vAlign w:val="bottom"/>
            <w:gridSpan w:val="4"/>
          </w:tcPr>
          <w:p>
            <w:pPr>
              <w:jc w:val="center"/>
              <w:ind w:left="290"/>
              <w:spacing w:after="0"/>
              <w:rPr>
                <w:sz w:val="20"/>
                <w:szCs w:val="20"/>
                <w:color w:val="auto"/>
              </w:rPr>
            </w:pPr>
            <w:r>
              <w:rPr>
                <w:rFonts w:ascii="Arial" w:cs="Arial" w:eastAsia="Arial" w:hAnsi="Arial"/>
                <w:sz w:val="18"/>
                <w:szCs w:val="18"/>
                <w:color w:val="0000FF"/>
                <w:w w:val="89"/>
              </w:rPr>
              <w:t>26</w:t>
            </w:r>
          </w:p>
        </w:tc>
        <w:tc>
          <w:tcPr>
            <w:tcW w:w="360" w:type="dxa"/>
            <w:vAlign w:val="bottom"/>
          </w:tcPr>
          <w:p>
            <w:pPr>
              <w:spacing w:after="0"/>
              <w:rPr>
                <w:sz w:val="24"/>
                <w:szCs w:val="24"/>
                <w:color w:val="auto"/>
              </w:rPr>
            </w:pPr>
          </w:p>
        </w:tc>
      </w:tr>
      <w:tr>
        <w:trPr>
          <w:trHeight w:val="20"/>
        </w:trPr>
        <w:tc>
          <w:tcPr>
            <w:tcW w:w="78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420" w:type="dxa"/>
            <w:vAlign w:val="bottom"/>
            <w:gridSpan w:val="3"/>
            <w:shd w:val="clear" w:color="auto" w:fill="0000EE"/>
          </w:tcPr>
          <w:p>
            <w:pPr>
              <w:spacing w:after="0" w:line="20" w:lineRule="exact"/>
              <w:rPr>
                <w:sz w:val="1"/>
                <w:szCs w:val="1"/>
                <w:color w:val="auto"/>
              </w:rPr>
            </w:pPr>
          </w:p>
        </w:tc>
        <w:tc>
          <w:tcPr>
            <w:tcW w:w="180" w:type="dxa"/>
            <w:vAlign w:val="bottom"/>
            <w:tcBorders>
              <w:left w:val="single" w:sz="8" w:color="0000EE"/>
            </w:tcBorders>
            <w:gridSpan w:val="2"/>
            <w:shd w:val="clear" w:color="auto" w:fill="0000EE"/>
          </w:tcPr>
          <w:p>
            <w:pPr>
              <w:spacing w:after="0" w:line="20" w:lineRule="exact"/>
              <w:rPr>
                <w:sz w:val="1"/>
                <w:szCs w:val="1"/>
                <w:color w:val="auto"/>
              </w:rPr>
            </w:pPr>
          </w:p>
        </w:tc>
        <w:tc>
          <w:tcPr>
            <w:tcW w:w="600" w:type="dxa"/>
            <w:vAlign w:val="bottom"/>
            <w:tcBorders>
              <w:left w:val="single" w:sz="8" w:color="0000EE"/>
            </w:tcBorders>
            <w:gridSpan w:val="2"/>
            <w:shd w:val="clear" w:color="auto" w:fill="0000EE"/>
          </w:tcPr>
          <w:p>
            <w:pPr>
              <w:spacing w:after="0" w:line="20" w:lineRule="exact"/>
              <w:rPr>
                <w:sz w:val="1"/>
                <w:szCs w:val="1"/>
                <w:color w:val="auto"/>
              </w:rPr>
            </w:pPr>
          </w:p>
        </w:tc>
        <w:tc>
          <w:tcPr>
            <w:tcW w:w="400" w:type="dxa"/>
            <w:vAlign w:val="bottom"/>
            <w:tcBorders>
              <w:left w:val="single" w:sz="8" w:color="0000EE"/>
            </w:tcBorders>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580" w:type="dxa"/>
            <w:vAlign w:val="bottom"/>
            <w:shd w:val="clear" w:color="auto" w:fill="0000EE"/>
          </w:tcPr>
          <w:p>
            <w:pPr>
              <w:spacing w:after="0" w:line="20" w:lineRule="exact"/>
              <w:rPr>
                <w:sz w:val="1"/>
                <w:szCs w:val="1"/>
                <w:color w:val="auto"/>
              </w:rPr>
            </w:pPr>
          </w:p>
        </w:tc>
        <w:tc>
          <w:tcPr>
            <w:tcW w:w="360" w:type="dxa"/>
            <w:vAlign w:val="bottom"/>
            <w:shd w:val="clear" w:color="auto" w:fill="0000EE"/>
          </w:tcPr>
          <w:p>
            <w:pPr>
              <w:spacing w:after="0" w:line="20" w:lineRule="exact"/>
              <w:rPr>
                <w:sz w:val="1"/>
                <w:szCs w:val="1"/>
                <w:color w:val="auto"/>
              </w:rPr>
            </w:pPr>
          </w:p>
        </w:tc>
        <w:tc>
          <w:tcPr>
            <w:tcW w:w="940" w:type="dxa"/>
            <w:vAlign w:val="bottom"/>
            <w:tcBorders>
              <w:left w:val="single" w:sz="8" w:color="0000EE"/>
            </w:tcBorders>
            <w:shd w:val="clear" w:color="auto" w:fill="0000EE"/>
          </w:tcPr>
          <w:p>
            <w:pPr>
              <w:spacing w:after="0" w:line="20" w:lineRule="exact"/>
              <w:rPr>
                <w:sz w:val="1"/>
                <w:szCs w:val="1"/>
                <w:color w:val="auto"/>
              </w:rPr>
            </w:pPr>
          </w:p>
        </w:tc>
        <w:tc>
          <w:tcPr>
            <w:tcW w:w="120" w:type="dxa"/>
            <w:vAlign w:val="bottom"/>
            <w:tcBorders>
              <w:left w:val="single" w:sz="8" w:color="0000EE"/>
            </w:tcBorders>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600" w:type="dxa"/>
            <w:vAlign w:val="bottom"/>
            <w:gridSpan w:val="2"/>
          </w:tcPr>
          <w:p>
            <w:pPr>
              <w:spacing w:after="0" w:line="20" w:lineRule="exact"/>
              <w:rPr>
                <w:sz w:val="1"/>
                <w:szCs w:val="1"/>
                <w:color w:val="auto"/>
              </w:rPr>
            </w:pPr>
          </w:p>
        </w:tc>
        <w:tc>
          <w:tcPr>
            <w:tcW w:w="2180" w:type="dxa"/>
            <w:vAlign w:val="bottom"/>
          </w:tcPr>
          <w:p>
            <w:pPr>
              <w:spacing w:after="0" w:line="20" w:lineRule="exact"/>
              <w:rPr>
                <w:sz w:val="1"/>
                <w:szCs w:val="1"/>
                <w:color w:val="auto"/>
              </w:rPr>
            </w:pPr>
          </w:p>
        </w:tc>
        <w:tc>
          <w:tcPr>
            <w:tcW w:w="158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80" w:type="dxa"/>
            <w:vAlign w:val="bottom"/>
            <w:gridSpan w:val="3"/>
            <w:shd w:val="clear" w:color="auto" w:fill="0000FF"/>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r>
      <w:tr>
        <w:trPr>
          <w:trHeight w:val="453"/>
        </w:trPr>
        <w:tc>
          <w:tcPr>
            <w:tcW w:w="10500" w:type="dxa"/>
            <w:vAlign w:val="bottom"/>
            <w:gridSpan w:val="22"/>
          </w:tcPr>
          <w:p>
            <w:pPr>
              <w:spacing w:after="0"/>
              <w:rPr>
                <w:rFonts w:ascii="Arial" w:cs="Arial" w:eastAsia="Arial" w:hAnsi="Arial"/>
                <w:sz w:val="18"/>
                <w:szCs w:val="18"/>
                <w:color w:val="0000EE"/>
              </w:rPr>
            </w:pPr>
            <w:hyperlink w:anchor="page36">
              <w:r>
                <w:rPr>
                  <w:rFonts w:ascii="Arial" w:cs="Arial" w:eastAsia="Arial" w:hAnsi="Arial"/>
                  <w:sz w:val="18"/>
                  <w:szCs w:val="18"/>
                  <w:color w:val="0000EE"/>
                </w:rPr>
                <w:t>UNAUDITED PRO FORMA CONSOLIDATED FINANCIAL DATA</w:t>
              </w:r>
            </w:hyperlink>
          </w:p>
        </w:tc>
        <w:tc>
          <w:tcPr>
            <w:tcW w:w="560" w:type="dxa"/>
            <w:vAlign w:val="bottom"/>
            <w:gridSpan w:val="4"/>
          </w:tcPr>
          <w:p>
            <w:pPr>
              <w:jc w:val="center"/>
              <w:ind w:left="290"/>
              <w:spacing w:after="0"/>
              <w:rPr>
                <w:sz w:val="20"/>
                <w:szCs w:val="20"/>
                <w:color w:val="auto"/>
              </w:rPr>
            </w:pPr>
            <w:r>
              <w:rPr>
                <w:rFonts w:ascii="Arial" w:cs="Arial" w:eastAsia="Arial" w:hAnsi="Arial"/>
                <w:sz w:val="18"/>
                <w:szCs w:val="18"/>
                <w:color w:val="0000FF"/>
                <w:w w:val="89"/>
              </w:rPr>
              <w:t>27</w:t>
            </w:r>
          </w:p>
        </w:tc>
        <w:tc>
          <w:tcPr>
            <w:tcW w:w="360" w:type="dxa"/>
            <w:vAlign w:val="bottom"/>
          </w:tcPr>
          <w:p>
            <w:pPr>
              <w:spacing w:after="0"/>
              <w:rPr>
                <w:sz w:val="24"/>
                <w:szCs w:val="24"/>
                <w:color w:val="auto"/>
              </w:rPr>
            </w:pPr>
          </w:p>
        </w:tc>
      </w:tr>
      <w:tr>
        <w:trPr>
          <w:trHeight w:val="20"/>
        </w:trPr>
        <w:tc>
          <w:tcPr>
            <w:tcW w:w="78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420" w:type="dxa"/>
            <w:vAlign w:val="bottom"/>
            <w:gridSpan w:val="3"/>
            <w:shd w:val="clear" w:color="auto" w:fill="0000EE"/>
          </w:tcPr>
          <w:p>
            <w:pPr>
              <w:spacing w:after="0" w:line="20" w:lineRule="exact"/>
              <w:rPr>
                <w:sz w:val="1"/>
                <w:szCs w:val="1"/>
                <w:color w:val="auto"/>
              </w:rPr>
            </w:pPr>
          </w:p>
        </w:tc>
        <w:tc>
          <w:tcPr>
            <w:tcW w:w="180" w:type="dxa"/>
            <w:vAlign w:val="bottom"/>
            <w:tcBorders>
              <w:left w:val="single" w:sz="8" w:color="0000EE"/>
            </w:tcBorders>
            <w:gridSpan w:val="2"/>
            <w:shd w:val="clear" w:color="auto" w:fill="0000EE"/>
          </w:tcPr>
          <w:p>
            <w:pPr>
              <w:spacing w:after="0" w:line="20" w:lineRule="exact"/>
              <w:rPr>
                <w:sz w:val="1"/>
                <w:szCs w:val="1"/>
                <w:color w:val="auto"/>
              </w:rPr>
            </w:pPr>
          </w:p>
        </w:tc>
        <w:tc>
          <w:tcPr>
            <w:tcW w:w="600" w:type="dxa"/>
            <w:vAlign w:val="bottom"/>
            <w:tcBorders>
              <w:left w:val="single" w:sz="8" w:color="0000EE"/>
            </w:tcBorders>
            <w:gridSpan w:val="2"/>
            <w:shd w:val="clear" w:color="auto" w:fill="0000EE"/>
          </w:tcPr>
          <w:p>
            <w:pPr>
              <w:spacing w:after="0" w:line="20" w:lineRule="exact"/>
              <w:rPr>
                <w:sz w:val="1"/>
                <w:szCs w:val="1"/>
                <w:color w:val="auto"/>
              </w:rPr>
            </w:pPr>
          </w:p>
        </w:tc>
        <w:tc>
          <w:tcPr>
            <w:tcW w:w="400" w:type="dxa"/>
            <w:vAlign w:val="bottom"/>
            <w:tcBorders>
              <w:left w:val="single" w:sz="8" w:color="0000EE"/>
            </w:tcBorders>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580" w:type="dxa"/>
            <w:vAlign w:val="bottom"/>
            <w:shd w:val="clear" w:color="auto" w:fill="0000EE"/>
          </w:tcPr>
          <w:p>
            <w:pPr>
              <w:spacing w:after="0" w:line="20" w:lineRule="exact"/>
              <w:rPr>
                <w:sz w:val="1"/>
                <w:szCs w:val="1"/>
                <w:color w:val="auto"/>
              </w:rPr>
            </w:pPr>
          </w:p>
        </w:tc>
        <w:tc>
          <w:tcPr>
            <w:tcW w:w="360" w:type="dxa"/>
            <w:vAlign w:val="bottom"/>
            <w:shd w:val="clear" w:color="auto" w:fill="0000EE"/>
          </w:tcPr>
          <w:p>
            <w:pPr>
              <w:spacing w:after="0" w:line="20" w:lineRule="exact"/>
              <w:rPr>
                <w:sz w:val="1"/>
                <w:szCs w:val="1"/>
                <w:color w:val="auto"/>
              </w:rPr>
            </w:pPr>
          </w:p>
        </w:tc>
        <w:tc>
          <w:tcPr>
            <w:tcW w:w="940" w:type="dxa"/>
            <w:vAlign w:val="bottom"/>
            <w:tcBorders>
              <w:left w:val="single" w:sz="8" w:color="0000EE"/>
            </w:tcBorders>
            <w:shd w:val="clear" w:color="auto" w:fill="0000EE"/>
          </w:tcPr>
          <w:p>
            <w:pPr>
              <w:spacing w:after="0" w:line="20" w:lineRule="exact"/>
              <w:rPr>
                <w:sz w:val="1"/>
                <w:szCs w:val="1"/>
                <w:color w:val="auto"/>
              </w:rPr>
            </w:pPr>
          </w:p>
        </w:tc>
        <w:tc>
          <w:tcPr>
            <w:tcW w:w="120" w:type="dxa"/>
            <w:vAlign w:val="bottom"/>
            <w:tcBorders>
              <w:left w:val="single" w:sz="8" w:color="0000EE"/>
            </w:tcBorders>
            <w:shd w:val="clear" w:color="auto" w:fill="0000EE"/>
          </w:tcPr>
          <w:p>
            <w:pPr>
              <w:spacing w:after="0" w:line="20" w:lineRule="exact"/>
              <w:rPr>
                <w:sz w:val="1"/>
                <w:szCs w:val="1"/>
                <w:color w:val="auto"/>
              </w:rPr>
            </w:pPr>
          </w:p>
        </w:tc>
        <w:tc>
          <w:tcPr>
            <w:tcW w:w="200" w:type="dxa"/>
            <w:vAlign w:val="bottom"/>
            <w:gridSpan w:val="2"/>
            <w:shd w:val="clear" w:color="auto" w:fill="0000EE"/>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600" w:type="dxa"/>
            <w:vAlign w:val="bottom"/>
            <w:gridSpan w:val="2"/>
          </w:tcPr>
          <w:p>
            <w:pPr>
              <w:spacing w:after="0" w:line="20" w:lineRule="exact"/>
              <w:rPr>
                <w:sz w:val="1"/>
                <w:szCs w:val="1"/>
                <w:color w:val="auto"/>
              </w:rPr>
            </w:pPr>
          </w:p>
        </w:tc>
        <w:tc>
          <w:tcPr>
            <w:tcW w:w="2180" w:type="dxa"/>
            <w:vAlign w:val="bottom"/>
          </w:tcPr>
          <w:p>
            <w:pPr>
              <w:spacing w:after="0" w:line="20" w:lineRule="exact"/>
              <w:rPr>
                <w:sz w:val="1"/>
                <w:szCs w:val="1"/>
                <w:color w:val="auto"/>
              </w:rPr>
            </w:pPr>
          </w:p>
        </w:tc>
        <w:tc>
          <w:tcPr>
            <w:tcW w:w="158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80" w:type="dxa"/>
            <w:vAlign w:val="bottom"/>
            <w:gridSpan w:val="3"/>
            <w:shd w:val="clear" w:color="auto" w:fill="0000FF"/>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r>
      <w:tr>
        <w:trPr>
          <w:trHeight w:val="453"/>
        </w:trPr>
        <w:tc>
          <w:tcPr>
            <w:tcW w:w="10500" w:type="dxa"/>
            <w:vAlign w:val="bottom"/>
            <w:gridSpan w:val="22"/>
          </w:tcPr>
          <w:p>
            <w:pPr>
              <w:spacing w:after="0"/>
              <w:rPr>
                <w:rFonts w:ascii="Arial" w:cs="Arial" w:eastAsia="Arial" w:hAnsi="Arial"/>
                <w:sz w:val="18"/>
                <w:szCs w:val="18"/>
                <w:color w:val="0000EE"/>
              </w:rPr>
            </w:pPr>
            <w:hyperlink w:anchor="page41">
              <w:r>
                <w:rPr>
                  <w:rFonts w:ascii="Arial" w:cs="Arial" w:eastAsia="Arial" w:hAnsi="Arial"/>
                  <w:sz w:val="18"/>
                  <w:szCs w:val="18"/>
                  <w:color w:val="0000EE"/>
                </w:rPr>
                <w:t>MANAGEMENT’S DISCUSSION AND ANALYSIS OF FINANCIAL CONDITION AND RESULTS OF OPERATIONS</w:t>
              </w:r>
            </w:hyperlink>
          </w:p>
        </w:tc>
        <w:tc>
          <w:tcPr>
            <w:tcW w:w="560" w:type="dxa"/>
            <w:vAlign w:val="bottom"/>
            <w:gridSpan w:val="4"/>
          </w:tcPr>
          <w:p>
            <w:pPr>
              <w:jc w:val="center"/>
              <w:ind w:left="290"/>
              <w:spacing w:after="0"/>
              <w:rPr>
                <w:sz w:val="20"/>
                <w:szCs w:val="20"/>
                <w:color w:val="auto"/>
              </w:rPr>
            </w:pPr>
            <w:r>
              <w:rPr>
                <w:rFonts w:ascii="Arial" w:cs="Arial" w:eastAsia="Arial" w:hAnsi="Arial"/>
                <w:sz w:val="18"/>
                <w:szCs w:val="18"/>
                <w:color w:val="0000FF"/>
                <w:w w:val="89"/>
              </w:rPr>
              <w:t>32</w:t>
            </w:r>
          </w:p>
        </w:tc>
        <w:tc>
          <w:tcPr>
            <w:tcW w:w="360" w:type="dxa"/>
            <w:vAlign w:val="bottom"/>
          </w:tcPr>
          <w:p>
            <w:pPr>
              <w:spacing w:after="0"/>
              <w:rPr>
                <w:sz w:val="24"/>
                <w:szCs w:val="24"/>
                <w:color w:val="auto"/>
              </w:rPr>
            </w:pPr>
          </w:p>
        </w:tc>
      </w:tr>
      <w:tr>
        <w:trPr>
          <w:trHeight w:val="20"/>
        </w:trPr>
        <w:tc>
          <w:tcPr>
            <w:tcW w:w="78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420" w:type="dxa"/>
            <w:vAlign w:val="bottom"/>
            <w:gridSpan w:val="3"/>
            <w:shd w:val="clear" w:color="auto" w:fill="0000EE"/>
          </w:tcPr>
          <w:p>
            <w:pPr>
              <w:spacing w:after="0" w:line="20" w:lineRule="exact"/>
              <w:rPr>
                <w:sz w:val="1"/>
                <w:szCs w:val="1"/>
                <w:color w:val="auto"/>
              </w:rPr>
            </w:pPr>
          </w:p>
        </w:tc>
        <w:tc>
          <w:tcPr>
            <w:tcW w:w="180" w:type="dxa"/>
            <w:vAlign w:val="bottom"/>
            <w:tcBorders>
              <w:left w:val="single" w:sz="8" w:color="0000EE"/>
            </w:tcBorders>
            <w:gridSpan w:val="2"/>
            <w:shd w:val="clear" w:color="auto" w:fill="0000EE"/>
          </w:tcPr>
          <w:p>
            <w:pPr>
              <w:spacing w:after="0" w:line="20" w:lineRule="exact"/>
              <w:rPr>
                <w:sz w:val="1"/>
                <w:szCs w:val="1"/>
                <w:color w:val="auto"/>
              </w:rPr>
            </w:pPr>
          </w:p>
        </w:tc>
        <w:tc>
          <w:tcPr>
            <w:tcW w:w="600" w:type="dxa"/>
            <w:vAlign w:val="bottom"/>
            <w:tcBorders>
              <w:left w:val="single" w:sz="8" w:color="0000EE"/>
            </w:tcBorders>
            <w:gridSpan w:val="2"/>
            <w:shd w:val="clear" w:color="auto" w:fill="0000EE"/>
          </w:tcPr>
          <w:p>
            <w:pPr>
              <w:spacing w:after="0" w:line="20" w:lineRule="exact"/>
              <w:rPr>
                <w:sz w:val="1"/>
                <w:szCs w:val="1"/>
                <w:color w:val="auto"/>
              </w:rPr>
            </w:pPr>
          </w:p>
        </w:tc>
        <w:tc>
          <w:tcPr>
            <w:tcW w:w="400" w:type="dxa"/>
            <w:vAlign w:val="bottom"/>
            <w:tcBorders>
              <w:left w:val="single" w:sz="8" w:color="0000EE"/>
            </w:tcBorders>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580" w:type="dxa"/>
            <w:vAlign w:val="bottom"/>
            <w:shd w:val="clear" w:color="auto" w:fill="0000EE"/>
          </w:tcPr>
          <w:p>
            <w:pPr>
              <w:spacing w:after="0" w:line="20" w:lineRule="exact"/>
              <w:rPr>
                <w:sz w:val="1"/>
                <w:szCs w:val="1"/>
                <w:color w:val="auto"/>
              </w:rPr>
            </w:pPr>
          </w:p>
        </w:tc>
        <w:tc>
          <w:tcPr>
            <w:tcW w:w="360" w:type="dxa"/>
            <w:vAlign w:val="bottom"/>
            <w:shd w:val="clear" w:color="auto" w:fill="0000EE"/>
          </w:tcPr>
          <w:p>
            <w:pPr>
              <w:spacing w:after="0" w:line="20" w:lineRule="exact"/>
              <w:rPr>
                <w:sz w:val="1"/>
                <w:szCs w:val="1"/>
                <w:color w:val="auto"/>
              </w:rPr>
            </w:pPr>
          </w:p>
        </w:tc>
        <w:tc>
          <w:tcPr>
            <w:tcW w:w="940" w:type="dxa"/>
            <w:vAlign w:val="bottom"/>
            <w:tcBorders>
              <w:left w:val="single" w:sz="8" w:color="0000EE"/>
            </w:tcBorders>
            <w:shd w:val="clear" w:color="auto" w:fill="0000EE"/>
          </w:tcPr>
          <w:p>
            <w:pPr>
              <w:spacing w:after="0" w:line="20" w:lineRule="exact"/>
              <w:rPr>
                <w:sz w:val="1"/>
                <w:szCs w:val="1"/>
                <w:color w:val="auto"/>
              </w:rPr>
            </w:pPr>
          </w:p>
        </w:tc>
        <w:tc>
          <w:tcPr>
            <w:tcW w:w="120" w:type="dxa"/>
            <w:vAlign w:val="bottom"/>
            <w:tcBorders>
              <w:left w:val="single" w:sz="8" w:color="0000EE"/>
            </w:tcBorders>
            <w:shd w:val="clear" w:color="auto" w:fill="0000EE"/>
          </w:tcPr>
          <w:p>
            <w:pPr>
              <w:spacing w:after="0" w:line="20" w:lineRule="exact"/>
              <w:rPr>
                <w:sz w:val="1"/>
                <w:szCs w:val="1"/>
                <w:color w:val="auto"/>
              </w:rPr>
            </w:pPr>
          </w:p>
        </w:tc>
        <w:tc>
          <w:tcPr>
            <w:tcW w:w="1260" w:type="dxa"/>
            <w:vAlign w:val="bottom"/>
            <w:gridSpan w:val="3"/>
            <w:shd w:val="clear" w:color="auto" w:fill="0000EE"/>
          </w:tcPr>
          <w:p>
            <w:pPr>
              <w:spacing w:after="0" w:line="20" w:lineRule="exact"/>
              <w:rPr>
                <w:sz w:val="1"/>
                <w:szCs w:val="1"/>
                <w:color w:val="auto"/>
              </w:rPr>
            </w:pPr>
          </w:p>
        </w:tc>
        <w:tc>
          <w:tcPr>
            <w:tcW w:w="600" w:type="dxa"/>
            <w:vAlign w:val="bottom"/>
            <w:gridSpan w:val="2"/>
            <w:shd w:val="clear" w:color="auto" w:fill="0000EE"/>
          </w:tcPr>
          <w:p>
            <w:pPr>
              <w:spacing w:after="0" w:line="20" w:lineRule="exact"/>
              <w:rPr>
                <w:sz w:val="1"/>
                <w:szCs w:val="1"/>
                <w:color w:val="auto"/>
              </w:rPr>
            </w:pPr>
          </w:p>
        </w:tc>
        <w:tc>
          <w:tcPr>
            <w:tcW w:w="2180" w:type="dxa"/>
            <w:vAlign w:val="bottom"/>
            <w:shd w:val="clear" w:color="auto" w:fill="0000EE"/>
          </w:tcPr>
          <w:p>
            <w:pPr>
              <w:spacing w:after="0" w:line="20" w:lineRule="exact"/>
              <w:rPr>
                <w:sz w:val="1"/>
                <w:szCs w:val="1"/>
                <w:color w:val="auto"/>
              </w:rPr>
            </w:pPr>
          </w:p>
        </w:tc>
        <w:tc>
          <w:tcPr>
            <w:tcW w:w="158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80" w:type="dxa"/>
            <w:vAlign w:val="bottom"/>
            <w:gridSpan w:val="3"/>
            <w:shd w:val="clear" w:color="auto" w:fill="0000FF"/>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r>
      <w:tr>
        <w:trPr>
          <w:trHeight w:val="453"/>
        </w:trPr>
        <w:tc>
          <w:tcPr>
            <w:tcW w:w="8920" w:type="dxa"/>
            <w:vAlign w:val="bottom"/>
            <w:gridSpan w:val="21"/>
          </w:tcPr>
          <w:p>
            <w:pPr>
              <w:spacing w:after="0"/>
              <w:rPr>
                <w:rFonts w:ascii="Arial" w:cs="Arial" w:eastAsia="Arial" w:hAnsi="Arial"/>
                <w:sz w:val="18"/>
                <w:szCs w:val="18"/>
                <w:color w:val="0000EE"/>
              </w:rPr>
            </w:pPr>
            <w:hyperlink w:anchor="page58">
              <w:r>
                <w:rPr>
                  <w:rFonts w:ascii="Arial" w:cs="Arial" w:eastAsia="Arial" w:hAnsi="Arial"/>
                  <w:sz w:val="18"/>
                  <w:szCs w:val="18"/>
                  <w:color w:val="0000EE"/>
                </w:rPr>
                <w:t>QUANTITATIVE AND QUALITATIVE DISCLOSURES ABOUT MARKET RISK</w:t>
              </w:r>
            </w:hyperlink>
          </w:p>
        </w:tc>
        <w:tc>
          <w:tcPr>
            <w:tcW w:w="1580" w:type="dxa"/>
            <w:vAlign w:val="bottom"/>
          </w:tcPr>
          <w:p>
            <w:pPr>
              <w:spacing w:after="0"/>
              <w:rPr>
                <w:sz w:val="24"/>
                <w:szCs w:val="24"/>
                <w:color w:val="auto"/>
              </w:rPr>
            </w:pPr>
          </w:p>
        </w:tc>
        <w:tc>
          <w:tcPr>
            <w:tcW w:w="560" w:type="dxa"/>
            <w:vAlign w:val="bottom"/>
            <w:gridSpan w:val="4"/>
          </w:tcPr>
          <w:p>
            <w:pPr>
              <w:jc w:val="center"/>
              <w:ind w:left="290"/>
              <w:spacing w:after="0"/>
              <w:rPr>
                <w:sz w:val="20"/>
                <w:szCs w:val="20"/>
                <w:color w:val="auto"/>
              </w:rPr>
            </w:pPr>
            <w:r>
              <w:rPr>
                <w:rFonts w:ascii="Arial" w:cs="Arial" w:eastAsia="Arial" w:hAnsi="Arial"/>
                <w:sz w:val="18"/>
                <w:szCs w:val="18"/>
                <w:color w:val="0000FF"/>
                <w:w w:val="89"/>
              </w:rPr>
              <w:t>47</w:t>
            </w:r>
          </w:p>
        </w:tc>
        <w:tc>
          <w:tcPr>
            <w:tcW w:w="360" w:type="dxa"/>
            <w:vAlign w:val="bottom"/>
          </w:tcPr>
          <w:p>
            <w:pPr>
              <w:spacing w:after="0"/>
              <w:rPr>
                <w:sz w:val="24"/>
                <w:szCs w:val="24"/>
                <w:color w:val="auto"/>
              </w:rPr>
            </w:pPr>
          </w:p>
        </w:tc>
      </w:tr>
      <w:tr>
        <w:trPr>
          <w:trHeight w:val="20"/>
        </w:trPr>
        <w:tc>
          <w:tcPr>
            <w:tcW w:w="78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420" w:type="dxa"/>
            <w:vAlign w:val="bottom"/>
            <w:gridSpan w:val="3"/>
            <w:shd w:val="clear" w:color="auto" w:fill="0000EE"/>
          </w:tcPr>
          <w:p>
            <w:pPr>
              <w:spacing w:after="0" w:line="20" w:lineRule="exact"/>
              <w:rPr>
                <w:sz w:val="1"/>
                <w:szCs w:val="1"/>
                <w:color w:val="auto"/>
              </w:rPr>
            </w:pPr>
          </w:p>
        </w:tc>
        <w:tc>
          <w:tcPr>
            <w:tcW w:w="180" w:type="dxa"/>
            <w:vAlign w:val="bottom"/>
            <w:tcBorders>
              <w:left w:val="single" w:sz="8" w:color="0000EE"/>
            </w:tcBorders>
            <w:gridSpan w:val="2"/>
            <w:shd w:val="clear" w:color="auto" w:fill="0000EE"/>
          </w:tcPr>
          <w:p>
            <w:pPr>
              <w:spacing w:after="0" w:line="20" w:lineRule="exact"/>
              <w:rPr>
                <w:sz w:val="1"/>
                <w:szCs w:val="1"/>
                <w:color w:val="auto"/>
              </w:rPr>
            </w:pPr>
          </w:p>
        </w:tc>
        <w:tc>
          <w:tcPr>
            <w:tcW w:w="600" w:type="dxa"/>
            <w:vAlign w:val="bottom"/>
            <w:tcBorders>
              <w:left w:val="single" w:sz="8" w:color="0000EE"/>
            </w:tcBorders>
            <w:gridSpan w:val="2"/>
            <w:shd w:val="clear" w:color="auto" w:fill="0000EE"/>
          </w:tcPr>
          <w:p>
            <w:pPr>
              <w:spacing w:after="0" w:line="20" w:lineRule="exact"/>
              <w:rPr>
                <w:sz w:val="1"/>
                <w:szCs w:val="1"/>
                <w:color w:val="auto"/>
              </w:rPr>
            </w:pPr>
          </w:p>
        </w:tc>
        <w:tc>
          <w:tcPr>
            <w:tcW w:w="400" w:type="dxa"/>
            <w:vAlign w:val="bottom"/>
            <w:tcBorders>
              <w:left w:val="single" w:sz="8" w:color="0000EE"/>
            </w:tcBorders>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580" w:type="dxa"/>
            <w:vAlign w:val="bottom"/>
            <w:shd w:val="clear" w:color="auto" w:fill="0000EE"/>
          </w:tcPr>
          <w:p>
            <w:pPr>
              <w:spacing w:after="0" w:line="20" w:lineRule="exact"/>
              <w:rPr>
                <w:sz w:val="1"/>
                <w:szCs w:val="1"/>
                <w:color w:val="auto"/>
              </w:rPr>
            </w:pPr>
          </w:p>
        </w:tc>
        <w:tc>
          <w:tcPr>
            <w:tcW w:w="360" w:type="dxa"/>
            <w:vAlign w:val="bottom"/>
            <w:shd w:val="clear" w:color="auto" w:fill="0000EE"/>
          </w:tcPr>
          <w:p>
            <w:pPr>
              <w:spacing w:after="0" w:line="20" w:lineRule="exact"/>
              <w:rPr>
                <w:sz w:val="1"/>
                <w:szCs w:val="1"/>
                <w:color w:val="auto"/>
              </w:rPr>
            </w:pPr>
          </w:p>
        </w:tc>
        <w:tc>
          <w:tcPr>
            <w:tcW w:w="940" w:type="dxa"/>
            <w:vAlign w:val="bottom"/>
            <w:tcBorders>
              <w:left w:val="single" w:sz="8" w:color="0000EE"/>
            </w:tcBorders>
            <w:shd w:val="clear" w:color="auto" w:fill="0000EE"/>
          </w:tcPr>
          <w:p>
            <w:pPr>
              <w:spacing w:after="0" w:line="20" w:lineRule="exact"/>
              <w:rPr>
                <w:sz w:val="1"/>
                <w:szCs w:val="1"/>
                <w:color w:val="auto"/>
              </w:rPr>
            </w:pPr>
          </w:p>
        </w:tc>
        <w:tc>
          <w:tcPr>
            <w:tcW w:w="120" w:type="dxa"/>
            <w:vAlign w:val="bottom"/>
            <w:tcBorders>
              <w:left w:val="single" w:sz="8" w:color="0000EE"/>
            </w:tcBorders>
            <w:shd w:val="clear" w:color="auto" w:fill="0000EE"/>
          </w:tcPr>
          <w:p>
            <w:pPr>
              <w:spacing w:after="0" w:line="20" w:lineRule="exact"/>
              <w:rPr>
                <w:sz w:val="1"/>
                <w:szCs w:val="1"/>
                <w:color w:val="auto"/>
              </w:rPr>
            </w:pPr>
          </w:p>
        </w:tc>
        <w:tc>
          <w:tcPr>
            <w:tcW w:w="1260" w:type="dxa"/>
            <w:vAlign w:val="bottom"/>
            <w:gridSpan w:val="3"/>
            <w:shd w:val="clear" w:color="auto" w:fill="0000EE"/>
          </w:tcPr>
          <w:p>
            <w:pPr>
              <w:spacing w:after="0" w:line="20" w:lineRule="exact"/>
              <w:rPr>
                <w:sz w:val="1"/>
                <w:szCs w:val="1"/>
                <w:color w:val="auto"/>
              </w:rPr>
            </w:pPr>
          </w:p>
        </w:tc>
        <w:tc>
          <w:tcPr>
            <w:tcW w:w="600" w:type="dxa"/>
            <w:vAlign w:val="bottom"/>
            <w:gridSpan w:val="2"/>
          </w:tcPr>
          <w:p>
            <w:pPr>
              <w:spacing w:after="0" w:line="20" w:lineRule="exact"/>
              <w:rPr>
                <w:sz w:val="1"/>
                <w:szCs w:val="1"/>
                <w:color w:val="auto"/>
              </w:rPr>
            </w:pPr>
          </w:p>
        </w:tc>
        <w:tc>
          <w:tcPr>
            <w:tcW w:w="3760" w:type="dxa"/>
            <w:vAlign w:val="bottom"/>
            <w:gridSpan w:val="2"/>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80" w:type="dxa"/>
            <w:vAlign w:val="bottom"/>
            <w:gridSpan w:val="3"/>
            <w:shd w:val="clear" w:color="auto" w:fill="0000FF"/>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r>
      <w:tr>
        <w:trPr>
          <w:trHeight w:val="453"/>
        </w:trPr>
        <w:tc>
          <w:tcPr>
            <w:tcW w:w="860" w:type="dxa"/>
            <w:vAlign w:val="bottom"/>
            <w:gridSpan w:val="2"/>
          </w:tcPr>
          <w:p>
            <w:pPr>
              <w:spacing w:after="0"/>
              <w:rPr>
                <w:rFonts w:ascii="Arial" w:cs="Arial" w:eastAsia="Arial" w:hAnsi="Arial"/>
                <w:sz w:val="18"/>
                <w:szCs w:val="18"/>
                <w:color w:val="0000EE"/>
                <w:w w:val="92"/>
              </w:rPr>
            </w:pPr>
            <w:hyperlink w:anchor="page59">
              <w:r>
                <w:rPr>
                  <w:rFonts w:ascii="Arial" w:cs="Arial" w:eastAsia="Arial" w:hAnsi="Arial"/>
                  <w:sz w:val="18"/>
                  <w:szCs w:val="18"/>
                  <w:color w:val="0000EE"/>
                  <w:w w:val="92"/>
                </w:rPr>
                <w:t>BUSINESS</w:t>
              </w:r>
            </w:hyperlink>
          </w:p>
        </w:tc>
        <w:tc>
          <w:tcPr>
            <w:tcW w:w="5280" w:type="dxa"/>
            <w:vAlign w:val="bottom"/>
            <w:gridSpan w:val="16"/>
          </w:tcPr>
          <w:p>
            <w:pPr>
              <w:spacing w:after="0"/>
              <w:rPr>
                <w:sz w:val="24"/>
                <w:szCs w:val="24"/>
                <w:color w:val="auto"/>
              </w:rPr>
            </w:pPr>
          </w:p>
        </w:tc>
        <w:tc>
          <w:tcPr>
            <w:tcW w:w="4360" w:type="dxa"/>
            <w:vAlign w:val="bottom"/>
            <w:gridSpan w:val="4"/>
          </w:tcPr>
          <w:p>
            <w:pPr>
              <w:spacing w:after="0"/>
              <w:rPr>
                <w:sz w:val="24"/>
                <w:szCs w:val="24"/>
                <w:color w:val="auto"/>
              </w:rPr>
            </w:pPr>
          </w:p>
        </w:tc>
        <w:tc>
          <w:tcPr>
            <w:tcW w:w="560" w:type="dxa"/>
            <w:vAlign w:val="bottom"/>
            <w:gridSpan w:val="4"/>
          </w:tcPr>
          <w:p>
            <w:pPr>
              <w:jc w:val="center"/>
              <w:ind w:left="290"/>
              <w:spacing w:after="0"/>
              <w:rPr>
                <w:sz w:val="20"/>
                <w:szCs w:val="20"/>
                <w:color w:val="auto"/>
              </w:rPr>
            </w:pPr>
            <w:r>
              <w:rPr>
                <w:rFonts w:ascii="Arial" w:cs="Arial" w:eastAsia="Arial" w:hAnsi="Arial"/>
                <w:sz w:val="18"/>
                <w:szCs w:val="18"/>
                <w:color w:val="0000FF"/>
                <w:w w:val="89"/>
              </w:rPr>
              <w:t>48</w:t>
            </w:r>
          </w:p>
        </w:tc>
        <w:tc>
          <w:tcPr>
            <w:tcW w:w="360" w:type="dxa"/>
            <w:vAlign w:val="bottom"/>
          </w:tcPr>
          <w:p>
            <w:pPr>
              <w:spacing w:after="0"/>
              <w:rPr>
                <w:sz w:val="24"/>
                <w:szCs w:val="24"/>
                <w:color w:val="auto"/>
              </w:rPr>
            </w:pPr>
          </w:p>
        </w:tc>
      </w:tr>
      <w:tr>
        <w:trPr>
          <w:trHeight w:val="20"/>
        </w:trPr>
        <w:tc>
          <w:tcPr>
            <w:tcW w:w="78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420" w:type="dxa"/>
            <w:vAlign w:val="bottom"/>
            <w:gridSpan w:val="3"/>
          </w:tcPr>
          <w:p>
            <w:pPr>
              <w:spacing w:after="0" w:line="20" w:lineRule="exact"/>
              <w:rPr>
                <w:sz w:val="1"/>
                <w:szCs w:val="1"/>
                <w:color w:val="auto"/>
              </w:rPr>
            </w:pPr>
          </w:p>
        </w:tc>
        <w:tc>
          <w:tcPr>
            <w:tcW w:w="180" w:type="dxa"/>
            <w:vAlign w:val="bottom"/>
            <w:gridSpan w:val="2"/>
          </w:tcPr>
          <w:p>
            <w:pPr>
              <w:spacing w:after="0" w:line="20" w:lineRule="exact"/>
              <w:rPr>
                <w:sz w:val="1"/>
                <w:szCs w:val="1"/>
                <w:color w:val="auto"/>
              </w:rPr>
            </w:pPr>
          </w:p>
        </w:tc>
        <w:tc>
          <w:tcPr>
            <w:tcW w:w="600" w:type="dxa"/>
            <w:vAlign w:val="bottom"/>
            <w:gridSpan w:val="2"/>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60" w:type="dxa"/>
            <w:vAlign w:val="bottom"/>
            <w:gridSpan w:val="5"/>
          </w:tcPr>
          <w:p>
            <w:pPr>
              <w:spacing w:after="0" w:line="20" w:lineRule="exact"/>
              <w:rPr>
                <w:sz w:val="1"/>
                <w:szCs w:val="1"/>
                <w:color w:val="auto"/>
              </w:rPr>
            </w:pPr>
          </w:p>
        </w:tc>
        <w:tc>
          <w:tcPr>
            <w:tcW w:w="3760" w:type="dxa"/>
            <w:vAlign w:val="bottom"/>
            <w:gridSpan w:val="2"/>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80" w:type="dxa"/>
            <w:vAlign w:val="bottom"/>
            <w:gridSpan w:val="3"/>
            <w:shd w:val="clear" w:color="auto" w:fill="0000FF"/>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r>
      <w:tr>
        <w:trPr>
          <w:trHeight w:val="453"/>
        </w:trPr>
        <w:tc>
          <w:tcPr>
            <w:tcW w:w="4880" w:type="dxa"/>
            <w:vAlign w:val="bottom"/>
            <w:gridSpan w:val="15"/>
          </w:tcPr>
          <w:p>
            <w:pPr>
              <w:spacing w:after="0"/>
              <w:rPr>
                <w:rFonts w:ascii="Arial" w:cs="Arial" w:eastAsia="Arial" w:hAnsi="Arial"/>
                <w:sz w:val="18"/>
                <w:szCs w:val="18"/>
                <w:color w:val="0000EE"/>
                <w:w w:val="96"/>
              </w:rPr>
            </w:pPr>
            <w:hyperlink w:anchor="page64">
              <w:r>
                <w:rPr>
                  <w:rFonts w:ascii="Arial" w:cs="Arial" w:eastAsia="Arial" w:hAnsi="Arial"/>
                  <w:sz w:val="18"/>
                  <w:szCs w:val="18"/>
                  <w:color w:val="0000EE"/>
                  <w:w w:val="96"/>
                </w:rPr>
                <w:t>CERTAIN RELATIONSHIPS AND RELATED TRANSACTIONS</w:t>
              </w:r>
            </w:hyperlink>
          </w:p>
        </w:tc>
        <w:tc>
          <w:tcPr>
            <w:tcW w:w="5620" w:type="dxa"/>
            <w:vAlign w:val="bottom"/>
            <w:gridSpan w:val="7"/>
          </w:tcPr>
          <w:p>
            <w:pPr>
              <w:spacing w:after="0"/>
              <w:rPr>
                <w:sz w:val="24"/>
                <w:szCs w:val="24"/>
                <w:color w:val="auto"/>
              </w:rPr>
            </w:pPr>
          </w:p>
        </w:tc>
        <w:tc>
          <w:tcPr>
            <w:tcW w:w="560" w:type="dxa"/>
            <w:vAlign w:val="bottom"/>
            <w:gridSpan w:val="4"/>
          </w:tcPr>
          <w:p>
            <w:pPr>
              <w:jc w:val="center"/>
              <w:ind w:left="290"/>
              <w:spacing w:after="0"/>
              <w:rPr>
                <w:sz w:val="20"/>
                <w:szCs w:val="20"/>
                <w:color w:val="auto"/>
              </w:rPr>
            </w:pPr>
            <w:r>
              <w:rPr>
                <w:rFonts w:ascii="Arial" w:cs="Arial" w:eastAsia="Arial" w:hAnsi="Arial"/>
                <w:sz w:val="18"/>
                <w:szCs w:val="18"/>
                <w:color w:val="0000FF"/>
                <w:w w:val="89"/>
              </w:rPr>
              <w:t>53</w:t>
            </w:r>
          </w:p>
        </w:tc>
        <w:tc>
          <w:tcPr>
            <w:tcW w:w="360" w:type="dxa"/>
            <w:vAlign w:val="bottom"/>
          </w:tcPr>
          <w:p>
            <w:pPr>
              <w:spacing w:after="0"/>
              <w:rPr>
                <w:sz w:val="24"/>
                <w:szCs w:val="24"/>
                <w:color w:val="auto"/>
              </w:rPr>
            </w:pPr>
          </w:p>
        </w:tc>
      </w:tr>
      <w:tr>
        <w:trPr>
          <w:trHeight w:val="20"/>
        </w:trPr>
        <w:tc>
          <w:tcPr>
            <w:tcW w:w="780" w:type="dxa"/>
            <w:vAlign w:val="bottom"/>
            <w:shd w:val="clear" w:color="auto" w:fill="0000EE"/>
          </w:tcPr>
          <w:p>
            <w:pPr>
              <w:spacing w:after="0" w:line="20" w:lineRule="exact"/>
              <w:rPr>
                <w:sz w:val="1"/>
                <w:szCs w:val="1"/>
                <w:color w:val="auto"/>
              </w:rPr>
            </w:pPr>
          </w:p>
        </w:tc>
        <w:tc>
          <w:tcPr>
            <w:tcW w:w="500" w:type="dxa"/>
            <w:vAlign w:val="bottom"/>
            <w:gridSpan w:val="4"/>
            <w:shd w:val="clear" w:color="auto" w:fill="0000EE"/>
          </w:tcPr>
          <w:p>
            <w:pPr>
              <w:spacing w:after="0" w:line="20" w:lineRule="exact"/>
              <w:rPr>
                <w:sz w:val="1"/>
                <w:szCs w:val="1"/>
                <w:color w:val="auto"/>
              </w:rPr>
            </w:pPr>
          </w:p>
        </w:tc>
        <w:tc>
          <w:tcPr>
            <w:tcW w:w="180" w:type="dxa"/>
            <w:vAlign w:val="bottom"/>
            <w:tcBorders>
              <w:left w:val="single" w:sz="8" w:color="0000EE"/>
            </w:tcBorders>
            <w:gridSpan w:val="2"/>
            <w:shd w:val="clear" w:color="auto" w:fill="0000EE"/>
          </w:tcPr>
          <w:p>
            <w:pPr>
              <w:spacing w:after="0" w:line="20" w:lineRule="exact"/>
              <w:rPr>
                <w:sz w:val="1"/>
                <w:szCs w:val="1"/>
                <w:color w:val="auto"/>
              </w:rPr>
            </w:pPr>
          </w:p>
        </w:tc>
        <w:tc>
          <w:tcPr>
            <w:tcW w:w="600" w:type="dxa"/>
            <w:vAlign w:val="bottom"/>
            <w:tcBorders>
              <w:left w:val="single" w:sz="8" w:color="0000EE"/>
            </w:tcBorders>
            <w:gridSpan w:val="2"/>
            <w:shd w:val="clear" w:color="auto" w:fill="0000EE"/>
          </w:tcPr>
          <w:p>
            <w:pPr>
              <w:spacing w:after="0" w:line="20" w:lineRule="exact"/>
              <w:rPr>
                <w:sz w:val="1"/>
                <w:szCs w:val="1"/>
                <w:color w:val="auto"/>
              </w:rPr>
            </w:pPr>
          </w:p>
        </w:tc>
        <w:tc>
          <w:tcPr>
            <w:tcW w:w="400" w:type="dxa"/>
            <w:vAlign w:val="bottom"/>
            <w:tcBorders>
              <w:left w:val="single" w:sz="8" w:color="0000EE"/>
            </w:tcBorders>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580" w:type="dxa"/>
            <w:vAlign w:val="bottom"/>
            <w:shd w:val="clear" w:color="auto" w:fill="0000EE"/>
          </w:tcPr>
          <w:p>
            <w:pPr>
              <w:spacing w:after="0" w:line="20" w:lineRule="exact"/>
              <w:rPr>
                <w:sz w:val="1"/>
                <w:szCs w:val="1"/>
                <w:color w:val="auto"/>
              </w:rPr>
            </w:pPr>
          </w:p>
        </w:tc>
        <w:tc>
          <w:tcPr>
            <w:tcW w:w="360" w:type="dxa"/>
            <w:vAlign w:val="bottom"/>
            <w:shd w:val="clear" w:color="auto" w:fill="0000EE"/>
          </w:tcPr>
          <w:p>
            <w:pPr>
              <w:spacing w:after="0" w:line="20" w:lineRule="exact"/>
              <w:rPr>
                <w:sz w:val="1"/>
                <w:szCs w:val="1"/>
                <w:color w:val="auto"/>
              </w:rPr>
            </w:pPr>
          </w:p>
        </w:tc>
        <w:tc>
          <w:tcPr>
            <w:tcW w:w="940" w:type="dxa"/>
            <w:vAlign w:val="bottom"/>
            <w:tcBorders>
              <w:left w:val="single" w:sz="8" w:color="0000EE"/>
            </w:tcBorders>
            <w:shd w:val="clear" w:color="auto" w:fill="0000EE"/>
          </w:tcPr>
          <w:p>
            <w:pPr>
              <w:spacing w:after="0" w:line="20" w:lineRule="exact"/>
              <w:rPr>
                <w:sz w:val="1"/>
                <w:szCs w:val="1"/>
                <w:color w:val="auto"/>
              </w:rPr>
            </w:pPr>
          </w:p>
        </w:tc>
        <w:tc>
          <w:tcPr>
            <w:tcW w:w="120" w:type="dxa"/>
            <w:vAlign w:val="bottom"/>
            <w:tcBorders>
              <w:left w:val="single" w:sz="8" w:color="0000EE"/>
            </w:tcBorders>
            <w:shd w:val="clear" w:color="auto" w:fill="0000EE"/>
          </w:tcPr>
          <w:p>
            <w:pPr>
              <w:spacing w:after="0" w:line="20" w:lineRule="exact"/>
              <w:rPr>
                <w:sz w:val="1"/>
                <w:szCs w:val="1"/>
                <w:color w:val="auto"/>
              </w:rPr>
            </w:pPr>
          </w:p>
        </w:tc>
        <w:tc>
          <w:tcPr>
            <w:tcW w:w="1860" w:type="dxa"/>
            <w:vAlign w:val="bottom"/>
            <w:gridSpan w:val="5"/>
          </w:tcPr>
          <w:p>
            <w:pPr>
              <w:spacing w:after="0" w:line="20" w:lineRule="exact"/>
              <w:rPr>
                <w:sz w:val="1"/>
                <w:szCs w:val="1"/>
                <w:color w:val="auto"/>
              </w:rPr>
            </w:pPr>
          </w:p>
        </w:tc>
        <w:tc>
          <w:tcPr>
            <w:tcW w:w="3760" w:type="dxa"/>
            <w:vAlign w:val="bottom"/>
            <w:gridSpan w:val="2"/>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80" w:type="dxa"/>
            <w:vAlign w:val="bottom"/>
            <w:gridSpan w:val="3"/>
            <w:shd w:val="clear" w:color="auto" w:fill="0000FF"/>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r>
      <w:tr>
        <w:trPr>
          <w:trHeight w:val="453"/>
        </w:trPr>
        <w:tc>
          <w:tcPr>
            <w:tcW w:w="4760" w:type="dxa"/>
            <w:vAlign w:val="bottom"/>
            <w:gridSpan w:val="14"/>
          </w:tcPr>
          <w:p>
            <w:pPr>
              <w:spacing w:after="0"/>
              <w:rPr>
                <w:rFonts w:ascii="Arial" w:cs="Arial" w:eastAsia="Arial" w:hAnsi="Arial"/>
                <w:sz w:val="18"/>
                <w:szCs w:val="18"/>
                <w:color w:val="0000EE"/>
                <w:w w:val="95"/>
              </w:rPr>
            </w:pPr>
            <w:hyperlink w:anchor="page65">
              <w:r>
                <w:rPr>
                  <w:rFonts w:ascii="Arial" w:cs="Arial" w:eastAsia="Arial" w:hAnsi="Arial"/>
                  <w:sz w:val="18"/>
                  <w:szCs w:val="18"/>
                  <w:color w:val="0000EE"/>
                  <w:w w:val="95"/>
                </w:rPr>
                <w:t>RELATIONSHIP WITH TIMKEN FOLLOWING THE SPINOFF</w:t>
              </w:r>
            </w:hyperlink>
          </w:p>
        </w:tc>
        <w:tc>
          <w:tcPr>
            <w:tcW w:w="120" w:type="dxa"/>
            <w:vAlign w:val="bottom"/>
          </w:tcPr>
          <w:p>
            <w:pPr>
              <w:spacing w:after="0"/>
              <w:rPr>
                <w:sz w:val="24"/>
                <w:szCs w:val="24"/>
                <w:color w:val="auto"/>
              </w:rPr>
            </w:pPr>
          </w:p>
        </w:tc>
        <w:tc>
          <w:tcPr>
            <w:tcW w:w="5620" w:type="dxa"/>
            <w:vAlign w:val="bottom"/>
            <w:gridSpan w:val="7"/>
          </w:tcPr>
          <w:p>
            <w:pPr>
              <w:spacing w:after="0"/>
              <w:rPr>
                <w:sz w:val="24"/>
                <w:szCs w:val="24"/>
                <w:color w:val="auto"/>
              </w:rPr>
            </w:pPr>
          </w:p>
        </w:tc>
        <w:tc>
          <w:tcPr>
            <w:tcW w:w="560" w:type="dxa"/>
            <w:vAlign w:val="bottom"/>
            <w:gridSpan w:val="4"/>
          </w:tcPr>
          <w:p>
            <w:pPr>
              <w:jc w:val="center"/>
              <w:ind w:left="290"/>
              <w:spacing w:after="0"/>
              <w:rPr>
                <w:sz w:val="20"/>
                <w:szCs w:val="20"/>
                <w:color w:val="auto"/>
              </w:rPr>
            </w:pPr>
            <w:r>
              <w:rPr>
                <w:rFonts w:ascii="Arial" w:cs="Arial" w:eastAsia="Arial" w:hAnsi="Arial"/>
                <w:sz w:val="18"/>
                <w:szCs w:val="18"/>
                <w:color w:val="0000FF"/>
                <w:w w:val="89"/>
              </w:rPr>
              <w:t>54</w:t>
            </w:r>
          </w:p>
        </w:tc>
        <w:tc>
          <w:tcPr>
            <w:tcW w:w="360" w:type="dxa"/>
            <w:vAlign w:val="bottom"/>
          </w:tcPr>
          <w:p>
            <w:pPr>
              <w:spacing w:after="0"/>
              <w:rPr>
                <w:sz w:val="24"/>
                <w:szCs w:val="24"/>
                <w:color w:val="auto"/>
              </w:rPr>
            </w:pPr>
          </w:p>
        </w:tc>
      </w:tr>
      <w:tr>
        <w:trPr>
          <w:trHeight w:val="20"/>
        </w:trPr>
        <w:tc>
          <w:tcPr>
            <w:tcW w:w="780" w:type="dxa"/>
            <w:vAlign w:val="bottom"/>
            <w:shd w:val="clear" w:color="auto" w:fill="0000EE"/>
          </w:tcPr>
          <w:p>
            <w:pPr>
              <w:spacing w:after="0" w:line="20" w:lineRule="exact"/>
              <w:rPr>
                <w:sz w:val="1"/>
                <w:szCs w:val="1"/>
                <w:color w:val="auto"/>
              </w:rPr>
            </w:pPr>
          </w:p>
        </w:tc>
        <w:tc>
          <w:tcPr>
            <w:tcW w:w="500" w:type="dxa"/>
            <w:vAlign w:val="bottom"/>
            <w:gridSpan w:val="4"/>
            <w:shd w:val="clear" w:color="auto" w:fill="0000EE"/>
          </w:tcPr>
          <w:p>
            <w:pPr>
              <w:spacing w:after="0" w:line="20" w:lineRule="exact"/>
              <w:rPr>
                <w:sz w:val="1"/>
                <w:szCs w:val="1"/>
                <w:color w:val="auto"/>
              </w:rPr>
            </w:pPr>
          </w:p>
        </w:tc>
        <w:tc>
          <w:tcPr>
            <w:tcW w:w="180" w:type="dxa"/>
            <w:vAlign w:val="bottom"/>
            <w:tcBorders>
              <w:left w:val="single" w:sz="8" w:color="0000EE"/>
            </w:tcBorders>
            <w:gridSpan w:val="2"/>
            <w:shd w:val="clear" w:color="auto" w:fill="0000EE"/>
          </w:tcPr>
          <w:p>
            <w:pPr>
              <w:spacing w:after="0" w:line="20" w:lineRule="exact"/>
              <w:rPr>
                <w:sz w:val="1"/>
                <w:szCs w:val="1"/>
                <w:color w:val="auto"/>
              </w:rPr>
            </w:pPr>
          </w:p>
        </w:tc>
        <w:tc>
          <w:tcPr>
            <w:tcW w:w="600" w:type="dxa"/>
            <w:vAlign w:val="bottom"/>
            <w:tcBorders>
              <w:left w:val="single" w:sz="8" w:color="0000EE"/>
            </w:tcBorders>
            <w:gridSpan w:val="2"/>
            <w:shd w:val="clear" w:color="auto" w:fill="0000EE"/>
          </w:tcPr>
          <w:p>
            <w:pPr>
              <w:spacing w:after="0" w:line="20" w:lineRule="exact"/>
              <w:rPr>
                <w:sz w:val="1"/>
                <w:szCs w:val="1"/>
                <w:color w:val="auto"/>
              </w:rPr>
            </w:pPr>
          </w:p>
        </w:tc>
        <w:tc>
          <w:tcPr>
            <w:tcW w:w="400" w:type="dxa"/>
            <w:vAlign w:val="bottom"/>
            <w:tcBorders>
              <w:left w:val="single" w:sz="8" w:color="0000EE"/>
            </w:tcBorders>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580" w:type="dxa"/>
            <w:vAlign w:val="bottom"/>
            <w:shd w:val="clear" w:color="auto" w:fill="0000EE"/>
          </w:tcPr>
          <w:p>
            <w:pPr>
              <w:spacing w:after="0" w:line="20" w:lineRule="exact"/>
              <w:rPr>
                <w:sz w:val="1"/>
                <w:szCs w:val="1"/>
                <w:color w:val="auto"/>
              </w:rPr>
            </w:pPr>
          </w:p>
        </w:tc>
        <w:tc>
          <w:tcPr>
            <w:tcW w:w="360" w:type="dxa"/>
            <w:vAlign w:val="bottom"/>
            <w:shd w:val="clear" w:color="auto" w:fill="0000EE"/>
          </w:tcPr>
          <w:p>
            <w:pPr>
              <w:spacing w:after="0" w:line="20" w:lineRule="exact"/>
              <w:rPr>
                <w:sz w:val="1"/>
                <w:szCs w:val="1"/>
                <w:color w:val="auto"/>
              </w:rPr>
            </w:pPr>
          </w:p>
        </w:tc>
        <w:tc>
          <w:tcPr>
            <w:tcW w:w="940" w:type="dxa"/>
            <w:vAlign w:val="bottom"/>
            <w:tcBorders>
              <w:left w:val="single" w:sz="8" w:color="0000EE"/>
            </w:tcBorders>
            <w:shd w:val="clear" w:color="auto" w:fill="0000EE"/>
          </w:tcPr>
          <w:p>
            <w:pPr>
              <w:spacing w:after="0" w:line="20" w:lineRule="exact"/>
              <w:rPr>
                <w:sz w:val="1"/>
                <w:szCs w:val="1"/>
                <w:color w:val="auto"/>
              </w:rPr>
            </w:pPr>
          </w:p>
        </w:tc>
        <w:tc>
          <w:tcPr>
            <w:tcW w:w="1980" w:type="dxa"/>
            <w:vAlign w:val="bottom"/>
            <w:tcBorders>
              <w:left w:val="single" w:sz="8" w:color="0000EE"/>
            </w:tcBorders>
            <w:gridSpan w:val="6"/>
          </w:tcPr>
          <w:p>
            <w:pPr>
              <w:spacing w:after="0" w:line="20" w:lineRule="exact"/>
              <w:rPr>
                <w:sz w:val="1"/>
                <w:szCs w:val="1"/>
                <w:color w:val="auto"/>
              </w:rPr>
            </w:pPr>
          </w:p>
        </w:tc>
        <w:tc>
          <w:tcPr>
            <w:tcW w:w="3760" w:type="dxa"/>
            <w:vAlign w:val="bottom"/>
            <w:gridSpan w:val="2"/>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80" w:type="dxa"/>
            <w:vAlign w:val="bottom"/>
            <w:gridSpan w:val="3"/>
            <w:shd w:val="clear" w:color="auto" w:fill="0000FF"/>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r>
      <w:tr>
        <w:trPr>
          <w:trHeight w:val="453"/>
        </w:trPr>
        <w:tc>
          <w:tcPr>
            <w:tcW w:w="4760" w:type="dxa"/>
            <w:vAlign w:val="bottom"/>
            <w:gridSpan w:val="14"/>
          </w:tcPr>
          <w:p>
            <w:pPr>
              <w:spacing w:after="0"/>
              <w:rPr>
                <w:rFonts w:ascii="Arial" w:cs="Arial" w:eastAsia="Arial" w:hAnsi="Arial"/>
                <w:sz w:val="18"/>
                <w:szCs w:val="18"/>
                <w:color w:val="0000EE"/>
              </w:rPr>
            </w:pPr>
            <w:hyperlink w:anchor="page69">
              <w:r>
                <w:rPr>
                  <w:rFonts w:ascii="Arial" w:cs="Arial" w:eastAsia="Arial" w:hAnsi="Arial"/>
                  <w:sz w:val="18"/>
                  <w:szCs w:val="18"/>
                  <w:color w:val="0000EE"/>
                </w:rPr>
                <w:t>MANAGEMENT</w:t>
              </w:r>
            </w:hyperlink>
          </w:p>
        </w:tc>
        <w:tc>
          <w:tcPr>
            <w:tcW w:w="5740" w:type="dxa"/>
            <w:vAlign w:val="bottom"/>
            <w:gridSpan w:val="8"/>
          </w:tcPr>
          <w:p>
            <w:pPr>
              <w:spacing w:after="0"/>
              <w:rPr>
                <w:sz w:val="24"/>
                <w:szCs w:val="24"/>
                <w:color w:val="auto"/>
              </w:rPr>
            </w:pPr>
          </w:p>
        </w:tc>
        <w:tc>
          <w:tcPr>
            <w:tcW w:w="560" w:type="dxa"/>
            <w:vAlign w:val="bottom"/>
            <w:gridSpan w:val="4"/>
          </w:tcPr>
          <w:p>
            <w:pPr>
              <w:jc w:val="center"/>
              <w:ind w:left="290"/>
              <w:spacing w:after="0"/>
              <w:rPr>
                <w:sz w:val="20"/>
                <w:szCs w:val="20"/>
                <w:color w:val="auto"/>
              </w:rPr>
            </w:pPr>
            <w:r>
              <w:rPr>
                <w:rFonts w:ascii="Arial" w:cs="Arial" w:eastAsia="Arial" w:hAnsi="Arial"/>
                <w:sz w:val="18"/>
                <w:szCs w:val="18"/>
                <w:color w:val="0000FF"/>
                <w:w w:val="89"/>
              </w:rPr>
              <w:t>58</w:t>
            </w:r>
          </w:p>
        </w:tc>
        <w:tc>
          <w:tcPr>
            <w:tcW w:w="360" w:type="dxa"/>
            <w:vAlign w:val="bottom"/>
          </w:tcPr>
          <w:p>
            <w:pPr>
              <w:spacing w:after="0"/>
              <w:rPr>
                <w:sz w:val="24"/>
                <w:szCs w:val="24"/>
                <w:color w:val="auto"/>
              </w:rPr>
            </w:pPr>
          </w:p>
        </w:tc>
      </w:tr>
      <w:tr>
        <w:trPr>
          <w:trHeight w:val="20"/>
        </w:trPr>
        <w:tc>
          <w:tcPr>
            <w:tcW w:w="780" w:type="dxa"/>
            <w:vAlign w:val="bottom"/>
            <w:shd w:val="clear" w:color="auto" w:fill="0000EE"/>
          </w:tcPr>
          <w:p>
            <w:pPr>
              <w:spacing w:after="0" w:line="20" w:lineRule="exact"/>
              <w:rPr>
                <w:sz w:val="1"/>
                <w:szCs w:val="1"/>
                <w:color w:val="auto"/>
              </w:rPr>
            </w:pPr>
          </w:p>
        </w:tc>
        <w:tc>
          <w:tcPr>
            <w:tcW w:w="500" w:type="dxa"/>
            <w:vAlign w:val="bottom"/>
            <w:gridSpan w:val="4"/>
            <w:shd w:val="clear" w:color="auto" w:fill="0000EE"/>
          </w:tcPr>
          <w:p>
            <w:pPr>
              <w:spacing w:after="0" w:line="20" w:lineRule="exact"/>
              <w:rPr>
                <w:sz w:val="1"/>
                <w:szCs w:val="1"/>
                <w:color w:val="auto"/>
              </w:rPr>
            </w:pPr>
          </w:p>
        </w:tc>
        <w:tc>
          <w:tcPr>
            <w:tcW w:w="180" w:type="dxa"/>
            <w:vAlign w:val="bottom"/>
            <w:tcBorders>
              <w:left w:val="single" w:sz="8" w:color="0000EE"/>
            </w:tcBorders>
            <w:gridSpan w:val="2"/>
          </w:tcPr>
          <w:p>
            <w:pPr>
              <w:spacing w:after="0" w:line="20" w:lineRule="exact"/>
              <w:rPr>
                <w:sz w:val="1"/>
                <w:szCs w:val="1"/>
                <w:color w:val="auto"/>
              </w:rPr>
            </w:pPr>
          </w:p>
        </w:tc>
        <w:tc>
          <w:tcPr>
            <w:tcW w:w="600" w:type="dxa"/>
            <w:vAlign w:val="bottom"/>
            <w:gridSpan w:val="2"/>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1980" w:type="dxa"/>
            <w:vAlign w:val="bottom"/>
            <w:gridSpan w:val="6"/>
          </w:tcPr>
          <w:p>
            <w:pPr>
              <w:spacing w:after="0" w:line="20" w:lineRule="exact"/>
              <w:rPr>
                <w:sz w:val="1"/>
                <w:szCs w:val="1"/>
                <w:color w:val="auto"/>
              </w:rPr>
            </w:pPr>
          </w:p>
        </w:tc>
        <w:tc>
          <w:tcPr>
            <w:tcW w:w="3760" w:type="dxa"/>
            <w:vAlign w:val="bottom"/>
            <w:gridSpan w:val="2"/>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80" w:type="dxa"/>
            <w:vAlign w:val="bottom"/>
            <w:gridSpan w:val="3"/>
            <w:shd w:val="clear" w:color="auto" w:fill="0000FF"/>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r>
      <w:tr>
        <w:trPr>
          <w:trHeight w:val="453"/>
        </w:trPr>
        <w:tc>
          <w:tcPr>
            <w:tcW w:w="3820" w:type="dxa"/>
            <w:vAlign w:val="bottom"/>
            <w:gridSpan w:val="13"/>
          </w:tcPr>
          <w:p>
            <w:pPr>
              <w:spacing w:after="0"/>
              <w:rPr>
                <w:rFonts w:ascii="Arial" w:cs="Arial" w:eastAsia="Arial" w:hAnsi="Arial"/>
                <w:sz w:val="18"/>
                <w:szCs w:val="18"/>
                <w:color w:val="0000EE"/>
                <w:w w:val="94"/>
              </w:rPr>
            </w:pPr>
            <w:hyperlink w:anchor="page74">
              <w:r>
                <w:rPr>
                  <w:rFonts w:ascii="Arial" w:cs="Arial" w:eastAsia="Arial" w:hAnsi="Arial"/>
                  <w:sz w:val="18"/>
                  <w:szCs w:val="18"/>
                  <w:color w:val="0000EE"/>
                  <w:w w:val="94"/>
                </w:rPr>
                <w:t>COMPENSATION DISCUSSION AND ANALYSIS</w:t>
              </w:r>
            </w:hyperlink>
          </w:p>
        </w:tc>
        <w:tc>
          <w:tcPr>
            <w:tcW w:w="6680" w:type="dxa"/>
            <w:vAlign w:val="bottom"/>
            <w:gridSpan w:val="9"/>
          </w:tcPr>
          <w:p>
            <w:pPr>
              <w:spacing w:after="0"/>
              <w:rPr>
                <w:sz w:val="24"/>
                <w:szCs w:val="24"/>
                <w:color w:val="auto"/>
              </w:rPr>
            </w:pPr>
          </w:p>
        </w:tc>
        <w:tc>
          <w:tcPr>
            <w:tcW w:w="560" w:type="dxa"/>
            <w:vAlign w:val="bottom"/>
            <w:gridSpan w:val="4"/>
          </w:tcPr>
          <w:p>
            <w:pPr>
              <w:jc w:val="center"/>
              <w:ind w:left="290"/>
              <w:spacing w:after="0"/>
              <w:rPr>
                <w:sz w:val="20"/>
                <w:szCs w:val="20"/>
                <w:color w:val="auto"/>
              </w:rPr>
            </w:pPr>
            <w:r>
              <w:rPr>
                <w:rFonts w:ascii="Arial" w:cs="Arial" w:eastAsia="Arial" w:hAnsi="Arial"/>
                <w:sz w:val="18"/>
                <w:szCs w:val="18"/>
                <w:color w:val="0000FF"/>
                <w:w w:val="89"/>
              </w:rPr>
              <w:t>62</w:t>
            </w:r>
          </w:p>
        </w:tc>
        <w:tc>
          <w:tcPr>
            <w:tcW w:w="360" w:type="dxa"/>
            <w:vAlign w:val="bottom"/>
          </w:tcPr>
          <w:p>
            <w:pPr>
              <w:spacing w:after="0"/>
              <w:rPr>
                <w:sz w:val="24"/>
                <w:szCs w:val="24"/>
                <w:color w:val="auto"/>
              </w:rPr>
            </w:pPr>
          </w:p>
        </w:tc>
      </w:tr>
      <w:tr>
        <w:trPr>
          <w:trHeight w:val="20"/>
        </w:trPr>
        <w:tc>
          <w:tcPr>
            <w:tcW w:w="780" w:type="dxa"/>
            <w:vAlign w:val="bottom"/>
            <w:shd w:val="clear" w:color="auto" w:fill="0000EE"/>
          </w:tcPr>
          <w:p>
            <w:pPr>
              <w:spacing w:after="0" w:line="20" w:lineRule="exact"/>
              <w:rPr>
                <w:sz w:val="1"/>
                <w:szCs w:val="1"/>
                <w:color w:val="auto"/>
              </w:rPr>
            </w:pPr>
          </w:p>
        </w:tc>
        <w:tc>
          <w:tcPr>
            <w:tcW w:w="500" w:type="dxa"/>
            <w:vAlign w:val="bottom"/>
            <w:gridSpan w:val="4"/>
            <w:shd w:val="clear" w:color="auto" w:fill="0000EE"/>
          </w:tcPr>
          <w:p>
            <w:pPr>
              <w:spacing w:after="0" w:line="20" w:lineRule="exact"/>
              <w:rPr>
                <w:sz w:val="1"/>
                <w:szCs w:val="1"/>
                <w:color w:val="auto"/>
              </w:rPr>
            </w:pPr>
          </w:p>
        </w:tc>
        <w:tc>
          <w:tcPr>
            <w:tcW w:w="180" w:type="dxa"/>
            <w:vAlign w:val="bottom"/>
            <w:tcBorders>
              <w:left w:val="single" w:sz="8" w:color="0000EE"/>
            </w:tcBorders>
            <w:gridSpan w:val="2"/>
            <w:shd w:val="clear" w:color="auto" w:fill="0000EE"/>
          </w:tcPr>
          <w:p>
            <w:pPr>
              <w:spacing w:after="0" w:line="20" w:lineRule="exact"/>
              <w:rPr>
                <w:sz w:val="1"/>
                <w:szCs w:val="1"/>
                <w:color w:val="auto"/>
              </w:rPr>
            </w:pPr>
          </w:p>
        </w:tc>
        <w:tc>
          <w:tcPr>
            <w:tcW w:w="600" w:type="dxa"/>
            <w:vAlign w:val="bottom"/>
            <w:tcBorders>
              <w:left w:val="single" w:sz="8" w:color="0000EE"/>
            </w:tcBorders>
            <w:gridSpan w:val="2"/>
            <w:shd w:val="clear" w:color="auto" w:fill="0000EE"/>
          </w:tcPr>
          <w:p>
            <w:pPr>
              <w:spacing w:after="0" w:line="20" w:lineRule="exact"/>
              <w:rPr>
                <w:sz w:val="1"/>
                <w:szCs w:val="1"/>
                <w:color w:val="auto"/>
              </w:rPr>
            </w:pPr>
          </w:p>
        </w:tc>
        <w:tc>
          <w:tcPr>
            <w:tcW w:w="400" w:type="dxa"/>
            <w:vAlign w:val="bottom"/>
            <w:tcBorders>
              <w:left w:val="single" w:sz="8" w:color="0000EE"/>
            </w:tcBorders>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580" w:type="dxa"/>
            <w:vAlign w:val="bottom"/>
            <w:shd w:val="clear" w:color="auto" w:fill="0000EE"/>
          </w:tcPr>
          <w:p>
            <w:pPr>
              <w:spacing w:after="0" w:line="20" w:lineRule="exact"/>
              <w:rPr>
                <w:sz w:val="1"/>
                <w:szCs w:val="1"/>
                <w:color w:val="auto"/>
              </w:rPr>
            </w:pPr>
          </w:p>
        </w:tc>
        <w:tc>
          <w:tcPr>
            <w:tcW w:w="360" w:type="dxa"/>
            <w:vAlign w:val="bottom"/>
            <w:shd w:val="clear" w:color="auto" w:fill="0000EE"/>
          </w:tcPr>
          <w:p>
            <w:pPr>
              <w:spacing w:after="0" w:line="20" w:lineRule="exact"/>
              <w:rPr>
                <w:sz w:val="1"/>
                <w:szCs w:val="1"/>
                <w:color w:val="auto"/>
              </w:rPr>
            </w:pPr>
          </w:p>
        </w:tc>
        <w:tc>
          <w:tcPr>
            <w:tcW w:w="940" w:type="dxa"/>
            <w:vAlign w:val="bottom"/>
            <w:tcBorders>
              <w:left w:val="single" w:sz="8" w:color="0000EE"/>
            </w:tcBorders>
          </w:tcPr>
          <w:p>
            <w:pPr>
              <w:spacing w:after="0" w:line="20" w:lineRule="exact"/>
              <w:rPr>
                <w:sz w:val="1"/>
                <w:szCs w:val="1"/>
                <w:color w:val="auto"/>
              </w:rPr>
            </w:pPr>
          </w:p>
        </w:tc>
        <w:tc>
          <w:tcPr>
            <w:tcW w:w="1980" w:type="dxa"/>
            <w:vAlign w:val="bottom"/>
            <w:gridSpan w:val="6"/>
          </w:tcPr>
          <w:p>
            <w:pPr>
              <w:spacing w:after="0" w:line="20" w:lineRule="exact"/>
              <w:rPr>
                <w:sz w:val="1"/>
                <w:szCs w:val="1"/>
                <w:color w:val="auto"/>
              </w:rPr>
            </w:pPr>
          </w:p>
        </w:tc>
        <w:tc>
          <w:tcPr>
            <w:tcW w:w="3760" w:type="dxa"/>
            <w:vAlign w:val="bottom"/>
            <w:gridSpan w:val="2"/>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80" w:type="dxa"/>
            <w:vAlign w:val="bottom"/>
            <w:gridSpan w:val="3"/>
            <w:shd w:val="clear" w:color="auto" w:fill="0000FF"/>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r>
      <w:tr>
        <w:trPr>
          <w:trHeight w:val="453"/>
        </w:trPr>
        <w:tc>
          <w:tcPr>
            <w:tcW w:w="2460" w:type="dxa"/>
            <w:vAlign w:val="bottom"/>
            <w:gridSpan w:val="10"/>
          </w:tcPr>
          <w:p>
            <w:pPr>
              <w:spacing w:after="0"/>
              <w:rPr>
                <w:rFonts w:ascii="Arial" w:cs="Arial" w:eastAsia="Arial" w:hAnsi="Arial"/>
                <w:sz w:val="18"/>
                <w:szCs w:val="18"/>
                <w:color w:val="0000EE"/>
                <w:w w:val="96"/>
              </w:rPr>
            </w:pPr>
            <w:hyperlink w:anchor="page86">
              <w:r>
                <w:rPr>
                  <w:rFonts w:ascii="Arial" w:cs="Arial" w:eastAsia="Arial" w:hAnsi="Arial"/>
                  <w:sz w:val="18"/>
                  <w:szCs w:val="18"/>
                  <w:color w:val="0000EE"/>
                  <w:w w:val="96"/>
                </w:rPr>
                <w:t>EXECUTIVE COMPENSATION</w:t>
              </w:r>
            </w:hyperlink>
          </w:p>
        </w:tc>
        <w:tc>
          <w:tcPr>
            <w:tcW w:w="1360" w:type="dxa"/>
            <w:vAlign w:val="bottom"/>
            <w:gridSpan w:val="3"/>
          </w:tcPr>
          <w:p>
            <w:pPr>
              <w:spacing w:after="0"/>
              <w:rPr>
                <w:sz w:val="24"/>
                <w:szCs w:val="24"/>
                <w:color w:val="auto"/>
              </w:rPr>
            </w:pPr>
          </w:p>
        </w:tc>
        <w:tc>
          <w:tcPr>
            <w:tcW w:w="6680" w:type="dxa"/>
            <w:vAlign w:val="bottom"/>
            <w:gridSpan w:val="9"/>
          </w:tcPr>
          <w:p>
            <w:pPr>
              <w:spacing w:after="0"/>
              <w:rPr>
                <w:sz w:val="24"/>
                <w:szCs w:val="24"/>
                <w:color w:val="auto"/>
              </w:rPr>
            </w:pPr>
          </w:p>
        </w:tc>
        <w:tc>
          <w:tcPr>
            <w:tcW w:w="560" w:type="dxa"/>
            <w:vAlign w:val="bottom"/>
            <w:gridSpan w:val="4"/>
          </w:tcPr>
          <w:p>
            <w:pPr>
              <w:jc w:val="center"/>
              <w:ind w:left="290"/>
              <w:spacing w:after="0"/>
              <w:rPr>
                <w:sz w:val="20"/>
                <w:szCs w:val="20"/>
                <w:color w:val="auto"/>
              </w:rPr>
            </w:pPr>
            <w:r>
              <w:rPr>
                <w:rFonts w:ascii="Arial" w:cs="Arial" w:eastAsia="Arial" w:hAnsi="Arial"/>
                <w:sz w:val="18"/>
                <w:szCs w:val="18"/>
                <w:color w:val="0000FF"/>
                <w:w w:val="89"/>
              </w:rPr>
              <w:t>74</w:t>
            </w:r>
          </w:p>
        </w:tc>
        <w:tc>
          <w:tcPr>
            <w:tcW w:w="360" w:type="dxa"/>
            <w:vAlign w:val="bottom"/>
          </w:tcPr>
          <w:p>
            <w:pPr>
              <w:spacing w:after="0"/>
              <w:rPr>
                <w:sz w:val="24"/>
                <w:szCs w:val="24"/>
                <w:color w:val="auto"/>
              </w:rPr>
            </w:pPr>
          </w:p>
        </w:tc>
      </w:tr>
      <w:tr>
        <w:trPr>
          <w:trHeight w:val="20"/>
        </w:trPr>
        <w:tc>
          <w:tcPr>
            <w:tcW w:w="780" w:type="dxa"/>
            <w:vAlign w:val="bottom"/>
            <w:shd w:val="clear" w:color="auto" w:fill="0000EE"/>
          </w:tcPr>
          <w:p>
            <w:pPr>
              <w:spacing w:after="0" w:line="20" w:lineRule="exact"/>
              <w:rPr>
                <w:sz w:val="1"/>
                <w:szCs w:val="1"/>
                <w:color w:val="auto"/>
              </w:rPr>
            </w:pPr>
          </w:p>
        </w:tc>
        <w:tc>
          <w:tcPr>
            <w:tcW w:w="500" w:type="dxa"/>
            <w:vAlign w:val="bottom"/>
            <w:gridSpan w:val="4"/>
            <w:shd w:val="clear" w:color="auto" w:fill="0000EE"/>
          </w:tcPr>
          <w:p>
            <w:pPr>
              <w:spacing w:after="0" w:line="20" w:lineRule="exact"/>
              <w:rPr>
                <w:sz w:val="1"/>
                <w:szCs w:val="1"/>
                <w:color w:val="auto"/>
              </w:rPr>
            </w:pPr>
          </w:p>
        </w:tc>
        <w:tc>
          <w:tcPr>
            <w:tcW w:w="180" w:type="dxa"/>
            <w:vAlign w:val="bottom"/>
            <w:tcBorders>
              <w:left w:val="single" w:sz="8" w:color="0000EE"/>
            </w:tcBorders>
            <w:gridSpan w:val="2"/>
            <w:shd w:val="clear" w:color="auto" w:fill="0000EE"/>
          </w:tcPr>
          <w:p>
            <w:pPr>
              <w:spacing w:after="0" w:line="20" w:lineRule="exact"/>
              <w:rPr>
                <w:sz w:val="1"/>
                <w:szCs w:val="1"/>
                <w:color w:val="auto"/>
              </w:rPr>
            </w:pPr>
          </w:p>
        </w:tc>
        <w:tc>
          <w:tcPr>
            <w:tcW w:w="600" w:type="dxa"/>
            <w:vAlign w:val="bottom"/>
            <w:tcBorders>
              <w:left w:val="single" w:sz="8" w:color="0000EE"/>
            </w:tcBorders>
            <w:gridSpan w:val="2"/>
            <w:shd w:val="clear" w:color="auto" w:fill="0000EE"/>
          </w:tcPr>
          <w:p>
            <w:pPr>
              <w:spacing w:after="0" w:line="20" w:lineRule="exact"/>
              <w:rPr>
                <w:sz w:val="1"/>
                <w:szCs w:val="1"/>
                <w:color w:val="auto"/>
              </w:rPr>
            </w:pPr>
          </w:p>
        </w:tc>
        <w:tc>
          <w:tcPr>
            <w:tcW w:w="400" w:type="dxa"/>
            <w:vAlign w:val="bottom"/>
            <w:tcBorders>
              <w:left w:val="single" w:sz="8" w:color="0000EE"/>
            </w:tcBorders>
            <w:shd w:val="clear" w:color="auto" w:fill="0000EE"/>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1980" w:type="dxa"/>
            <w:vAlign w:val="bottom"/>
            <w:gridSpan w:val="6"/>
          </w:tcPr>
          <w:p>
            <w:pPr>
              <w:spacing w:after="0" w:line="20" w:lineRule="exact"/>
              <w:rPr>
                <w:sz w:val="1"/>
                <w:szCs w:val="1"/>
                <w:color w:val="auto"/>
              </w:rPr>
            </w:pPr>
          </w:p>
        </w:tc>
        <w:tc>
          <w:tcPr>
            <w:tcW w:w="3760" w:type="dxa"/>
            <w:vAlign w:val="bottom"/>
            <w:gridSpan w:val="2"/>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80" w:type="dxa"/>
            <w:vAlign w:val="bottom"/>
            <w:gridSpan w:val="3"/>
            <w:shd w:val="clear" w:color="auto" w:fill="0000FF"/>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r>
      <w:tr>
        <w:trPr>
          <w:trHeight w:val="453"/>
        </w:trPr>
        <w:tc>
          <w:tcPr>
            <w:tcW w:w="6740" w:type="dxa"/>
            <w:vAlign w:val="bottom"/>
            <w:gridSpan w:val="20"/>
          </w:tcPr>
          <w:p>
            <w:pPr>
              <w:spacing w:after="0"/>
              <w:rPr>
                <w:rFonts w:ascii="Arial" w:cs="Arial" w:eastAsia="Arial" w:hAnsi="Arial"/>
                <w:sz w:val="18"/>
                <w:szCs w:val="18"/>
                <w:color w:val="0000EE"/>
                <w:w w:val="96"/>
              </w:rPr>
            </w:pPr>
            <w:hyperlink w:anchor="page96">
              <w:r>
                <w:rPr>
                  <w:rFonts w:ascii="Arial" w:cs="Arial" w:eastAsia="Arial" w:hAnsi="Arial"/>
                  <w:sz w:val="18"/>
                  <w:szCs w:val="18"/>
                  <w:color w:val="0000EE"/>
                  <w:w w:val="96"/>
                </w:rPr>
                <w:t>SECURITY OWNERSHIP OF CERTAIN BENEFICIAL OWNERS AND MANAGEMENT</w:t>
              </w:r>
            </w:hyperlink>
          </w:p>
        </w:tc>
        <w:tc>
          <w:tcPr>
            <w:tcW w:w="3760" w:type="dxa"/>
            <w:vAlign w:val="bottom"/>
            <w:gridSpan w:val="2"/>
          </w:tcPr>
          <w:p>
            <w:pPr>
              <w:spacing w:after="0"/>
              <w:rPr>
                <w:sz w:val="24"/>
                <w:szCs w:val="24"/>
                <w:color w:val="auto"/>
              </w:rPr>
            </w:pPr>
          </w:p>
        </w:tc>
        <w:tc>
          <w:tcPr>
            <w:tcW w:w="560" w:type="dxa"/>
            <w:vAlign w:val="bottom"/>
            <w:gridSpan w:val="4"/>
          </w:tcPr>
          <w:p>
            <w:pPr>
              <w:jc w:val="center"/>
              <w:ind w:left="290"/>
              <w:spacing w:after="0"/>
              <w:rPr>
                <w:sz w:val="20"/>
                <w:szCs w:val="20"/>
                <w:color w:val="auto"/>
              </w:rPr>
            </w:pPr>
            <w:r>
              <w:rPr>
                <w:rFonts w:ascii="Arial" w:cs="Arial" w:eastAsia="Arial" w:hAnsi="Arial"/>
                <w:sz w:val="18"/>
                <w:szCs w:val="18"/>
                <w:color w:val="0000FF"/>
                <w:w w:val="89"/>
              </w:rPr>
              <w:t>84</w:t>
            </w:r>
          </w:p>
        </w:tc>
        <w:tc>
          <w:tcPr>
            <w:tcW w:w="360" w:type="dxa"/>
            <w:vAlign w:val="bottom"/>
          </w:tcPr>
          <w:p>
            <w:pPr>
              <w:spacing w:after="0"/>
              <w:rPr>
                <w:sz w:val="24"/>
                <w:szCs w:val="24"/>
                <w:color w:val="auto"/>
              </w:rPr>
            </w:pPr>
          </w:p>
        </w:tc>
      </w:tr>
      <w:tr>
        <w:trPr>
          <w:trHeight w:val="20"/>
        </w:trPr>
        <w:tc>
          <w:tcPr>
            <w:tcW w:w="780" w:type="dxa"/>
            <w:vAlign w:val="bottom"/>
            <w:shd w:val="clear" w:color="auto" w:fill="0000EE"/>
          </w:tcPr>
          <w:p>
            <w:pPr>
              <w:spacing w:after="0" w:line="20" w:lineRule="exact"/>
              <w:rPr>
                <w:sz w:val="1"/>
                <w:szCs w:val="1"/>
                <w:color w:val="auto"/>
              </w:rPr>
            </w:pPr>
          </w:p>
        </w:tc>
        <w:tc>
          <w:tcPr>
            <w:tcW w:w="500" w:type="dxa"/>
            <w:vAlign w:val="bottom"/>
            <w:gridSpan w:val="4"/>
            <w:shd w:val="clear" w:color="auto" w:fill="0000EE"/>
          </w:tcPr>
          <w:p>
            <w:pPr>
              <w:spacing w:after="0" w:line="20" w:lineRule="exact"/>
              <w:rPr>
                <w:sz w:val="1"/>
                <w:szCs w:val="1"/>
                <w:color w:val="auto"/>
              </w:rPr>
            </w:pPr>
          </w:p>
        </w:tc>
        <w:tc>
          <w:tcPr>
            <w:tcW w:w="180" w:type="dxa"/>
            <w:vAlign w:val="bottom"/>
            <w:tcBorders>
              <w:left w:val="single" w:sz="8" w:color="0000EE"/>
            </w:tcBorders>
            <w:gridSpan w:val="2"/>
            <w:shd w:val="clear" w:color="auto" w:fill="0000EE"/>
          </w:tcPr>
          <w:p>
            <w:pPr>
              <w:spacing w:after="0" w:line="20" w:lineRule="exact"/>
              <w:rPr>
                <w:sz w:val="1"/>
                <w:szCs w:val="1"/>
                <w:color w:val="auto"/>
              </w:rPr>
            </w:pPr>
          </w:p>
        </w:tc>
        <w:tc>
          <w:tcPr>
            <w:tcW w:w="600" w:type="dxa"/>
            <w:vAlign w:val="bottom"/>
            <w:tcBorders>
              <w:left w:val="single" w:sz="8" w:color="0000EE"/>
            </w:tcBorders>
            <w:gridSpan w:val="2"/>
            <w:shd w:val="clear" w:color="auto" w:fill="0000EE"/>
          </w:tcPr>
          <w:p>
            <w:pPr>
              <w:spacing w:after="0" w:line="20" w:lineRule="exact"/>
              <w:rPr>
                <w:sz w:val="1"/>
                <w:szCs w:val="1"/>
                <w:color w:val="auto"/>
              </w:rPr>
            </w:pPr>
          </w:p>
        </w:tc>
        <w:tc>
          <w:tcPr>
            <w:tcW w:w="820" w:type="dxa"/>
            <w:vAlign w:val="bottom"/>
            <w:tcBorders>
              <w:left w:val="single" w:sz="8" w:color="0000EE"/>
            </w:tcBorders>
            <w:gridSpan w:val="2"/>
            <w:shd w:val="clear" w:color="auto" w:fill="0000EE"/>
          </w:tcPr>
          <w:p>
            <w:pPr>
              <w:spacing w:after="0" w:line="20" w:lineRule="exact"/>
              <w:rPr>
                <w:sz w:val="1"/>
                <w:szCs w:val="1"/>
                <w:color w:val="auto"/>
              </w:rPr>
            </w:pPr>
          </w:p>
        </w:tc>
        <w:tc>
          <w:tcPr>
            <w:tcW w:w="580" w:type="dxa"/>
            <w:vAlign w:val="bottom"/>
            <w:shd w:val="clear" w:color="auto" w:fill="0000EE"/>
          </w:tcPr>
          <w:p>
            <w:pPr>
              <w:spacing w:after="0" w:line="20" w:lineRule="exact"/>
              <w:rPr>
                <w:sz w:val="1"/>
                <w:szCs w:val="1"/>
                <w:color w:val="auto"/>
              </w:rPr>
            </w:pPr>
          </w:p>
        </w:tc>
        <w:tc>
          <w:tcPr>
            <w:tcW w:w="360" w:type="dxa"/>
            <w:vAlign w:val="bottom"/>
            <w:shd w:val="clear" w:color="auto" w:fill="0000EE"/>
          </w:tcPr>
          <w:p>
            <w:pPr>
              <w:spacing w:after="0" w:line="20" w:lineRule="exact"/>
              <w:rPr>
                <w:sz w:val="1"/>
                <w:szCs w:val="1"/>
                <w:color w:val="auto"/>
              </w:rPr>
            </w:pPr>
          </w:p>
        </w:tc>
        <w:tc>
          <w:tcPr>
            <w:tcW w:w="940" w:type="dxa"/>
            <w:vAlign w:val="bottom"/>
            <w:tcBorders>
              <w:left w:val="single" w:sz="8" w:color="0000EE"/>
            </w:tcBorders>
            <w:shd w:val="clear" w:color="auto" w:fill="0000EE"/>
          </w:tcPr>
          <w:p>
            <w:pPr>
              <w:spacing w:after="0" w:line="20" w:lineRule="exact"/>
              <w:rPr>
                <w:sz w:val="1"/>
                <w:szCs w:val="1"/>
                <w:color w:val="auto"/>
              </w:rPr>
            </w:pPr>
          </w:p>
        </w:tc>
        <w:tc>
          <w:tcPr>
            <w:tcW w:w="1980" w:type="dxa"/>
            <w:vAlign w:val="bottom"/>
            <w:tcBorders>
              <w:left w:val="single" w:sz="8" w:color="0000EE"/>
            </w:tcBorders>
            <w:gridSpan w:val="6"/>
            <w:shd w:val="clear" w:color="auto" w:fill="0000EE"/>
          </w:tcPr>
          <w:p>
            <w:pPr>
              <w:spacing w:after="0" w:line="20" w:lineRule="exact"/>
              <w:rPr>
                <w:sz w:val="1"/>
                <w:szCs w:val="1"/>
                <w:color w:val="auto"/>
              </w:rPr>
            </w:pPr>
          </w:p>
        </w:tc>
        <w:tc>
          <w:tcPr>
            <w:tcW w:w="3760" w:type="dxa"/>
            <w:vAlign w:val="bottom"/>
            <w:gridSpan w:val="2"/>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80" w:type="dxa"/>
            <w:vAlign w:val="bottom"/>
            <w:gridSpan w:val="3"/>
            <w:shd w:val="clear" w:color="auto" w:fill="0000FF"/>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r>
      <w:tr>
        <w:trPr>
          <w:trHeight w:val="453"/>
        </w:trPr>
        <w:tc>
          <w:tcPr>
            <w:tcW w:w="2880" w:type="dxa"/>
            <w:vAlign w:val="bottom"/>
            <w:gridSpan w:val="11"/>
          </w:tcPr>
          <w:p>
            <w:pPr>
              <w:spacing w:after="0"/>
              <w:rPr>
                <w:rFonts w:ascii="Arial" w:cs="Arial" w:eastAsia="Arial" w:hAnsi="Arial"/>
                <w:sz w:val="18"/>
                <w:szCs w:val="18"/>
                <w:color w:val="0000EE"/>
                <w:w w:val="95"/>
              </w:rPr>
            </w:pPr>
            <w:hyperlink w:anchor="page98">
              <w:r>
                <w:rPr>
                  <w:rFonts w:ascii="Arial" w:cs="Arial" w:eastAsia="Arial" w:hAnsi="Arial"/>
                  <w:sz w:val="18"/>
                  <w:szCs w:val="18"/>
                  <w:color w:val="0000EE"/>
                  <w:w w:val="95"/>
                </w:rPr>
                <w:t>DESCRIPTION OF CAPITAL STOCK</w:t>
              </w:r>
            </w:hyperlink>
          </w:p>
        </w:tc>
        <w:tc>
          <w:tcPr>
            <w:tcW w:w="3860" w:type="dxa"/>
            <w:vAlign w:val="bottom"/>
            <w:gridSpan w:val="9"/>
          </w:tcPr>
          <w:p>
            <w:pPr>
              <w:spacing w:after="0"/>
              <w:rPr>
                <w:sz w:val="24"/>
                <w:szCs w:val="24"/>
                <w:color w:val="auto"/>
              </w:rPr>
            </w:pPr>
          </w:p>
        </w:tc>
        <w:tc>
          <w:tcPr>
            <w:tcW w:w="3760" w:type="dxa"/>
            <w:vAlign w:val="bottom"/>
            <w:gridSpan w:val="2"/>
          </w:tcPr>
          <w:p>
            <w:pPr>
              <w:spacing w:after="0"/>
              <w:rPr>
                <w:sz w:val="24"/>
                <w:szCs w:val="24"/>
                <w:color w:val="auto"/>
              </w:rPr>
            </w:pPr>
          </w:p>
        </w:tc>
        <w:tc>
          <w:tcPr>
            <w:tcW w:w="560" w:type="dxa"/>
            <w:vAlign w:val="bottom"/>
            <w:gridSpan w:val="4"/>
          </w:tcPr>
          <w:p>
            <w:pPr>
              <w:jc w:val="center"/>
              <w:ind w:left="290"/>
              <w:spacing w:after="0"/>
              <w:rPr>
                <w:sz w:val="20"/>
                <w:szCs w:val="20"/>
                <w:color w:val="auto"/>
              </w:rPr>
            </w:pPr>
            <w:r>
              <w:rPr>
                <w:rFonts w:ascii="Arial" w:cs="Arial" w:eastAsia="Arial" w:hAnsi="Arial"/>
                <w:sz w:val="18"/>
                <w:szCs w:val="18"/>
                <w:color w:val="0000FF"/>
                <w:w w:val="89"/>
              </w:rPr>
              <w:t>86</w:t>
            </w:r>
          </w:p>
        </w:tc>
        <w:tc>
          <w:tcPr>
            <w:tcW w:w="360" w:type="dxa"/>
            <w:vAlign w:val="bottom"/>
          </w:tcPr>
          <w:p>
            <w:pPr>
              <w:spacing w:after="0"/>
              <w:rPr>
                <w:sz w:val="24"/>
                <w:szCs w:val="24"/>
                <w:color w:val="auto"/>
              </w:rPr>
            </w:pPr>
          </w:p>
        </w:tc>
      </w:tr>
      <w:tr>
        <w:trPr>
          <w:trHeight w:val="20"/>
        </w:trPr>
        <w:tc>
          <w:tcPr>
            <w:tcW w:w="780" w:type="dxa"/>
            <w:vAlign w:val="bottom"/>
            <w:shd w:val="clear" w:color="auto" w:fill="0000EE"/>
          </w:tcPr>
          <w:p>
            <w:pPr>
              <w:spacing w:after="0" w:line="20" w:lineRule="exact"/>
              <w:rPr>
                <w:sz w:val="1"/>
                <w:szCs w:val="1"/>
                <w:color w:val="auto"/>
              </w:rPr>
            </w:pPr>
          </w:p>
        </w:tc>
        <w:tc>
          <w:tcPr>
            <w:tcW w:w="500" w:type="dxa"/>
            <w:vAlign w:val="bottom"/>
            <w:gridSpan w:val="4"/>
            <w:shd w:val="clear" w:color="auto" w:fill="0000EE"/>
          </w:tcPr>
          <w:p>
            <w:pPr>
              <w:spacing w:after="0" w:line="20" w:lineRule="exact"/>
              <w:rPr>
                <w:sz w:val="1"/>
                <w:szCs w:val="1"/>
                <w:color w:val="auto"/>
              </w:rPr>
            </w:pPr>
          </w:p>
        </w:tc>
        <w:tc>
          <w:tcPr>
            <w:tcW w:w="180" w:type="dxa"/>
            <w:vAlign w:val="bottom"/>
            <w:tcBorders>
              <w:left w:val="single" w:sz="8" w:color="0000EE"/>
            </w:tcBorders>
            <w:gridSpan w:val="2"/>
            <w:shd w:val="clear" w:color="auto" w:fill="0000EE"/>
          </w:tcPr>
          <w:p>
            <w:pPr>
              <w:spacing w:after="0" w:line="20" w:lineRule="exact"/>
              <w:rPr>
                <w:sz w:val="1"/>
                <w:szCs w:val="1"/>
                <w:color w:val="auto"/>
              </w:rPr>
            </w:pPr>
          </w:p>
        </w:tc>
        <w:tc>
          <w:tcPr>
            <w:tcW w:w="600" w:type="dxa"/>
            <w:vAlign w:val="bottom"/>
            <w:tcBorders>
              <w:left w:val="single" w:sz="8" w:color="0000EE"/>
            </w:tcBorders>
            <w:gridSpan w:val="2"/>
            <w:shd w:val="clear" w:color="auto" w:fill="0000EE"/>
          </w:tcPr>
          <w:p>
            <w:pPr>
              <w:spacing w:after="0" w:line="20" w:lineRule="exact"/>
              <w:rPr>
                <w:sz w:val="1"/>
                <w:szCs w:val="1"/>
                <w:color w:val="auto"/>
              </w:rPr>
            </w:pPr>
          </w:p>
        </w:tc>
        <w:tc>
          <w:tcPr>
            <w:tcW w:w="820" w:type="dxa"/>
            <w:vAlign w:val="bottom"/>
            <w:tcBorders>
              <w:left w:val="single" w:sz="8" w:color="0000EE"/>
            </w:tcBorders>
            <w:gridSpan w:val="2"/>
            <w:shd w:val="clear" w:color="auto" w:fill="0000EE"/>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5740" w:type="dxa"/>
            <w:vAlign w:val="bottom"/>
            <w:gridSpan w:val="8"/>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80" w:type="dxa"/>
            <w:vAlign w:val="bottom"/>
            <w:gridSpan w:val="3"/>
            <w:shd w:val="clear" w:color="auto" w:fill="0000FF"/>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r>
      <w:tr>
        <w:trPr>
          <w:trHeight w:val="453"/>
        </w:trPr>
        <w:tc>
          <w:tcPr>
            <w:tcW w:w="2060" w:type="dxa"/>
            <w:vAlign w:val="bottom"/>
            <w:gridSpan w:val="9"/>
          </w:tcPr>
          <w:p>
            <w:pPr>
              <w:spacing w:after="0"/>
              <w:rPr>
                <w:rFonts w:ascii="Arial" w:cs="Arial" w:eastAsia="Arial" w:hAnsi="Arial"/>
                <w:sz w:val="18"/>
                <w:szCs w:val="18"/>
                <w:color w:val="0000EE"/>
                <w:w w:val="96"/>
              </w:rPr>
            </w:pPr>
            <w:hyperlink w:anchor="page102">
              <w:r>
                <w:rPr>
                  <w:rFonts w:ascii="Arial" w:cs="Arial" w:eastAsia="Arial" w:hAnsi="Arial"/>
                  <w:sz w:val="18"/>
                  <w:szCs w:val="18"/>
                  <w:color w:val="0000EE"/>
                  <w:w w:val="96"/>
                </w:rPr>
                <w:t>PLAN OF DISTRIBUTION</w:t>
              </w:r>
            </w:hyperlink>
          </w:p>
        </w:tc>
        <w:tc>
          <w:tcPr>
            <w:tcW w:w="820" w:type="dxa"/>
            <w:vAlign w:val="bottom"/>
            <w:gridSpan w:val="2"/>
          </w:tcPr>
          <w:p>
            <w:pPr>
              <w:spacing w:after="0"/>
              <w:rPr>
                <w:sz w:val="24"/>
                <w:szCs w:val="24"/>
                <w:color w:val="auto"/>
              </w:rPr>
            </w:pPr>
          </w:p>
        </w:tc>
        <w:tc>
          <w:tcPr>
            <w:tcW w:w="7620" w:type="dxa"/>
            <w:vAlign w:val="bottom"/>
            <w:gridSpan w:val="11"/>
          </w:tcPr>
          <w:p>
            <w:pPr>
              <w:spacing w:after="0"/>
              <w:rPr>
                <w:sz w:val="24"/>
                <w:szCs w:val="24"/>
                <w:color w:val="auto"/>
              </w:rPr>
            </w:pPr>
          </w:p>
        </w:tc>
        <w:tc>
          <w:tcPr>
            <w:tcW w:w="560" w:type="dxa"/>
            <w:vAlign w:val="bottom"/>
            <w:gridSpan w:val="4"/>
          </w:tcPr>
          <w:p>
            <w:pPr>
              <w:jc w:val="center"/>
              <w:ind w:left="290"/>
              <w:spacing w:after="0"/>
              <w:rPr>
                <w:sz w:val="20"/>
                <w:szCs w:val="20"/>
                <w:color w:val="auto"/>
              </w:rPr>
            </w:pPr>
            <w:r>
              <w:rPr>
                <w:rFonts w:ascii="Arial" w:cs="Arial" w:eastAsia="Arial" w:hAnsi="Arial"/>
                <w:sz w:val="18"/>
                <w:szCs w:val="18"/>
                <w:color w:val="0000FF"/>
                <w:w w:val="89"/>
              </w:rPr>
              <w:t>90</w:t>
            </w:r>
          </w:p>
        </w:tc>
        <w:tc>
          <w:tcPr>
            <w:tcW w:w="360" w:type="dxa"/>
            <w:vAlign w:val="bottom"/>
          </w:tcPr>
          <w:p>
            <w:pPr>
              <w:spacing w:after="0"/>
              <w:rPr>
                <w:sz w:val="24"/>
                <w:szCs w:val="24"/>
                <w:color w:val="auto"/>
              </w:rPr>
            </w:pPr>
          </w:p>
        </w:tc>
      </w:tr>
      <w:tr>
        <w:trPr>
          <w:trHeight w:val="20"/>
        </w:trPr>
        <w:tc>
          <w:tcPr>
            <w:tcW w:w="780" w:type="dxa"/>
            <w:vAlign w:val="bottom"/>
            <w:shd w:val="clear" w:color="auto" w:fill="0000EE"/>
          </w:tcPr>
          <w:p>
            <w:pPr>
              <w:spacing w:after="0" w:line="20" w:lineRule="exact"/>
              <w:rPr>
                <w:sz w:val="1"/>
                <w:szCs w:val="1"/>
                <w:color w:val="auto"/>
              </w:rPr>
            </w:pPr>
          </w:p>
        </w:tc>
        <w:tc>
          <w:tcPr>
            <w:tcW w:w="500" w:type="dxa"/>
            <w:vAlign w:val="bottom"/>
            <w:gridSpan w:val="4"/>
            <w:shd w:val="clear" w:color="auto" w:fill="0000EE"/>
          </w:tcPr>
          <w:p>
            <w:pPr>
              <w:spacing w:after="0" w:line="20" w:lineRule="exact"/>
              <w:rPr>
                <w:sz w:val="1"/>
                <w:szCs w:val="1"/>
                <w:color w:val="auto"/>
              </w:rPr>
            </w:pPr>
          </w:p>
        </w:tc>
        <w:tc>
          <w:tcPr>
            <w:tcW w:w="180" w:type="dxa"/>
            <w:vAlign w:val="bottom"/>
            <w:tcBorders>
              <w:left w:val="single" w:sz="8" w:color="0000EE"/>
            </w:tcBorders>
            <w:gridSpan w:val="2"/>
            <w:shd w:val="clear" w:color="auto" w:fill="0000EE"/>
          </w:tcPr>
          <w:p>
            <w:pPr>
              <w:spacing w:after="0" w:line="20" w:lineRule="exact"/>
              <w:rPr>
                <w:sz w:val="1"/>
                <w:szCs w:val="1"/>
                <w:color w:val="auto"/>
              </w:rPr>
            </w:pPr>
          </w:p>
        </w:tc>
        <w:tc>
          <w:tcPr>
            <w:tcW w:w="600" w:type="dxa"/>
            <w:vAlign w:val="bottom"/>
            <w:tcBorders>
              <w:left w:val="single" w:sz="8" w:color="0000EE"/>
            </w:tcBorders>
            <w:gridSpan w:val="2"/>
            <w:shd w:val="clear" w:color="auto" w:fill="0000EE"/>
          </w:tcPr>
          <w:p>
            <w:pPr>
              <w:spacing w:after="0" w:line="20" w:lineRule="exact"/>
              <w:rPr>
                <w:sz w:val="1"/>
                <w:szCs w:val="1"/>
                <w:color w:val="auto"/>
              </w:rPr>
            </w:pPr>
          </w:p>
        </w:tc>
        <w:tc>
          <w:tcPr>
            <w:tcW w:w="1400" w:type="dxa"/>
            <w:vAlign w:val="bottom"/>
            <w:gridSpan w:val="3"/>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5740" w:type="dxa"/>
            <w:vAlign w:val="bottom"/>
            <w:gridSpan w:val="8"/>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80" w:type="dxa"/>
            <w:vAlign w:val="bottom"/>
            <w:gridSpan w:val="3"/>
            <w:shd w:val="clear" w:color="auto" w:fill="0000FF"/>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r>
      <w:tr>
        <w:trPr>
          <w:trHeight w:val="453"/>
        </w:trPr>
        <w:tc>
          <w:tcPr>
            <w:tcW w:w="10500" w:type="dxa"/>
            <w:vAlign w:val="bottom"/>
            <w:gridSpan w:val="22"/>
          </w:tcPr>
          <w:p>
            <w:pPr>
              <w:spacing w:after="0"/>
              <w:rPr>
                <w:rFonts w:ascii="Arial" w:cs="Arial" w:eastAsia="Arial" w:hAnsi="Arial"/>
                <w:sz w:val="18"/>
                <w:szCs w:val="18"/>
                <w:color w:val="0000EE"/>
              </w:rPr>
            </w:pPr>
            <w:hyperlink w:anchor="page102">
              <w:r>
                <w:rPr>
                  <w:rFonts w:ascii="Arial" w:cs="Arial" w:eastAsia="Arial" w:hAnsi="Arial"/>
                  <w:sz w:val="18"/>
                  <w:szCs w:val="18"/>
                  <w:color w:val="0000EE"/>
                </w:rPr>
                <w:t>DESCRIPTION OF AWARD ADJUSTMENTS</w:t>
              </w:r>
            </w:hyperlink>
          </w:p>
        </w:tc>
        <w:tc>
          <w:tcPr>
            <w:tcW w:w="560" w:type="dxa"/>
            <w:vAlign w:val="bottom"/>
            <w:gridSpan w:val="4"/>
          </w:tcPr>
          <w:p>
            <w:pPr>
              <w:jc w:val="center"/>
              <w:ind w:left="290"/>
              <w:spacing w:after="0"/>
              <w:rPr>
                <w:sz w:val="20"/>
                <w:szCs w:val="20"/>
                <w:color w:val="auto"/>
              </w:rPr>
            </w:pPr>
            <w:r>
              <w:rPr>
                <w:rFonts w:ascii="Arial" w:cs="Arial" w:eastAsia="Arial" w:hAnsi="Arial"/>
                <w:sz w:val="18"/>
                <w:szCs w:val="18"/>
                <w:color w:val="0000FF"/>
                <w:w w:val="89"/>
              </w:rPr>
              <w:t>90</w:t>
            </w:r>
          </w:p>
        </w:tc>
        <w:tc>
          <w:tcPr>
            <w:tcW w:w="360" w:type="dxa"/>
            <w:vAlign w:val="bottom"/>
          </w:tcPr>
          <w:p>
            <w:pPr>
              <w:spacing w:after="0"/>
              <w:rPr>
                <w:sz w:val="24"/>
                <w:szCs w:val="24"/>
                <w:color w:val="auto"/>
              </w:rPr>
            </w:pPr>
          </w:p>
        </w:tc>
      </w:tr>
      <w:tr>
        <w:trPr>
          <w:trHeight w:val="20"/>
        </w:trPr>
        <w:tc>
          <w:tcPr>
            <w:tcW w:w="780" w:type="dxa"/>
            <w:vAlign w:val="bottom"/>
            <w:shd w:val="clear" w:color="auto" w:fill="0000EE"/>
          </w:tcPr>
          <w:p>
            <w:pPr>
              <w:spacing w:after="0" w:line="20" w:lineRule="exact"/>
              <w:rPr>
                <w:sz w:val="1"/>
                <w:szCs w:val="1"/>
                <w:color w:val="auto"/>
              </w:rPr>
            </w:pPr>
          </w:p>
        </w:tc>
        <w:tc>
          <w:tcPr>
            <w:tcW w:w="500" w:type="dxa"/>
            <w:vAlign w:val="bottom"/>
            <w:gridSpan w:val="4"/>
            <w:shd w:val="clear" w:color="auto" w:fill="0000EE"/>
          </w:tcPr>
          <w:p>
            <w:pPr>
              <w:spacing w:after="0" w:line="20" w:lineRule="exact"/>
              <w:rPr>
                <w:sz w:val="1"/>
                <w:szCs w:val="1"/>
                <w:color w:val="auto"/>
              </w:rPr>
            </w:pPr>
          </w:p>
        </w:tc>
        <w:tc>
          <w:tcPr>
            <w:tcW w:w="180" w:type="dxa"/>
            <w:vAlign w:val="bottom"/>
            <w:tcBorders>
              <w:left w:val="single" w:sz="8" w:color="0000EE"/>
            </w:tcBorders>
            <w:gridSpan w:val="2"/>
            <w:shd w:val="clear" w:color="auto" w:fill="0000EE"/>
          </w:tcPr>
          <w:p>
            <w:pPr>
              <w:spacing w:after="0" w:line="20" w:lineRule="exact"/>
              <w:rPr>
                <w:sz w:val="1"/>
                <w:szCs w:val="1"/>
                <w:color w:val="auto"/>
              </w:rPr>
            </w:pPr>
          </w:p>
        </w:tc>
        <w:tc>
          <w:tcPr>
            <w:tcW w:w="2000" w:type="dxa"/>
            <w:vAlign w:val="bottom"/>
            <w:tcBorders>
              <w:left w:val="single" w:sz="8" w:color="0000EE"/>
            </w:tcBorders>
            <w:gridSpan w:val="5"/>
            <w:shd w:val="clear" w:color="auto" w:fill="0000EE"/>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5740" w:type="dxa"/>
            <w:vAlign w:val="bottom"/>
            <w:gridSpan w:val="8"/>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80" w:type="dxa"/>
            <w:vAlign w:val="bottom"/>
            <w:gridSpan w:val="3"/>
            <w:shd w:val="clear" w:color="auto" w:fill="0000FF"/>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r>
      <w:tr>
        <w:trPr>
          <w:trHeight w:val="453"/>
        </w:trPr>
        <w:tc>
          <w:tcPr>
            <w:tcW w:w="1280" w:type="dxa"/>
            <w:vAlign w:val="bottom"/>
            <w:gridSpan w:val="5"/>
          </w:tcPr>
          <w:p>
            <w:pPr>
              <w:spacing w:after="0"/>
              <w:rPr>
                <w:rFonts w:ascii="Arial" w:cs="Arial" w:eastAsia="Arial" w:hAnsi="Arial"/>
                <w:sz w:val="18"/>
                <w:szCs w:val="18"/>
                <w:color w:val="0000EE"/>
                <w:w w:val="93"/>
              </w:rPr>
            </w:pPr>
            <w:hyperlink w:anchor="page103">
              <w:r>
                <w:rPr>
                  <w:rFonts w:ascii="Arial" w:cs="Arial" w:eastAsia="Arial" w:hAnsi="Arial"/>
                  <w:sz w:val="18"/>
                  <w:szCs w:val="18"/>
                  <w:color w:val="0000EE"/>
                  <w:w w:val="93"/>
                </w:rPr>
                <w:t>THE 2014 PLAN</w:t>
              </w:r>
            </w:hyperlink>
          </w:p>
        </w:tc>
        <w:tc>
          <w:tcPr>
            <w:tcW w:w="2180" w:type="dxa"/>
            <w:vAlign w:val="bottom"/>
            <w:gridSpan w:val="7"/>
          </w:tcPr>
          <w:p>
            <w:pPr>
              <w:spacing w:after="0"/>
              <w:rPr>
                <w:sz w:val="24"/>
                <w:szCs w:val="24"/>
                <w:color w:val="auto"/>
              </w:rPr>
            </w:pPr>
          </w:p>
        </w:tc>
        <w:tc>
          <w:tcPr>
            <w:tcW w:w="7040" w:type="dxa"/>
            <w:vAlign w:val="bottom"/>
            <w:gridSpan w:val="10"/>
          </w:tcPr>
          <w:p>
            <w:pPr>
              <w:spacing w:after="0"/>
              <w:rPr>
                <w:sz w:val="24"/>
                <w:szCs w:val="24"/>
                <w:color w:val="auto"/>
              </w:rPr>
            </w:pPr>
          </w:p>
        </w:tc>
        <w:tc>
          <w:tcPr>
            <w:tcW w:w="560" w:type="dxa"/>
            <w:vAlign w:val="bottom"/>
            <w:gridSpan w:val="4"/>
          </w:tcPr>
          <w:p>
            <w:pPr>
              <w:jc w:val="center"/>
              <w:ind w:left="290"/>
              <w:spacing w:after="0"/>
              <w:rPr>
                <w:sz w:val="20"/>
                <w:szCs w:val="20"/>
                <w:color w:val="auto"/>
              </w:rPr>
            </w:pPr>
            <w:r>
              <w:rPr>
                <w:rFonts w:ascii="Arial" w:cs="Arial" w:eastAsia="Arial" w:hAnsi="Arial"/>
                <w:sz w:val="18"/>
                <w:szCs w:val="18"/>
                <w:color w:val="0000FF"/>
                <w:w w:val="89"/>
              </w:rPr>
              <w:t>91</w:t>
            </w:r>
          </w:p>
        </w:tc>
        <w:tc>
          <w:tcPr>
            <w:tcW w:w="360" w:type="dxa"/>
            <w:vAlign w:val="bottom"/>
          </w:tcPr>
          <w:p>
            <w:pPr>
              <w:spacing w:after="0"/>
              <w:rPr>
                <w:sz w:val="24"/>
                <w:szCs w:val="24"/>
                <w:color w:val="auto"/>
              </w:rPr>
            </w:pPr>
          </w:p>
        </w:tc>
      </w:tr>
      <w:tr>
        <w:trPr>
          <w:trHeight w:val="20"/>
        </w:trPr>
        <w:tc>
          <w:tcPr>
            <w:tcW w:w="780" w:type="dxa"/>
            <w:vAlign w:val="bottom"/>
            <w:shd w:val="clear" w:color="auto" w:fill="0000EE"/>
          </w:tcPr>
          <w:p>
            <w:pPr>
              <w:spacing w:after="0" w:line="20" w:lineRule="exact"/>
              <w:rPr>
                <w:sz w:val="1"/>
                <w:szCs w:val="1"/>
                <w:color w:val="auto"/>
              </w:rPr>
            </w:pPr>
          </w:p>
        </w:tc>
        <w:tc>
          <w:tcPr>
            <w:tcW w:w="500" w:type="dxa"/>
            <w:vAlign w:val="bottom"/>
            <w:gridSpan w:val="4"/>
            <w:shd w:val="clear" w:color="auto" w:fill="0000EE"/>
          </w:tcPr>
          <w:p>
            <w:pPr>
              <w:spacing w:after="0" w:line="20" w:lineRule="exact"/>
              <w:rPr>
                <w:sz w:val="1"/>
                <w:szCs w:val="1"/>
                <w:color w:val="auto"/>
              </w:rPr>
            </w:pPr>
          </w:p>
        </w:tc>
        <w:tc>
          <w:tcPr>
            <w:tcW w:w="180" w:type="dxa"/>
            <w:vAlign w:val="bottom"/>
            <w:gridSpan w:val="2"/>
          </w:tcPr>
          <w:p>
            <w:pPr>
              <w:spacing w:after="0" w:line="20" w:lineRule="exact"/>
              <w:rPr>
                <w:sz w:val="1"/>
                <w:szCs w:val="1"/>
                <w:color w:val="auto"/>
              </w:rPr>
            </w:pPr>
          </w:p>
        </w:tc>
        <w:tc>
          <w:tcPr>
            <w:tcW w:w="2360" w:type="dxa"/>
            <w:vAlign w:val="bottom"/>
            <w:gridSpan w:val="6"/>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5740" w:type="dxa"/>
            <w:vAlign w:val="bottom"/>
            <w:gridSpan w:val="8"/>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80" w:type="dxa"/>
            <w:vAlign w:val="bottom"/>
            <w:gridSpan w:val="3"/>
            <w:shd w:val="clear" w:color="auto" w:fill="0000FF"/>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r>
      <w:tr>
        <w:trPr>
          <w:trHeight w:val="453"/>
        </w:trPr>
        <w:tc>
          <w:tcPr>
            <w:tcW w:w="4760" w:type="dxa"/>
            <w:vAlign w:val="bottom"/>
            <w:gridSpan w:val="14"/>
          </w:tcPr>
          <w:p>
            <w:pPr>
              <w:spacing w:after="0"/>
              <w:rPr>
                <w:rFonts w:ascii="Arial" w:cs="Arial" w:eastAsia="Arial" w:hAnsi="Arial"/>
                <w:sz w:val="18"/>
                <w:szCs w:val="18"/>
                <w:color w:val="0000EE"/>
                <w:w w:val="95"/>
              </w:rPr>
            </w:pPr>
            <w:hyperlink w:anchor="page105">
              <w:r>
                <w:rPr>
                  <w:rFonts w:ascii="Arial" w:cs="Arial" w:eastAsia="Arial" w:hAnsi="Arial"/>
                  <w:sz w:val="18"/>
                  <w:szCs w:val="18"/>
                  <w:color w:val="0000EE"/>
                  <w:w w:val="95"/>
                </w:rPr>
                <w:t>MATERIAL U.S. FEDERAL INCOME TAX CONSEQUENCES</w:t>
              </w:r>
            </w:hyperlink>
          </w:p>
        </w:tc>
        <w:tc>
          <w:tcPr>
            <w:tcW w:w="5740" w:type="dxa"/>
            <w:vAlign w:val="bottom"/>
            <w:gridSpan w:val="8"/>
          </w:tcPr>
          <w:p>
            <w:pPr>
              <w:spacing w:after="0"/>
              <w:rPr>
                <w:sz w:val="24"/>
                <w:szCs w:val="24"/>
                <w:color w:val="auto"/>
              </w:rPr>
            </w:pPr>
          </w:p>
        </w:tc>
        <w:tc>
          <w:tcPr>
            <w:tcW w:w="560" w:type="dxa"/>
            <w:vAlign w:val="bottom"/>
            <w:gridSpan w:val="4"/>
          </w:tcPr>
          <w:p>
            <w:pPr>
              <w:jc w:val="center"/>
              <w:ind w:left="290"/>
              <w:spacing w:after="0"/>
              <w:rPr>
                <w:sz w:val="20"/>
                <w:szCs w:val="20"/>
                <w:color w:val="auto"/>
              </w:rPr>
            </w:pPr>
            <w:r>
              <w:rPr>
                <w:rFonts w:ascii="Arial" w:cs="Arial" w:eastAsia="Arial" w:hAnsi="Arial"/>
                <w:sz w:val="18"/>
                <w:szCs w:val="18"/>
                <w:color w:val="0000FF"/>
                <w:w w:val="89"/>
              </w:rPr>
              <w:t>92</w:t>
            </w:r>
          </w:p>
        </w:tc>
        <w:tc>
          <w:tcPr>
            <w:tcW w:w="360" w:type="dxa"/>
            <w:vAlign w:val="bottom"/>
          </w:tcPr>
          <w:p>
            <w:pPr>
              <w:spacing w:after="0"/>
              <w:rPr>
                <w:sz w:val="24"/>
                <w:szCs w:val="24"/>
                <w:color w:val="auto"/>
              </w:rPr>
            </w:pPr>
          </w:p>
        </w:tc>
      </w:tr>
      <w:tr>
        <w:trPr>
          <w:trHeight w:val="20"/>
        </w:trPr>
        <w:tc>
          <w:tcPr>
            <w:tcW w:w="780" w:type="dxa"/>
            <w:vAlign w:val="bottom"/>
            <w:shd w:val="clear" w:color="auto" w:fill="0000EE"/>
          </w:tcPr>
          <w:p>
            <w:pPr>
              <w:spacing w:after="0" w:line="20" w:lineRule="exact"/>
              <w:rPr>
                <w:sz w:val="1"/>
                <w:szCs w:val="1"/>
                <w:color w:val="auto"/>
              </w:rPr>
            </w:pPr>
          </w:p>
        </w:tc>
        <w:tc>
          <w:tcPr>
            <w:tcW w:w="680" w:type="dxa"/>
            <w:vAlign w:val="bottom"/>
            <w:gridSpan w:val="6"/>
            <w:shd w:val="clear" w:color="auto" w:fill="0000EE"/>
          </w:tcPr>
          <w:p>
            <w:pPr>
              <w:spacing w:after="0" w:line="20" w:lineRule="exact"/>
              <w:rPr>
                <w:sz w:val="1"/>
                <w:szCs w:val="1"/>
                <w:color w:val="auto"/>
              </w:rPr>
            </w:pPr>
          </w:p>
        </w:tc>
        <w:tc>
          <w:tcPr>
            <w:tcW w:w="2360" w:type="dxa"/>
            <w:vAlign w:val="bottom"/>
            <w:tcBorders>
              <w:left w:val="single" w:sz="8" w:color="0000EE"/>
            </w:tcBorders>
            <w:gridSpan w:val="6"/>
            <w:shd w:val="clear" w:color="auto" w:fill="0000EE"/>
          </w:tcPr>
          <w:p>
            <w:pPr>
              <w:spacing w:after="0" w:line="20" w:lineRule="exact"/>
              <w:rPr>
                <w:sz w:val="1"/>
                <w:szCs w:val="1"/>
                <w:color w:val="auto"/>
              </w:rPr>
            </w:pPr>
          </w:p>
        </w:tc>
        <w:tc>
          <w:tcPr>
            <w:tcW w:w="940" w:type="dxa"/>
            <w:vAlign w:val="bottom"/>
            <w:tcBorders>
              <w:left w:val="single" w:sz="8" w:color="0000EE"/>
            </w:tcBorders>
            <w:shd w:val="clear" w:color="auto" w:fill="0000EE"/>
          </w:tcPr>
          <w:p>
            <w:pPr>
              <w:spacing w:after="0" w:line="20" w:lineRule="exact"/>
              <w:rPr>
                <w:sz w:val="1"/>
                <w:szCs w:val="1"/>
                <w:color w:val="auto"/>
              </w:rPr>
            </w:pPr>
          </w:p>
        </w:tc>
        <w:tc>
          <w:tcPr>
            <w:tcW w:w="5740" w:type="dxa"/>
            <w:vAlign w:val="bottom"/>
            <w:gridSpan w:val="8"/>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80" w:type="dxa"/>
            <w:vAlign w:val="bottom"/>
            <w:gridSpan w:val="3"/>
            <w:shd w:val="clear" w:color="auto" w:fill="0000FF"/>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r>
      <w:tr>
        <w:trPr>
          <w:trHeight w:val="453"/>
        </w:trPr>
        <w:tc>
          <w:tcPr>
            <w:tcW w:w="4760" w:type="dxa"/>
            <w:vAlign w:val="bottom"/>
            <w:gridSpan w:val="14"/>
          </w:tcPr>
          <w:p>
            <w:pPr>
              <w:spacing w:after="0"/>
              <w:rPr>
                <w:rFonts w:ascii="Arial" w:cs="Arial" w:eastAsia="Arial" w:hAnsi="Arial"/>
                <w:sz w:val="18"/>
                <w:szCs w:val="18"/>
                <w:color w:val="0000EE"/>
              </w:rPr>
            </w:pPr>
            <w:hyperlink w:anchor="page107">
              <w:r>
                <w:rPr>
                  <w:rFonts w:ascii="Arial" w:cs="Arial" w:eastAsia="Arial" w:hAnsi="Arial"/>
                  <w:sz w:val="18"/>
                  <w:szCs w:val="18"/>
                  <w:color w:val="0000EE"/>
                </w:rPr>
                <w:t>WHERE YOU CAN FIND MORE INFORMATION</w:t>
              </w:r>
            </w:hyperlink>
          </w:p>
        </w:tc>
        <w:tc>
          <w:tcPr>
            <w:tcW w:w="5740" w:type="dxa"/>
            <w:vAlign w:val="bottom"/>
            <w:gridSpan w:val="8"/>
          </w:tcPr>
          <w:p>
            <w:pPr>
              <w:spacing w:after="0"/>
              <w:rPr>
                <w:sz w:val="24"/>
                <w:szCs w:val="24"/>
                <w:color w:val="auto"/>
              </w:rPr>
            </w:pPr>
          </w:p>
        </w:tc>
        <w:tc>
          <w:tcPr>
            <w:tcW w:w="560" w:type="dxa"/>
            <w:vAlign w:val="bottom"/>
            <w:gridSpan w:val="4"/>
          </w:tcPr>
          <w:p>
            <w:pPr>
              <w:jc w:val="center"/>
              <w:ind w:left="290"/>
              <w:spacing w:after="0"/>
              <w:rPr>
                <w:sz w:val="20"/>
                <w:szCs w:val="20"/>
                <w:color w:val="auto"/>
              </w:rPr>
            </w:pPr>
            <w:r>
              <w:rPr>
                <w:rFonts w:ascii="Arial" w:cs="Arial" w:eastAsia="Arial" w:hAnsi="Arial"/>
                <w:sz w:val="18"/>
                <w:szCs w:val="18"/>
                <w:color w:val="0000FF"/>
                <w:w w:val="89"/>
              </w:rPr>
              <w:t>94</w:t>
            </w:r>
          </w:p>
        </w:tc>
        <w:tc>
          <w:tcPr>
            <w:tcW w:w="360" w:type="dxa"/>
            <w:vAlign w:val="bottom"/>
          </w:tcPr>
          <w:p>
            <w:pPr>
              <w:spacing w:after="0"/>
              <w:rPr>
                <w:sz w:val="24"/>
                <w:szCs w:val="24"/>
                <w:color w:val="auto"/>
              </w:rPr>
            </w:pPr>
          </w:p>
        </w:tc>
      </w:tr>
      <w:tr>
        <w:trPr>
          <w:trHeight w:val="20"/>
        </w:trPr>
        <w:tc>
          <w:tcPr>
            <w:tcW w:w="780" w:type="dxa"/>
            <w:vAlign w:val="bottom"/>
            <w:shd w:val="clear" w:color="auto" w:fill="0000EE"/>
          </w:tcPr>
          <w:p>
            <w:pPr>
              <w:spacing w:after="0" w:line="20" w:lineRule="exact"/>
              <w:rPr>
                <w:sz w:val="1"/>
                <w:szCs w:val="1"/>
                <w:color w:val="auto"/>
              </w:rPr>
            </w:pPr>
          </w:p>
        </w:tc>
        <w:tc>
          <w:tcPr>
            <w:tcW w:w="680" w:type="dxa"/>
            <w:vAlign w:val="bottom"/>
            <w:gridSpan w:val="6"/>
            <w:shd w:val="clear" w:color="auto" w:fill="0000EE"/>
          </w:tcPr>
          <w:p>
            <w:pPr>
              <w:spacing w:after="0" w:line="20" w:lineRule="exact"/>
              <w:rPr>
                <w:sz w:val="1"/>
                <w:szCs w:val="1"/>
                <w:color w:val="auto"/>
              </w:rPr>
            </w:pPr>
          </w:p>
        </w:tc>
        <w:tc>
          <w:tcPr>
            <w:tcW w:w="2360" w:type="dxa"/>
            <w:vAlign w:val="bottom"/>
            <w:tcBorders>
              <w:left w:val="single" w:sz="8" w:color="0000EE"/>
            </w:tcBorders>
            <w:gridSpan w:val="6"/>
            <w:shd w:val="clear" w:color="auto" w:fill="0000EE"/>
          </w:tcPr>
          <w:p>
            <w:pPr>
              <w:spacing w:after="0" w:line="20" w:lineRule="exact"/>
              <w:rPr>
                <w:sz w:val="1"/>
                <w:szCs w:val="1"/>
                <w:color w:val="auto"/>
              </w:rPr>
            </w:pPr>
          </w:p>
        </w:tc>
        <w:tc>
          <w:tcPr>
            <w:tcW w:w="6680" w:type="dxa"/>
            <w:vAlign w:val="bottom"/>
            <w:gridSpan w:val="9"/>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80" w:type="dxa"/>
            <w:vAlign w:val="bottom"/>
            <w:gridSpan w:val="3"/>
            <w:shd w:val="clear" w:color="auto" w:fill="0000FF"/>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r>
      <w:tr>
        <w:trPr>
          <w:trHeight w:val="453"/>
        </w:trPr>
        <w:tc>
          <w:tcPr>
            <w:tcW w:w="3820" w:type="dxa"/>
            <w:vAlign w:val="bottom"/>
            <w:gridSpan w:val="13"/>
          </w:tcPr>
          <w:p>
            <w:pPr>
              <w:spacing w:after="0"/>
              <w:rPr>
                <w:rFonts w:ascii="Arial" w:cs="Arial" w:eastAsia="Arial" w:hAnsi="Arial"/>
                <w:sz w:val="18"/>
                <w:szCs w:val="18"/>
                <w:color w:val="0000EE"/>
              </w:rPr>
            </w:pPr>
            <w:hyperlink w:anchor="page107">
              <w:r>
                <w:rPr>
                  <w:rFonts w:ascii="Arial" w:cs="Arial" w:eastAsia="Arial" w:hAnsi="Arial"/>
                  <w:sz w:val="18"/>
                  <w:szCs w:val="18"/>
                  <w:color w:val="0000EE"/>
                </w:rPr>
                <w:t>LEGAL MATTERS</w:t>
              </w:r>
            </w:hyperlink>
          </w:p>
        </w:tc>
        <w:tc>
          <w:tcPr>
            <w:tcW w:w="6680" w:type="dxa"/>
            <w:vAlign w:val="bottom"/>
            <w:gridSpan w:val="9"/>
          </w:tcPr>
          <w:p>
            <w:pPr>
              <w:spacing w:after="0"/>
              <w:rPr>
                <w:sz w:val="24"/>
                <w:szCs w:val="24"/>
                <w:color w:val="auto"/>
              </w:rPr>
            </w:pPr>
          </w:p>
        </w:tc>
        <w:tc>
          <w:tcPr>
            <w:tcW w:w="560" w:type="dxa"/>
            <w:vAlign w:val="bottom"/>
            <w:gridSpan w:val="4"/>
          </w:tcPr>
          <w:p>
            <w:pPr>
              <w:jc w:val="center"/>
              <w:ind w:left="290"/>
              <w:spacing w:after="0"/>
              <w:rPr>
                <w:sz w:val="20"/>
                <w:szCs w:val="20"/>
                <w:color w:val="auto"/>
              </w:rPr>
            </w:pPr>
            <w:r>
              <w:rPr>
                <w:rFonts w:ascii="Arial" w:cs="Arial" w:eastAsia="Arial" w:hAnsi="Arial"/>
                <w:sz w:val="18"/>
                <w:szCs w:val="18"/>
                <w:color w:val="0000FF"/>
                <w:w w:val="89"/>
              </w:rPr>
              <w:t>94</w:t>
            </w:r>
          </w:p>
        </w:tc>
        <w:tc>
          <w:tcPr>
            <w:tcW w:w="360" w:type="dxa"/>
            <w:vAlign w:val="bottom"/>
          </w:tcPr>
          <w:p>
            <w:pPr>
              <w:spacing w:after="0"/>
              <w:rPr>
                <w:sz w:val="24"/>
                <w:szCs w:val="24"/>
                <w:color w:val="auto"/>
              </w:rPr>
            </w:pPr>
          </w:p>
        </w:tc>
      </w:tr>
      <w:tr>
        <w:trPr>
          <w:trHeight w:val="20"/>
        </w:trPr>
        <w:tc>
          <w:tcPr>
            <w:tcW w:w="780" w:type="dxa"/>
            <w:vAlign w:val="bottom"/>
            <w:shd w:val="clear" w:color="auto" w:fill="0000EE"/>
          </w:tcPr>
          <w:p>
            <w:pPr>
              <w:spacing w:after="0" w:line="20" w:lineRule="exact"/>
              <w:rPr>
                <w:sz w:val="1"/>
                <w:szCs w:val="1"/>
                <w:color w:val="auto"/>
              </w:rPr>
            </w:pPr>
          </w:p>
        </w:tc>
        <w:tc>
          <w:tcPr>
            <w:tcW w:w="680" w:type="dxa"/>
            <w:vAlign w:val="bottom"/>
            <w:gridSpan w:val="6"/>
            <w:shd w:val="clear" w:color="auto" w:fill="0000EE"/>
          </w:tcPr>
          <w:p>
            <w:pPr>
              <w:spacing w:after="0" w:line="20" w:lineRule="exact"/>
              <w:rPr>
                <w:sz w:val="1"/>
                <w:szCs w:val="1"/>
                <w:color w:val="auto"/>
              </w:rPr>
            </w:pPr>
          </w:p>
        </w:tc>
        <w:tc>
          <w:tcPr>
            <w:tcW w:w="9040" w:type="dxa"/>
            <w:vAlign w:val="bottom"/>
            <w:gridSpan w:val="15"/>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80" w:type="dxa"/>
            <w:vAlign w:val="bottom"/>
            <w:gridSpan w:val="3"/>
            <w:shd w:val="clear" w:color="auto" w:fill="0000FF"/>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r>
      <w:tr>
        <w:trPr>
          <w:trHeight w:val="453"/>
        </w:trPr>
        <w:tc>
          <w:tcPr>
            <w:tcW w:w="1460" w:type="dxa"/>
            <w:vAlign w:val="bottom"/>
            <w:gridSpan w:val="7"/>
          </w:tcPr>
          <w:p>
            <w:pPr>
              <w:spacing w:after="0"/>
              <w:rPr>
                <w:rFonts w:ascii="Arial" w:cs="Arial" w:eastAsia="Arial" w:hAnsi="Arial"/>
                <w:sz w:val="18"/>
                <w:szCs w:val="18"/>
                <w:color w:val="0000EE"/>
              </w:rPr>
            </w:pPr>
            <w:hyperlink w:anchor="page107">
              <w:r>
                <w:rPr>
                  <w:rFonts w:ascii="Arial" w:cs="Arial" w:eastAsia="Arial" w:hAnsi="Arial"/>
                  <w:sz w:val="18"/>
                  <w:szCs w:val="18"/>
                  <w:color w:val="0000EE"/>
                </w:rPr>
                <w:t>EXPERTS</w:t>
              </w:r>
            </w:hyperlink>
          </w:p>
        </w:tc>
        <w:tc>
          <w:tcPr>
            <w:tcW w:w="9040" w:type="dxa"/>
            <w:vAlign w:val="bottom"/>
            <w:gridSpan w:val="15"/>
          </w:tcPr>
          <w:p>
            <w:pPr>
              <w:spacing w:after="0"/>
              <w:rPr>
                <w:sz w:val="24"/>
                <w:szCs w:val="24"/>
                <w:color w:val="auto"/>
              </w:rPr>
            </w:pPr>
          </w:p>
        </w:tc>
        <w:tc>
          <w:tcPr>
            <w:tcW w:w="560" w:type="dxa"/>
            <w:vAlign w:val="bottom"/>
            <w:gridSpan w:val="4"/>
          </w:tcPr>
          <w:p>
            <w:pPr>
              <w:jc w:val="center"/>
              <w:ind w:left="290"/>
              <w:spacing w:after="0"/>
              <w:rPr>
                <w:sz w:val="20"/>
                <w:szCs w:val="20"/>
                <w:color w:val="auto"/>
              </w:rPr>
            </w:pPr>
            <w:r>
              <w:rPr>
                <w:rFonts w:ascii="Arial" w:cs="Arial" w:eastAsia="Arial" w:hAnsi="Arial"/>
                <w:sz w:val="18"/>
                <w:szCs w:val="18"/>
                <w:color w:val="0000FF"/>
                <w:w w:val="89"/>
              </w:rPr>
              <w:t>94</w:t>
            </w:r>
          </w:p>
        </w:tc>
        <w:tc>
          <w:tcPr>
            <w:tcW w:w="360" w:type="dxa"/>
            <w:vAlign w:val="bottom"/>
          </w:tcPr>
          <w:p>
            <w:pPr>
              <w:spacing w:after="0"/>
              <w:rPr>
                <w:sz w:val="24"/>
                <w:szCs w:val="24"/>
                <w:color w:val="auto"/>
              </w:rPr>
            </w:pPr>
          </w:p>
        </w:tc>
      </w:tr>
      <w:tr>
        <w:trPr>
          <w:trHeight w:val="385"/>
        </w:trPr>
        <w:tc>
          <w:tcPr>
            <w:tcW w:w="780" w:type="dxa"/>
            <w:vAlign w:val="bottom"/>
            <w:tcBorders>
              <w:top w:val="single" w:sz="8" w:color="0000EE"/>
            </w:tcBorders>
          </w:tcPr>
          <w:p>
            <w:pPr>
              <w:spacing w:after="0"/>
              <w:rPr>
                <w:sz w:val="24"/>
                <w:szCs w:val="24"/>
                <w:color w:val="auto"/>
              </w:rPr>
            </w:pPr>
          </w:p>
        </w:tc>
        <w:tc>
          <w:tcPr>
            <w:tcW w:w="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420" w:type="dxa"/>
            <w:vAlign w:val="bottom"/>
            <w:gridSpan w:val="5"/>
          </w:tcPr>
          <w:p>
            <w:pPr>
              <w:jc w:val="center"/>
              <w:ind w:right="4160"/>
              <w:spacing w:after="0"/>
              <w:rPr>
                <w:sz w:val="20"/>
                <w:szCs w:val="20"/>
                <w:color w:val="auto"/>
              </w:rPr>
            </w:pPr>
            <w:r>
              <w:rPr>
                <w:rFonts w:ascii="Arial" w:cs="Arial" w:eastAsia="Arial" w:hAnsi="Arial"/>
                <w:sz w:val="18"/>
                <w:szCs w:val="18"/>
                <w:color w:val="auto"/>
              </w:rPr>
              <w:t>-i-</w:t>
            </w:r>
          </w:p>
        </w:tc>
        <w:tc>
          <w:tcPr>
            <w:tcW w:w="380" w:type="dxa"/>
            <w:vAlign w:val="bottom"/>
          </w:tcPr>
          <w:p>
            <w:pPr>
              <w:spacing w:after="0"/>
              <w:rPr>
                <w:sz w:val="24"/>
                <w:szCs w:val="24"/>
                <w:color w:val="auto"/>
              </w:rPr>
            </w:pPr>
          </w:p>
        </w:tc>
        <w:tc>
          <w:tcPr>
            <w:tcW w:w="40" w:type="dxa"/>
            <w:vAlign w:val="bottom"/>
            <w:tcBorders>
              <w:top w:val="single" w:sz="8" w:color="0000FF"/>
            </w:tcBorders>
          </w:tcPr>
          <w:p>
            <w:pPr>
              <w:spacing w:after="0"/>
              <w:rPr>
                <w:sz w:val="24"/>
                <w:szCs w:val="24"/>
                <w:color w:val="auto"/>
              </w:rPr>
            </w:pPr>
          </w:p>
        </w:tc>
        <w:tc>
          <w:tcPr>
            <w:tcW w:w="80" w:type="dxa"/>
            <w:vAlign w:val="bottom"/>
            <w:tcBorders>
              <w:top w:val="single" w:sz="8" w:color="0000FF"/>
            </w:tcBorders>
          </w:tcPr>
          <w:p>
            <w:pPr>
              <w:spacing w:after="0"/>
              <w:rPr>
                <w:sz w:val="24"/>
                <w:szCs w:val="24"/>
                <w:color w:val="auto"/>
              </w:rPr>
            </w:pPr>
          </w:p>
        </w:tc>
        <w:tc>
          <w:tcPr>
            <w:tcW w:w="60" w:type="dxa"/>
            <w:vAlign w:val="bottom"/>
            <w:tcBorders>
              <w:top w:val="single" w:sz="8" w:color="0000FF"/>
            </w:tcBorders>
          </w:tcPr>
          <w:p>
            <w:pPr>
              <w:spacing w:after="0"/>
              <w:rPr>
                <w:sz w:val="24"/>
                <w:szCs w:val="24"/>
                <w:color w:val="auto"/>
              </w:rPr>
            </w:pPr>
          </w:p>
        </w:tc>
        <w:tc>
          <w:tcPr>
            <w:tcW w:w="360" w:type="dxa"/>
            <w:vAlign w:val="bottom"/>
          </w:tcPr>
          <w:p>
            <w:pPr>
              <w:spacing w:after="0"/>
              <w:rPr>
                <w:sz w:val="24"/>
                <w:szCs w:val="24"/>
                <w:color w:val="auto"/>
              </w:rPr>
            </w:pPr>
          </w:p>
        </w:tc>
      </w:tr>
    </w:tbl>
    <w:p>
      <w:pPr>
        <w:sectPr>
          <w:pgSz w:w="11900" w:h="16838" w:orient="portrait"/>
          <w:cols w:equalWidth="0" w:num="1">
            <w:col w:w="11420"/>
          </w:cols>
          <w:pgMar w:left="240" w:top="446" w:right="239" w:bottom="1440" w:gutter="0" w:footer="0" w:header="0"/>
        </w:sectPr>
      </w:pPr>
    </w:p>
    <w:bookmarkStart w:id="4" w:name="page5"/>
    <w:bookmarkEnd w:id="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299"/>
        <w:spacing w:after="0"/>
        <w:rPr>
          <w:sz w:val="20"/>
          <w:szCs w:val="20"/>
          <w:color w:val="auto"/>
        </w:rPr>
      </w:pPr>
      <w:r>
        <w:rPr>
          <w:rFonts w:ascii="Arial" w:cs="Arial" w:eastAsia="Arial" w:hAnsi="Arial"/>
          <w:sz w:val="18"/>
          <w:szCs w:val="18"/>
          <w:b w:val="1"/>
          <w:bCs w:val="1"/>
          <w:color w:val="auto"/>
        </w:rPr>
        <w:t>Presentation of Information</w:t>
      </w:r>
    </w:p>
    <w:p>
      <w:pPr>
        <w:spacing w:after="0" w:line="229" w:lineRule="exact"/>
        <w:rPr>
          <w:sz w:val="20"/>
          <w:szCs w:val="20"/>
          <w:color w:val="auto"/>
        </w:rPr>
      </w:pPr>
    </w:p>
    <w:p>
      <w:pPr>
        <w:ind w:firstLine="456"/>
        <w:spacing w:after="0" w:line="279" w:lineRule="auto"/>
        <w:rPr>
          <w:sz w:val="20"/>
          <w:szCs w:val="20"/>
          <w:color w:val="auto"/>
        </w:rPr>
      </w:pPr>
      <w:r>
        <w:rPr>
          <w:rFonts w:ascii="Arial" w:cs="Arial" w:eastAsia="Arial" w:hAnsi="Arial"/>
          <w:sz w:val="17"/>
          <w:szCs w:val="17"/>
          <w:color w:val="auto"/>
        </w:rPr>
        <w:t>Except as otherwise indicated or unless the context otherwise requires, the information included in this prospectus assumes the completion of all the transactions referred to in this prospectus in connection with the spinoff. Unless we otherwise state or the context otherwise indicates, all references in this prospectus to “TimkenSteel,” “us,” “our,” or “we” mean TimkenSteel Corporation and its subsidiaries, and all references to “Timken” mean The Timken Company and its subsidiaries, other than, for all periods following the spinoff, TimkenSteel.</w:t>
      </w:r>
    </w:p>
    <w:p>
      <w:pPr>
        <w:spacing w:after="0" w:line="104" w:lineRule="exact"/>
        <w:rPr>
          <w:sz w:val="20"/>
          <w:szCs w:val="20"/>
          <w:color w:val="auto"/>
        </w:rPr>
      </w:pPr>
    </w:p>
    <w:p>
      <w:pPr>
        <w:jc w:val="center"/>
        <w:ind w:right="-299"/>
        <w:spacing w:after="0"/>
        <w:rPr>
          <w:sz w:val="20"/>
          <w:szCs w:val="20"/>
          <w:color w:val="auto"/>
        </w:rPr>
      </w:pPr>
      <w:r>
        <w:rPr>
          <w:rFonts w:ascii="Arial" w:cs="Arial" w:eastAsia="Arial" w:hAnsi="Arial"/>
          <w:sz w:val="18"/>
          <w:szCs w:val="18"/>
          <w:color w:val="auto"/>
        </w:rPr>
        <w:t>-ii-</w:t>
      </w:r>
    </w:p>
    <w:p>
      <w:pPr>
        <w:sectPr>
          <w:pgSz w:w="11900" w:h="16838" w:orient="portrait"/>
          <w:cols w:equalWidth="0" w:num="1">
            <w:col w:w="11140"/>
          </w:cols>
          <w:pgMar w:left="240" w:top="459" w:right="519" w:bottom="1440" w:gutter="0" w:footer="0" w:header="0"/>
        </w:sectPr>
      </w:pPr>
    </w:p>
    <w:bookmarkStart w:id="5" w:name="page6"/>
    <w:bookmarkEnd w:id="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203835</wp:posOffset>
            </wp:positionV>
            <wp:extent cx="7276465" cy="997712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76465" cy="9977120"/>
                    </a:xfrm>
                    <a:prstGeom prst="rect">
                      <a:avLst/>
                    </a:prstGeom>
                    <a:noFill/>
                  </pic:spPr>
                </pic:pic>
              </a:graphicData>
            </a:graphic>
          </wp:anchor>
        </w:drawing>
      </w:r>
    </w:p>
    <w:p>
      <w:pPr>
        <w:spacing w:after="0" w:line="200" w:lineRule="exact"/>
        <w:rPr>
          <w:sz w:val="20"/>
          <w:szCs w:val="20"/>
          <w:color w:val="auto"/>
        </w:rPr>
      </w:pPr>
    </w:p>
    <w:p>
      <w:pPr>
        <w:spacing w:after="0" w:line="275" w:lineRule="exact"/>
        <w:rPr>
          <w:sz w:val="20"/>
          <w:szCs w:val="20"/>
          <w:color w:val="auto"/>
        </w:rPr>
      </w:pPr>
    </w:p>
    <w:p>
      <w:pPr>
        <w:jc w:val="center"/>
        <w:ind w:right="-199"/>
        <w:spacing w:after="0"/>
        <w:rPr>
          <w:sz w:val="20"/>
          <w:szCs w:val="20"/>
          <w:color w:val="auto"/>
        </w:rPr>
      </w:pPr>
      <w:r>
        <w:rPr>
          <w:rFonts w:ascii="Arial" w:cs="Arial" w:eastAsia="Arial" w:hAnsi="Arial"/>
          <w:sz w:val="18"/>
          <w:szCs w:val="18"/>
          <w:b w:val="1"/>
          <w:bCs w:val="1"/>
          <w:color w:val="auto"/>
        </w:rPr>
        <w:t>PROSPECTUS SUMMARY</w:t>
      </w:r>
    </w:p>
    <w:p>
      <w:pPr>
        <w:spacing w:after="0" w:line="202" w:lineRule="exact"/>
        <w:rPr>
          <w:sz w:val="20"/>
          <w:szCs w:val="20"/>
          <w:color w:val="auto"/>
        </w:rPr>
      </w:pPr>
    </w:p>
    <w:p>
      <w:pPr>
        <w:ind w:left="200" w:right="120" w:firstLine="885"/>
        <w:spacing w:after="0" w:line="302" w:lineRule="auto"/>
        <w:rPr>
          <w:sz w:val="20"/>
          <w:szCs w:val="20"/>
          <w:color w:val="auto"/>
        </w:rPr>
      </w:pPr>
      <w:r>
        <w:rPr>
          <w:rFonts w:ascii="Arial" w:cs="Arial" w:eastAsia="Arial" w:hAnsi="Arial"/>
          <w:sz w:val="16"/>
          <w:szCs w:val="16"/>
          <w:i w:val="1"/>
          <w:iCs w:val="1"/>
          <w:color w:val="auto"/>
        </w:rPr>
        <w:t>The following is a summary of some of the information contained in this prospectus. This summary does not contain all the details concerning TimkenSteel or the spinoff transaction, the securities offered hereby or other information that may be important to you. We urge you to read this entire document carefully, including “Risk Factors,” “Selected Historical Consolidated Financial Data” and “Unaudited Pro Forma Consolidated Financial Data” and the Consolidated Financial Statements and the notes to those financial statements included elsewhere in this prospectus.</w:t>
      </w:r>
    </w:p>
    <w:p>
      <w:pPr>
        <w:spacing w:after="0" w:line="218"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Our Company</w:t>
      </w:r>
    </w:p>
    <w:p>
      <w:pPr>
        <w:spacing w:after="0" w:line="297" w:lineRule="exact"/>
        <w:rPr>
          <w:sz w:val="20"/>
          <w:szCs w:val="20"/>
          <w:color w:val="auto"/>
        </w:rPr>
      </w:pPr>
    </w:p>
    <w:p>
      <w:pPr>
        <w:ind w:left="200" w:right="20" w:firstLine="885"/>
        <w:spacing w:after="0" w:line="257" w:lineRule="auto"/>
        <w:rPr>
          <w:sz w:val="20"/>
          <w:szCs w:val="20"/>
          <w:color w:val="auto"/>
        </w:rPr>
      </w:pPr>
      <w:r>
        <w:rPr>
          <w:rFonts w:ascii="Arial" w:cs="Arial" w:eastAsia="Arial" w:hAnsi="Arial"/>
          <w:sz w:val="18"/>
          <w:szCs w:val="18"/>
          <w:color w:val="auto"/>
        </w:rPr>
        <w:t>Timken is a global company that engineers, manufactures and markets high-performance steel, bearings and related mechanical power transmission components and services. It had consolidated revenues of approximately $4.3 billion in 2013, and its common shares trade on the New York Stock Exchange, or NYSE, under the symbol “TKR.” TimkenSteel was formed by Timken in 2013 as a wholly owned subsidiary to hold the TimkenSteel business in anticipation of the proposed spinoff into an independent, publicly traded company. Timken will not retain any ownership interest in us after the spinoff.</w:t>
      </w:r>
    </w:p>
    <w:p>
      <w:pPr>
        <w:spacing w:after="0" w:line="188" w:lineRule="exact"/>
        <w:rPr>
          <w:sz w:val="20"/>
          <w:szCs w:val="20"/>
          <w:color w:val="auto"/>
        </w:rPr>
      </w:pPr>
    </w:p>
    <w:p>
      <w:pPr>
        <w:ind w:left="200" w:right="220" w:firstLine="885"/>
        <w:spacing w:after="0" w:line="259" w:lineRule="auto"/>
        <w:rPr>
          <w:sz w:val="20"/>
          <w:szCs w:val="20"/>
          <w:color w:val="auto"/>
        </w:rPr>
      </w:pPr>
      <w:r>
        <w:rPr>
          <w:rFonts w:ascii="Arial" w:cs="Arial" w:eastAsia="Arial" w:hAnsi="Arial"/>
          <w:sz w:val="18"/>
          <w:szCs w:val="18"/>
          <w:color w:val="auto"/>
        </w:rPr>
        <w:t>We believe, based on our knowledge of the steel industry, that we are the only focused special bar quality, or SBQ, steel producer in North America and have the largest SBQ steel large bar (6 inch diameter and greater) production capacity among the North American steel producers. In addition, based on our internal estimates, we believe we have historically supplied, on average, approximately 40% of the seamless mechanical tube demand in North America.</w:t>
      </w:r>
    </w:p>
    <w:p>
      <w:pPr>
        <w:spacing w:after="0" w:line="187" w:lineRule="exact"/>
        <w:rPr>
          <w:sz w:val="20"/>
          <w:szCs w:val="20"/>
          <w:color w:val="auto"/>
        </w:rPr>
      </w:pPr>
    </w:p>
    <w:p>
      <w:pPr>
        <w:ind w:left="200" w:right="100" w:firstLine="885"/>
        <w:spacing w:after="0" w:line="291" w:lineRule="auto"/>
        <w:rPr>
          <w:sz w:val="20"/>
          <w:szCs w:val="20"/>
          <w:color w:val="auto"/>
        </w:rPr>
      </w:pPr>
      <w:r>
        <w:rPr>
          <w:rFonts w:ascii="Arial" w:cs="Arial" w:eastAsia="Arial" w:hAnsi="Arial"/>
          <w:sz w:val="16"/>
          <w:szCs w:val="16"/>
          <w:color w:val="auto"/>
        </w:rPr>
        <w:t>While we believe we are the leading manufacturer of SBQ steel large bars (6 inch diameter and greater) and seamless mechanical tubing in North America and the only high volume steel manufacturer with capabilities of developing SBQ steel large bars up to sixteen inches in diameter, that is only part of our story. We believe the TimkenSteel business model is unique in our industry in that we have the flexibility to produce customized SBQ steel for our customers in high or low volume, as the situation dictates, whereas most producers of customized SBQ steel products generally produce in only either high or low volume, but not both. We focus on creating tailored products and services for our customers’ most demanding applications. Our engineers are experts in both materials and applications, so we can work closely with each customer to deliver flexible solutions related to our products as well as their applications and supply chains. We believe our unique operating model gives us a competitive advantage in our industry.</w:t>
      </w:r>
    </w:p>
    <w:p>
      <w:pPr>
        <w:spacing w:after="0" w:line="167" w:lineRule="exact"/>
        <w:rPr>
          <w:sz w:val="20"/>
          <w:szCs w:val="20"/>
          <w:color w:val="auto"/>
        </w:rPr>
      </w:pPr>
    </w:p>
    <w:p>
      <w:pPr>
        <w:ind w:left="200" w:right="480" w:firstLine="885"/>
        <w:spacing w:after="0" w:line="302" w:lineRule="auto"/>
        <w:rPr>
          <w:sz w:val="20"/>
          <w:szCs w:val="20"/>
          <w:color w:val="auto"/>
        </w:rPr>
      </w:pPr>
      <w:r>
        <w:rPr>
          <w:rFonts w:ascii="Arial" w:cs="Arial" w:eastAsia="Arial" w:hAnsi="Arial"/>
          <w:sz w:val="16"/>
          <w:szCs w:val="16"/>
          <w:color w:val="auto"/>
        </w:rPr>
        <w:t>We manufacture alloy steel, as well as carbon and micro-alloy steel, with an annual melt capacity of approximately 2 million tons. Our portfolio includes SBQ bars, seamless mechanical tubing and precision steel components. In addition, we supply machining and thermal treatment services, as well as manage raw material recycling programs, which are done as a feeder system for our operations. We focus on research and development as we create the answers to customers’ toughest engineering challenges and leverage those answers into new product offerings.</w:t>
      </w:r>
    </w:p>
    <w:p>
      <w:pPr>
        <w:spacing w:after="0" w:line="154" w:lineRule="exact"/>
        <w:rPr>
          <w:sz w:val="20"/>
          <w:szCs w:val="20"/>
          <w:color w:val="auto"/>
        </w:rPr>
      </w:pPr>
    </w:p>
    <w:p>
      <w:pPr>
        <w:ind w:left="200" w:firstLine="885"/>
        <w:spacing w:after="0" w:line="257" w:lineRule="auto"/>
        <w:rPr>
          <w:sz w:val="20"/>
          <w:szCs w:val="20"/>
          <w:color w:val="auto"/>
        </w:rPr>
      </w:pPr>
      <w:r>
        <w:rPr>
          <w:rFonts w:ascii="Arial" w:cs="Arial" w:eastAsia="Arial" w:hAnsi="Arial"/>
          <w:sz w:val="18"/>
          <w:szCs w:val="18"/>
          <w:color w:val="auto"/>
        </w:rPr>
        <w:t>While 93% of our sales are invoiced in the United States, our products reach all corners of the globe in our customers’ applications. We sell a diverse mix of products and services to our approximately 600 customers, with no single company representing more than 10% of our direct sales. For the year ended December 31, 2013, we had revenue of approximately $1.4 billion, including intercompany sales to Timken, with net income of approximately $90 million. For the quarter ended March 31, 2014, we had revenue of approximately $390 million, including intercompany sales to Timken, with net income of approximately $34 million.</w:t>
      </w:r>
    </w:p>
    <w:p>
      <w:pPr>
        <w:spacing w:after="0" w:line="188" w:lineRule="exact"/>
        <w:rPr>
          <w:sz w:val="20"/>
          <w:szCs w:val="20"/>
          <w:color w:val="auto"/>
        </w:rPr>
      </w:pPr>
    </w:p>
    <w:p>
      <w:pPr>
        <w:ind w:left="200" w:right="280" w:firstLine="885"/>
        <w:spacing w:after="0" w:line="308" w:lineRule="auto"/>
        <w:rPr>
          <w:sz w:val="20"/>
          <w:szCs w:val="20"/>
          <w:color w:val="auto"/>
        </w:rPr>
      </w:pPr>
      <w:r>
        <w:rPr>
          <w:rFonts w:ascii="Arial" w:cs="Arial" w:eastAsia="Arial" w:hAnsi="Arial"/>
          <w:sz w:val="17"/>
          <w:szCs w:val="17"/>
          <w:color w:val="auto"/>
        </w:rPr>
        <w:t>We are a responsible corporate citizen, with a deeply embedded set of core values that guide our daily work. We are known as a company that solves problems, demonstrates operational excellence and maintains a commitment to ethics and integrity in all we do.</w:t>
      </w:r>
    </w:p>
    <w:p>
      <w:pPr>
        <w:sectPr>
          <w:pgSz w:w="11900" w:h="16838" w:orient="portrait"/>
          <w:cols w:equalWidth="0" w:num="1">
            <w:col w:w="11260"/>
          </w:cols>
          <w:pgMar w:left="240" w:top="459" w:right="399" w:bottom="1440" w:gutter="0" w:footer="0" w:header="0"/>
        </w:sectPr>
      </w:pPr>
    </w:p>
    <w:bookmarkStart w:id="6" w:name="page7"/>
    <w:bookmarkEnd w:id="6"/>
    <w:p>
      <w:pPr>
        <w:ind w:left="200"/>
        <w:spacing w:after="0"/>
        <w:rPr>
          <w:sz w:val="20"/>
          <w:szCs w:val="20"/>
          <w:color w:val="auto"/>
        </w:rPr>
      </w:pPr>
      <w:r>
        <w:rPr>
          <w:rFonts w:ascii="Arial" w:cs="Arial" w:eastAsia="Arial" w:hAnsi="Arial"/>
          <w:sz w:val="18"/>
          <w:szCs w:val="18"/>
          <w:b w:val="1"/>
          <w:bCs w:val="1"/>
          <w:color w:val="auto"/>
        </w:rPr>
        <w:t>The Spinoff</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7266940</wp:posOffset>
            </wp:positionH>
            <wp:positionV relativeFrom="paragraph">
              <wp:posOffset>-119380</wp:posOffset>
            </wp:positionV>
            <wp:extent cx="12700" cy="22059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12700" cy="22059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-119380</wp:posOffset>
            </wp:positionV>
            <wp:extent cx="12700" cy="22059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12700" cy="2205990"/>
                    </a:xfrm>
                    <a:prstGeom prst="rect">
                      <a:avLst/>
                    </a:prstGeom>
                    <a:noFill/>
                  </pic:spPr>
                </pic:pic>
              </a:graphicData>
            </a:graphic>
          </wp:anchor>
        </w:drawing>
      </w:r>
    </w:p>
    <w:p>
      <w:pPr>
        <w:spacing w:after="0" w:line="142" w:lineRule="exact"/>
        <w:rPr>
          <w:sz w:val="20"/>
          <w:szCs w:val="20"/>
          <w:color w:val="auto"/>
        </w:rPr>
      </w:pPr>
    </w:p>
    <w:p>
      <w:pPr>
        <w:ind w:left="200" w:right="580" w:firstLine="443"/>
        <w:spacing w:after="0" w:line="277" w:lineRule="auto"/>
        <w:rPr>
          <w:sz w:val="20"/>
          <w:szCs w:val="20"/>
          <w:color w:val="auto"/>
        </w:rPr>
      </w:pPr>
      <w:r>
        <w:rPr>
          <w:rFonts w:ascii="Arial" w:cs="Arial" w:eastAsia="Arial" w:hAnsi="Arial"/>
          <w:sz w:val="18"/>
          <w:szCs w:val="18"/>
          <w:color w:val="auto"/>
        </w:rPr>
        <w:t>The following is a brief summary of the terms of the spinoff. Please see “The Spinoff” for a more detailed description of the matters described below.</w:t>
      </w:r>
    </w:p>
    <w:p>
      <w:pPr>
        <w:spacing w:after="0" w:line="197"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3380" w:type="dxa"/>
            <w:vAlign w:val="bottom"/>
          </w:tcPr>
          <w:p>
            <w:pPr>
              <w:ind w:left="300"/>
              <w:spacing w:after="0"/>
              <w:rPr>
                <w:sz w:val="20"/>
                <w:szCs w:val="20"/>
                <w:color w:val="auto"/>
              </w:rPr>
            </w:pPr>
            <w:r>
              <w:rPr>
                <w:rFonts w:ascii="Arial" w:cs="Arial" w:eastAsia="Arial" w:hAnsi="Arial"/>
                <w:sz w:val="18"/>
                <w:szCs w:val="18"/>
                <w:color w:val="auto"/>
              </w:rPr>
              <w:t>Distributing company</w:t>
            </w:r>
          </w:p>
        </w:tc>
        <w:tc>
          <w:tcPr>
            <w:tcW w:w="8080" w:type="dxa"/>
            <w:vAlign w:val="bottom"/>
          </w:tcPr>
          <w:p>
            <w:pPr>
              <w:ind w:left="1380"/>
              <w:spacing w:after="0"/>
              <w:rPr>
                <w:sz w:val="20"/>
                <w:szCs w:val="20"/>
                <w:color w:val="auto"/>
              </w:rPr>
            </w:pPr>
            <w:r>
              <w:rPr>
                <w:rFonts w:ascii="Arial" w:cs="Arial" w:eastAsia="Arial" w:hAnsi="Arial"/>
                <w:sz w:val="18"/>
                <w:szCs w:val="18"/>
                <w:color w:val="auto"/>
              </w:rPr>
              <w:t>Timken, which is the parent company of TimkenSteel. After the distribution, Timken</w:t>
            </w:r>
          </w:p>
        </w:tc>
      </w:tr>
      <w:tr>
        <w:trPr>
          <w:trHeight w:val="230"/>
        </w:trPr>
        <w:tc>
          <w:tcPr>
            <w:tcW w:w="3380" w:type="dxa"/>
            <w:vAlign w:val="bottom"/>
          </w:tcPr>
          <w:p>
            <w:pPr>
              <w:spacing w:after="0"/>
              <w:rPr>
                <w:sz w:val="20"/>
                <w:szCs w:val="20"/>
                <w:color w:val="auto"/>
              </w:rPr>
            </w:pPr>
          </w:p>
        </w:tc>
        <w:tc>
          <w:tcPr>
            <w:tcW w:w="8080" w:type="dxa"/>
            <w:vAlign w:val="bottom"/>
          </w:tcPr>
          <w:p>
            <w:pPr>
              <w:ind w:left="1380"/>
              <w:spacing w:after="0"/>
              <w:rPr>
                <w:sz w:val="20"/>
                <w:szCs w:val="20"/>
                <w:color w:val="auto"/>
              </w:rPr>
            </w:pPr>
            <w:r>
              <w:rPr>
                <w:rFonts w:ascii="Arial" w:cs="Arial" w:eastAsia="Arial" w:hAnsi="Arial"/>
                <w:sz w:val="18"/>
                <w:szCs w:val="18"/>
                <w:color w:val="auto"/>
              </w:rPr>
              <w:t>will not retain any of TimkenSteel’s common shares.</w:t>
            </w:r>
          </w:p>
        </w:tc>
      </w:tr>
      <w:tr>
        <w:trPr>
          <w:trHeight w:val="310"/>
        </w:trPr>
        <w:tc>
          <w:tcPr>
            <w:tcW w:w="3380" w:type="dxa"/>
            <w:vAlign w:val="bottom"/>
          </w:tcPr>
          <w:p>
            <w:pPr>
              <w:ind w:left="300"/>
              <w:spacing w:after="0"/>
              <w:rPr>
                <w:sz w:val="20"/>
                <w:szCs w:val="20"/>
                <w:color w:val="auto"/>
              </w:rPr>
            </w:pPr>
            <w:r>
              <w:rPr>
                <w:rFonts w:ascii="Arial" w:cs="Arial" w:eastAsia="Arial" w:hAnsi="Arial"/>
                <w:sz w:val="18"/>
                <w:szCs w:val="18"/>
                <w:color w:val="auto"/>
              </w:rPr>
              <w:t>Distributed company</w:t>
            </w:r>
          </w:p>
        </w:tc>
        <w:tc>
          <w:tcPr>
            <w:tcW w:w="8080" w:type="dxa"/>
            <w:vAlign w:val="bottom"/>
          </w:tcPr>
          <w:p>
            <w:pPr>
              <w:ind w:left="1380"/>
              <w:spacing w:after="0"/>
              <w:rPr>
                <w:sz w:val="20"/>
                <w:szCs w:val="20"/>
                <w:color w:val="auto"/>
              </w:rPr>
            </w:pPr>
            <w:r>
              <w:rPr>
                <w:rFonts w:ascii="Arial" w:cs="Arial" w:eastAsia="Arial" w:hAnsi="Arial"/>
                <w:sz w:val="18"/>
                <w:szCs w:val="18"/>
                <w:color w:val="auto"/>
              </w:rPr>
              <w:t>TimkenSteel, which is currently a wholly owned subsidiary of Timken. After the</w:t>
            </w:r>
          </w:p>
        </w:tc>
      </w:tr>
      <w:tr>
        <w:trPr>
          <w:trHeight w:val="230"/>
        </w:trPr>
        <w:tc>
          <w:tcPr>
            <w:tcW w:w="3380" w:type="dxa"/>
            <w:vAlign w:val="bottom"/>
          </w:tcPr>
          <w:p>
            <w:pPr>
              <w:spacing w:after="0"/>
              <w:rPr>
                <w:sz w:val="20"/>
                <w:szCs w:val="20"/>
                <w:color w:val="auto"/>
              </w:rPr>
            </w:pPr>
          </w:p>
        </w:tc>
        <w:tc>
          <w:tcPr>
            <w:tcW w:w="8080" w:type="dxa"/>
            <w:vAlign w:val="bottom"/>
          </w:tcPr>
          <w:p>
            <w:pPr>
              <w:ind w:left="1380"/>
              <w:spacing w:after="0"/>
              <w:rPr>
                <w:sz w:val="20"/>
                <w:szCs w:val="20"/>
                <w:color w:val="auto"/>
              </w:rPr>
            </w:pPr>
            <w:r>
              <w:rPr>
                <w:rFonts w:ascii="Arial" w:cs="Arial" w:eastAsia="Arial" w:hAnsi="Arial"/>
                <w:sz w:val="18"/>
                <w:szCs w:val="18"/>
                <w:color w:val="auto"/>
              </w:rPr>
              <w:t>distribution, TimkenSteel will be an independent, publicly traded company.</w:t>
            </w:r>
          </w:p>
        </w:tc>
      </w:tr>
      <w:tr>
        <w:trPr>
          <w:trHeight w:val="310"/>
        </w:trPr>
        <w:tc>
          <w:tcPr>
            <w:tcW w:w="3380" w:type="dxa"/>
            <w:vAlign w:val="bottom"/>
          </w:tcPr>
          <w:p>
            <w:pPr>
              <w:ind w:left="300"/>
              <w:spacing w:after="0"/>
              <w:rPr>
                <w:sz w:val="20"/>
                <w:szCs w:val="20"/>
                <w:color w:val="auto"/>
              </w:rPr>
            </w:pPr>
            <w:r>
              <w:rPr>
                <w:rFonts w:ascii="Arial" w:cs="Arial" w:eastAsia="Arial" w:hAnsi="Arial"/>
                <w:sz w:val="18"/>
                <w:szCs w:val="18"/>
                <w:color w:val="auto"/>
              </w:rPr>
              <w:t>Shares to be distributed</w:t>
            </w:r>
          </w:p>
        </w:tc>
        <w:tc>
          <w:tcPr>
            <w:tcW w:w="8080" w:type="dxa"/>
            <w:vAlign w:val="bottom"/>
          </w:tcPr>
          <w:p>
            <w:pPr>
              <w:ind w:left="1380"/>
              <w:spacing w:after="0"/>
              <w:rPr>
                <w:sz w:val="20"/>
                <w:szCs w:val="20"/>
                <w:color w:val="auto"/>
              </w:rPr>
            </w:pPr>
            <w:r>
              <w:rPr>
                <w:rFonts w:ascii="Arial" w:cs="Arial" w:eastAsia="Arial" w:hAnsi="Arial"/>
                <w:sz w:val="18"/>
                <w:szCs w:val="18"/>
                <w:color w:val="auto"/>
                <w:w w:val="97"/>
              </w:rPr>
              <w:t>Approximately 45.4 million common shares of TimkenSteel. Our common shares to be</w:t>
            </w:r>
          </w:p>
        </w:tc>
      </w:tr>
      <w:tr>
        <w:trPr>
          <w:trHeight w:val="216"/>
        </w:trPr>
        <w:tc>
          <w:tcPr>
            <w:tcW w:w="3380" w:type="dxa"/>
            <w:vAlign w:val="bottom"/>
          </w:tcPr>
          <w:p>
            <w:pPr>
              <w:spacing w:after="0"/>
              <w:rPr>
                <w:sz w:val="18"/>
                <w:szCs w:val="18"/>
                <w:color w:val="auto"/>
              </w:rPr>
            </w:pPr>
          </w:p>
        </w:tc>
        <w:tc>
          <w:tcPr>
            <w:tcW w:w="8080" w:type="dxa"/>
            <w:vAlign w:val="bottom"/>
          </w:tcPr>
          <w:p>
            <w:pPr>
              <w:ind w:left="1380"/>
              <w:spacing w:after="0"/>
              <w:rPr>
                <w:sz w:val="20"/>
                <w:szCs w:val="20"/>
                <w:color w:val="auto"/>
              </w:rPr>
            </w:pPr>
            <w:r>
              <w:rPr>
                <w:rFonts w:ascii="Arial" w:cs="Arial" w:eastAsia="Arial" w:hAnsi="Arial"/>
                <w:sz w:val="18"/>
                <w:szCs w:val="18"/>
                <w:color w:val="auto"/>
                <w:w w:val="99"/>
              </w:rPr>
              <w:t>distributed will constitute all of our outstanding common shares immediately after the</w:t>
            </w:r>
          </w:p>
        </w:tc>
      </w:tr>
      <w:tr>
        <w:trPr>
          <w:trHeight w:val="230"/>
        </w:trPr>
        <w:tc>
          <w:tcPr>
            <w:tcW w:w="3380" w:type="dxa"/>
            <w:vAlign w:val="bottom"/>
          </w:tcPr>
          <w:p>
            <w:pPr>
              <w:spacing w:after="0"/>
              <w:rPr>
                <w:sz w:val="20"/>
                <w:szCs w:val="20"/>
                <w:color w:val="auto"/>
              </w:rPr>
            </w:pPr>
          </w:p>
        </w:tc>
        <w:tc>
          <w:tcPr>
            <w:tcW w:w="8080" w:type="dxa"/>
            <w:vAlign w:val="bottom"/>
          </w:tcPr>
          <w:p>
            <w:pPr>
              <w:ind w:left="1380"/>
              <w:spacing w:after="0"/>
              <w:rPr>
                <w:sz w:val="20"/>
                <w:szCs w:val="20"/>
                <w:color w:val="auto"/>
              </w:rPr>
            </w:pPr>
            <w:r>
              <w:rPr>
                <w:rFonts w:ascii="Arial" w:cs="Arial" w:eastAsia="Arial" w:hAnsi="Arial"/>
                <w:sz w:val="18"/>
                <w:szCs w:val="18"/>
                <w:color w:val="auto"/>
              </w:rPr>
              <w:t>spinoff.</w:t>
            </w:r>
          </w:p>
        </w:tc>
      </w:tr>
      <w:tr>
        <w:trPr>
          <w:trHeight w:val="310"/>
        </w:trPr>
        <w:tc>
          <w:tcPr>
            <w:tcW w:w="3380" w:type="dxa"/>
            <w:vAlign w:val="bottom"/>
          </w:tcPr>
          <w:p>
            <w:pPr>
              <w:ind w:left="300"/>
              <w:spacing w:after="0"/>
              <w:rPr>
                <w:sz w:val="20"/>
                <w:szCs w:val="20"/>
                <w:color w:val="auto"/>
              </w:rPr>
            </w:pPr>
            <w:r>
              <w:rPr>
                <w:rFonts w:ascii="Arial" w:cs="Arial" w:eastAsia="Arial" w:hAnsi="Arial"/>
                <w:sz w:val="18"/>
                <w:szCs w:val="18"/>
                <w:color w:val="auto"/>
              </w:rPr>
              <w:t>Distribution ratio</w:t>
            </w:r>
          </w:p>
        </w:tc>
        <w:tc>
          <w:tcPr>
            <w:tcW w:w="8080" w:type="dxa"/>
            <w:vAlign w:val="bottom"/>
          </w:tcPr>
          <w:p>
            <w:pPr>
              <w:ind w:left="1380"/>
              <w:spacing w:after="0"/>
              <w:rPr>
                <w:sz w:val="20"/>
                <w:szCs w:val="20"/>
                <w:color w:val="auto"/>
              </w:rPr>
            </w:pPr>
            <w:r>
              <w:rPr>
                <w:rFonts w:ascii="Arial" w:cs="Arial" w:eastAsia="Arial" w:hAnsi="Arial"/>
                <w:sz w:val="18"/>
                <w:szCs w:val="18"/>
                <w:color w:val="auto"/>
                <w:w w:val="95"/>
              </w:rPr>
              <w:t>Each holder of Timken common shares will receive one TimkenSteel common share for</w:t>
            </w:r>
          </w:p>
        </w:tc>
      </w:tr>
      <w:tr>
        <w:trPr>
          <w:trHeight w:val="230"/>
        </w:trPr>
        <w:tc>
          <w:tcPr>
            <w:tcW w:w="3380" w:type="dxa"/>
            <w:vAlign w:val="bottom"/>
          </w:tcPr>
          <w:p>
            <w:pPr>
              <w:spacing w:after="0"/>
              <w:rPr>
                <w:sz w:val="20"/>
                <w:szCs w:val="20"/>
                <w:color w:val="auto"/>
              </w:rPr>
            </w:pPr>
          </w:p>
        </w:tc>
        <w:tc>
          <w:tcPr>
            <w:tcW w:w="8080" w:type="dxa"/>
            <w:vAlign w:val="bottom"/>
          </w:tcPr>
          <w:p>
            <w:pPr>
              <w:ind w:left="1380"/>
              <w:spacing w:after="0"/>
              <w:rPr>
                <w:sz w:val="20"/>
                <w:szCs w:val="20"/>
                <w:color w:val="auto"/>
              </w:rPr>
            </w:pPr>
            <w:r>
              <w:rPr>
                <w:rFonts w:ascii="Arial" w:cs="Arial" w:eastAsia="Arial" w:hAnsi="Arial"/>
                <w:sz w:val="18"/>
                <w:szCs w:val="18"/>
                <w:color w:val="auto"/>
              </w:rPr>
              <w:t>every two Timken common shares held on the record date.</w:t>
            </w:r>
          </w:p>
        </w:tc>
      </w:tr>
      <w:tr>
        <w:trPr>
          <w:trHeight w:val="145"/>
        </w:trPr>
        <w:tc>
          <w:tcPr>
            <w:tcW w:w="3380" w:type="dxa"/>
            <w:vAlign w:val="bottom"/>
            <w:tcBorders>
              <w:bottom w:val="single" w:sz="8" w:color="auto"/>
            </w:tcBorders>
          </w:tcPr>
          <w:p>
            <w:pPr>
              <w:spacing w:after="0"/>
              <w:rPr>
                <w:sz w:val="12"/>
                <w:szCs w:val="12"/>
                <w:color w:val="auto"/>
              </w:rPr>
            </w:pPr>
          </w:p>
        </w:tc>
        <w:tc>
          <w:tcPr>
            <w:tcW w:w="8080" w:type="dxa"/>
            <w:vAlign w:val="bottom"/>
            <w:tcBorders>
              <w:bottom w:val="single" w:sz="8" w:color="auto"/>
            </w:tcBorders>
          </w:tcPr>
          <w:p>
            <w:pPr>
              <w:spacing w:after="0"/>
              <w:rPr>
                <w:sz w:val="12"/>
                <w:szCs w:val="12"/>
                <w:color w:val="auto"/>
              </w:rPr>
            </w:pPr>
          </w:p>
        </w:tc>
      </w:tr>
      <w:tr>
        <w:trPr>
          <w:trHeight w:val="361"/>
        </w:trPr>
        <w:tc>
          <w:tcPr>
            <w:tcW w:w="3380" w:type="dxa"/>
            <w:vAlign w:val="bottom"/>
          </w:tcPr>
          <w:p>
            <w:pPr>
              <w:spacing w:after="0"/>
              <w:rPr>
                <w:sz w:val="24"/>
                <w:szCs w:val="24"/>
                <w:color w:val="auto"/>
              </w:rPr>
            </w:pPr>
          </w:p>
        </w:tc>
        <w:tc>
          <w:tcPr>
            <w:tcW w:w="8080" w:type="dxa"/>
            <w:vAlign w:val="bottom"/>
          </w:tcPr>
          <w:p>
            <w:pPr>
              <w:ind w:left="2280"/>
              <w:spacing w:after="0"/>
              <w:rPr>
                <w:sz w:val="20"/>
                <w:szCs w:val="20"/>
                <w:color w:val="auto"/>
              </w:rPr>
            </w:pPr>
            <w:r>
              <w:rPr>
                <w:rFonts w:ascii="Arial" w:cs="Arial" w:eastAsia="Arial" w:hAnsi="Arial"/>
                <w:sz w:val="18"/>
                <w:szCs w:val="18"/>
                <w:color w:val="auto"/>
              </w:rPr>
              <w:t>1</w:t>
            </w:r>
          </w:p>
        </w:tc>
      </w:tr>
    </w:tbl>
    <w:p>
      <w:pPr>
        <w:sectPr>
          <w:pgSz w:w="11900" w:h="16838" w:orient="portrait"/>
          <w:cols w:equalWidth="0" w:num="1">
            <w:col w:w="11460"/>
          </w:cols>
          <w:pgMar w:left="240" w:top="121" w:right="199" w:bottom="1440" w:gutter="0" w:footer="0" w:header="0"/>
        </w:sectPr>
      </w:pPr>
    </w:p>
    <w:bookmarkStart w:id="7" w:name="page8"/>
    <w:bookmarkEnd w:id="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203835</wp:posOffset>
            </wp:positionV>
            <wp:extent cx="7276465" cy="394017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76465" cy="3940175"/>
                    </a:xfrm>
                    <a:prstGeom prst="rect">
                      <a:avLst/>
                    </a:prstGeom>
                    <a:noFill/>
                  </pic:spPr>
                </pic:pic>
              </a:graphicData>
            </a:graphic>
          </wp:anchor>
        </w:drawing>
      </w:r>
    </w:p>
    <w:p>
      <w:pPr>
        <w:spacing w:after="0" w:line="200" w:lineRule="exact"/>
        <w:rPr>
          <w:sz w:val="20"/>
          <w:szCs w:val="20"/>
          <w:color w:val="auto"/>
        </w:rPr>
      </w:pPr>
    </w:p>
    <w:p>
      <w:pPr>
        <w:spacing w:after="0" w:line="387" w:lineRule="exact"/>
        <w:rPr>
          <w:sz w:val="20"/>
          <w:szCs w:val="20"/>
          <w:color w:val="auto"/>
        </w:rPr>
      </w:pPr>
    </w:p>
    <w:p>
      <w:pPr>
        <w:ind w:left="300"/>
        <w:spacing w:after="0"/>
        <w:tabs>
          <w:tab w:leader="none" w:pos="4740" w:val="left"/>
        </w:tabs>
        <w:rPr>
          <w:sz w:val="20"/>
          <w:szCs w:val="20"/>
          <w:color w:val="auto"/>
        </w:rPr>
      </w:pPr>
      <w:r>
        <w:rPr>
          <w:rFonts w:ascii="Arial" w:cs="Arial" w:eastAsia="Arial" w:hAnsi="Arial"/>
          <w:sz w:val="18"/>
          <w:szCs w:val="18"/>
          <w:color w:val="auto"/>
        </w:rPr>
        <w:t>Distribution procedures</w:t>
      </w:r>
      <w:r>
        <w:rPr>
          <w:sz w:val="20"/>
          <w:szCs w:val="20"/>
          <w:color w:val="auto"/>
        </w:rPr>
        <w:tab/>
      </w:r>
      <w:r>
        <w:rPr>
          <w:rFonts w:ascii="Arial" w:cs="Arial" w:eastAsia="Arial" w:hAnsi="Arial"/>
          <w:sz w:val="16"/>
          <w:szCs w:val="16"/>
          <w:color w:val="auto"/>
        </w:rPr>
        <w:t>On or about the distribution date, the distribution agent identified below will distribute</w:t>
      </w:r>
    </w:p>
    <w:p>
      <w:pPr>
        <w:spacing w:after="0" w:line="23" w:lineRule="exact"/>
        <w:rPr>
          <w:sz w:val="20"/>
          <w:szCs w:val="20"/>
          <w:color w:val="auto"/>
        </w:rPr>
      </w:pPr>
    </w:p>
    <w:p>
      <w:pPr>
        <w:ind w:left="4760" w:right="340"/>
        <w:spacing w:after="0" w:line="271" w:lineRule="auto"/>
        <w:rPr>
          <w:sz w:val="20"/>
          <w:szCs w:val="20"/>
          <w:color w:val="auto"/>
        </w:rPr>
      </w:pPr>
      <w:r>
        <w:rPr>
          <w:rFonts w:ascii="Arial" w:cs="Arial" w:eastAsia="Arial" w:hAnsi="Arial"/>
          <w:sz w:val="17"/>
          <w:szCs w:val="17"/>
          <w:color w:val="auto"/>
        </w:rPr>
        <w:t>our common shares by crediting those shares to book-entry accounts established by the transfer agent for persons who were shareholders of Timken as of 5:00 p.m., New York City time, on the record date. Timken shareholders will not be required to make any payment or surrender or exchange their Timken common shares or take any other action to receive our common shares.</w:t>
      </w:r>
    </w:p>
    <w:p>
      <w:pPr>
        <w:sectPr>
          <w:pgSz w:w="11900" w:h="16838" w:orient="portrait"/>
          <w:cols w:equalWidth="0" w:num="1">
            <w:col w:w="11460"/>
          </w:cols>
          <w:pgMar w:left="240" w:top="459" w:right="199" w:bottom="1440" w:gutter="0" w:footer="0" w:header="0"/>
        </w:sectPr>
      </w:pPr>
    </w:p>
    <w:p>
      <w:pPr>
        <w:spacing w:after="0" w:line="71" w:lineRule="exact"/>
        <w:rPr>
          <w:sz w:val="20"/>
          <w:szCs w:val="20"/>
          <w:color w:val="auto"/>
        </w:rPr>
      </w:pPr>
    </w:p>
    <w:p>
      <w:pPr>
        <w:ind w:left="300"/>
        <w:spacing w:after="0" w:line="277" w:lineRule="auto"/>
        <w:rPr>
          <w:sz w:val="20"/>
          <w:szCs w:val="20"/>
          <w:color w:val="auto"/>
        </w:rPr>
      </w:pPr>
      <w:r>
        <w:rPr>
          <w:rFonts w:ascii="Arial" w:cs="Arial" w:eastAsia="Arial" w:hAnsi="Arial"/>
          <w:sz w:val="18"/>
          <w:szCs w:val="18"/>
          <w:color w:val="auto"/>
        </w:rPr>
        <w:t>Distribution agent, transfer agent and registrar for our common shares</w:t>
      </w:r>
    </w:p>
    <w:p>
      <w:pPr>
        <w:spacing w:after="0" w:line="62" w:lineRule="exact"/>
        <w:rPr>
          <w:sz w:val="20"/>
          <w:szCs w:val="20"/>
          <w:color w:val="auto"/>
        </w:rPr>
      </w:pPr>
    </w:p>
    <w:p>
      <w:pPr>
        <w:ind w:left="300"/>
        <w:spacing w:after="0"/>
        <w:rPr>
          <w:sz w:val="20"/>
          <w:szCs w:val="20"/>
          <w:color w:val="auto"/>
        </w:rPr>
      </w:pPr>
      <w:r>
        <w:rPr>
          <w:rFonts w:ascii="Arial" w:cs="Arial" w:eastAsia="Arial" w:hAnsi="Arial"/>
          <w:sz w:val="18"/>
          <w:szCs w:val="18"/>
          <w:color w:val="auto"/>
        </w:rPr>
        <w:t>Record date</w:t>
      </w:r>
    </w:p>
    <w:p>
      <w:pPr>
        <w:spacing w:after="0" w:line="117" w:lineRule="exact"/>
        <w:rPr>
          <w:sz w:val="20"/>
          <w:szCs w:val="20"/>
          <w:color w:val="auto"/>
        </w:rPr>
      </w:pPr>
    </w:p>
    <w:p>
      <w:pPr>
        <w:ind w:left="300"/>
        <w:spacing w:after="0"/>
        <w:rPr>
          <w:sz w:val="20"/>
          <w:szCs w:val="20"/>
          <w:color w:val="auto"/>
        </w:rPr>
      </w:pPr>
      <w:r>
        <w:rPr>
          <w:rFonts w:ascii="Arial" w:cs="Arial" w:eastAsia="Arial" w:hAnsi="Arial"/>
          <w:sz w:val="18"/>
          <w:szCs w:val="18"/>
          <w:color w:val="auto"/>
        </w:rPr>
        <w:t>Distribution date</w:t>
      </w:r>
    </w:p>
    <w:p>
      <w:pPr>
        <w:spacing w:after="0" w:line="117" w:lineRule="exact"/>
        <w:rPr>
          <w:sz w:val="20"/>
          <w:szCs w:val="20"/>
          <w:color w:val="auto"/>
        </w:rPr>
      </w:pPr>
    </w:p>
    <w:p>
      <w:pPr>
        <w:ind w:left="300" w:right="300"/>
        <w:spacing w:after="0" w:line="277" w:lineRule="auto"/>
        <w:rPr>
          <w:sz w:val="20"/>
          <w:szCs w:val="20"/>
          <w:color w:val="auto"/>
        </w:rPr>
      </w:pPr>
      <w:r>
        <w:rPr>
          <w:rFonts w:ascii="Arial" w:cs="Arial" w:eastAsia="Arial" w:hAnsi="Arial"/>
          <w:sz w:val="18"/>
          <w:szCs w:val="18"/>
          <w:color w:val="auto"/>
        </w:rPr>
        <w:t>Assets and liabilities transferred to the distributed company</w:t>
      </w:r>
    </w:p>
    <w:p>
      <w:pPr>
        <w:spacing w:after="0" w:line="20" w:lineRule="exact"/>
        <w:rPr>
          <w:sz w:val="20"/>
          <w:szCs w:val="20"/>
          <w:color w:val="auto"/>
        </w:rPr>
      </w:pPr>
      <w:r>
        <w:rPr>
          <w:sz w:val="20"/>
          <w:szCs w:val="20"/>
          <w:color w:val="auto"/>
        </w:rPr>
        <w:br w:type="column"/>
      </w:r>
    </w:p>
    <w:p>
      <w:pPr>
        <w:spacing w:after="0" w:line="51" w:lineRule="exact"/>
        <w:rPr>
          <w:sz w:val="20"/>
          <w:szCs w:val="20"/>
          <w:color w:val="auto"/>
        </w:rPr>
      </w:pPr>
    </w:p>
    <w:p>
      <w:pPr>
        <w:ind w:right="760"/>
        <w:spacing w:after="0" w:line="277" w:lineRule="auto"/>
        <w:rPr>
          <w:sz w:val="20"/>
          <w:szCs w:val="20"/>
          <w:color w:val="auto"/>
        </w:rPr>
      </w:pPr>
      <w:r>
        <w:rPr>
          <w:rFonts w:ascii="Arial" w:cs="Arial" w:eastAsia="Arial" w:hAnsi="Arial"/>
          <w:sz w:val="18"/>
          <w:szCs w:val="18"/>
          <w:color w:val="auto"/>
        </w:rPr>
        <w:t>Wells Fargo Shareowner Services, which currently serves as the transfer agent and registrar for Timken’s common shares.</w:t>
      </w:r>
    </w:p>
    <w:p>
      <w:pPr>
        <w:spacing w:after="0" w:line="62" w:lineRule="exact"/>
        <w:rPr>
          <w:sz w:val="20"/>
          <w:szCs w:val="20"/>
          <w:color w:val="auto"/>
        </w:rPr>
      </w:pPr>
    </w:p>
    <w:p>
      <w:pPr>
        <w:spacing w:after="0"/>
        <w:rPr>
          <w:sz w:val="20"/>
          <w:szCs w:val="20"/>
          <w:color w:val="auto"/>
        </w:rPr>
      </w:pPr>
      <w:r>
        <w:rPr>
          <w:rFonts w:ascii="Arial" w:cs="Arial" w:eastAsia="Arial" w:hAnsi="Arial"/>
          <w:sz w:val="18"/>
          <w:szCs w:val="18"/>
          <w:color w:val="auto"/>
        </w:rPr>
        <w:t>5:00 p.m., New York City time, on June 23, 2014.</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color w:val="auto"/>
        </w:rPr>
        <w:t>June 30, 2014</w:t>
      </w:r>
    </w:p>
    <w:p>
      <w:pPr>
        <w:spacing w:after="0" w:line="117" w:lineRule="exact"/>
        <w:rPr>
          <w:sz w:val="20"/>
          <w:szCs w:val="20"/>
          <w:color w:val="auto"/>
        </w:rPr>
      </w:pPr>
    </w:p>
    <w:p>
      <w:pPr>
        <w:ind w:right="320"/>
        <w:spacing w:after="0" w:line="271" w:lineRule="auto"/>
        <w:rPr>
          <w:sz w:val="20"/>
          <w:szCs w:val="20"/>
          <w:color w:val="auto"/>
        </w:rPr>
      </w:pPr>
      <w:r>
        <w:rPr>
          <w:rFonts w:ascii="Arial" w:cs="Arial" w:eastAsia="Arial" w:hAnsi="Arial"/>
          <w:sz w:val="17"/>
          <w:szCs w:val="17"/>
          <w:color w:val="auto"/>
        </w:rPr>
        <w:t>Before the distribution date, we and Timken will enter into a separation and distribution agreement that will contain key provisions relating to the separation of our business from Timken and the distribution of our common shares. The separation and distribution agreement will identify the assets to be transferred, liabilities to be assumed and contracts to be assigned to us by Timken in the spinoff and describe when and how these transfers, assumptions and assignments will occur. See “Relationship with Timken Following the Spinoff–Material Agreements Between Timken and Us–Separation and Distribution Agreement.”</w:t>
      </w:r>
    </w:p>
    <w:p>
      <w:pPr>
        <w:spacing w:after="0" w:line="71" w:lineRule="exact"/>
        <w:rPr>
          <w:sz w:val="20"/>
          <w:szCs w:val="20"/>
          <w:color w:val="auto"/>
        </w:rPr>
      </w:pPr>
    </w:p>
    <w:p>
      <w:pPr>
        <w:sectPr>
          <w:pgSz w:w="11900" w:h="16838" w:orient="portrait"/>
          <w:cols w:equalWidth="0" w:num="2">
            <w:col w:w="4180" w:space="580"/>
            <w:col w:w="6700"/>
          </w:cols>
          <w:pgMar w:left="240" w:top="459" w:right="199" w:bottom="1440" w:gutter="0" w:footer="0" w:header="0"/>
          <w:type w:val="continuous"/>
        </w:sectPr>
      </w:pPr>
    </w:p>
    <w:tbl>
      <w:tblPr>
        <w:tblLayout w:type="fixed"/>
        <w:tblInd w:w="0" w:type="dxa"/>
        <w:tblCellMar>
          <w:top w:w="0" w:type="dxa"/>
          <w:left w:w="0" w:type="dxa"/>
          <w:bottom w:w="0" w:type="dxa"/>
          <w:right w:w="0" w:type="dxa"/>
        </w:tblCellMar>
      </w:tblPr>
      <w:tr>
        <w:trPr>
          <w:trHeight w:val="216"/>
        </w:trPr>
        <w:tc>
          <w:tcPr>
            <w:tcW w:w="4080" w:type="dxa"/>
            <w:vAlign w:val="bottom"/>
          </w:tcPr>
          <w:p>
            <w:pPr>
              <w:ind w:left="300"/>
              <w:spacing w:after="0"/>
              <w:rPr>
                <w:sz w:val="20"/>
                <w:szCs w:val="20"/>
                <w:color w:val="auto"/>
              </w:rPr>
            </w:pPr>
            <w:r>
              <w:rPr>
                <w:rFonts w:ascii="Arial" w:cs="Arial" w:eastAsia="Arial" w:hAnsi="Arial"/>
                <w:sz w:val="18"/>
                <w:szCs w:val="18"/>
                <w:color w:val="auto"/>
              </w:rPr>
              <w:t>Relationship with Timken after the spinoff</w:t>
            </w:r>
          </w:p>
        </w:tc>
        <w:tc>
          <w:tcPr>
            <w:tcW w:w="7380" w:type="dxa"/>
            <w:vAlign w:val="bottom"/>
          </w:tcPr>
          <w:p>
            <w:pPr>
              <w:ind w:left="680"/>
              <w:spacing w:after="0"/>
              <w:rPr>
                <w:sz w:val="20"/>
                <w:szCs w:val="20"/>
                <w:color w:val="auto"/>
              </w:rPr>
            </w:pPr>
            <w:r>
              <w:rPr>
                <w:rFonts w:ascii="Arial" w:cs="Arial" w:eastAsia="Arial" w:hAnsi="Arial"/>
                <w:sz w:val="18"/>
                <w:szCs w:val="18"/>
                <w:color w:val="auto"/>
                <w:w w:val="95"/>
              </w:rPr>
              <w:t>Before the distribution date, we and Timken will enter into several agreements to govern</w:t>
            </w:r>
          </w:p>
        </w:tc>
      </w:tr>
      <w:tr>
        <w:trPr>
          <w:trHeight w:val="216"/>
        </w:trPr>
        <w:tc>
          <w:tcPr>
            <w:tcW w:w="4080" w:type="dxa"/>
            <w:vAlign w:val="bottom"/>
          </w:tcPr>
          <w:p>
            <w:pPr>
              <w:spacing w:after="0"/>
              <w:rPr>
                <w:sz w:val="18"/>
                <w:szCs w:val="18"/>
                <w:color w:val="auto"/>
              </w:rPr>
            </w:pPr>
          </w:p>
        </w:tc>
        <w:tc>
          <w:tcPr>
            <w:tcW w:w="7380" w:type="dxa"/>
            <w:vAlign w:val="bottom"/>
          </w:tcPr>
          <w:p>
            <w:pPr>
              <w:ind w:left="680"/>
              <w:spacing w:after="0"/>
              <w:rPr>
                <w:sz w:val="20"/>
                <w:szCs w:val="20"/>
                <w:color w:val="auto"/>
              </w:rPr>
            </w:pPr>
            <w:r>
              <w:rPr>
                <w:rFonts w:ascii="Arial" w:cs="Arial" w:eastAsia="Arial" w:hAnsi="Arial"/>
                <w:sz w:val="18"/>
                <w:szCs w:val="18"/>
                <w:color w:val="auto"/>
              </w:rPr>
              <w:t>our relationship following the distribution, including a tax sharing agreement, an</w:t>
            </w:r>
          </w:p>
        </w:tc>
      </w:tr>
      <w:tr>
        <w:trPr>
          <w:trHeight w:val="216"/>
        </w:trPr>
        <w:tc>
          <w:tcPr>
            <w:tcW w:w="4080" w:type="dxa"/>
            <w:vAlign w:val="bottom"/>
          </w:tcPr>
          <w:p>
            <w:pPr>
              <w:spacing w:after="0"/>
              <w:rPr>
                <w:sz w:val="18"/>
                <w:szCs w:val="18"/>
                <w:color w:val="auto"/>
              </w:rPr>
            </w:pPr>
          </w:p>
        </w:tc>
        <w:tc>
          <w:tcPr>
            <w:tcW w:w="7380" w:type="dxa"/>
            <w:vAlign w:val="bottom"/>
          </w:tcPr>
          <w:p>
            <w:pPr>
              <w:ind w:left="680"/>
              <w:spacing w:after="0"/>
              <w:rPr>
                <w:sz w:val="20"/>
                <w:szCs w:val="20"/>
                <w:color w:val="auto"/>
              </w:rPr>
            </w:pPr>
            <w:r>
              <w:rPr>
                <w:rFonts w:ascii="Arial" w:cs="Arial" w:eastAsia="Arial" w:hAnsi="Arial"/>
                <w:sz w:val="18"/>
                <w:szCs w:val="18"/>
                <w:color w:val="auto"/>
                <w:w w:val="98"/>
              </w:rPr>
              <w:t>employee matters agreement, a transition services agreement and other agreements</w:t>
            </w:r>
          </w:p>
        </w:tc>
      </w:tr>
      <w:tr>
        <w:trPr>
          <w:trHeight w:val="216"/>
        </w:trPr>
        <w:tc>
          <w:tcPr>
            <w:tcW w:w="4080" w:type="dxa"/>
            <w:vAlign w:val="bottom"/>
          </w:tcPr>
          <w:p>
            <w:pPr>
              <w:spacing w:after="0"/>
              <w:rPr>
                <w:sz w:val="18"/>
                <w:szCs w:val="18"/>
                <w:color w:val="auto"/>
              </w:rPr>
            </w:pPr>
          </w:p>
        </w:tc>
        <w:tc>
          <w:tcPr>
            <w:tcW w:w="7380" w:type="dxa"/>
            <w:vAlign w:val="bottom"/>
          </w:tcPr>
          <w:p>
            <w:pPr>
              <w:ind w:left="680"/>
              <w:spacing w:after="0"/>
              <w:rPr>
                <w:sz w:val="20"/>
                <w:szCs w:val="20"/>
                <w:color w:val="auto"/>
              </w:rPr>
            </w:pPr>
            <w:r>
              <w:rPr>
                <w:rFonts w:ascii="Arial" w:cs="Arial" w:eastAsia="Arial" w:hAnsi="Arial"/>
                <w:sz w:val="18"/>
                <w:szCs w:val="18"/>
                <w:color w:val="auto"/>
              </w:rPr>
              <w:t>governing other ongoing commercial relationships, such as intellectual property</w:t>
            </w:r>
          </w:p>
        </w:tc>
      </w:tr>
      <w:tr>
        <w:trPr>
          <w:trHeight w:val="216"/>
        </w:trPr>
        <w:tc>
          <w:tcPr>
            <w:tcW w:w="4080" w:type="dxa"/>
            <w:vAlign w:val="bottom"/>
          </w:tcPr>
          <w:p>
            <w:pPr>
              <w:spacing w:after="0"/>
              <w:rPr>
                <w:sz w:val="18"/>
                <w:szCs w:val="18"/>
                <w:color w:val="auto"/>
              </w:rPr>
            </w:pPr>
          </w:p>
        </w:tc>
        <w:tc>
          <w:tcPr>
            <w:tcW w:w="7380" w:type="dxa"/>
            <w:vAlign w:val="bottom"/>
          </w:tcPr>
          <w:p>
            <w:pPr>
              <w:ind w:left="680"/>
              <w:spacing w:after="0"/>
              <w:rPr>
                <w:sz w:val="20"/>
                <w:szCs w:val="20"/>
                <w:color w:val="auto"/>
              </w:rPr>
            </w:pPr>
            <w:r>
              <w:rPr>
                <w:rFonts w:ascii="Arial" w:cs="Arial" w:eastAsia="Arial" w:hAnsi="Arial"/>
                <w:sz w:val="18"/>
                <w:szCs w:val="18"/>
                <w:color w:val="auto"/>
                <w:w w:val="97"/>
              </w:rPr>
              <w:t>arrangements and supply arrangements. See “Relationship with Timken Following the</w:t>
            </w:r>
          </w:p>
        </w:tc>
      </w:tr>
      <w:tr>
        <w:trPr>
          <w:trHeight w:val="230"/>
        </w:trPr>
        <w:tc>
          <w:tcPr>
            <w:tcW w:w="4080" w:type="dxa"/>
            <w:vAlign w:val="bottom"/>
          </w:tcPr>
          <w:p>
            <w:pPr>
              <w:spacing w:after="0"/>
              <w:rPr>
                <w:sz w:val="20"/>
                <w:szCs w:val="20"/>
                <w:color w:val="auto"/>
              </w:rPr>
            </w:pPr>
          </w:p>
        </w:tc>
        <w:tc>
          <w:tcPr>
            <w:tcW w:w="7380" w:type="dxa"/>
            <w:vAlign w:val="bottom"/>
          </w:tcPr>
          <w:p>
            <w:pPr>
              <w:ind w:left="680"/>
              <w:spacing w:after="0"/>
              <w:rPr>
                <w:sz w:val="20"/>
                <w:szCs w:val="20"/>
                <w:color w:val="auto"/>
              </w:rPr>
            </w:pPr>
            <w:r>
              <w:rPr>
                <w:rFonts w:ascii="Arial" w:cs="Arial" w:eastAsia="Arial" w:hAnsi="Arial"/>
                <w:sz w:val="18"/>
                <w:szCs w:val="18"/>
                <w:color w:val="auto"/>
              </w:rPr>
              <w:t>Spinoff–Material Agreements Between Timken and Us.”</w:t>
            </w:r>
          </w:p>
        </w:tc>
      </w:tr>
      <w:tr>
        <w:trPr>
          <w:trHeight w:val="159"/>
        </w:trPr>
        <w:tc>
          <w:tcPr>
            <w:tcW w:w="4080" w:type="dxa"/>
            <w:vAlign w:val="bottom"/>
            <w:tcBorders>
              <w:bottom w:val="single" w:sz="8" w:color="auto"/>
            </w:tcBorders>
          </w:tcPr>
          <w:p>
            <w:pPr>
              <w:spacing w:after="0"/>
              <w:rPr>
                <w:sz w:val="13"/>
                <w:szCs w:val="13"/>
                <w:color w:val="auto"/>
              </w:rPr>
            </w:pPr>
          </w:p>
        </w:tc>
        <w:tc>
          <w:tcPr>
            <w:tcW w:w="7380" w:type="dxa"/>
            <w:vAlign w:val="bottom"/>
            <w:tcBorders>
              <w:bottom w:val="single" w:sz="8" w:color="auto"/>
            </w:tcBorders>
          </w:tcPr>
          <w:p>
            <w:pPr>
              <w:spacing w:after="0"/>
              <w:rPr>
                <w:sz w:val="13"/>
                <w:szCs w:val="13"/>
                <w:color w:val="auto"/>
              </w:rPr>
            </w:pPr>
          </w:p>
        </w:tc>
      </w:tr>
      <w:tr>
        <w:trPr>
          <w:trHeight w:val="361"/>
        </w:trPr>
        <w:tc>
          <w:tcPr>
            <w:tcW w:w="4080" w:type="dxa"/>
            <w:vAlign w:val="bottom"/>
          </w:tcPr>
          <w:p>
            <w:pPr>
              <w:spacing w:after="0"/>
              <w:rPr>
                <w:sz w:val="24"/>
                <w:szCs w:val="24"/>
                <w:color w:val="auto"/>
              </w:rPr>
            </w:pPr>
          </w:p>
        </w:tc>
        <w:tc>
          <w:tcPr>
            <w:tcW w:w="7380" w:type="dxa"/>
            <w:vAlign w:val="bottom"/>
          </w:tcPr>
          <w:p>
            <w:pPr>
              <w:ind w:left="1580"/>
              <w:spacing w:after="0"/>
              <w:rPr>
                <w:sz w:val="20"/>
                <w:szCs w:val="20"/>
                <w:color w:val="auto"/>
              </w:rPr>
            </w:pPr>
            <w:r>
              <w:rPr>
                <w:rFonts w:ascii="Arial" w:cs="Arial" w:eastAsia="Arial" w:hAnsi="Arial"/>
                <w:sz w:val="18"/>
                <w:szCs w:val="18"/>
                <w:color w:val="auto"/>
              </w:rPr>
              <w:t>2</w:t>
            </w:r>
          </w:p>
        </w:tc>
      </w:tr>
    </w:tbl>
    <w:p>
      <w:pPr>
        <w:sectPr>
          <w:pgSz w:w="11900" w:h="16838" w:orient="portrait"/>
          <w:cols w:equalWidth="0" w:num="1">
            <w:col w:w="11460"/>
          </w:cols>
          <w:pgMar w:left="240" w:top="459" w:right="199" w:bottom="1440" w:gutter="0" w:footer="0" w:header="0"/>
          <w:type w:val="continuous"/>
        </w:sectPr>
      </w:pPr>
    </w:p>
    <w:bookmarkStart w:id="8" w:name="page9"/>
    <w:bookmarkEnd w:id="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1" w:lineRule="exact"/>
        <w:rPr>
          <w:sz w:val="20"/>
          <w:szCs w:val="20"/>
          <w:color w:val="auto"/>
        </w:rPr>
      </w:pPr>
    </w:p>
    <w:tbl>
      <w:tblPr>
        <w:tblLayout w:type="fixed"/>
        <w:tblInd w:w="10" w:type="dxa"/>
        <w:tblCellMar>
          <w:top w:w="0" w:type="dxa"/>
          <w:left w:w="0" w:type="dxa"/>
          <w:bottom w:w="0" w:type="dxa"/>
          <w:right w:w="0" w:type="dxa"/>
        </w:tblCellMar>
      </w:tblPr>
      <w:tr>
        <w:trPr>
          <w:trHeight w:val="502"/>
        </w:trPr>
        <w:tc>
          <w:tcPr>
            <w:tcW w:w="3440" w:type="dxa"/>
            <w:vAlign w:val="bottom"/>
            <w:tcBorders>
              <w:top w:val="single" w:sz="8" w:color="auto"/>
              <w:left w:val="single" w:sz="8" w:color="auto"/>
            </w:tcBorders>
          </w:tcPr>
          <w:p>
            <w:pPr>
              <w:ind w:left="300"/>
              <w:spacing w:after="0"/>
              <w:rPr>
                <w:sz w:val="20"/>
                <w:szCs w:val="20"/>
                <w:color w:val="auto"/>
              </w:rPr>
            </w:pPr>
            <w:r>
              <w:rPr>
                <w:rFonts w:ascii="Arial" w:cs="Arial" w:eastAsia="Arial" w:hAnsi="Arial"/>
                <w:sz w:val="18"/>
                <w:szCs w:val="18"/>
                <w:color w:val="auto"/>
              </w:rPr>
              <w:t>Indemnities</w:t>
            </w:r>
          </w:p>
        </w:tc>
        <w:tc>
          <w:tcPr>
            <w:tcW w:w="8020" w:type="dxa"/>
            <w:vAlign w:val="bottom"/>
            <w:tcBorders>
              <w:top w:val="single" w:sz="8" w:color="auto"/>
              <w:right w:val="single" w:sz="8" w:color="auto"/>
            </w:tcBorders>
          </w:tcPr>
          <w:p>
            <w:pPr>
              <w:ind w:left="1320"/>
              <w:spacing w:after="0"/>
              <w:rPr>
                <w:sz w:val="20"/>
                <w:szCs w:val="20"/>
                <w:color w:val="auto"/>
              </w:rPr>
            </w:pPr>
            <w:r>
              <w:rPr>
                <w:rFonts w:ascii="Arial" w:cs="Arial" w:eastAsia="Arial" w:hAnsi="Arial"/>
                <w:sz w:val="18"/>
                <w:szCs w:val="18"/>
                <w:color w:val="auto"/>
              </w:rPr>
              <w:t>The separation and distribution agreement to be entered into in connection with the</w:t>
            </w:r>
          </w:p>
        </w:tc>
      </w:tr>
      <w:tr>
        <w:trPr>
          <w:trHeight w:val="216"/>
        </w:trPr>
        <w:tc>
          <w:tcPr>
            <w:tcW w:w="3440" w:type="dxa"/>
            <w:vAlign w:val="bottom"/>
            <w:tcBorders>
              <w:left w:val="single" w:sz="8" w:color="auto"/>
            </w:tcBorders>
          </w:tcPr>
          <w:p>
            <w:pPr>
              <w:spacing w:after="0"/>
              <w:rPr>
                <w:sz w:val="18"/>
                <w:szCs w:val="18"/>
                <w:color w:val="auto"/>
              </w:rPr>
            </w:pPr>
          </w:p>
        </w:tc>
        <w:tc>
          <w:tcPr>
            <w:tcW w:w="8020" w:type="dxa"/>
            <w:vAlign w:val="bottom"/>
            <w:tcBorders>
              <w:right w:val="single" w:sz="8" w:color="auto"/>
            </w:tcBorders>
          </w:tcPr>
          <w:p>
            <w:pPr>
              <w:ind w:left="1320"/>
              <w:spacing w:after="0"/>
              <w:rPr>
                <w:sz w:val="20"/>
                <w:szCs w:val="20"/>
                <w:color w:val="auto"/>
              </w:rPr>
            </w:pPr>
            <w:r>
              <w:rPr>
                <w:rFonts w:ascii="Arial" w:cs="Arial" w:eastAsia="Arial" w:hAnsi="Arial"/>
                <w:sz w:val="18"/>
                <w:szCs w:val="18"/>
                <w:color w:val="auto"/>
              </w:rPr>
              <w:t>spinoff will provide for cross-indemnification between Timken and us. Please see</w:t>
            </w:r>
          </w:p>
        </w:tc>
      </w:tr>
      <w:tr>
        <w:trPr>
          <w:trHeight w:val="216"/>
        </w:trPr>
        <w:tc>
          <w:tcPr>
            <w:tcW w:w="3440" w:type="dxa"/>
            <w:vAlign w:val="bottom"/>
            <w:tcBorders>
              <w:left w:val="single" w:sz="8" w:color="auto"/>
            </w:tcBorders>
          </w:tcPr>
          <w:p>
            <w:pPr>
              <w:spacing w:after="0"/>
              <w:rPr>
                <w:sz w:val="18"/>
                <w:szCs w:val="18"/>
                <w:color w:val="auto"/>
              </w:rPr>
            </w:pPr>
          </w:p>
        </w:tc>
        <w:tc>
          <w:tcPr>
            <w:tcW w:w="8020" w:type="dxa"/>
            <w:vAlign w:val="bottom"/>
            <w:tcBorders>
              <w:right w:val="single" w:sz="8" w:color="auto"/>
            </w:tcBorders>
          </w:tcPr>
          <w:p>
            <w:pPr>
              <w:ind w:left="1320"/>
              <w:spacing w:after="0"/>
              <w:rPr>
                <w:sz w:val="20"/>
                <w:szCs w:val="20"/>
                <w:color w:val="auto"/>
              </w:rPr>
            </w:pPr>
            <w:r>
              <w:rPr>
                <w:rFonts w:ascii="Arial" w:cs="Arial" w:eastAsia="Arial" w:hAnsi="Arial"/>
                <w:sz w:val="18"/>
                <w:szCs w:val="18"/>
                <w:color w:val="auto"/>
              </w:rPr>
              <w:t>“Relationship with Timken Following the Spinoff–Material Agreements Between</w:t>
            </w:r>
          </w:p>
        </w:tc>
      </w:tr>
      <w:tr>
        <w:trPr>
          <w:trHeight w:val="216"/>
        </w:trPr>
        <w:tc>
          <w:tcPr>
            <w:tcW w:w="3440" w:type="dxa"/>
            <w:vAlign w:val="bottom"/>
            <w:tcBorders>
              <w:left w:val="single" w:sz="8" w:color="auto"/>
            </w:tcBorders>
          </w:tcPr>
          <w:p>
            <w:pPr>
              <w:spacing w:after="0"/>
              <w:rPr>
                <w:sz w:val="18"/>
                <w:szCs w:val="18"/>
                <w:color w:val="auto"/>
              </w:rPr>
            </w:pPr>
          </w:p>
        </w:tc>
        <w:tc>
          <w:tcPr>
            <w:tcW w:w="8020" w:type="dxa"/>
            <w:vAlign w:val="bottom"/>
            <w:tcBorders>
              <w:right w:val="single" w:sz="8" w:color="auto"/>
            </w:tcBorders>
          </w:tcPr>
          <w:p>
            <w:pPr>
              <w:ind w:left="1320"/>
              <w:spacing w:after="0"/>
              <w:rPr>
                <w:sz w:val="20"/>
                <w:szCs w:val="20"/>
                <w:color w:val="auto"/>
              </w:rPr>
            </w:pPr>
            <w:r>
              <w:rPr>
                <w:rFonts w:ascii="Arial" w:cs="Arial" w:eastAsia="Arial" w:hAnsi="Arial"/>
                <w:sz w:val="18"/>
                <w:szCs w:val="18"/>
                <w:color w:val="auto"/>
              </w:rPr>
              <w:t>Timken and Us–Separation and Distribution Agreement.” In addition, we will</w:t>
            </w:r>
          </w:p>
        </w:tc>
      </w:tr>
      <w:tr>
        <w:trPr>
          <w:trHeight w:val="216"/>
        </w:trPr>
        <w:tc>
          <w:tcPr>
            <w:tcW w:w="3440" w:type="dxa"/>
            <w:vAlign w:val="bottom"/>
            <w:tcBorders>
              <w:left w:val="single" w:sz="8" w:color="auto"/>
            </w:tcBorders>
          </w:tcPr>
          <w:p>
            <w:pPr>
              <w:spacing w:after="0"/>
              <w:rPr>
                <w:sz w:val="18"/>
                <w:szCs w:val="18"/>
                <w:color w:val="auto"/>
              </w:rPr>
            </w:pPr>
          </w:p>
        </w:tc>
        <w:tc>
          <w:tcPr>
            <w:tcW w:w="8020" w:type="dxa"/>
            <w:vAlign w:val="bottom"/>
            <w:tcBorders>
              <w:right w:val="single" w:sz="8" w:color="auto"/>
            </w:tcBorders>
          </w:tcPr>
          <w:p>
            <w:pPr>
              <w:ind w:left="1320"/>
              <w:spacing w:after="0"/>
              <w:rPr>
                <w:sz w:val="20"/>
                <w:szCs w:val="20"/>
                <w:color w:val="auto"/>
              </w:rPr>
            </w:pPr>
            <w:r>
              <w:rPr>
                <w:rFonts w:ascii="Arial" w:cs="Arial" w:eastAsia="Arial" w:hAnsi="Arial"/>
                <w:sz w:val="18"/>
                <w:szCs w:val="18"/>
                <w:color w:val="auto"/>
                <w:w w:val="96"/>
              </w:rPr>
              <w:t>indemnify Timken under the tax sharing agreement that we will enter into in connection</w:t>
            </w:r>
          </w:p>
        </w:tc>
      </w:tr>
      <w:tr>
        <w:trPr>
          <w:trHeight w:val="216"/>
        </w:trPr>
        <w:tc>
          <w:tcPr>
            <w:tcW w:w="3440" w:type="dxa"/>
            <w:vAlign w:val="bottom"/>
            <w:tcBorders>
              <w:left w:val="single" w:sz="8" w:color="auto"/>
            </w:tcBorders>
          </w:tcPr>
          <w:p>
            <w:pPr>
              <w:spacing w:after="0"/>
              <w:rPr>
                <w:sz w:val="18"/>
                <w:szCs w:val="18"/>
                <w:color w:val="auto"/>
              </w:rPr>
            </w:pPr>
          </w:p>
        </w:tc>
        <w:tc>
          <w:tcPr>
            <w:tcW w:w="8020" w:type="dxa"/>
            <w:vAlign w:val="bottom"/>
            <w:tcBorders>
              <w:right w:val="single" w:sz="8" w:color="auto"/>
            </w:tcBorders>
          </w:tcPr>
          <w:p>
            <w:pPr>
              <w:ind w:left="1320"/>
              <w:spacing w:after="0"/>
              <w:rPr>
                <w:sz w:val="20"/>
                <w:szCs w:val="20"/>
                <w:color w:val="auto"/>
              </w:rPr>
            </w:pPr>
            <w:r>
              <w:rPr>
                <w:rFonts w:ascii="Arial" w:cs="Arial" w:eastAsia="Arial" w:hAnsi="Arial"/>
                <w:sz w:val="18"/>
                <w:szCs w:val="18"/>
                <w:color w:val="auto"/>
                <w:w w:val="99"/>
              </w:rPr>
              <w:t>with the spinoff for the taxes resulting from any acquisition or issuance of our shares</w:t>
            </w:r>
          </w:p>
        </w:tc>
      </w:tr>
      <w:tr>
        <w:trPr>
          <w:trHeight w:val="216"/>
        </w:trPr>
        <w:tc>
          <w:tcPr>
            <w:tcW w:w="3440" w:type="dxa"/>
            <w:vAlign w:val="bottom"/>
            <w:tcBorders>
              <w:left w:val="single" w:sz="8" w:color="auto"/>
            </w:tcBorders>
          </w:tcPr>
          <w:p>
            <w:pPr>
              <w:spacing w:after="0"/>
              <w:rPr>
                <w:sz w:val="18"/>
                <w:szCs w:val="18"/>
                <w:color w:val="auto"/>
              </w:rPr>
            </w:pPr>
          </w:p>
        </w:tc>
        <w:tc>
          <w:tcPr>
            <w:tcW w:w="8020" w:type="dxa"/>
            <w:vAlign w:val="bottom"/>
            <w:tcBorders>
              <w:right w:val="single" w:sz="8" w:color="auto"/>
            </w:tcBorders>
          </w:tcPr>
          <w:p>
            <w:pPr>
              <w:ind w:left="1320"/>
              <w:spacing w:after="0"/>
              <w:rPr>
                <w:sz w:val="20"/>
                <w:szCs w:val="20"/>
                <w:color w:val="auto"/>
              </w:rPr>
            </w:pPr>
            <w:r>
              <w:rPr>
                <w:rFonts w:ascii="Arial" w:cs="Arial" w:eastAsia="Arial" w:hAnsi="Arial"/>
                <w:sz w:val="18"/>
                <w:szCs w:val="18"/>
                <w:color w:val="auto"/>
              </w:rPr>
              <w:t>that triggers the application of Section 355(e) of the U.S. Internal Revenue Code of</w:t>
            </w:r>
          </w:p>
        </w:tc>
      </w:tr>
      <w:tr>
        <w:trPr>
          <w:trHeight w:val="216"/>
        </w:trPr>
        <w:tc>
          <w:tcPr>
            <w:tcW w:w="3440" w:type="dxa"/>
            <w:vAlign w:val="bottom"/>
            <w:tcBorders>
              <w:left w:val="single" w:sz="8" w:color="auto"/>
            </w:tcBorders>
          </w:tcPr>
          <w:p>
            <w:pPr>
              <w:spacing w:after="0"/>
              <w:rPr>
                <w:sz w:val="18"/>
                <w:szCs w:val="18"/>
                <w:color w:val="auto"/>
              </w:rPr>
            </w:pPr>
          </w:p>
        </w:tc>
        <w:tc>
          <w:tcPr>
            <w:tcW w:w="8020" w:type="dxa"/>
            <w:vAlign w:val="bottom"/>
            <w:tcBorders>
              <w:right w:val="single" w:sz="8" w:color="auto"/>
            </w:tcBorders>
          </w:tcPr>
          <w:p>
            <w:pPr>
              <w:ind w:left="1320"/>
              <w:spacing w:after="0"/>
              <w:rPr>
                <w:sz w:val="20"/>
                <w:szCs w:val="20"/>
                <w:color w:val="auto"/>
              </w:rPr>
            </w:pPr>
            <w:r>
              <w:rPr>
                <w:rFonts w:ascii="Arial" w:cs="Arial" w:eastAsia="Arial" w:hAnsi="Arial"/>
                <w:sz w:val="18"/>
                <w:szCs w:val="18"/>
                <w:color w:val="auto"/>
              </w:rPr>
              <w:t>1986, as amended, or the Code. We will also indemnify Timken for certain taxes</w:t>
            </w:r>
          </w:p>
        </w:tc>
      </w:tr>
      <w:tr>
        <w:trPr>
          <w:trHeight w:val="216"/>
        </w:trPr>
        <w:tc>
          <w:tcPr>
            <w:tcW w:w="3440" w:type="dxa"/>
            <w:vAlign w:val="bottom"/>
            <w:tcBorders>
              <w:left w:val="single" w:sz="8" w:color="auto"/>
            </w:tcBorders>
          </w:tcPr>
          <w:p>
            <w:pPr>
              <w:spacing w:after="0"/>
              <w:rPr>
                <w:sz w:val="18"/>
                <w:szCs w:val="18"/>
                <w:color w:val="auto"/>
              </w:rPr>
            </w:pPr>
          </w:p>
        </w:tc>
        <w:tc>
          <w:tcPr>
            <w:tcW w:w="8020" w:type="dxa"/>
            <w:vAlign w:val="bottom"/>
            <w:tcBorders>
              <w:right w:val="single" w:sz="8" w:color="auto"/>
            </w:tcBorders>
          </w:tcPr>
          <w:p>
            <w:pPr>
              <w:ind w:left="1320"/>
              <w:spacing w:after="0"/>
              <w:rPr>
                <w:sz w:val="20"/>
                <w:szCs w:val="20"/>
                <w:color w:val="auto"/>
              </w:rPr>
            </w:pPr>
            <w:r>
              <w:rPr>
                <w:rFonts w:ascii="Arial" w:cs="Arial" w:eastAsia="Arial" w:hAnsi="Arial"/>
                <w:sz w:val="18"/>
                <w:szCs w:val="18"/>
                <w:color w:val="auto"/>
                <w:w w:val="99"/>
              </w:rPr>
              <w:t>incurred before and after the distribution date. Please see “Relationship with Timken</w:t>
            </w:r>
          </w:p>
        </w:tc>
      </w:tr>
      <w:tr>
        <w:trPr>
          <w:trHeight w:val="216"/>
        </w:trPr>
        <w:tc>
          <w:tcPr>
            <w:tcW w:w="3440" w:type="dxa"/>
            <w:vAlign w:val="bottom"/>
            <w:tcBorders>
              <w:left w:val="single" w:sz="8" w:color="auto"/>
            </w:tcBorders>
          </w:tcPr>
          <w:p>
            <w:pPr>
              <w:spacing w:after="0"/>
              <w:rPr>
                <w:sz w:val="18"/>
                <w:szCs w:val="18"/>
                <w:color w:val="auto"/>
              </w:rPr>
            </w:pPr>
          </w:p>
        </w:tc>
        <w:tc>
          <w:tcPr>
            <w:tcW w:w="8020" w:type="dxa"/>
            <w:vAlign w:val="bottom"/>
            <w:tcBorders>
              <w:right w:val="single" w:sz="8" w:color="auto"/>
            </w:tcBorders>
          </w:tcPr>
          <w:p>
            <w:pPr>
              <w:ind w:left="1320"/>
              <w:spacing w:after="0"/>
              <w:rPr>
                <w:sz w:val="20"/>
                <w:szCs w:val="20"/>
                <w:color w:val="auto"/>
              </w:rPr>
            </w:pPr>
            <w:r>
              <w:rPr>
                <w:rFonts w:ascii="Arial" w:cs="Arial" w:eastAsia="Arial" w:hAnsi="Arial"/>
                <w:sz w:val="18"/>
                <w:szCs w:val="18"/>
                <w:color w:val="auto"/>
              </w:rPr>
              <w:t>Following the Spinoff–Material Agreements Between Timken and Us-Tax Sharing</w:t>
            </w:r>
          </w:p>
        </w:tc>
      </w:tr>
      <w:tr>
        <w:trPr>
          <w:trHeight w:val="230"/>
        </w:trPr>
        <w:tc>
          <w:tcPr>
            <w:tcW w:w="3440" w:type="dxa"/>
            <w:vAlign w:val="bottom"/>
            <w:tcBorders>
              <w:left w:val="single" w:sz="8" w:color="auto"/>
            </w:tcBorders>
          </w:tcPr>
          <w:p>
            <w:pPr>
              <w:spacing w:after="0"/>
              <w:rPr>
                <w:sz w:val="20"/>
                <w:szCs w:val="20"/>
                <w:color w:val="auto"/>
              </w:rPr>
            </w:pPr>
          </w:p>
        </w:tc>
        <w:tc>
          <w:tcPr>
            <w:tcW w:w="8020" w:type="dxa"/>
            <w:vAlign w:val="bottom"/>
            <w:tcBorders>
              <w:right w:val="single" w:sz="8" w:color="auto"/>
            </w:tcBorders>
          </w:tcPr>
          <w:p>
            <w:pPr>
              <w:ind w:left="1320"/>
              <w:spacing w:after="0"/>
              <w:rPr>
                <w:sz w:val="20"/>
                <w:szCs w:val="20"/>
                <w:color w:val="auto"/>
              </w:rPr>
            </w:pPr>
            <w:r>
              <w:rPr>
                <w:rFonts w:ascii="Arial" w:cs="Arial" w:eastAsia="Arial" w:hAnsi="Arial"/>
                <w:sz w:val="18"/>
                <w:szCs w:val="18"/>
                <w:color w:val="auto"/>
              </w:rPr>
              <w:t>Agreement.”</w:t>
            </w:r>
          </w:p>
        </w:tc>
      </w:tr>
      <w:tr>
        <w:trPr>
          <w:trHeight w:val="310"/>
        </w:trPr>
        <w:tc>
          <w:tcPr>
            <w:tcW w:w="3440" w:type="dxa"/>
            <w:vAlign w:val="bottom"/>
            <w:tcBorders>
              <w:left w:val="single" w:sz="8" w:color="auto"/>
            </w:tcBorders>
          </w:tcPr>
          <w:p>
            <w:pPr>
              <w:ind w:left="300"/>
              <w:spacing w:after="0"/>
              <w:rPr>
                <w:sz w:val="20"/>
                <w:szCs w:val="20"/>
                <w:color w:val="auto"/>
              </w:rPr>
            </w:pPr>
            <w:r>
              <w:rPr>
                <w:rFonts w:ascii="Arial" w:cs="Arial" w:eastAsia="Arial" w:hAnsi="Arial"/>
                <w:sz w:val="18"/>
                <w:szCs w:val="18"/>
                <w:color w:val="auto"/>
              </w:rPr>
              <w:t>Conditions to the spinoff</w:t>
            </w:r>
          </w:p>
        </w:tc>
        <w:tc>
          <w:tcPr>
            <w:tcW w:w="8020" w:type="dxa"/>
            <w:vAlign w:val="bottom"/>
            <w:tcBorders>
              <w:right w:val="single" w:sz="8" w:color="auto"/>
            </w:tcBorders>
          </w:tcPr>
          <w:p>
            <w:pPr>
              <w:ind w:left="1320"/>
              <w:spacing w:after="0"/>
              <w:rPr>
                <w:sz w:val="20"/>
                <w:szCs w:val="20"/>
                <w:color w:val="auto"/>
              </w:rPr>
            </w:pPr>
            <w:r>
              <w:rPr>
                <w:rFonts w:ascii="Arial" w:cs="Arial" w:eastAsia="Arial" w:hAnsi="Arial"/>
                <w:sz w:val="18"/>
                <w:szCs w:val="18"/>
                <w:color w:val="auto"/>
              </w:rPr>
              <w:t>We expect that the spinoff will be completed on June 30, 2014, provided that the</w:t>
            </w:r>
          </w:p>
        </w:tc>
      </w:tr>
      <w:tr>
        <w:trPr>
          <w:trHeight w:val="216"/>
        </w:trPr>
        <w:tc>
          <w:tcPr>
            <w:tcW w:w="3440" w:type="dxa"/>
            <w:vAlign w:val="bottom"/>
            <w:tcBorders>
              <w:left w:val="single" w:sz="8" w:color="auto"/>
            </w:tcBorders>
          </w:tcPr>
          <w:p>
            <w:pPr>
              <w:spacing w:after="0"/>
              <w:rPr>
                <w:sz w:val="18"/>
                <w:szCs w:val="18"/>
                <w:color w:val="auto"/>
              </w:rPr>
            </w:pPr>
          </w:p>
        </w:tc>
        <w:tc>
          <w:tcPr>
            <w:tcW w:w="8020" w:type="dxa"/>
            <w:vAlign w:val="bottom"/>
            <w:tcBorders>
              <w:right w:val="single" w:sz="8" w:color="auto"/>
            </w:tcBorders>
          </w:tcPr>
          <w:p>
            <w:pPr>
              <w:ind w:left="1320"/>
              <w:spacing w:after="0"/>
              <w:rPr>
                <w:sz w:val="20"/>
                <w:szCs w:val="20"/>
                <w:color w:val="auto"/>
              </w:rPr>
            </w:pPr>
            <w:r>
              <w:rPr>
                <w:rFonts w:ascii="Arial" w:cs="Arial" w:eastAsia="Arial" w:hAnsi="Arial"/>
                <w:sz w:val="18"/>
                <w:szCs w:val="18"/>
                <w:color w:val="auto"/>
              </w:rPr>
              <w:t>conditions set forth under the caption “The Spinoff–Spinoff Conditions and</w:t>
            </w:r>
          </w:p>
        </w:tc>
      </w:tr>
      <w:tr>
        <w:trPr>
          <w:trHeight w:val="230"/>
        </w:trPr>
        <w:tc>
          <w:tcPr>
            <w:tcW w:w="3440" w:type="dxa"/>
            <w:vAlign w:val="bottom"/>
            <w:tcBorders>
              <w:left w:val="single" w:sz="8" w:color="auto"/>
            </w:tcBorders>
          </w:tcPr>
          <w:p>
            <w:pPr>
              <w:spacing w:after="0"/>
              <w:rPr>
                <w:sz w:val="20"/>
                <w:szCs w:val="20"/>
                <w:color w:val="auto"/>
              </w:rPr>
            </w:pPr>
          </w:p>
        </w:tc>
        <w:tc>
          <w:tcPr>
            <w:tcW w:w="8020" w:type="dxa"/>
            <w:vAlign w:val="bottom"/>
            <w:tcBorders>
              <w:right w:val="single" w:sz="8" w:color="auto"/>
            </w:tcBorders>
          </w:tcPr>
          <w:p>
            <w:pPr>
              <w:ind w:left="1320"/>
              <w:spacing w:after="0"/>
              <w:rPr>
                <w:sz w:val="20"/>
                <w:szCs w:val="20"/>
                <w:color w:val="auto"/>
              </w:rPr>
            </w:pPr>
            <w:r>
              <w:rPr>
                <w:rFonts w:ascii="Arial" w:cs="Arial" w:eastAsia="Arial" w:hAnsi="Arial"/>
                <w:sz w:val="18"/>
                <w:szCs w:val="18"/>
                <w:color w:val="auto"/>
              </w:rPr>
              <w:t>Termination” have been satisfied in Timken’s sole and absolute discretion.</w:t>
            </w:r>
          </w:p>
        </w:tc>
      </w:tr>
      <w:tr>
        <w:trPr>
          <w:trHeight w:val="310"/>
        </w:trPr>
        <w:tc>
          <w:tcPr>
            <w:tcW w:w="3440" w:type="dxa"/>
            <w:vAlign w:val="bottom"/>
            <w:tcBorders>
              <w:left w:val="single" w:sz="8" w:color="auto"/>
            </w:tcBorders>
          </w:tcPr>
          <w:p>
            <w:pPr>
              <w:ind w:left="300"/>
              <w:spacing w:after="0"/>
              <w:rPr>
                <w:sz w:val="20"/>
                <w:szCs w:val="20"/>
                <w:color w:val="auto"/>
              </w:rPr>
            </w:pPr>
            <w:r>
              <w:rPr>
                <w:rFonts w:ascii="Arial" w:cs="Arial" w:eastAsia="Arial" w:hAnsi="Arial"/>
                <w:sz w:val="18"/>
                <w:szCs w:val="18"/>
                <w:color w:val="auto"/>
              </w:rPr>
              <w:t>Reasons for the spinoff</w:t>
            </w:r>
          </w:p>
        </w:tc>
        <w:tc>
          <w:tcPr>
            <w:tcW w:w="8020" w:type="dxa"/>
            <w:vAlign w:val="bottom"/>
            <w:tcBorders>
              <w:right w:val="single" w:sz="8" w:color="auto"/>
            </w:tcBorders>
          </w:tcPr>
          <w:p>
            <w:pPr>
              <w:ind w:left="1320"/>
              <w:spacing w:after="0"/>
              <w:rPr>
                <w:sz w:val="20"/>
                <w:szCs w:val="20"/>
                <w:color w:val="auto"/>
              </w:rPr>
            </w:pPr>
            <w:r>
              <w:rPr>
                <w:rFonts w:ascii="Arial" w:cs="Arial" w:eastAsia="Arial" w:hAnsi="Arial"/>
                <w:sz w:val="18"/>
                <w:szCs w:val="18"/>
                <w:color w:val="auto"/>
                <w:w w:val="97"/>
              </w:rPr>
              <w:t>Timken’s board of directors and management believe that our separation from Timken</w:t>
            </w:r>
          </w:p>
        </w:tc>
      </w:tr>
      <w:tr>
        <w:trPr>
          <w:trHeight w:val="216"/>
        </w:trPr>
        <w:tc>
          <w:tcPr>
            <w:tcW w:w="3440" w:type="dxa"/>
            <w:vAlign w:val="bottom"/>
            <w:tcBorders>
              <w:left w:val="single" w:sz="8" w:color="auto"/>
            </w:tcBorders>
          </w:tcPr>
          <w:p>
            <w:pPr>
              <w:spacing w:after="0"/>
              <w:rPr>
                <w:sz w:val="18"/>
                <w:szCs w:val="18"/>
                <w:color w:val="auto"/>
              </w:rPr>
            </w:pPr>
          </w:p>
        </w:tc>
        <w:tc>
          <w:tcPr>
            <w:tcW w:w="8020" w:type="dxa"/>
            <w:vAlign w:val="bottom"/>
            <w:tcBorders>
              <w:right w:val="single" w:sz="8" w:color="auto"/>
            </w:tcBorders>
          </w:tcPr>
          <w:p>
            <w:pPr>
              <w:ind w:left="1320"/>
              <w:spacing w:after="0"/>
              <w:rPr>
                <w:sz w:val="20"/>
                <w:szCs w:val="20"/>
                <w:color w:val="auto"/>
              </w:rPr>
            </w:pPr>
            <w:r>
              <w:rPr>
                <w:rFonts w:ascii="Arial" w:cs="Arial" w:eastAsia="Arial" w:hAnsi="Arial"/>
                <w:sz w:val="18"/>
                <w:szCs w:val="18"/>
                <w:color w:val="auto"/>
              </w:rPr>
              <w:t>will provide the following benefits: (i) improving the market’s understanding and</w:t>
            </w:r>
          </w:p>
        </w:tc>
      </w:tr>
      <w:tr>
        <w:trPr>
          <w:trHeight w:val="216"/>
        </w:trPr>
        <w:tc>
          <w:tcPr>
            <w:tcW w:w="3440" w:type="dxa"/>
            <w:vAlign w:val="bottom"/>
            <w:tcBorders>
              <w:left w:val="single" w:sz="8" w:color="auto"/>
            </w:tcBorders>
          </w:tcPr>
          <w:p>
            <w:pPr>
              <w:spacing w:after="0"/>
              <w:rPr>
                <w:sz w:val="18"/>
                <w:szCs w:val="18"/>
                <w:color w:val="auto"/>
              </w:rPr>
            </w:pPr>
          </w:p>
        </w:tc>
        <w:tc>
          <w:tcPr>
            <w:tcW w:w="8020" w:type="dxa"/>
            <w:vAlign w:val="bottom"/>
            <w:tcBorders>
              <w:right w:val="single" w:sz="8" w:color="auto"/>
            </w:tcBorders>
          </w:tcPr>
          <w:p>
            <w:pPr>
              <w:ind w:left="1320"/>
              <w:spacing w:after="0"/>
              <w:rPr>
                <w:sz w:val="20"/>
                <w:szCs w:val="20"/>
                <w:color w:val="auto"/>
              </w:rPr>
            </w:pPr>
            <w:r>
              <w:rPr>
                <w:rFonts w:ascii="Arial" w:cs="Arial" w:eastAsia="Arial" w:hAnsi="Arial"/>
                <w:sz w:val="18"/>
                <w:szCs w:val="18"/>
                <w:color w:val="auto"/>
                <w:w w:val="98"/>
              </w:rPr>
              <w:t>valuation of Timken’s two industry-leading businesses; (ii) enhancing the ability of the</w:t>
            </w:r>
          </w:p>
        </w:tc>
      </w:tr>
      <w:tr>
        <w:trPr>
          <w:trHeight w:val="216"/>
        </w:trPr>
        <w:tc>
          <w:tcPr>
            <w:tcW w:w="3440" w:type="dxa"/>
            <w:vAlign w:val="bottom"/>
            <w:tcBorders>
              <w:left w:val="single" w:sz="8" w:color="auto"/>
            </w:tcBorders>
          </w:tcPr>
          <w:p>
            <w:pPr>
              <w:spacing w:after="0"/>
              <w:rPr>
                <w:sz w:val="18"/>
                <w:szCs w:val="18"/>
                <w:color w:val="auto"/>
              </w:rPr>
            </w:pPr>
          </w:p>
        </w:tc>
        <w:tc>
          <w:tcPr>
            <w:tcW w:w="8020" w:type="dxa"/>
            <w:vAlign w:val="bottom"/>
            <w:tcBorders>
              <w:right w:val="single" w:sz="8" w:color="auto"/>
            </w:tcBorders>
          </w:tcPr>
          <w:p>
            <w:pPr>
              <w:ind w:left="1320"/>
              <w:spacing w:after="0"/>
              <w:rPr>
                <w:sz w:val="20"/>
                <w:szCs w:val="20"/>
                <w:color w:val="auto"/>
              </w:rPr>
            </w:pPr>
            <w:r>
              <w:rPr>
                <w:rFonts w:ascii="Arial" w:cs="Arial" w:eastAsia="Arial" w:hAnsi="Arial"/>
                <w:sz w:val="18"/>
                <w:szCs w:val="18"/>
                <w:color w:val="auto"/>
                <w:w w:val="97"/>
              </w:rPr>
              <w:t>management team of each company to pursue more focused strategies that are in the</w:t>
            </w:r>
          </w:p>
        </w:tc>
      </w:tr>
      <w:tr>
        <w:trPr>
          <w:trHeight w:val="216"/>
        </w:trPr>
        <w:tc>
          <w:tcPr>
            <w:tcW w:w="3440" w:type="dxa"/>
            <w:vAlign w:val="bottom"/>
            <w:tcBorders>
              <w:left w:val="single" w:sz="8" w:color="auto"/>
            </w:tcBorders>
          </w:tcPr>
          <w:p>
            <w:pPr>
              <w:spacing w:after="0"/>
              <w:rPr>
                <w:sz w:val="18"/>
                <w:szCs w:val="18"/>
                <w:color w:val="auto"/>
              </w:rPr>
            </w:pPr>
          </w:p>
        </w:tc>
        <w:tc>
          <w:tcPr>
            <w:tcW w:w="8020" w:type="dxa"/>
            <w:vAlign w:val="bottom"/>
            <w:tcBorders>
              <w:right w:val="single" w:sz="8" w:color="auto"/>
            </w:tcBorders>
          </w:tcPr>
          <w:p>
            <w:pPr>
              <w:ind w:left="1320"/>
              <w:spacing w:after="0"/>
              <w:rPr>
                <w:sz w:val="20"/>
                <w:szCs w:val="20"/>
                <w:color w:val="auto"/>
              </w:rPr>
            </w:pPr>
            <w:r>
              <w:rPr>
                <w:rFonts w:ascii="Arial" w:cs="Arial" w:eastAsia="Arial" w:hAnsi="Arial"/>
                <w:sz w:val="18"/>
                <w:szCs w:val="18"/>
                <w:color w:val="auto"/>
                <w:w w:val="98"/>
              </w:rPr>
              <w:t>best interests of its business and shareholders; (iii) providing the ability to better align</w:t>
            </w:r>
          </w:p>
        </w:tc>
      </w:tr>
      <w:tr>
        <w:trPr>
          <w:trHeight w:val="216"/>
        </w:trPr>
        <w:tc>
          <w:tcPr>
            <w:tcW w:w="3440" w:type="dxa"/>
            <w:vAlign w:val="bottom"/>
            <w:tcBorders>
              <w:left w:val="single" w:sz="8" w:color="auto"/>
            </w:tcBorders>
          </w:tcPr>
          <w:p>
            <w:pPr>
              <w:spacing w:after="0"/>
              <w:rPr>
                <w:sz w:val="18"/>
                <w:szCs w:val="18"/>
                <w:color w:val="auto"/>
              </w:rPr>
            </w:pPr>
          </w:p>
        </w:tc>
        <w:tc>
          <w:tcPr>
            <w:tcW w:w="8020" w:type="dxa"/>
            <w:vAlign w:val="bottom"/>
            <w:tcBorders>
              <w:right w:val="single" w:sz="8" w:color="auto"/>
            </w:tcBorders>
          </w:tcPr>
          <w:p>
            <w:pPr>
              <w:ind w:left="1320"/>
              <w:spacing w:after="0"/>
              <w:rPr>
                <w:sz w:val="20"/>
                <w:szCs w:val="20"/>
                <w:color w:val="auto"/>
              </w:rPr>
            </w:pPr>
            <w:r>
              <w:rPr>
                <w:rFonts w:ascii="Arial" w:cs="Arial" w:eastAsia="Arial" w:hAnsi="Arial"/>
                <w:sz w:val="18"/>
                <w:szCs w:val="18"/>
                <w:color w:val="auto"/>
                <w:w w:val="96"/>
              </w:rPr>
              <w:t>incentive compensation with the financial performance of each business, as well as the</w:t>
            </w:r>
          </w:p>
        </w:tc>
      </w:tr>
      <w:tr>
        <w:trPr>
          <w:trHeight w:val="216"/>
        </w:trPr>
        <w:tc>
          <w:tcPr>
            <w:tcW w:w="3440" w:type="dxa"/>
            <w:vAlign w:val="bottom"/>
            <w:tcBorders>
              <w:left w:val="single" w:sz="8" w:color="auto"/>
            </w:tcBorders>
          </w:tcPr>
          <w:p>
            <w:pPr>
              <w:spacing w:after="0"/>
              <w:rPr>
                <w:sz w:val="18"/>
                <w:szCs w:val="18"/>
                <w:color w:val="auto"/>
              </w:rPr>
            </w:pPr>
          </w:p>
        </w:tc>
        <w:tc>
          <w:tcPr>
            <w:tcW w:w="8020" w:type="dxa"/>
            <w:vAlign w:val="bottom"/>
            <w:tcBorders>
              <w:right w:val="single" w:sz="8" w:color="auto"/>
            </w:tcBorders>
          </w:tcPr>
          <w:p>
            <w:pPr>
              <w:ind w:left="1320"/>
              <w:spacing w:after="0"/>
              <w:rPr>
                <w:sz w:val="20"/>
                <w:szCs w:val="20"/>
                <w:color w:val="auto"/>
              </w:rPr>
            </w:pPr>
            <w:r>
              <w:rPr>
                <w:rFonts w:ascii="Arial" w:cs="Arial" w:eastAsia="Arial" w:hAnsi="Arial"/>
                <w:sz w:val="18"/>
                <w:szCs w:val="18"/>
                <w:color w:val="auto"/>
              </w:rPr>
              <w:t>ability to attract and retain key employees; (iv) creating the opportunity to employ</w:t>
            </w:r>
          </w:p>
        </w:tc>
      </w:tr>
      <w:tr>
        <w:trPr>
          <w:trHeight w:val="216"/>
        </w:trPr>
        <w:tc>
          <w:tcPr>
            <w:tcW w:w="3440" w:type="dxa"/>
            <w:vAlign w:val="bottom"/>
            <w:tcBorders>
              <w:left w:val="single" w:sz="8" w:color="auto"/>
            </w:tcBorders>
          </w:tcPr>
          <w:p>
            <w:pPr>
              <w:spacing w:after="0"/>
              <w:rPr>
                <w:sz w:val="18"/>
                <w:szCs w:val="18"/>
                <w:color w:val="auto"/>
              </w:rPr>
            </w:pPr>
          </w:p>
        </w:tc>
        <w:tc>
          <w:tcPr>
            <w:tcW w:w="8020" w:type="dxa"/>
            <w:vAlign w:val="bottom"/>
            <w:tcBorders>
              <w:right w:val="single" w:sz="8" w:color="auto"/>
            </w:tcBorders>
          </w:tcPr>
          <w:p>
            <w:pPr>
              <w:ind w:left="1320"/>
              <w:spacing w:after="0"/>
              <w:rPr>
                <w:sz w:val="20"/>
                <w:szCs w:val="20"/>
                <w:color w:val="auto"/>
              </w:rPr>
            </w:pPr>
            <w:r>
              <w:rPr>
                <w:rFonts w:ascii="Arial" w:cs="Arial" w:eastAsia="Arial" w:hAnsi="Arial"/>
                <w:sz w:val="18"/>
                <w:szCs w:val="18"/>
                <w:color w:val="auto"/>
                <w:w w:val="95"/>
              </w:rPr>
              <w:t>appropriate capital structures within each business adhering to their respective financial</w:t>
            </w:r>
          </w:p>
        </w:tc>
      </w:tr>
      <w:tr>
        <w:trPr>
          <w:trHeight w:val="216"/>
        </w:trPr>
        <w:tc>
          <w:tcPr>
            <w:tcW w:w="3440" w:type="dxa"/>
            <w:vAlign w:val="bottom"/>
            <w:tcBorders>
              <w:left w:val="single" w:sz="8" w:color="auto"/>
            </w:tcBorders>
          </w:tcPr>
          <w:p>
            <w:pPr>
              <w:spacing w:after="0"/>
              <w:rPr>
                <w:sz w:val="18"/>
                <w:szCs w:val="18"/>
                <w:color w:val="auto"/>
              </w:rPr>
            </w:pPr>
          </w:p>
        </w:tc>
        <w:tc>
          <w:tcPr>
            <w:tcW w:w="8020" w:type="dxa"/>
            <w:vAlign w:val="bottom"/>
            <w:tcBorders>
              <w:right w:val="single" w:sz="8" w:color="auto"/>
            </w:tcBorders>
          </w:tcPr>
          <w:p>
            <w:pPr>
              <w:ind w:left="1320"/>
              <w:spacing w:after="0"/>
              <w:rPr>
                <w:sz w:val="20"/>
                <w:szCs w:val="20"/>
                <w:color w:val="auto"/>
              </w:rPr>
            </w:pPr>
            <w:r>
              <w:rPr>
                <w:rFonts w:ascii="Arial" w:cs="Arial" w:eastAsia="Arial" w:hAnsi="Arial"/>
                <w:sz w:val="18"/>
                <w:szCs w:val="18"/>
                <w:color w:val="auto"/>
              </w:rPr>
              <w:t>profiles and optimal fiscal policies; and (v) increasing the flexibility to independently</w:t>
            </w:r>
          </w:p>
        </w:tc>
      </w:tr>
      <w:tr>
        <w:trPr>
          <w:trHeight w:val="216"/>
        </w:trPr>
        <w:tc>
          <w:tcPr>
            <w:tcW w:w="3440" w:type="dxa"/>
            <w:vAlign w:val="bottom"/>
            <w:tcBorders>
              <w:left w:val="single" w:sz="8" w:color="auto"/>
            </w:tcBorders>
          </w:tcPr>
          <w:p>
            <w:pPr>
              <w:spacing w:after="0"/>
              <w:rPr>
                <w:sz w:val="18"/>
                <w:szCs w:val="18"/>
                <w:color w:val="auto"/>
              </w:rPr>
            </w:pPr>
          </w:p>
        </w:tc>
        <w:tc>
          <w:tcPr>
            <w:tcW w:w="8020" w:type="dxa"/>
            <w:vAlign w:val="bottom"/>
            <w:tcBorders>
              <w:right w:val="single" w:sz="8" w:color="auto"/>
            </w:tcBorders>
          </w:tcPr>
          <w:p>
            <w:pPr>
              <w:ind w:left="1320"/>
              <w:spacing w:after="0"/>
              <w:rPr>
                <w:sz w:val="20"/>
                <w:szCs w:val="20"/>
                <w:color w:val="auto"/>
              </w:rPr>
            </w:pPr>
            <w:r>
              <w:rPr>
                <w:rFonts w:ascii="Arial" w:cs="Arial" w:eastAsia="Arial" w:hAnsi="Arial"/>
                <w:sz w:val="18"/>
                <w:szCs w:val="18"/>
                <w:color w:val="auto"/>
                <w:w w:val="98"/>
              </w:rPr>
              <w:t>evaluate and finance organic and inorganic growth opportunities without limitations of</w:t>
            </w:r>
          </w:p>
        </w:tc>
      </w:tr>
      <w:tr>
        <w:trPr>
          <w:trHeight w:val="216"/>
        </w:trPr>
        <w:tc>
          <w:tcPr>
            <w:tcW w:w="3440" w:type="dxa"/>
            <w:vAlign w:val="bottom"/>
            <w:tcBorders>
              <w:left w:val="single" w:sz="8" w:color="auto"/>
            </w:tcBorders>
          </w:tcPr>
          <w:p>
            <w:pPr>
              <w:spacing w:after="0"/>
              <w:rPr>
                <w:sz w:val="18"/>
                <w:szCs w:val="18"/>
                <w:color w:val="auto"/>
              </w:rPr>
            </w:pPr>
          </w:p>
        </w:tc>
        <w:tc>
          <w:tcPr>
            <w:tcW w:w="8020" w:type="dxa"/>
            <w:vAlign w:val="bottom"/>
            <w:tcBorders>
              <w:right w:val="single" w:sz="8" w:color="auto"/>
            </w:tcBorders>
          </w:tcPr>
          <w:p>
            <w:pPr>
              <w:ind w:left="1320"/>
              <w:spacing w:after="0"/>
              <w:rPr>
                <w:sz w:val="20"/>
                <w:szCs w:val="20"/>
                <w:color w:val="auto"/>
              </w:rPr>
            </w:pPr>
            <w:r>
              <w:rPr>
                <w:rFonts w:ascii="Arial" w:cs="Arial" w:eastAsia="Arial" w:hAnsi="Arial"/>
                <w:sz w:val="18"/>
                <w:szCs w:val="18"/>
                <w:color w:val="auto"/>
                <w:w w:val="95"/>
              </w:rPr>
              <w:t>operating as a consolidated entity. For more information, see “The Spinoff–Reasons for</w:t>
            </w:r>
          </w:p>
        </w:tc>
      </w:tr>
      <w:tr>
        <w:trPr>
          <w:trHeight w:val="230"/>
        </w:trPr>
        <w:tc>
          <w:tcPr>
            <w:tcW w:w="3440" w:type="dxa"/>
            <w:vAlign w:val="bottom"/>
            <w:tcBorders>
              <w:left w:val="single" w:sz="8" w:color="auto"/>
            </w:tcBorders>
          </w:tcPr>
          <w:p>
            <w:pPr>
              <w:spacing w:after="0"/>
              <w:rPr>
                <w:sz w:val="20"/>
                <w:szCs w:val="20"/>
                <w:color w:val="auto"/>
              </w:rPr>
            </w:pPr>
          </w:p>
        </w:tc>
        <w:tc>
          <w:tcPr>
            <w:tcW w:w="8020" w:type="dxa"/>
            <w:vAlign w:val="bottom"/>
            <w:tcBorders>
              <w:right w:val="single" w:sz="8" w:color="auto"/>
            </w:tcBorders>
          </w:tcPr>
          <w:p>
            <w:pPr>
              <w:ind w:left="1320"/>
              <w:spacing w:after="0"/>
              <w:rPr>
                <w:sz w:val="20"/>
                <w:szCs w:val="20"/>
                <w:color w:val="auto"/>
              </w:rPr>
            </w:pPr>
            <w:r>
              <w:rPr>
                <w:rFonts w:ascii="Arial" w:cs="Arial" w:eastAsia="Arial" w:hAnsi="Arial"/>
                <w:sz w:val="18"/>
                <w:szCs w:val="18"/>
                <w:color w:val="auto"/>
              </w:rPr>
              <w:t>the Spinoff.”</w:t>
            </w:r>
          </w:p>
        </w:tc>
      </w:tr>
      <w:tr>
        <w:trPr>
          <w:trHeight w:val="310"/>
        </w:trPr>
        <w:tc>
          <w:tcPr>
            <w:tcW w:w="3440" w:type="dxa"/>
            <w:vAlign w:val="bottom"/>
            <w:tcBorders>
              <w:left w:val="single" w:sz="8" w:color="auto"/>
            </w:tcBorders>
          </w:tcPr>
          <w:p>
            <w:pPr>
              <w:ind w:left="300"/>
              <w:spacing w:after="0"/>
              <w:rPr>
                <w:sz w:val="20"/>
                <w:szCs w:val="20"/>
                <w:color w:val="auto"/>
              </w:rPr>
            </w:pPr>
            <w:r>
              <w:rPr>
                <w:rFonts w:ascii="Arial" w:cs="Arial" w:eastAsia="Arial" w:hAnsi="Arial"/>
                <w:sz w:val="18"/>
                <w:szCs w:val="18"/>
                <w:color w:val="auto"/>
              </w:rPr>
              <w:t>Stock exchange listing</w:t>
            </w:r>
          </w:p>
        </w:tc>
        <w:tc>
          <w:tcPr>
            <w:tcW w:w="8020" w:type="dxa"/>
            <w:vAlign w:val="bottom"/>
            <w:tcBorders>
              <w:right w:val="single" w:sz="8" w:color="auto"/>
            </w:tcBorders>
          </w:tcPr>
          <w:p>
            <w:pPr>
              <w:ind w:left="1320"/>
              <w:spacing w:after="0"/>
              <w:rPr>
                <w:sz w:val="20"/>
                <w:szCs w:val="20"/>
                <w:color w:val="auto"/>
              </w:rPr>
            </w:pPr>
            <w:r>
              <w:rPr>
                <w:rFonts w:ascii="Arial" w:cs="Arial" w:eastAsia="Arial" w:hAnsi="Arial"/>
                <w:sz w:val="18"/>
                <w:szCs w:val="18"/>
                <w:color w:val="auto"/>
                <w:w w:val="97"/>
              </w:rPr>
              <w:t>Currently there is no public market for our common shares. We have applied for listing</w:t>
            </w:r>
          </w:p>
        </w:tc>
      </w:tr>
      <w:tr>
        <w:trPr>
          <w:trHeight w:val="216"/>
        </w:trPr>
        <w:tc>
          <w:tcPr>
            <w:tcW w:w="3440" w:type="dxa"/>
            <w:vAlign w:val="bottom"/>
            <w:tcBorders>
              <w:left w:val="single" w:sz="8" w:color="auto"/>
            </w:tcBorders>
          </w:tcPr>
          <w:p>
            <w:pPr>
              <w:spacing w:after="0"/>
              <w:rPr>
                <w:sz w:val="18"/>
                <w:szCs w:val="18"/>
                <w:color w:val="auto"/>
              </w:rPr>
            </w:pPr>
          </w:p>
        </w:tc>
        <w:tc>
          <w:tcPr>
            <w:tcW w:w="8020" w:type="dxa"/>
            <w:vAlign w:val="bottom"/>
            <w:tcBorders>
              <w:right w:val="single" w:sz="8" w:color="auto"/>
            </w:tcBorders>
          </w:tcPr>
          <w:p>
            <w:pPr>
              <w:ind w:left="1320"/>
              <w:spacing w:after="0"/>
              <w:rPr>
                <w:sz w:val="20"/>
                <w:szCs w:val="20"/>
                <w:color w:val="auto"/>
              </w:rPr>
            </w:pPr>
            <w:r>
              <w:rPr>
                <w:rFonts w:ascii="Arial" w:cs="Arial" w:eastAsia="Arial" w:hAnsi="Arial"/>
                <w:sz w:val="18"/>
                <w:szCs w:val="18"/>
                <w:color w:val="auto"/>
              </w:rPr>
              <w:t>of our common shares on the NYSE under the symbol “TMST.” We anticipate that</w:t>
            </w:r>
          </w:p>
        </w:tc>
      </w:tr>
      <w:tr>
        <w:trPr>
          <w:trHeight w:val="216"/>
        </w:trPr>
        <w:tc>
          <w:tcPr>
            <w:tcW w:w="3440" w:type="dxa"/>
            <w:vAlign w:val="bottom"/>
            <w:tcBorders>
              <w:left w:val="single" w:sz="8" w:color="auto"/>
            </w:tcBorders>
          </w:tcPr>
          <w:p>
            <w:pPr>
              <w:spacing w:after="0"/>
              <w:rPr>
                <w:sz w:val="18"/>
                <w:szCs w:val="18"/>
                <w:color w:val="auto"/>
              </w:rPr>
            </w:pPr>
          </w:p>
        </w:tc>
        <w:tc>
          <w:tcPr>
            <w:tcW w:w="8020" w:type="dxa"/>
            <w:vAlign w:val="bottom"/>
            <w:tcBorders>
              <w:right w:val="single" w:sz="8" w:color="auto"/>
            </w:tcBorders>
          </w:tcPr>
          <w:p>
            <w:pPr>
              <w:ind w:left="1320"/>
              <w:spacing w:after="0"/>
              <w:rPr>
                <w:sz w:val="20"/>
                <w:szCs w:val="20"/>
                <w:color w:val="auto"/>
              </w:rPr>
            </w:pPr>
            <w:r>
              <w:rPr>
                <w:rFonts w:ascii="Arial" w:cs="Arial" w:eastAsia="Arial" w:hAnsi="Arial"/>
                <w:sz w:val="18"/>
                <w:szCs w:val="18"/>
                <w:color w:val="auto"/>
                <w:w w:val="96"/>
              </w:rPr>
              <w:t>trading will commence on a “when-issued” basis approximately two trading days before</w:t>
            </w:r>
          </w:p>
        </w:tc>
      </w:tr>
      <w:tr>
        <w:trPr>
          <w:trHeight w:val="216"/>
        </w:trPr>
        <w:tc>
          <w:tcPr>
            <w:tcW w:w="3440" w:type="dxa"/>
            <w:vAlign w:val="bottom"/>
            <w:tcBorders>
              <w:left w:val="single" w:sz="8" w:color="auto"/>
            </w:tcBorders>
          </w:tcPr>
          <w:p>
            <w:pPr>
              <w:spacing w:after="0"/>
              <w:rPr>
                <w:sz w:val="18"/>
                <w:szCs w:val="18"/>
                <w:color w:val="auto"/>
              </w:rPr>
            </w:pPr>
          </w:p>
        </w:tc>
        <w:tc>
          <w:tcPr>
            <w:tcW w:w="8020" w:type="dxa"/>
            <w:vAlign w:val="bottom"/>
            <w:tcBorders>
              <w:right w:val="single" w:sz="8" w:color="auto"/>
            </w:tcBorders>
          </w:tcPr>
          <w:p>
            <w:pPr>
              <w:ind w:left="1320"/>
              <w:spacing w:after="0"/>
              <w:rPr>
                <w:sz w:val="20"/>
                <w:szCs w:val="20"/>
                <w:color w:val="auto"/>
              </w:rPr>
            </w:pPr>
            <w:r>
              <w:rPr>
                <w:rFonts w:ascii="Arial" w:cs="Arial" w:eastAsia="Arial" w:hAnsi="Arial"/>
                <w:sz w:val="18"/>
                <w:szCs w:val="18"/>
                <w:color w:val="auto"/>
                <w:w w:val="94"/>
              </w:rPr>
              <w:t>the record date. When-issued trading refers to a transaction made conditionally because</w:t>
            </w:r>
          </w:p>
        </w:tc>
      </w:tr>
      <w:tr>
        <w:trPr>
          <w:trHeight w:val="216"/>
        </w:trPr>
        <w:tc>
          <w:tcPr>
            <w:tcW w:w="3440" w:type="dxa"/>
            <w:vAlign w:val="bottom"/>
            <w:tcBorders>
              <w:left w:val="single" w:sz="8" w:color="auto"/>
            </w:tcBorders>
          </w:tcPr>
          <w:p>
            <w:pPr>
              <w:spacing w:after="0"/>
              <w:rPr>
                <w:sz w:val="18"/>
                <w:szCs w:val="18"/>
                <w:color w:val="auto"/>
              </w:rPr>
            </w:pPr>
          </w:p>
        </w:tc>
        <w:tc>
          <w:tcPr>
            <w:tcW w:w="8020" w:type="dxa"/>
            <w:vAlign w:val="bottom"/>
            <w:tcBorders>
              <w:right w:val="single" w:sz="8" w:color="auto"/>
            </w:tcBorders>
          </w:tcPr>
          <w:p>
            <w:pPr>
              <w:ind w:left="1320"/>
              <w:spacing w:after="0"/>
              <w:rPr>
                <w:sz w:val="20"/>
                <w:szCs w:val="20"/>
                <w:color w:val="auto"/>
              </w:rPr>
            </w:pPr>
            <w:r>
              <w:rPr>
                <w:rFonts w:ascii="Arial" w:cs="Arial" w:eastAsia="Arial" w:hAnsi="Arial"/>
                <w:sz w:val="18"/>
                <w:szCs w:val="18"/>
                <w:color w:val="auto"/>
                <w:w w:val="92"/>
              </w:rPr>
              <w:t>the security has been authorized but not yet issued. Generally, common shares may trade</w:t>
            </w:r>
          </w:p>
        </w:tc>
      </w:tr>
      <w:tr>
        <w:trPr>
          <w:trHeight w:val="216"/>
        </w:trPr>
        <w:tc>
          <w:tcPr>
            <w:tcW w:w="3440" w:type="dxa"/>
            <w:vAlign w:val="bottom"/>
            <w:tcBorders>
              <w:left w:val="single" w:sz="8" w:color="auto"/>
            </w:tcBorders>
          </w:tcPr>
          <w:p>
            <w:pPr>
              <w:spacing w:after="0"/>
              <w:rPr>
                <w:sz w:val="18"/>
                <w:szCs w:val="18"/>
                <w:color w:val="auto"/>
              </w:rPr>
            </w:pPr>
          </w:p>
        </w:tc>
        <w:tc>
          <w:tcPr>
            <w:tcW w:w="8020" w:type="dxa"/>
            <w:vAlign w:val="bottom"/>
            <w:tcBorders>
              <w:right w:val="single" w:sz="8" w:color="auto"/>
            </w:tcBorders>
          </w:tcPr>
          <w:p>
            <w:pPr>
              <w:ind w:left="1320"/>
              <w:spacing w:after="0"/>
              <w:rPr>
                <w:sz w:val="20"/>
                <w:szCs w:val="20"/>
                <w:color w:val="auto"/>
              </w:rPr>
            </w:pPr>
            <w:r>
              <w:rPr>
                <w:rFonts w:ascii="Arial" w:cs="Arial" w:eastAsia="Arial" w:hAnsi="Arial"/>
                <w:sz w:val="18"/>
                <w:szCs w:val="18"/>
                <w:color w:val="auto"/>
              </w:rPr>
              <w:t>on the NYSE on a when-issued basis after they have been authorized but not yet</w:t>
            </w:r>
          </w:p>
        </w:tc>
      </w:tr>
      <w:tr>
        <w:trPr>
          <w:trHeight w:val="216"/>
        </w:trPr>
        <w:tc>
          <w:tcPr>
            <w:tcW w:w="3440" w:type="dxa"/>
            <w:vAlign w:val="bottom"/>
            <w:tcBorders>
              <w:left w:val="single" w:sz="8" w:color="auto"/>
            </w:tcBorders>
          </w:tcPr>
          <w:p>
            <w:pPr>
              <w:spacing w:after="0"/>
              <w:rPr>
                <w:sz w:val="18"/>
                <w:szCs w:val="18"/>
                <w:color w:val="auto"/>
              </w:rPr>
            </w:pPr>
          </w:p>
        </w:tc>
        <w:tc>
          <w:tcPr>
            <w:tcW w:w="8020" w:type="dxa"/>
            <w:vAlign w:val="bottom"/>
            <w:tcBorders>
              <w:right w:val="single" w:sz="8" w:color="auto"/>
            </w:tcBorders>
          </w:tcPr>
          <w:p>
            <w:pPr>
              <w:ind w:left="1320"/>
              <w:spacing w:after="0"/>
              <w:rPr>
                <w:sz w:val="20"/>
                <w:szCs w:val="20"/>
                <w:color w:val="auto"/>
              </w:rPr>
            </w:pPr>
            <w:r>
              <w:rPr>
                <w:rFonts w:ascii="Arial" w:cs="Arial" w:eastAsia="Arial" w:hAnsi="Arial"/>
                <w:sz w:val="18"/>
                <w:szCs w:val="18"/>
                <w:color w:val="auto"/>
                <w:w w:val="97"/>
              </w:rPr>
              <w:t>formally issued, which is often initiated by the NYSE prior to the record date relating to</w:t>
            </w:r>
          </w:p>
        </w:tc>
      </w:tr>
      <w:tr>
        <w:trPr>
          <w:trHeight w:val="216"/>
        </w:trPr>
        <w:tc>
          <w:tcPr>
            <w:tcW w:w="3440" w:type="dxa"/>
            <w:vAlign w:val="bottom"/>
            <w:tcBorders>
              <w:left w:val="single" w:sz="8" w:color="auto"/>
            </w:tcBorders>
          </w:tcPr>
          <w:p>
            <w:pPr>
              <w:spacing w:after="0"/>
              <w:rPr>
                <w:sz w:val="18"/>
                <w:szCs w:val="18"/>
                <w:color w:val="auto"/>
              </w:rPr>
            </w:pPr>
          </w:p>
        </w:tc>
        <w:tc>
          <w:tcPr>
            <w:tcW w:w="8020" w:type="dxa"/>
            <w:vAlign w:val="bottom"/>
            <w:tcBorders>
              <w:right w:val="single" w:sz="8" w:color="auto"/>
            </w:tcBorders>
          </w:tcPr>
          <w:p>
            <w:pPr>
              <w:ind w:left="1320"/>
              <w:spacing w:after="0"/>
              <w:rPr>
                <w:sz w:val="20"/>
                <w:szCs w:val="20"/>
                <w:color w:val="auto"/>
              </w:rPr>
            </w:pPr>
            <w:r>
              <w:rPr>
                <w:rFonts w:ascii="Arial" w:cs="Arial" w:eastAsia="Arial" w:hAnsi="Arial"/>
                <w:sz w:val="18"/>
                <w:szCs w:val="18"/>
                <w:color w:val="auto"/>
                <w:w w:val="98"/>
              </w:rPr>
              <w:t>the issuance of such common shares. When-issued transactions are settled after our</w:t>
            </w:r>
          </w:p>
        </w:tc>
      </w:tr>
      <w:tr>
        <w:trPr>
          <w:trHeight w:val="216"/>
        </w:trPr>
        <w:tc>
          <w:tcPr>
            <w:tcW w:w="3440" w:type="dxa"/>
            <w:vAlign w:val="bottom"/>
            <w:tcBorders>
              <w:left w:val="single" w:sz="8" w:color="auto"/>
            </w:tcBorders>
          </w:tcPr>
          <w:p>
            <w:pPr>
              <w:spacing w:after="0"/>
              <w:rPr>
                <w:sz w:val="18"/>
                <w:szCs w:val="18"/>
                <w:color w:val="auto"/>
              </w:rPr>
            </w:pPr>
          </w:p>
        </w:tc>
        <w:tc>
          <w:tcPr>
            <w:tcW w:w="8020" w:type="dxa"/>
            <w:vAlign w:val="bottom"/>
            <w:tcBorders>
              <w:right w:val="single" w:sz="8" w:color="auto"/>
            </w:tcBorders>
          </w:tcPr>
          <w:p>
            <w:pPr>
              <w:ind w:left="1320"/>
              <w:spacing w:after="0"/>
              <w:rPr>
                <w:sz w:val="20"/>
                <w:szCs w:val="20"/>
                <w:color w:val="auto"/>
              </w:rPr>
            </w:pPr>
            <w:r>
              <w:rPr>
                <w:rFonts w:ascii="Arial" w:cs="Arial" w:eastAsia="Arial" w:hAnsi="Arial"/>
                <w:sz w:val="18"/>
                <w:szCs w:val="18"/>
                <w:color w:val="auto"/>
              </w:rPr>
              <w:t>common shares have been issued to Timken shareholders. On the first trading day</w:t>
            </w:r>
          </w:p>
        </w:tc>
      </w:tr>
      <w:tr>
        <w:trPr>
          <w:trHeight w:val="216"/>
        </w:trPr>
        <w:tc>
          <w:tcPr>
            <w:tcW w:w="3440" w:type="dxa"/>
            <w:vAlign w:val="bottom"/>
            <w:tcBorders>
              <w:left w:val="single" w:sz="8" w:color="auto"/>
            </w:tcBorders>
          </w:tcPr>
          <w:p>
            <w:pPr>
              <w:spacing w:after="0"/>
              <w:rPr>
                <w:sz w:val="18"/>
                <w:szCs w:val="18"/>
                <w:color w:val="auto"/>
              </w:rPr>
            </w:pPr>
          </w:p>
        </w:tc>
        <w:tc>
          <w:tcPr>
            <w:tcW w:w="8020" w:type="dxa"/>
            <w:vAlign w:val="bottom"/>
            <w:tcBorders>
              <w:right w:val="single" w:sz="8" w:color="auto"/>
            </w:tcBorders>
          </w:tcPr>
          <w:p>
            <w:pPr>
              <w:ind w:left="1320"/>
              <w:spacing w:after="0"/>
              <w:rPr>
                <w:sz w:val="20"/>
                <w:szCs w:val="20"/>
                <w:color w:val="auto"/>
              </w:rPr>
            </w:pPr>
            <w:r>
              <w:rPr>
                <w:rFonts w:ascii="Arial" w:cs="Arial" w:eastAsia="Arial" w:hAnsi="Arial"/>
                <w:sz w:val="18"/>
                <w:szCs w:val="18"/>
                <w:color w:val="auto"/>
                <w:w w:val="99"/>
              </w:rPr>
              <w:t>following the distribution date, when-issued trading in respect of our common shares</w:t>
            </w:r>
          </w:p>
        </w:tc>
      </w:tr>
      <w:tr>
        <w:trPr>
          <w:trHeight w:val="216"/>
        </w:trPr>
        <w:tc>
          <w:tcPr>
            <w:tcW w:w="3440" w:type="dxa"/>
            <w:vAlign w:val="bottom"/>
            <w:tcBorders>
              <w:left w:val="single" w:sz="8" w:color="auto"/>
            </w:tcBorders>
          </w:tcPr>
          <w:p>
            <w:pPr>
              <w:spacing w:after="0"/>
              <w:rPr>
                <w:sz w:val="18"/>
                <w:szCs w:val="18"/>
                <w:color w:val="auto"/>
              </w:rPr>
            </w:pPr>
          </w:p>
        </w:tc>
        <w:tc>
          <w:tcPr>
            <w:tcW w:w="8020" w:type="dxa"/>
            <w:vAlign w:val="bottom"/>
            <w:tcBorders>
              <w:right w:val="single" w:sz="8" w:color="auto"/>
            </w:tcBorders>
          </w:tcPr>
          <w:p>
            <w:pPr>
              <w:ind w:left="1320"/>
              <w:spacing w:after="0"/>
              <w:rPr>
                <w:sz w:val="20"/>
                <w:szCs w:val="20"/>
                <w:color w:val="auto"/>
              </w:rPr>
            </w:pPr>
            <w:r>
              <w:rPr>
                <w:rFonts w:ascii="Arial" w:cs="Arial" w:eastAsia="Arial" w:hAnsi="Arial"/>
                <w:sz w:val="18"/>
                <w:szCs w:val="18"/>
                <w:color w:val="auto"/>
              </w:rPr>
              <w:t>will end and regular way trading will begin. “Regular way” trading refers to trading</w:t>
            </w:r>
          </w:p>
        </w:tc>
      </w:tr>
      <w:tr>
        <w:trPr>
          <w:trHeight w:val="216"/>
        </w:trPr>
        <w:tc>
          <w:tcPr>
            <w:tcW w:w="3440" w:type="dxa"/>
            <w:vAlign w:val="bottom"/>
            <w:tcBorders>
              <w:left w:val="single" w:sz="8" w:color="auto"/>
            </w:tcBorders>
          </w:tcPr>
          <w:p>
            <w:pPr>
              <w:spacing w:after="0"/>
              <w:rPr>
                <w:sz w:val="18"/>
                <w:szCs w:val="18"/>
                <w:color w:val="auto"/>
              </w:rPr>
            </w:pPr>
          </w:p>
        </w:tc>
        <w:tc>
          <w:tcPr>
            <w:tcW w:w="8020" w:type="dxa"/>
            <w:vAlign w:val="bottom"/>
            <w:tcBorders>
              <w:right w:val="single" w:sz="8" w:color="auto"/>
            </w:tcBorders>
          </w:tcPr>
          <w:p>
            <w:pPr>
              <w:ind w:left="1320"/>
              <w:spacing w:after="0"/>
              <w:rPr>
                <w:sz w:val="20"/>
                <w:szCs w:val="20"/>
                <w:color w:val="auto"/>
              </w:rPr>
            </w:pPr>
            <w:r>
              <w:rPr>
                <w:rFonts w:ascii="Arial" w:cs="Arial" w:eastAsia="Arial" w:hAnsi="Arial"/>
                <w:sz w:val="18"/>
                <w:szCs w:val="18"/>
                <w:color w:val="auto"/>
                <w:w w:val="98"/>
              </w:rPr>
              <w:t>after a security has been issued. We cannot predict the trading price for our common</w:t>
            </w:r>
          </w:p>
        </w:tc>
      </w:tr>
      <w:tr>
        <w:trPr>
          <w:trHeight w:val="216"/>
        </w:trPr>
        <w:tc>
          <w:tcPr>
            <w:tcW w:w="3440" w:type="dxa"/>
            <w:vAlign w:val="bottom"/>
            <w:tcBorders>
              <w:left w:val="single" w:sz="8" w:color="auto"/>
            </w:tcBorders>
          </w:tcPr>
          <w:p>
            <w:pPr>
              <w:spacing w:after="0"/>
              <w:rPr>
                <w:sz w:val="18"/>
                <w:szCs w:val="18"/>
                <w:color w:val="auto"/>
              </w:rPr>
            </w:pPr>
          </w:p>
        </w:tc>
        <w:tc>
          <w:tcPr>
            <w:tcW w:w="8020" w:type="dxa"/>
            <w:vAlign w:val="bottom"/>
            <w:tcBorders>
              <w:right w:val="single" w:sz="8" w:color="auto"/>
            </w:tcBorders>
          </w:tcPr>
          <w:p>
            <w:pPr>
              <w:ind w:left="1320"/>
              <w:spacing w:after="0"/>
              <w:rPr>
                <w:sz w:val="20"/>
                <w:szCs w:val="20"/>
                <w:color w:val="auto"/>
              </w:rPr>
            </w:pPr>
            <w:r>
              <w:rPr>
                <w:rFonts w:ascii="Arial" w:cs="Arial" w:eastAsia="Arial" w:hAnsi="Arial"/>
                <w:sz w:val="18"/>
                <w:szCs w:val="18"/>
                <w:color w:val="auto"/>
                <w:w w:val="97"/>
              </w:rPr>
              <w:t>shares following the spinoff. In addition, following the spinoff, Timken common shares</w:t>
            </w:r>
          </w:p>
        </w:tc>
      </w:tr>
      <w:tr>
        <w:trPr>
          <w:trHeight w:val="216"/>
        </w:trPr>
        <w:tc>
          <w:tcPr>
            <w:tcW w:w="3440" w:type="dxa"/>
            <w:vAlign w:val="bottom"/>
            <w:tcBorders>
              <w:left w:val="single" w:sz="8" w:color="auto"/>
            </w:tcBorders>
          </w:tcPr>
          <w:p>
            <w:pPr>
              <w:spacing w:after="0"/>
              <w:rPr>
                <w:sz w:val="18"/>
                <w:szCs w:val="18"/>
                <w:color w:val="auto"/>
              </w:rPr>
            </w:pPr>
          </w:p>
        </w:tc>
        <w:tc>
          <w:tcPr>
            <w:tcW w:w="8020" w:type="dxa"/>
            <w:vAlign w:val="bottom"/>
            <w:tcBorders>
              <w:right w:val="single" w:sz="8" w:color="auto"/>
            </w:tcBorders>
          </w:tcPr>
          <w:p>
            <w:pPr>
              <w:ind w:left="1320"/>
              <w:spacing w:after="0"/>
              <w:rPr>
                <w:sz w:val="20"/>
                <w:szCs w:val="20"/>
                <w:color w:val="auto"/>
              </w:rPr>
            </w:pPr>
            <w:r>
              <w:rPr>
                <w:rFonts w:ascii="Arial" w:cs="Arial" w:eastAsia="Arial" w:hAnsi="Arial"/>
                <w:sz w:val="18"/>
                <w:szCs w:val="18"/>
                <w:color w:val="auto"/>
              </w:rPr>
              <w:t>will remain outstanding and will continue to trade on the NYSE under the symbol</w:t>
            </w:r>
          </w:p>
        </w:tc>
      </w:tr>
      <w:tr>
        <w:trPr>
          <w:trHeight w:val="230"/>
        </w:trPr>
        <w:tc>
          <w:tcPr>
            <w:tcW w:w="3440" w:type="dxa"/>
            <w:vAlign w:val="bottom"/>
            <w:tcBorders>
              <w:left w:val="single" w:sz="8" w:color="auto"/>
            </w:tcBorders>
          </w:tcPr>
          <w:p>
            <w:pPr>
              <w:spacing w:after="0"/>
              <w:rPr>
                <w:sz w:val="20"/>
                <w:szCs w:val="20"/>
                <w:color w:val="auto"/>
              </w:rPr>
            </w:pPr>
          </w:p>
        </w:tc>
        <w:tc>
          <w:tcPr>
            <w:tcW w:w="8020" w:type="dxa"/>
            <w:vAlign w:val="bottom"/>
            <w:tcBorders>
              <w:right w:val="single" w:sz="8" w:color="auto"/>
            </w:tcBorders>
          </w:tcPr>
          <w:p>
            <w:pPr>
              <w:ind w:left="1320"/>
              <w:spacing w:after="0"/>
              <w:rPr>
                <w:sz w:val="20"/>
                <w:szCs w:val="20"/>
                <w:color w:val="auto"/>
              </w:rPr>
            </w:pPr>
            <w:r>
              <w:rPr>
                <w:rFonts w:ascii="Arial" w:cs="Arial" w:eastAsia="Arial" w:hAnsi="Arial"/>
                <w:sz w:val="18"/>
                <w:szCs w:val="18"/>
                <w:color w:val="auto"/>
              </w:rPr>
              <w:t>“TKR.”</w:t>
            </w:r>
          </w:p>
        </w:tc>
      </w:tr>
      <w:tr>
        <w:trPr>
          <w:trHeight w:val="310"/>
        </w:trPr>
        <w:tc>
          <w:tcPr>
            <w:tcW w:w="3440" w:type="dxa"/>
            <w:vAlign w:val="bottom"/>
            <w:tcBorders>
              <w:left w:val="single" w:sz="8" w:color="auto"/>
            </w:tcBorders>
          </w:tcPr>
          <w:p>
            <w:pPr>
              <w:ind w:left="300"/>
              <w:spacing w:after="0"/>
              <w:rPr>
                <w:sz w:val="20"/>
                <w:szCs w:val="20"/>
                <w:color w:val="auto"/>
              </w:rPr>
            </w:pPr>
            <w:r>
              <w:rPr>
                <w:rFonts w:ascii="Arial" w:cs="Arial" w:eastAsia="Arial" w:hAnsi="Arial"/>
                <w:sz w:val="18"/>
                <w:szCs w:val="18"/>
                <w:color w:val="auto"/>
              </w:rPr>
              <w:t>Dividend policy</w:t>
            </w:r>
          </w:p>
        </w:tc>
        <w:tc>
          <w:tcPr>
            <w:tcW w:w="8020" w:type="dxa"/>
            <w:vAlign w:val="bottom"/>
            <w:tcBorders>
              <w:right w:val="single" w:sz="8" w:color="auto"/>
            </w:tcBorders>
          </w:tcPr>
          <w:p>
            <w:pPr>
              <w:ind w:left="1320"/>
              <w:spacing w:after="0"/>
              <w:rPr>
                <w:sz w:val="20"/>
                <w:szCs w:val="20"/>
                <w:color w:val="auto"/>
              </w:rPr>
            </w:pPr>
            <w:r>
              <w:rPr>
                <w:rFonts w:ascii="Arial" w:cs="Arial" w:eastAsia="Arial" w:hAnsi="Arial"/>
                <w:sz w:val="18"/>
                <w:szCs w:val="18"/>
                <w:color w:val="auto"/>
              </w:rPr>
              <w:t>We expect to pay dividends on our common shares at the discretion of our board of</w:t>
            </w:r>
          </w:p>
        </w:tc>
      </w:tr>
      <w:tr>
        <w:trPr>
          <w:trHeight w:val="216"/>
        </w:trPr>
        <w:tc>
          <w:tcPr>
            <w:tcW w:w="3440" w:type="dxa"/>
            <w:vAlign w:val="bottom"/>
            <w:tcBorders>
              <w:left w:val="single" w:sz="8" w:color="auto"/>
            </w:tcBorders>
          </w:tcPr>
          <w:p>
            <w:pPr>
              <w:spacing w:after="0"/>
              <w:rPr>
                <w:sz w:val="18"/>
                <w:szCs w:val="18"/>
                <w:color w:val="auto"/>
              </w:rPr>
            </w:pPr>
          </w:p>
        </w:tc>
        <w:tc>
          <w:tcPr>
            <w:tcW w:w="8020" w:type="dxa"/>
            <w:vAlign w:val="bottom"/>
            <w:tcBorders>
              <w:right w:val="single" w:sz="8" w:color="auto"/>
            </w:tcBorders>
          </w:tcPr>
          <w:p>
            <w:pPr>
              <w:ind w:left="1320"/>
              <w:spacing w:after="0"/>
              <w:rPr>
                <w:sz w:val="20"/>
                <w:szCs w:val="20"/>
                <w:color w:val="auto"/>
              </w:rPr>
            </w:pPr>
            <w:r>
              <w:rPr>
                <w:rFonts w:ascii="Arial" w:cs="Arial" w:eastAsia="Arial" w:hAnsi="Arial"/>
                <w:sz w:val="18"/>
                <w:szCs w:val="18"/>
                <w:color w:val="auto"/>
                <w:w w:val="97"/>
              </w:rPr>
              <w:t>directors and dependent upon then-existing conditions, including our operating results</w:t>
            </w:r>
          </w:p>
        </w:tc>
      </w:tr>
      <w:tr>
        <w:trPr>
          <w:trHeight w:val="216"/>
        </w:trPr>
        <w:tc>
          <w:tcPr>
            <w:tcW w:w="3440" w:type="dxa"/>
            <w:vAlign w:val="bottom"/>
            <w:tcBorders>
              <w:left w:val="single" w:sz="8" w:color="auto"/>
            </w:tcBorders>
          </w:tcPr>
          <w:p>
            <w:pPr>
              <w:spacing w:after="0"/>
              <w:rPr>
                <w:sz w:val="18"/>
                <w:szCs w:val="18"/>
                <w:color w:val="auto"/>
              </w:rPr>
            </w:pPr>
          </w:p>
        </w:tc>
        <w:tc>
          <w:tcPr>
            <w:tcW w:w="8020" w:type="dxa"/>
            <w:vAlign w:val="bottom"/>
            <w:tcBorders>
              <w:right w:val="single" w:sz="8" w:color="auto"/>
            </w:tcBorders>
          </w:tcPr>
          <w:p>
            <w:pPr>
              <w:ind w:left="1320"/>
              <w:spacing w:after="0"/>
              <w:rPr>
                <w:sz w:val="20"/>
                <w:szCs w:val="20"/>
                <w:color w:val="auto"/>
              </w:rPr>
            </w:pPr>
            <w:r>
              <w:rPr>
                <w:rFonts w:ascii="Arial" w:cs="Arial" w:eastAsia="Arial" w:hAnsi="Arial"/>
                <w:sz w:val="18"/>
                <w:szCs w:val="18"/>
                <w:color w:val="auto"/>
                <w:w w:val="94"/>
              </w:rPr>
              <w:t>and financial condition, capital requirements, contractual restrictions, business prospects</w:t>
            </w:r>
          </w:p>
        </w:tc>
      </w:tr>
      <w:tr>
        <w:trPr>
          <w:trHeight w:val="230"/>
        </w:trPr>
        <w:tc>
          <w:tcPr>
            <w:tcW w:w="3440" w:type="dxa"/>
            <w:vAlign w:val="bottom"/>
            <w:tcBorders>
              <w:left w:val="single" w:sz="8" w:color="auto"/>
            </w:tcBorders>
          </w:tcPr>
          <w:p>
            <w:pPr>
              <w:spacing w:after="0"/>
              <w:rPr>
                <w:sz w:val="20"/>
                <w:szCs w:val="20"/>
                <w:color w:val="auto"/>
              </w:rPr>
            </w:pPr>
          </w:p>
        </w:tc>
        <w:tc>
          <w:tcPr>
            <w:tcW w:w="8020" w:type="dxa"/>
            <w:vAlign w:val="bottom"/>
            <w:tcBorders>
              <w:right w:val="single" w:sz="8" w:color="auto"/>
            </w:tcBorders>
          </w:tcPr>
          <w:p>
            <w:pPr>
              <w:ind w:left="1320"/>
              <w:spacing w:after="0"/>
              <w:rPr>
                <w:sz w:val="20"/>
                <w:szCs w:val="20"/>
                <w:color w:val="auto"/>
              </w:rPr>
            </w:pPr>
            <w:r>
              <w:rPr>
                <w:rFonts w:ascii="Arial" w:cs="Arial" w:eastAsia="Arial" w:hAnsi="Arial"/>
                <w:sz w:val="18"/>
                <w:szCs w:val="18"/>
                <w:color w:val="auto"/>
                <w:w w:val="96"/>
              </w:rPr>
              <w:t>and other factors that our board of directors may deem relevant. See “Dividend Policy.”</w:t>
            </w:r>
          </w:p>
        </w:tc>
      </w:tr>
      <w:tr>
        <w:trPr>
          <w:trHeight w:val="310"/>
        </w:trPr>
        <w:tc>
          <w:tcPr>
            <w:tcW w:w="3440" w:type="dxa"/>
            <w:vAlign w:val="bottom"/>
            <w:tcBorders>
              <w:left w:val="single" w:sz="8" w:color="auto"/>
            </w:tcBorders>
          </w:tcPr>
          <w:p>
            <w:pPr>
              <w:ind w:left="300"/>
              <w:spacing w:after="0"/>
              <w:rPr>
                <w:sz w:val="20"/>
                <w:szCs w:val="20"/>
                <w:color w:val="auto"/>
              </w:rPr>
            </w:pPr>
            <w:r>
              <w:rPr>
                <w:rFonts w:ascii="Arial" w:cs="Arial" w:eastAsia="Arial" w:hAnsi="Arial"/>
                <w:sz w:val="18"/>
                <w:szCs w:val="18"/>
                <w:color w:val="auto"/>
              </w:rPr>
              <w:t>Risk factors</w:t>
            </w:r>
          </w:p>
        </w:tc>
        <w:tc>
          <w:tcPr>
            <w:tcW w:w="8020" w:type="dxa"/>
            <w:vAlign w:val="bottom"/>
            <w:tcBorders>
              <w:right w:val="single" w:sz="8" w:color="auto"/>
            </w:tcBorders>
          </w:tcPr>
          <w:p>
            <w:pPr>
              <w:ind w:left="1320"/>
              <w:spacing w:after="0"/>
              <w:rPr>
                <w:sz w:val="20"/>
                <w:szCs w:val="20"/>
                <w:color w:val="auto"/>
              </w:rPr>
            </w:pPr>
            <w:r>
              <w:rPr>
                <w:rFonts w:ascii="Arial" w:cs="Arial" w:eastAsia="Arial" w:hAnsi="Arial"/>
                <w:sz w:val="18"/>
                <w:szCs w:val="18"/>
                <w:color w:val="auto"/>
                <w:w w:val="99"/>
              </w:rPr>
              <w:t>You should review the risks relating to the spinoff, our industry and our business and</w:t>
            </w:r>
          </w:p>
        </w:tc>
      </w:tr>
      <w:tr>
        <w:trPr>
          <w:trHeight w:val="230"/>
        </w:trPr>
        <w:tc>
          <w:tcPr>
            <w:tcW w:w="3440" w:type="dxa"/>
            <w:vAlign w:val="bottom"/>
            <w:tcBorders>
              <w:left w:val="single" w:sz="8" w:color="auto"/>
            </w:tcBorders>
          </w:tcPr>
          <w:p>
            <w:pPr>
              <w:spacing w:after="0"/>
              <w:rPr>
                <w:sz w:val="20"/>
                <w:szCs w:val="20"/>
                <w:color w:val="auto"/>
              </w:rPr>
            </w:pPr>
          </w:p>
        </w:tc>
        <w:tc>
          <w:tcPr>
            <w:tcW w:w="8020" w:type="dxa"/>
            <w:vAlign w:val="bottom"/>
            <w:tcBorders>
              <w:right w:val="single" w:sz="8" w:color="auto"/>
            </w:tcBorders>
          </w:tcPr>
          <w:p>
            <w:pPr>
              <w:ind w:left="1320"/>
              <w:spacing w:after="0"/>
              <w:rPr>
                <w:sz w:val="20"/>
                <w:szCs w:val="20"/>
                <w:color w:val="auto"/>
              </w:rPr>
            </w:pPr>
            <w:r>
              <w:rPr>
                <w:rFonts w:ascii="Arial" w:cs="Arial" w:eastAsia="Arial" w:hAnsi="Arial"/>
                <w:sz w:val="18"/>
                <w:szCs w:val="18"/>
                <w:color w:val="auto"/>
              </w:rPr>
              <w:t>ownership of our common shares described in “Risk Factors.”</w:t>
            </w:r>
          </w:p>
        </w:tc>
      </w:tr>
      <w:tr>
        <w:trPr>
          <w:trHeight w:val="159"/>
        </w:trPr>
        <w:tc>
          <w:tcPr>
            <w:tcW w:w="3440" w:type="dxa"/>
            <w:vAlign w:val="bottom"/>
            <w:tcBorders>
              <w:left w:val="single" w:sz="8" w:color="auto"/>
              <w:bottom w:val="single" w:sz="8" w:color="auto"/>
            </w:tcBorders>
          </w:tcPr>
          <w:p>
            <w:pPr>
              <w:spacing w:after="0"/>
              <w:rPr>
                <w:sz w:val="13"/>
                <w:szCs w:val="13"/>
                <w:color w:val="auto"/>
              </w:rPr>
            </w:pPr>
          </w:p>
        </w:tc>
        <w:tc>
          <w:tcPr>
            <w:tcW w:w="8020" w:type="dxa"/>
            <w:vAlign w:val="bottom"/>
            <w:tcBorders>
              <w:bottom w:val="single" w:sz="8" w:color="auto"/>
              <w:right w:val="single" w:sz="8" w:color="auto"/>
            </w:tcBorders>
          </w:tcPr>
          <w:p>
            <w:pPr>
              <w:spacing w:after="0"/>
              <w:rPr>
                <w:sz w:val="13"/>
                <w:szCs w:val="13"/>
                <w:color w:val="auto"/>
              </w:rPr>
            </w:pPr>
          </w:p>
        </w:tc>
      </w:tr>
      <w:tr>
        <w:trPr>
          <w:trHeight w:val="361"/>
        </w:trPr>
        <w:tc>
          <w:tcPr>
            <w:tcW w:w="3440" w:type="dxa"/>
            <w:vAlign w:val="bottom"/>
          </w:tcPr>
          <w:p>
            <w:pPr>
              <w:spacing w:after="0"/>
              <w:rPr>
                <w:sz w:val="24"/>
                <w:szCs w:val="24"/>
                <w:color w:val="auto"/>
              </w:rPr>
            </w:pPr>
          </w:p>
        </w:tc>
        <w:tc>
          <w:tcPr>
            <w:tcW w:w="8020" w:type="dxa"/>
            <w:vAlign w:val="bottom"/>
          </w:tcPr>
          <w:p>
            <w:pPr>
              <w:ind w:left="2220"/>
              <w:spacing w:after="0"/>
              <w:rPr>
                <w:sz w:val="20"/>
                <w:szCs w:val="20"/>
                <w:color w:val="auto"/>
              </w:rPr>
            </w:pPr>
            <w:r>
              <w:rPr>
                <w:rFonts w:ascii="Arial" w:cs="Arial" w:eastAsia="Arial" w:hAnsi="Arial"/>
                <w:sz w:val="18"/>
                <w:szCs w:val="18"/>
                <w:color w:val="auto"/>
              </w:rPr>
              <w:t>3</w:t>
            </w:r>
          </w:p>
        </w:tc>
      </w:tr>
    </w:tbl>
    <w:p>
      <w:pPr>
        <w:sectPr>
          <w:pgSz w:w="11900" w:h="16838" w:orient="portrait"/>
          <w:cols w:equalWidth="0" w:num="1">
            <w:col w:w="11460"/>
          </w:cols>
          <w:pgMar w:left="240" w:top="459" w:right="199" w:bottom="1440" w:gutter="0" w:footer="0" w:header="0"/>
        </w:sectPr>
      </w:pPr>
    </w:p>
    <w:bookmarkStart w:id="9" w:name="page10"/>
    <w:bookmarkEnd w:id="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203835</wp:posOffset>
            </wp:positionV>
            <wp:extent cx="7276465" cy="85344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76465" cy="853440"/>
                    </a:xfrm>
                    <a:prstGeom prst="rect">
                      <a:avLst/>
                    </a:prstGeom>
                    <a:noFill/>
                  </pic:spPr>
                </pic:pic>
              </a:graphicData>
            </a:graphic>
          </wp:anchor>
        </w:drawing>
      </w:r>
    </w:p>
    <w:p>
      <w:pPr>
        <w:spacing w:after="0" w:line="200" w:lineRule="exact"/>
        <w:rPr>
          <w:sz w:val="20"/>
          <w:szCs w:val="20"/>
          <w:color w:val="auto"/>
        </w:rPr>
      </w:pPr>
    </w:p>
    <w:p>
      <w:pPr>
        <w:spacing w:after="0" w:line="275"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Corporate Information</w:t>
      </w:r>
    </w:p>
    <w:p>
      <w:pPr>
        <w:spacing w:after="0" w:line="121" w:lineRule="exact"/>
        <w:rPr>
          <w:sz w:val="20"/>
          <w:szCs w:val="20"/>
          <w:color w:val="auto"/>
        </w:rPr>
      </w:pPr>
    </w:p>
    <w:p>
      <w:pPr>
        <w:ind w:left="200" w:firstLine="885"/>
        <w:spacing w:after="0" w:line="264" w:lineRule="auto"/>
        <w:rPr>
          <w:sz w:val="20"/>
          <w:szCs w:val="20"/>
          <w:color w:val="auto"/>
        </w:rPr>
      </w:pPr>
      <w:r>
        <w:rPr>
          <w:rFonts w:ascii="Arial" w:cs="Arial" w:eastAsia="Arial" w:hAnsi="Arial"/>
          <w:sz w:val="18"/>
          <w:szCs w:val="18"/>
          <w:color w:val="auto"/>
        </w:rPr>
        <w:t>We are currently a wholly owned subsidiary of Timken. We were incorporated in Ohio on October 24, 2013. Immediately following the spinoff, we will be an independent, publicly traded company. The address of TimkenSteel’s principal executive offices is 1835 Dueber Avenue, S.W., Canton, Ohio 44706. TimkenSteel’s telephone number is (330) 438-3000.</w:t>
      </w:r>
    </w:p>
    <w:p>
      <w:pPr>
        <w:spacing w:after="0" w:line="289" w:lineRule="exact"/>
        <w:rPr>
          <w:sz w:val="20"/>
          <w:szCs w:val="20"/>
          <w:color w:val="auto"/>
        </w:rPr>
      </w:pPr>
    </w:p>
    <w:p>
      <w:pPr>
        <w:jc w:val="center"/>
        <w:ind w:right="-479"/>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0940"/>
          </w:cols>
          <w:pgMar w:left="240" w:top="459" w:right="719" w:bottom="1440" w:gutter="0" w:footer="0" w:header="0"/>
        </w:sectPr>
      </w:pPr>
    </w:p>
    <w:bookmarkStart w:id="10" w:name="page11"/>
    <w:bookmarkEnd w:id="1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203835</wp:posOffset>
            </wp:positionV>
            <wp:extent cx="7276465" cy="617029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276465" cy="6170295"/>
                    </a:xfrm>
                    <a:prstGeom prst="rect">
                      <a:avLst/>
                    </a:prstGeom>
                    <a:noFill/>
                  </pic:spPr>
                </pic:pic>
              </a:graphicData>
            </a:graphic>
          </wp:anchor>
        </w:drawing>
      </w:r>
    </w:p>
    <w:p>
      <w:pPr>
        <w:spacing w:after="0" w:line="200" w:lineRule="exact"/>
        <w:rPr>
          <w:sz w:val="20"/>
          <w:szCs w:val="20"/>
          <w:color w:val="auto"/>
        </w:rPr>
      </w:pPr>
    </w:p>
    <w:p>
      <w:pPr>
        <w:spacing w:after="0" w:line="275" w:lineRule="exact"/>
        <w:rPr>
          <w:sz w:val="20"/>
          <w:szCs w:val="20"/>
          <w:color w:val="auto"/>
        </w:rPr>
      </w:pPr>
    </w:p>
    <w:p>
      <w:pPr>
        <w:jc w:val="center"/>
        <w:ind w:right="-199"/>
        <w:spacing w:after="0"/>
        <w:rPr>
          <w:sz w:val="20"/>
          <w:szCs w:val="20"/>
          <w:color w:val="auto"/>
        </w:rPr>
      </w:pPr>
      <w:r>
        <w:rPr>
          <w:rFonts w:ascii="Arial" w:cs="Arial" w:eastAsia="Arial" w:hAnsi="Arial"/>
          <w:sz w:val="18"/>
          <w:szCs w:val="18"/>
          <w:b w:val="1"/>
          <w:bCs w:val="1"/>
          <w:color w:val="auto"/>
        </w:rPr>
        <w:t>SUMMARY HISTORICAL CONSOLIDATED FINANCIAL DATA</w:t>
      </w:r>
    </w:p>
    <w:p>
      <w:pPr>
        <w:spacing w:after="0" w:line="270" w:lineRule="exact"/>
        <w:rPr>
          <w:sz w:val="20"/>
          <w:szCs w:val="20"/>
          <w:color w:val="auto"/>
        </w:rPr>
      </w:pPr>
    </w:p>
    <w:p>
      <w:pPr>
        <w:ind w:left="200" w:right="20" w:firstLine="885"/>
        <w:spacing w:after="0" w:line="287" w:lineRule="auto"/>
        <w:rPr>
          <w:sz w:val="20"/>
          <w:szCs w:val="20"/>
          <w:color w:val="auto"/>
        </w:rPr>
      </w:pPr>
      <w:r>
        <w:rPr>
          <w:rFonts w:ascii="Arial" w:cs="Arial" w:eastAsia="Arial" w:hAnsi="Arial"/>
          <w:sz w:val="16"/>
          <w:szCs w:val="16"/>
          <w:color w:val="auto"/>
        </w:rPr>
        <w:t>The following table presents our summary historical and unaudited pro forma consolidated financial data. TimkenSteel derived the summary historical consolidated financial data as of December 31, 2013 and 2012 and for the years ended December 31, 2013, 2012 and 2011 from TimkenSteel’s Audited Consolidated Financial Statements included elsewhere in this prospectus. TimkenSteel derived the summary historical consolidated financial data as of March 31, 2014 from TimkenSteel’s Unaudited Consolidated Financial Statements included elsewhere in this prospectus. In TimkenSteel’s management’s opinion, the Unaudited Consolidated Financial Statements as of March 31, 2014 and for the three months ended March 31, 2014 and 2013 have been prepared on the same basis as the Audited Consolidated Financial Statements and include all adjustments, consisting only of normal recurring adjustments and allocations, necessary for a fair presentation of the information for the periods presented. TimkenSteel derived the summary historical consolidated financial data as of December 31, 2011 from TimkenSteel’s Audited Consolidated Financial Statements that are not included in this prospectus. In TimkenSteel’s management’s opinion, the Unaudited Consolidated Financial Statements for that period have been prepared on the same basis as the Audited Consolidated Financial Statements and include all adjustments, consisting only of normal recurring adjustments and allocations, necessary for a fair presentation of the information for the periods presented.</w:t>
      </w:r>
    </w:p>
    <w:p>
      <w:pPr>
        <w:spacing w:after="0" w:line="173" w:lineRule="exact"/>
        <w:rPr>
          <w:sz w:val="20"/>
          <w:szCs w:val="20"/>
          <w:color w:val="auto"/>
        </w:rPr>
      </w:pPr>
    </w:p>
    <w:p>
      <w:pPr>
        <w:ind w:left="200" w:right="40" w:firstLine="885"/>
        <w:spacing w:after="0" w:line="277" w:lineRule="auto"/>
        <w:rPr>
          <w:sz w:val="20"/>
          <w:szCs w:val="20"/>
          <w:color w:val="auto"/>
        </w:rPr>
      </w:pPr>
      <w:r>
        <w:rPr>
          <w:rFonts w:ascii="Arial" w:cs="Arial" w:eastAsia="Arial" w:hAnsi="Arial"/>
          <w:sz w:val="18"/>
          <w:szCs w:val="18"/>
          <w:color w:val="auto"/>
        </w:rPr>
        <w:t>The Unaudited Pro Forma Consolidated Financial Data for the year ended December 31, 2013 gives effect to the spinoff as if it had occurred on January 1, 2013. The Unaudited Pro Forma Consolidated Financial Data includes adjustments to reflect the following:</w:t>
      </w:r>
    </w:p>
    <w:p>
      <w:pPr>
        <w:spacing w:after="0" w:line="76" w:lineRule="exact"/>
        <w:rPr>
          <w:sz w:val="20"/>
          <w:szCs w:val="20"/>
          <w:color w:val="auto"/>
        </w:rPr>
      </w:pPr>
    </w:p>
    <w:p>
      <w:pPr>
        <w:ind w:left="1620" w:right="60" w:hanging="545"/>
        <w:spacing w:after="0" w:line="277" w:lineRule="auto"/>
        <w:tabs>
          <w:tab w:leader="none" w:pos="1620"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contribution by Timken to TimkenSteel, pursuant to the separation and distribution agreement entered into in connection with the spinoff, of all the assets and liabilities that comprise the TimkenSteel business;</w:t>
      </w:r>
    </w:p>
    <w:p>
      <w:pPr>
        <w:spacing w:after="0" w:line="75" w:lineRule="exact"/>
        <w:rPr>
          <w:rFonts w:ascii="Arial" w:cs="Arial" w:eastAsia="Arial" w:hAnsi="Arial"/>
          <w:sz w:val="18"/>
          <w:szCs w:val="18"/>
          <w:color w:val="auto"/>
        </w:rPr>
      </w:pPr>
    </w:p>
    <w:p>
      <w:pPr>
        <w:ind w:left="1620" w:right="640" w:hanging="545"/>
        <w:spacing w:after="0" w:line="277" w:lineRule="auto"/>
        <w:tabs>
          <w:tab w:leader="none" w:pos="1620"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expected transfer to TimkenSteel, upon completion of the spinoff of certain assets and liabilities that were not included in TimkenSteel’s Audited Consolidated Financial Statements;</w:t>
      </w:r>
    </w:p>
    <w:p>
      <w:pPr>
        <w:spacing w:after="0" w:line="75" w:lineRule="exact"/>
        <w:rPr>
          <w:rFonts w:ascii="Arial" w:cs="Arial" w:eastAsia="Arial" w:hAnsi="Arial"/>
          <w:sz w:val="18"/>
          <w:szCs w:val="18"/>
          <w:color w:val="auto"/>
        </w:rPr>
      </w:pPr>
    </w:p>
    <w:p>
      <w:pPr>
        <w:ind w:left="1620" w:right="280" w:hanging="545"/>
        <w:spacing w:after="0" w:line="277" w:lineRule="auto"/>
        <w:tabs>
          <w:tab w:leader="none" w:pos="1620"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assets and liabilities related to defined benefit pension and other post-retirement plans that were not included in TimkenSteel’s Audited Consolidated Financial Statements;</w:t>
      </w:r>
    </w:p>
    <w:p>
      <w:pPr>
        <w:spacing w:after="0" w:line="75" w:lineRule="exact"/>
        <w:rPr>
          <w:rFonts w:ascii="Arial" w:cs="Arial" w:eastAsia="Arial" w:hAnsi="Arial"/>
          <w:sz w:val="18"/>
          <w:szCs w:val="18"/>
          <w:color w:val="auto"/>
        </w:rPr>
      </w:pPr>
    </w:p>
    <w:p>
      <w:pPr>
        <w:ind w:left="1620" w:hanging="545"/>
        <w:spacing w:after="0"/>
        <w:tabs>
          <w:tab w:leader="none" w:pos="1620"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inclusion of $100 million of debt at an interest rate of LIBOR plus 1.50%;</w:t>
      </w:r>
    </w:p>
    <w:p>
      <w:pPr>
        <w:spacing w:after="0" w:line="130" w:lineRule="exact"/>
        <w:rPr>
          <w:rFonts w:ascii="Arial" w:cs="Arial" w:eastAsia="Arial" w:hAnsi="Arial"/>
          <w:sz w:val="18"/>
          <w:szCs w:val="18"/>
          <w:color w:val="auto"/>
        </w:rPr>
      </w:pPr>
    </w:p>
    <w:p>
      <w:pPr>
        <w:ind w:left="1620" w:hanging="545"/>
        <w:spacing w:after="0"/>
        <w:tabs>
          <w:tab w:leader="none" w:pos="1620"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cash distribution of approximately $50 million to Timken;</w:t>
      </w:r>
    </w:p>
    <w:p>
      <w:pPr>
        <w:spacing w:after="0" w:line="130" w:lineRule="exact"/>
        <w:rPr>
          <w:rFonts w:ascii="Arial" w:cs="Arial" w:eastAsia="Arial" w:hAnsi="Arial"/>
          <w:sz w:val="18"/>
          <w:szCs w:val="18"/>
          <w:color w:val="auto"/>
        </w:rPr>
      </w:pPr>
    </w:p>
    <w:p>
      <w:pPr>
        <w:ind w:left="1620" w:hanging="545"/>
        <w:spacing w:after="0"/>
        <w:tabs>
          <w:tab w:leader="none" w:pos="1620"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pro-rata distribution of approximately 45.4 million common shares of TimkenSteel to Timken shareholders; and</w:t>
      </w:r>
    </w:p>
    <w:p>
      <w:pPr>
        <w:spacing w:after="0" w:line="130" w:lineRule="exact"/>
        <w:rPr>
          <w:rFonts w:ascii="Arial" w:cs="Arial" w:eastAsia="Arial" w:hAnsi="Arial"/>
          <w:sz w:val="18"/>
          <w:szCs w:val="18"/>
          <w:color w:val="auto"/>
        </w:rPr>
      </w:pPr>
    </w:p>
    <w:p>
      <w:pPr>
        <w:ind w:left="1620" w:right="220" w:hanging="545"/>
        <w:spacing w:after="0" w:line="277" w:lineRule="auto"/>
        <w:tabs>
          <w:tab w:leader="none" w:pos="1620"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impact of the separation and distribution agreement, tax sharing agreement, employee matters agreement and other commercial agreements all to be entered into in connection with the spinoff between TimkenSteel and Timken.</w:t>
      </w:r>
    </w:p>
    <w:p>
      <w:pPr>
        <w:spacing w:after="0" w:line="211" w:lineRule="exact"/>
        <w:rPr>
          <w:sz w:val="20"/>
          <w:szCs w:val="20"/>
          <w:color w:val="auto"/>
        </w:rPr>
      </w:pPr>
    </w:p>
    <w:p>
      <w:pPr>
        <w:ind w:left="200" w:firstLine="885"/>
        <w:spacing w:after="0" w:line="269" w:lineRule="auto"/>
        <w:rPr>
          <w:sz w:val="20"/>
          <w:szCs w:val="20"/>
          <w:color w:val="auto"/>
        </w:rPr>
      </w:pPr>
      <w:r>
        <w:rPr>
          <w:rFonts w:ascii="Arial" w:cs="Arial" w:eastAsia="Arial" w:hAnsi="Arial"/>
          <w:sz w:val="17"/>
          <w:szCs w:val="17"/>
          <w:color w:val="auto"/>
        </w:rPr>
        <w:t>TimkenSteel’s Audited Consolidated Financial Statements include expense allocations for certain support functions that are currently provided on a centralized basis within Timken, such as expenses for business shared services, and other selling, general and administrative costs that benefit TimkenSteel. Timken expects to incur approximately $95 million of certain non-recurring separation costs in connection with the spinoff such as consulting, legal, auditing and information technology related costs. None of these costs are reflected in the historical financial statements as the costs are one-time, non-recurring costs expected to be borne by Timken. TimkenSteel expects to incur one-time transaction costs of approximately $10 million or less related to the spinoff after it is completed. Additionally, it is currently estimated that the ongoing costs to be incurred after the spinoff related to the transition to becoming an independent public company and replacing the services previously provided by Timken will range from approximately $30 million to $35 million over and above amounts currently included in the 2014 Unaudited Consolidated Financial Statements. Due to the scope and complexity of these activities, the amount of these costs could increase or decrease materially and, therefore, are not included within the summary unaudited pro forma consolidated financial data. Further information regarding the pro forma adjustments listed above can be found within the “Unaudited Pro Forma Consolidated Financial Data” section of this prospectus.</w:t>
      </w:r>
    </w:p>
    <w:p>
      <w:pPr>
        <w:spacing w:after="0" w:line="278" w:lineRule="exact"/>
        <w:rPr>
          <w:sz w:val="20"/>
          <w:szCs w:val="20"/>
          <w:color w:val="auto"/>
        </w:rPr>
      </w:pPr>
    </w:p>
    <w:p>
      <w:pPr>
        <w:jc w:val="center"/>
        <w:ind w:right="-159"/>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11260"/>
          </w:cols>
          <w:pgMar w:left="240" w:top="459" w:right="399" w:bottom="1440" w:gutter="0" w:footer="0" w:header="0"/>
        </w:sectPr>
      </w:pPr>
    </w:p>
    <w:bookmarkStart w:id="11" w:name="page12"/>
    <w:bookmarkEnd w:id="1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203835</wp:posOffset>
            </wp:positionV>
            <wp:extent cx="7276465" cy="24479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276465" cy="2447925"/>
                    </a:xfrm>
                    <a:prstGeom prst="rect">
                      <a:avLst/>
                    </a:prstGeom>
                    <a:noFill/>
                  </pic:spPr>
                </pic:pic>
              </a:graphicData>
            </a:graphic>
          </wp:anchor>
        </w:drawing>
      </w:r>
    </w:p>
    <w:p>
      <w:pPr>
        <w:spacing w:after="0" w:line="200" w:lineRule="exact"/>
        <w:rPr>
          <w:sz w:val="20"/>
          <w:szCs w:val="20"/>
          <w:color w:val="auto"/>
        </w:rPr>
      </w:pPr>
    </w:p>
    <w:p>
      <w:pPr>
        <w:spacing w:after="0" w:line="279" w:lineRule="exact"/>
        <w:rPr>
          <w:sz w:val="20"/>
          <w:szCs w:val="20"/>
          <w:color w:val="auto"/>
        </w:rPr>
      </w:pPr>
    </w:p>
    <w:p>
      <w:pPr>
        <w:ind w:left="200" w:right="600" w:firstLine="885"/>
        <w:spacing w:after="0" w:line="259" w:lineRule="auto"/>
        <w:rPr>
          <w:sz w:val="20"/>
          <w:szCs w:val="20"/>
          <w:color w:val="auto"/>
        </w:rPr>
      </w:pPr>
      <w:r>
        <w:rPr>
          <w:rFonts w:ascii="Arial" w:cs="Arial" w:eastAsia="Arial" w:hAnsi="Arial"/>
          <w:sz w:val="18"/>
          <w:szCs w:val="18"/>
          <w:color w:val="auto"/>
        </w:rPr>
        <w:t>For a better understanding, this section should be read in conjunction with the discussion in “Management’s Discussion and Analysis of Financial Condition and Results of Operations,” “Selected Historical Consolidated Financial Data” and the “Unaudited Pro Forma Consolidated Financial Data” and corresponding notes and the Audited Consolidated Financial Statements and corresponding notes included elsewhere in this prospectus.</w:t>
      </w:r>
    </w:p>
    <w:p>
      <w:pPr>
        <w:spacing w:after="0" w:line="193" w:lineRule="exact"/>
        <w:rPr>
          <w:sz w:val="20"/>
          <w:szCs w:val="20"/>
          <w:color w:val="auto"/>
        </w:rPr>
      </w:pPr>
    </w:p>
    <w:tbl>
      <w:tblPr>
        <w:tblLayout w:type="fixed"/>
        <w:tblInd w:w="0" w:type="dxa"/>
        <w:tblCellMar>
          <w:top w:w="0" w:type="dxa"/>
          <w:left w:w="0" w:type="dxa"/>
          <w:bottom w:w="0" w:type="dxa"/>
          <w:right w:w="0" w:type="dxa"/>
        </w:tblCellMar>
      </w:tblPr>
      <w:tr>
        <w:trPr>
          <w:trHeight w:val="35"/>
        </w:trPr>
        <w:tc>
          <w:tcPr>
            <w:tcW w:w="200" w:type="dxa"/>
            <w:vAlign w:val="bottom"/>
          </w:tcPr>
          <w:p>
            <w:pPr>
              <w:spacing w:after="0"/>
              <w:rPr>
                <w:sz w:val="3"/>
                <w:szCs w:val="3"/>
                <w:color w:val="auto"/>
              </w:rPr>
            </w:pPr>
          </w:p>
        </w:tc>
        <w:tc>
          <w:tcPr>
            <w:tcW w:w="3920" w:type="dxa"/>
            <w:vAlign w:val="bottom"/>
          </w:tcPr>
          <w:p>
            <w:pPr>
              <w:spacing w:after="0"/>
              <w:rPr>
                <w:sz w:val="3"/>
                <w:szCs w:val="3"/>
                <w:color w:val="auto"/>
              </w:rPr>
            </w:pPr>
          </w:p>
        </w:tc>
        <w:tc>
          <w:tcPr>
            <w:tcW w:w="3340" w:type="dxa"/>
            <w:vAlign w:val="bottom"/>
            <w:gridSpan w:val="2"/>
            <w:vMerge w:val="restart"/>
          </w:tcPr>
          <w:p>
            <w:pPr>
              <w:jc w:val="center"/>
              <w:ind w:left="1041"/>
              <w:spacing w:after="0"/>
              <w:rPr>
                <w:sz w:val="20"/>
                <w:szCs w:val="20"/>
                <w:color w:val="auto"/>
              </w:rPr>
            </w:pPr>
            <w:r>
              <w:rPr>
                <w:rFonts w:ascii="Arial" w:cs="Arial" w:eastAsia="Arial" w:hAnsi="Arial"/>
                <w:sz w:val="14"/>
                <w:szCs w:val="14"/>
                <w:b w:val="1"/>
                <w:bCs w:val="1"/>
                <w:color w:val="auto"/>
                <w:w w:val="94"/>
              </w:rPr>
              <w:t>As of or for the Three</w:t>
            </w:r>
          </w:p>
        </w:tc>
        <w:tc>
          <w:tcPr>
            <w:tcW w:w="20" w:type="dxa"/>
            <w:vAlign w:val="bottom"/>
          </w:tcPr>
          <w:p>
            <w:pPr>
              <w:spacing w:after="0"/>
              <w:rPr>
                <w:sz w:val="3"/>
                <w:szCs w:val="3"/>
                <w:color w:val="auto"/>
              </w:rPr>
            </w:pPr>
          </w:p>
        </w:tc>
        <w:tc>
          <w:tcPr>
            <w:tcW w:w="3020" w:type="dxa"/>
            <w:vAlign w:val="bottom"/>
            <w:gridSpan w:val="3"/>
            <w:vMerge w:val="restart"/>
          </w:tcPr>
          <w:p>
            <w:pPr>
              <w:jc w:val="right"/>
              <w:spacing w:after="0"/>
              <w:rPr>
                <w:sz w:val="20"/>
                <w:szCs w:val="20"/>
                <w:color w:val="auto"/>
              </w:rPr>
            </w:pPr>
            <w:r>
              <w:rPr>
                <w:rFonts w:ascii="Arial" w:cs="Arial" w:eastAsia="Arial" w:hAnsi="Arial"/>
                <w:sz w:val="14"/>
                <w:szCs w:val="14"/>
                <w:b w:val="1"/>
                <w:bCs w:val="1"/>
                <w:color w:val="auto"/>
              </w:rPr>
              <w:t>As of or for the Fiscal Year Ended</w:t>
            </w:r>
          </w:p>
        </w:tc>
        <w:tc>
          <w:tcPr>
            <w:tcW w:w="760" w:type="dxa"/>
            <w:vAlign w:val="bottom"/>
          </w:tcPr>
          <w:p>
            <w:pPr>
              <w:spacing w:after="0"/>
              <w:rPr>
                <w:sz w:val="3"/>
                <w:szCs w:val="3"/>
                <w:color w:val="auto"/>
              </w:rPr>
            </w:pPr>
          </w:p>
        </w:tc>
        <w:tc>
          <w:tcPr>
            <w:tcW w:w="20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26"/>
        </w:trPr>
        <w:tc>
          <w:tcPr>
            <w:tcW w:w="200" w:type="dxa"/>
            <w:vAlign w:val="bottom"/>
          </w:tcPr>
          <w:p>
            <w:pPr>
              <w:spacing w:after="0"/>
              <w:rPr>
                <w:sz w:val="10"/>
                <w:szCs w:val="10"/>
                <w:color w:val="auto"/>
              </w:rPr>
            </w:pPr>
          </w:p>
        </w:tc>
        <w:tc>
          <w:tcPr>
            <w:tcW w:w="3920" w:type="dxa"/>
            <w:vAlign w:val="bottom"/>
          </w:tcPr>
          <w:p>
            <w:pPr>
              <w:spacing w:after="0"/>
              <w:rPr>
                <w:sz w:val="10"/>
                <w:szCs w:val="10"/>
                <w:color w:val="auto"/>
              </w:rPr>
            </w:pPr>
          </w:p>
        </w:tc>
        <w:tc>
          <w:tcPr>
            <w:tcW w:w="3340" w:type="dxa"/>
            <w:vAlign w:val="bottom"/>
            <w:gridSpan w:val="2"/>
            <w:vMerge w:val="continue"/>
          </w:tcPr>
          <w:p>
            <w:pPr>
              <w:spacing w:after="0"/>
              <w:rPr>
                <w:sz w:val="10"/>
                <w:szCs w:val="10"/>
                <w:color w:val="auto"/>
              </w:rPr>
            </w:pPr>
          </w:p>
        </w:tc>
        <w:tc>
          <w:tcPr>
            <w:tcW w:w="20" w:type="dxa"/>
            <w:vAlign w:val="bottom"/>
            <w:shd w:val="clear" w:color="auto" w:fill="000000"/>
          </w:tcPr>
          <w:p>
            <w:pPr>
              <w:spacing w:after="0"/>
              <w:rPr>
                <w:sz w:val="10"/>
                <w:szCs w:val="10"/>
                <w:color w:val="auto"/>
              </w:rPr>
            </w:pPr>
          </w:p>
        </w:tc>
        <w:tc>
          <w:tcPr>
            <w:tcW w:w="3020" w:type="dxa"/>
            <w:vAlign w:val="bottom"/>
            <w:gridSpan w:val="3"/>
            <w:vMerge w:val="continue"/>
          </w:tcPr>
          <w:p>
            <w:pPr>
              <w:spacing w:after="0"/>
              <w:rPr>
                <w:sz w:val="10"/>
                <w:szCs w:val="10"/>
                <w:color w:val="auto"/>
              </w:rPr>
            </w:pPr>
          </w:p>
        </w:tc>
        <w:tc>
          <w:tcPr>
            <w:tcW w:w="76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4"/>
        </w:trPr>
        <w:tc>
          <w:tcPr>
            <w:tcW w:w="200" w:type="dxa"/>
            <w:vAlign w:val="bottom"/>
          </w:tcPr>
          <w:p>
            <w:pPr>
              <w:spacing w:after="0"/>
              <w:rPr>
                <w:sz w:val="12"/>
                <w:szCs w:val="12"/>
                <w:color w:val="auto"/>
              </w:rPr>
            </w:pPr>
          </w:p>
        </w:tc>
        <w:tc>
          <w:tcPr>
            <w:tcW w:w="3920" w:type="dxa"/>
            <w:vAlign w:val="bottom"/>
          </w:tcPr>
          <w:p>
            <w:pPr>
              <w:spacing w:after="0"/>
              <w:rPr>
                <w:sz w:val="12"/>
                <w:szCs w:val="12"/>
                <w:color w:val="auto"/>
              </w:rPr>
            </w:pPr>
          </w:p>
        </w:tc>
        <w:tc>
          <w:tcPr>
            <w:tcW w:w="3340" w:type="dxa"/>
            <w:vAlign w:val="bottom"/>
            <w:gridSpan w:val="2"/>
          </w:tcPr>
          <w:p>
            <w:pPr>
              <w:jc w:val="center"/>
              <w:ind w:left="1041"/>
              <w:spacing w:after="0" w:line="145" w:lineRule="exact"/>
              <w:rPr>
                <w:sz w:val="20"/>
                <w:szCs w:val="20"/>
                <w:color w:val="auto"/>
              </w:rPr>
            </w:pPr>
            <w:r>
              <w:rPr>
                <w:rFonts w:ascii="Arial" w:cs="Arial" w:eastAsia="Arial" w:hAnsi="Arial"/>
                <w:sz w:val="14"/>
                <w:szCs w:val="14"/>
                <w:b w:val="1"/>
                <w:bCs w:val="1"/>
                <w:color w:val="auto"/>
                <w:w w:val="93"/>
              </w:rPr>
              <w:t>Months Ended</w:t>
            </w:r>
          </w:p>
        </w:tc>
        <w:tc>
          <w:tcPr>
            <w:tcW w:w="20" w:type="dxa"/>
            <w:vAlign w:val="bottom"/>
            <w:shd w:val="clear" w:color="auto" w:fill="000000"/>
          </w:tcPr>
          <w:p>
            <w:pPr>
              <w:spacing w:after="0"/>
              <w:rPr>
                <w:sz w:val="12"/>
                <w:szCs w:val="12"/>
                <w:color w:val="auto"/>
              </w:rPr>
            </w:pPr>
          </w:p>
        </w:tc>
        <w:tc>
          <w:tcPr>
            <w:tcW w:w="3020" w:type="dxa"/>
            <w:vAlign w:val="bottom"/>
            <w:gridSpan w:val="3"/>
            <w:vMerge w:val="continue"/>
          </w:tcPr>
          <w:p>
            <w:pPr>
              <w:spacing w:after="0"/>
              <w:rPr>
                <w:sz w:val="12"/>
                <w:szCs w:val="12"/>
                <w:color w:val="auto"/>
              </w:rPr>
            </w:pPr>
          </w:p>
        </w:tc>
        <w:tc>
          <w:tcPr>
            <w:tcW w:w="7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6"/>
        </w:trPr>
        <w:tc>
          <w:tcPr>
            <w:tcW w:w="200" w:type="dxa"/>
            <w:vAlign w:val="bottom"/>
          </w:tcPr>
          <w:p>
            <w:pPr>
              <w:spacing w:after="0"/>
              <w:rPr>
                <w:sz w:val="15"/>
                <w:szCs w:val="15"/>
                <w:color w:val="auto"/>
              </w:rPr>
            </w:pPr>
          </w:p>
        </w:tc>
        <w:tc>
          <w:tcPr>
            <w:tcW w:w="3920" w:type="dxa"/>
            <w:vAlign w:val="bottom"/>
            <w:tcBorders>
              <w:bottom w:val="single" w:sz="8" w:color="auto"/>
            </w:tcBorders>
          </w:tcPr>
          <w:p>
            <w:pPr>
              <w:spacing w:after="0"/>
              <w:rPr>
                <w:sz w:val="15"/>
                <w:szCs w:val="15"/>
                <w:color w:val="auto"/>
              </w:rPr>
            </w:pPr>
          </w:p>
        </w:tc>
        <w:tc>
          <w:tcPr>
            <w:tcW w:w="3340" w:type="dxa"/>
            <w:vAlign w:val="bottom"/>
            <w:tcBorders>
              <w:bottom w:val="single" w:sz="8" w:color="auto"/>
            </w:tcBorders>
            <w:gridSpan w:val="2"/>
          </w:tcPr>
          <w:p>
            <w:pPr>
              <w:jc w:val="center"/>
              <w:ind w:left="1041"/>
              <w:spacing w:after="0"/>
              <w:rPr>
                <w:sz w:val="20"/>
                <w:szCs w:val="20"/>
                <w:color w:val="auto"/>
              </w:rPr>
            </w:pPr>
            <w:r>
              <w:rPr>
                <w:rFonts w:ascii="Arial" w:cs="Arial" w:eastAsia="Arial" w:hAnsi="Arial"/>
                <w:sz w:val="14"/>
                <w:szCs w:val="14"/>
                <w:b w:val="1"/>
                <w:bCs w:val="1"/>
                <w:color w:val="auto"/>
                <w:w w:val="95"/>
              </w:rPr>
              <w:t>March 31,</w:t>
            </w:r>
          </w:p>
        </w:tc>
        <w:tc>
          <w:tcPr>
            <w:tcW w:w="20" w:type="dxa"/>
            <w:vAlign w:val="bottom"/>
            <w:tcBorders>
              <w:bottom w:val="single" w:sz="8" w:color="auto"/>
            </w:tcBorders>
            <w:shd w:val="clear" w:color="auto" w:fill="000000"/>
          </w:tcPr>
          <w:p>
            <w:pPr>
              <w:spacing w:after="0"/>
              <w:rPr>
                <w:sz w:val="15"/>
                <w:szCs w:val="15"/>
                <w:color w:val="auto"/>
              </w:rPr>
            </w:pPr>
          </w:p>
        </w:tc>
        <w:tc>
          <w:tcPr>
            <w:tcW w:w="1080" w:type="dxa"/>
            <w:vAlign w:val="bottom"/>
            <w:tcBorders>
              <w:bottom w:val="single" w:sz="8" w:color="auto"/>
            </w:tcBorders>
          </w:tcPr>
          <w:p>
            <w:pPr>
              <w:spacing w:after="0"/>
              <w:rPr>
                <w:sz w:val="15"/>
                <w:szCs w:val="15"/>
                <w:color w:val="auto"/>
              </w:rPr>
            </w:pPr>
          </w:p>
        </w:tc>
        <w:tc>
          <w:tcPr>
            <w:tcW w:w="1940" w:type="dxa"/>
            <w:vAlign w:val="bottom"/>
            <w:tcBorders>
              <w:bottom w:val="single" w:sz="8" w:color="auto"/>
            </w:tcBorders>
            <w:gridSpan w:val="2"/>
          </w:tcPr>
          <w:p>
            <w:pPr>
              <w:jc w:val="right"/>
              <w:ind w:right="574"/>
              <w:spacing w:after="0"/>
              <w:rPr>
                <w:sz w:val="20"/>
                <w:szCs w:val="20"/>
                <w:color w:val="auto"/>
              </w:rPr>
            </w:pPr>
            <w:r>
              <w:rPr>
                <w:rFonts w:ascii="Arial" w:cs="Arial" w:eastAsia="Arial" w:hAnsi="Arial"/>
                <w:sz w:val="14"/>
                <w:szCs w:val="14"/>
                <w:b w:val="1"/>
                <w:bCs w:val="1"/>
                <w:color w:val="auto"/>
              </w:rPr>
              <w:t>December 31,</w:t>
            </w:r>
          </w:p>
        </w:tc>
        <w:tc>
          <w:tcPr>
            <w:tcW w:w="760" w:type="dxa"/>
            <w:vAlign w:val="bottom"/>
            <w:tcBorders>
              <w:bottom w:val="single" w:sz="8" w:color="auto"/>
            </w:tcBorders>
          </w:tcPr>
          <w:p>
            <w:pPr>
              <w:spacing w:after="0"/>
              <w:rPr>
                <w:sz w:val="15"/>
                <w:szCs w:val="15"/>
                <w:color w:val="auto"/>
              </w:rPr>
            </w:pPr>
          </w:p>
        </w:tc>
        <w:tc>
          <w:tcPr>
            <w:tcW w:w="2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19"/>
        </w:trPr>
        <w:tc>
          <w:tcPr>
            <w:tcW w:w="200" w:type="dxa"/>
            <w:vAlign w:val="bottom"/>
          </w:tcPr>
          <w:p>
            <w:pPr>
              <w:spacing w:after="0"/>
              <w:rPr>
                <w:sz w:val="10"/>
                <w:szCs w:val="10"/>
                <w:color w:val="auto"/>
              </w:rPr>
            </w:pPr>
          </w:p>
        </w:tc>
        <w:tc>
          <w:tcPr>
            <w:tcW w:w="3920" w:type="dxa"/>
            <w:vAlign w:val="bottom"/>
          </w:tcPr>
          <w:p>
            <w:pPr>
              <w:spacing w:after="0"/>
              <w:rPr>
                <w:sz w:val="10"/>
                <w:szCs w:val="10"/>
                <w:color w:val="auto"/>
              </w:rPr>
            </w:pPr>
          </w:p>
        </w:tc>
        <w:tc>
          <w:tcPr>
            <w:tcW w:w="2220" w:type="dxa"/>
            <w:vAlign w:val="bottom"/>
          </w:tcPr>
          <w:p>
            <w:pPr>
              <w:jc w:val="center"/>
              <w:ind w:left="1241"/>
              <w:spacing w:after="0" w:line="119" w:lineRule="exact"/>
              <w:rPr>
                <w:sz w:val="20"/>
                <w:szCs w:val="20"/>
                <w:color w:val="auto"/>
              </w:rPr>
            </w:pPr>
            <w:r>
              <w:rPr>
                <w:rFonts w:ascii="Arial" w:cs="Arial" w:eastAsia="Arial" w:hAnsi="Arial"/>
                <w:sz w:val="13"/>
                <w:szCs w:val="13"/>
                <w:b w:val="1"/>
                <w:bCs w:val="1"/>
                <w:color w:val="auto"/>
              </w:rPr>
              <w:t>Pro</w:t>
            </w:r>
          </w:p>
        </w:tc>
        <w:tc>
          <w:tcPr>
            <w:tcW w:w="1120" w:type="dxa"/>
            <w:vAlign w:val="bottom"/>
          </w:tcPr>
          <w:p>
            <w:pPr>
              <w:spacing w:after="0"/>
              <w:rPr>
                <w:sz w:val="10"/>
                <w:szCs w:val="10"/>
                <w:color w:val="auto"/>
              </w:rPr>
            </w:pPr>
          </w:p>
        </w:tc>
        <w:tc>
          <w:tcPr>
            <w:tcW w:w="20" w:type="dxa"/>
            <w:vAlign w:val="bottom"/>
            <w:shd w:val="clear" w:color="auto" w:fill="000000"/>
          </w:tcPr>
          <w:p>
            <w:pPr>
              <w:spacing w:after="0"/>
              <w:rPr>
                <w:sz w:val="10"/>
                <w:szCs w:val="10"/>
                <w:color w:val="auto"/>
              </w:rPr>
            </w:pPr>
          </w:p>
        </w:tc>
        <w:tc>
          <w:tcPr>
            <w:tcW w:w="1080" w:type="dxa"/>
            <w:vAlign w:val="bottom"/>
          </w:tcPr>
          <w:p>
            <w:pPr>
              <w:jc w:val="center"/>
              <w:spacing w:after="0" w:line="119" w:lineRule="exact"/>
              <w:rPr>
                <w:sz w:val="20"/>
                <w:szCs w:val="20"/>
                <w:color w:val="auto"/>
              </w:rPr>
            </w:pPr>
            <w:r>
              <w:rPr>
                <w:rFonts w:ascii="Arial" w:cs="Arial" w:eastAsia="Arial" w:hAnsi="Arial"/>
                <w:sz w:val="13"/>
                <w:szCs w:val="13"/>
                <w:b w:val="1"/>
                <w:bCs w:val="1"/>
                <w:color w:val="auto"/>
              </w:rPr>
              <w:t>Pro</w:t>
            </w:r>
          </w:p>
        </w:tc>
        <w:tc>
          <w:tcPr>
            <w:tcW w:w="940" w:type="dxa"/>
            <w:vAlign w:val="bottom"/>
          </w:tcPr>
          <w:p>
            <w:pPr>
              <w:spacing w:after="0"/>
              <w:rPr>
                <w:sz w:val="10"/>
                <w:szCs w:val="10"/>
                <w:color w:val="auto"/>
              </w:rPr>
            </w:pPr>
          </w:p>
        </w:tc>
        <w:tc>
          <w:tcPr>
            <w:tcW w:w="100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200" w:type="dxa"/>
            <w:vAlign w:val="bottom"/>
          </w:tcPr>
          <w:p>
            <w:pPr>
              <w:spacing w:after="0"/>
              <w:rPr>
                <w:sz w:val="12"/>
                <w:szCs w:val="12"/>
                <w:color w:val="auto"/>
              </w:rPr>
            </w:pPr>
          </w:p>
        </w:tc>
        <w:tc>
          <w:tcPr>
            <w:tcW w:w="3920" w:type="dxa"/>
            <w:vAlign w:val="bottom"/>
          </w:tcPr>
          <w:p>
            <w:pPr>
              <w:spacing w:after="0"/>
              <w:rPr>
                <w:sz w:val="12"/>
                <w:szCs w:val="12"/>
                <w:color w:val="auto"/>
              </w:rPr>
            </w:pPr>
          </w:p>
        </w:tc>
        <w:tc>
          <w:tcPr>
            <w:tcW w:w="2220" w:type="dxa"/>
            <w:vAlign w:val="bottom"/>
          </w:tcPr>
          <w:p>
            <w:pPr>
              <w:jc w:val="center"/>
              <w:ind w:left="1241"/>
              <w:spacing w:after="0" w:line="149" w:lineRule="exact"/>
              <w:rPr>
                <w:sz w:val="20"/>
                <w:szCs w:val="20"/>
                <w:color w:val="auto"/>
              </w:rPr>
            </w:pPr>
            <w:r>
              <w:rPr>
                <w:rFonts w:ascii="Arial" w:cs="Arial" w:eastAsia="Arial" w:hAnsi="Arial"/>
                <w:sz w:val="14"/>
                <w:szCs w:val="14"/>
                <w:b w:val="1"/>
                <w:bCs w:val="1"/>
                <w:color w:val="auto"/>
                <w:w w:val="98"/>
              </w:rPr>
              <w:t>Forma</w:t>
            </w:r>
          </w:p>
        </w:tc>
        <w:tc>
          <w:tcPr>
            <w:tcW w:w="1120" w:type="dxa"/>
            <w:vAlign w:val="bottom"/>
          </w:tcPr>
          <w:p>
            <w:pPr>
              <w:spacing w:after="0"/>
              <w:rPr>
                <w:sz w:val="12"/>
                <w:szCs w:val="12"/>
                <w:color w:val="auto"/>
              </w:rPr>
            </w:pPr>
          </w:p>
        </w:tc>
        <w:tc>
          <w:tcPr>
            <w:tcW w:w="20" w:type="dxa"/>
            <w:vAlign w:val="bottom"/>
            <w:shd w:val="clear" w:color="auto" w:fill="000000"/>
          </w:tcPr>
          <w:p>
            <w:pPr>
              <w:spacing w:after="0"/>
              <w:rPr>
                <w:sz w:val="12"/>
                <w:szCs w:val="12"/>
                <w:color w:val="auto"/>
              </w:rPr>
            </w:pPr>
          </w:p>
        </w:tc>
        <w:tc>
          <w:tcPr>
            <w:tcW w:w="10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8"/>
              </w:rPr>
              <w:t>Forma</w:t>
            </w:r>
          </w:p>
        </w:tc>
        <w:tc>
          <w:tcPr>
            <w:tcW w:w="94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85"/>
        </w:trPr>
        <w:tc>
          <w:tcPr>
            <w:tcW w:w="200" w:type="dxa"/>
            <w:vAlign w:val="bottom"/>
          </w:tcPr>
          <w:p>
            <w:pPr>
              <w:spacing w:after="0"/>
              <w:rPr>
                <w:sz w:val="16"/>
                <w:szCs w:val="16"/>
                <w:color w:val="auto"/>
              </w:rPr>
            </w:pPr>
          </w:p>
        </w:tc>
        <w:tc>
          <w:tcPr>
            <w:tcW w:w="3920" w:type="dxa"/>
            <w:vAlign w:val="bottom"/>
            <w:tcBorders>
              <w:bottom w:val="single" w:sz="8" w:color="auto"/>
            </w:tcBorders>
          </w:tcPr>
          <w:p>
            <w:pPr>
              <w:spacing w:after="0"/>
              <w:rPr>
                <w:sz w:val="16"/>
                <w:szCs w:val="16"/>
                <w:color w:val="auto"/>
              </w:rPr>
            </w:pPr>
          </w:p>
        </w:tc>
        <w:tc>
          <w:tcPr>
            <w:tcW w:w="2220" w:type="dxa"/>
            <w:vAlign w:val="bottom"/>
            <w:tcBorders>
              <w:bottom w:val="single" w:sz="8" w:color="auto"/>
            </w:tcBorders>
          </w:tcPr>
          <w:p>
            <w:pPr>
              <w:jc w:val="center"/>
              <w:ind w:left="1241"/>
              <w:spacing w:after="0"/>
              <w:rPr>
                <w:sz w:val="20"/>
                <w:szCs w:val="20"/>
                <w:color w:val="auto"/>
              </w:rPr>
            </w:pPr>
            <w:r>
              <w:rPr>
                <w:rFonts w:ascii="Arial" w:cs="Arial" w:eastAsia="Arial" w:hAnsi="Arial"/>
                <w:sz w:val="14"/>
                <w:szCs w:val="14"/>
                <w:b w:val="1"/>
                <w:bCs w:val="1"/>
                <w:color w:val="auto"/>
                <w:w w:val="96"/>
              </w:rPr>
              <w:t>2014</w:t>
            </w:r>
          </w:p>
        </w:tc>
        <w:tc>
          <w:tcPr>
            <w:tcW w:w="1120" w:type="dxa"/>
            <w:vAlign w:val="bottom"/>
            <w:tcBorders>
              <w:bottom w:val="single" w:sz="8" w:color="auto"/>
            </w:tcBorders>
          </w:tcPr>
          <w:p>
            <w:pPr>
              <w:jc w:val="right"/>
              <w:ind w:right="434"/>
              <w:spacing w:after="0"/>
              <w:rPr>
                <w:sz w:val="20"/>
                <w:szCs w:val="20"/>
                <w:color w:val="auto"/>
              </w:rPr>
            </w:pPr>
            <w:r>
              <w:rPr>
                <w:rFonts w:ascii="Arial" w:cs="Arial" w:eastAsia="Arial" w:hAnsi="Arial"/>
                <w:sz w:val="14"/>
                <w:szCs w:val="14"/>
                <w:b w:val="1"/>
                <w:bCs w:val="1"/>
                <w:color w:val="auto"/>
              </w:rPr>
              <w:t>2014</w:t>
            </w:r>
          </w:p>
        </w:tc>
        <w:tc>
          <w:tcPr>
            <w:tcW w:w="20" w:type="dxa"/>
            <w:vAlign w:val="bottom"/>
            <w:tcBorders>
              <w:bottom w:val="single" w:sz="8" w:color="auto"/>
            </w:tcBorders>
            <w:shd w:val="clear" w:color="auto" w:fill="000000"/>
          </w:tcPr>
          <w:p>
            <w:pPr>
              <w:spacing w:after="0"/>
              <w:rPr>
                <w:sz w:val="16"/>
                <w:szCs w:val="16"/>
                <w:color w:val="auto"/>
              </w:rPr>
            </w:pPr>
          </w:p>
        </w:tc>
        <w:tc>
          <w:tcPr>
            <w:tcW w:w="10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6"/>
              </w:rPr>
              <w:t>2013</w:t>
            </w:r>
          </w:p>
        </w:tc>
        <w:tc>
          <w:tcPr>
            <w:tcW w:w="940" w:type="dxa"/>
            <w:vAlign w:val="bottom"/>
            <w:tcBorders>
              <w:bottom w:val="single" w:sz="8" w:color="auto"/>
            </w:tcBorders>
          </w:tcPr>
          <w:p>
            <w:pPr>
              <w:jc w:val="right"/>
              <w:ind w:right="236"/>
              <w:spacing w:after="0"/>
              <w:rPr>
                <w:sz w:val="20"/>
                <w:szCs w:val="20"/>
                <w:color w:val="auto"/>
              </w:rPr>
            </w:pPr>
            <w:r>
              <w:rPr>
                <w:rFonts w:ascii="Arial" w:cs="Arial" w:eastAsia="Arial" w:hAnsi="Arial"/>
                <w:sz w:val="14"/>
                <w:szCs w:val="14"/>
                <w:b w:val="1"/>
                <w:bCs w:val="1"/>
                <w:color w:val="auto"/>
              </w:rPr>
              <w:t>2013</w:t>
            </w:r>
          </w:p>
        </w:tc>
        <w:tc>
          <w:tcPr>
            <w:tcW w:w="1000" w:type="dxa"/>
            <w:vAlign w:val="bottom"/>
            <w:tcBorders>
              <w:bottom w:val="single" w:sz="8" w:color="auto"/>
            </w:tcBorders>
          </w:tcPr>
          <w:p>
            <w:pPr>
              <w:jc w:val="right"/>
              <w:ind w:right="334"/>
              <w:spacing w:after="0"/>
              <w:rPr>
                <w:sz w:val="20"/>
                <w:szCs w:val="20"/>
                <w:color w:val="auto"/>
              </w:rPr>
            </w:pPr>
            <w:r>
              <w:rPr>
                <w:rFonts w:ascii="Arial" w:cs="Arial" w:eastAsia="Arial" w:hAnsi="Arial"/>
                <w:sz w:val="14"/>
                <w:szCs w:val="14"/>
                <w:b w:val="1"/>
                <w:bCs w:val="1"/>
                <w:color w:val="auto"/>
              </w:rPr>
              <w:t>2012</w:t>
            </w:r>
          </w:p>
        </w:tc>
        <w:tc>
          <w:tcPr>
            <w:tcW w:w="760" w:type="dxa"/>
            <w:vAlign w:val="bottom"/>
            <w:tcBorders>
              <w:bottom w:val="single" w:sz="8" w:color="auto"/>
            </w:tcBorders>
          </w:tcPr>
          <w:p>
            <w:pPr>
              <w:jc w:val="right"/>
              <w:ind w:right="174"/>
              <w:spacing w:after="0"/>
              <w:rPr>
                <w:sz w:val="20"/>
                <w:szCs w:val="20"/>
                <w:color w:val="auto"/>
              </w:rPr>
            </w:pPr>
            <w:r>
              <w:rPr>
                <w:rFonts w:ascii="Arial" w:cs="Arial" w:eastAsia="Arial" w:hAnsi="Arial"/>
                <w:sz w:val="14"/>
                <w:szCs w:val="14"/>
                <w:b w:val="1"/>
                <w:bCs w:val="1"/>
                <w:color w:val="auto"/>
              </w:rPr>
              <w:t>2011</w:t>
            </w:r>
          </w:p>
        </w:tc>
        <w:tc>
          <w:tcPr>
            <w:tcW w:w="2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2"/>
        </w:trPr>
        <w:tc>
          <w:tcPr>
            <w:tcW w:w="200" w:type="dxa"/>
            <w:vAlign w:val="bottom"/>
          </w:tcPr>
          <w:p>
            <w:pPr>
              <w:spacing w:after="0"/>
              <w:rPr>
                <w:sz w:val="12"/>
                <w:szCs w:val="12"/>
                <w:color w:val="auto"/>
              </w:rPr>
            </w:pPr>
          </w:p>
        </w:tc>
        <w:tc>
          <w:tcPr>
            <w:tcW w:w="3920" w:type="dxa"/>
            <w:vAlign w:val="bottom"/>
          </w:tcPr>
          <w:p>
            <w:pPr>
              <w:spacing w:after="0" w:line="142" w:lineRule="exact"/>
              <w:rPr>
                <w:sz w:val="20"/>
                <w:szCs w:val="20"/>
                <w:color w:val="auto"/>
              </w:rPr>
            </w:pPr>
            <w:r>
              <w:rPr>
                <w:rFonts w:ascii="Arial" w:cs="Arial" w:eastAsia="Arial" w:hAnsi="Arial"/>
                <w:sz w:val="14"/>
                <w:szCs w:val="14"/>
                <w:i w:val="1"/>
                <w:iCs w:val="1"/>
                <w:color w:val="auto"/>
              </w:rPr>
              <w:t>(in millions)</w:t>
            </w:r>
          </w:p>
        </w:tc>
        <w:tc>
          <w:tcPr>
            <w:tcW w:w="3340" w:type="dxa"/>
            <w:vAlign w:val="bottom"/>
            <w:gridSpan w:val="2"/>
          </w:tcPr>
          <w:p>
            <w:pPr>
              <w:jc w:val="center"/>
              <w:ind w:left="1021"/>
              <w:spacing w:after="0" w:line="142" w:lineRule="exact"/>
              <w:rPr>
                <w:sz w:val="20"/>
                <w:szCs w:val="20"/>
                <w:color w:val="auto"/>
              </w:rPr>
            </w:pPr>
            <w:r>
              <w:rPr>
                <w:rFonts w:ascii="Arial" w:cs="Arial" w:eastAsia="Arial" w:hAnsi="Arial"/>
                <w:sz w:val="14"/>
                <w:szCs w:val="14"/>
                <w:b w:val="1"/>
                <w:bCs w:val="1"/>
                <w:color w:val="auto"/>
                <w:w w:val="94"/>
              </w:rPr>
              <w:t>(unaudited)</w:t>
            </w:r>
          </w:p>
        </w:tc>
        <w:tc>
          <w:tcPr>
            <w:tcW w:w="20" w:type="dxa"/>
            <w:vAlign w:val="bottom"/>
            <w:shd w:val="clear" w:color="auto" w:fill="000000"/>
          </w:tcPr>
          <w:p>
            <w:pPr>
              <w:spacing w:after="0"/>
              <w:rPr>
                <w:sz w:val="12"/>
                <w:szCs w:val="12"/>
                <w:color w:val="auto"/>
              </w:rPr>
            </w:pPr>
          </w:p>
        </w:tc>
        <w:tc>
          <w:tcPr>
            <w:tcW w:w="1080" w:type="dxa"/>
            <w:vAlign w:val="bottom"/>
          </w:tcPr>
          <w:p>
            <w:pPr>
              <w:jc w:val="center"/>
              <w:spacing w:after="0" w:line="142" w:lineRule="exact"/>
              <w:rPr>
                <w:sz w:val="20"/>
                <w:szCs w:val="20"/>
                <w:color w:val="auto"/>
              </w:rPr>
            </w:pPr>
            <w:r>
              <w:rPr>
                <w:rFonts w:ascii="Arial" w:cs="Arial" w:eastAsia="Arial" w:hAnsi="Arial"/>
                <w:sz w:val="14"/>
                <w:szCs w:val="14"/>
                <w:b w:val="1"/>
                <w:bCs w:val="1"/>
                <w:color w:val="auto"/>
                <w:w w:val="94"/>
              </w:rPr>
              <w:t>(unaudited)</w:t>
            </w:r>
          </w:p>
        </w:tc>
        <w:tc>
          <w:tcPr>
            <w:tcW w:w="94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200" w:type="dxa"/>
            <w:vAlign w:val="bottom"/>
          </w:tcPr>
          <w:p>
            <w:pPr>
              <w:spacing w:after="0"/>
              <w:rPr>
                <w:sz w:val="18"/>
                <w:szCs w:val="18"/>
                <w:color w:val="auto"/>
              </w:rPr>
            </w:pPr>
          </w:p>
        </w:tc>
        <w:tc>
          <w:tcPr>
            <w:tcW w:w="39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Statement of Income Data:</w:t>
            </w:r>
          </w:p>
        </w:tc>
        <w:tc>
          <w:tcPr>
            <w:tcW w:w="222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20" w:type="dxa"/>
            <w:vAlign w:val="bottom"/>
            <w:shd w:val="clear" w:color="auto" w:fill="000000"/>
          </w:tcPr>
          <w:p>
            <w:pPr>
              <w:spacing w:after="0"/>
              <w:rPr>
                <w:sz w:val="18"/>
                <w:szCs w:val="18"/>
                <w:color w:val="auto"/>
              </w:rPr>
            </w:pPr>
          </w:p>
        </w:tc>
        <w:tc>
          <w:tcPr>
            <w:tcW w:w="108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0" w:type="dxa"/>
            <w:vAlign w:val="bottom"/>
          </w:tcPr>
          <w:p>
            <w:pPr>
              <w:spacing w:after="0"/>
              <w:rPr>
                <w:sz w:val="18"/>
                <w:szCs w:val="18"/>
                <w:color w:val="auto"/>
              </w:rPr>
            </w:pPr>
          </w:p>
        </w:tc>
        <w:tc>
          <w:tcPr>
            <w:tcW w:w="3920" w:type="dxa"/>
            <w:vAlign w:val="bottom"/>
          </w:tcPr>
          <w:p>
            <w:pPr>
              <w:spacing w:after="0"/>
              <w:rPr>
                <w:sz w:val="20"/>
                <w:szCs w:val="20"/>
                <w:color w:val="auto"/>
              </w:rPr>
            </w:pPr>
            <w:r>
              <w:rPr>
                <w:rFonts w:ascii="Arial" w:cs="Arial" w:eastAsia="Arial" w:hAnsi="Arial"/>
                <w:sz w:val="18"/>
                <w:szCs w:val="18"/>
                <w:color w:val="auto"/>
              </w:rPr>
              <w:t>Net Sales</w:t>
            </w:r>
          </w:p>
        </w:tc>
        <w:tc>
          <w:tcPr>
            <w:tcW w:w="2220" w:type="dxa"/>
            <w:vAlign w:val="bottom"/>
          </w:tcPr>
          <w:p>
            <w:pPr>
              <w:jc w:val="right"/>
              <w:ind w:right="41"/>
              <w:spacing w:after="0"/>
              <w:rPr>
                <w:sz w:val="20"/>
                <w:szCs w:val="20"/>
                <w:color w:val="auto"/>
              </w:rPr>
            </w:pPr>
            <w:r>
              <w:rPr>
                <w:rFonts w:ascii="Arial" w:cs="Arial" w:eastAsia="Arial" w:hAnsi="Arial"/>
                <w:sz w:val="18"/>
                <w:szCs w:val="18"/>
                <w:color w:val="auto"/>
              </w:rPr>
              <w:t>$  389.5</w:t>
            </w:r>
          </w:p>
        </w:tc>
        <w:tc>
          <w:tcPr>
            <w:tcW w:w="1120" w:type="dxa"/>
            <w:vAlign w:val="bottom"/>
          </w:tcPr>
          <w:p>
            <w:pPr>
              <w:jc w:val="right"/>
              <w:ind w:right="254"/>
              <w:spacing w:after="0"/>
              <w:rPr>
                <w:sz w:val="20"/>
                <w:szCs w:val="20"/>
                <w:color w:val="auto"/>
              </w:rPr>
            </w:pPr>
            <w:r>
              <w:rPr>
                <w:rFonts w:ascii="Arial" w:cs="Arial" w:eastAsia="Arial" w:hAnsi="Arial"/>
                <w:sz w:val="18"/>
                <w:szCs w:val="18"/>
                <w:color w:val="auto"/>
              </w:rPr>
              <w:t>$  389.5</w:t>
            </w:r>
          </w:p>
        </w:tc>
        <w:tc>
          <w:tcPr>
            <w:tcW w:w="20" w:type="dxa"/>
            <w:vAlign w:val="bottom"/>
            <w:shd w:val="clear" w:color="auto" w:fill="000000"/>
          </w:tcPr>
          <w:p>
            <w:pPr>
              <w:spacing w:after="0"/>
              <w:rPr>
                <w:sz w:val="18"/>
                <w:szCs w:val="18"/>
                <w:color w:val="auto"/>
              </w:rPr>
            </w:pPr>
          </w:p>
        </w:tc>
        <w:tc>
          <w:tcPr>
            <w:tcW w:w="1080" w:type="dxa"/>
            <w:vAlign w:val="bottom"/>
          </w:tcPr>
          <w:p>
            <w:pPr>
              <w:jc w:val="right"/>
              <w:ind w:right="61"/>
              <w:spacing w:after="0"/>
              <w:rPr>
                <w:sz w:val="20"/>
                <w:szCs w:val="20"/>
                <w:color w:val="auto"/>
              </w:rPr>
            </w:pPr>
            <w:r>
              <w:rPr>
                <w:rFonts w:ascii="Arial" w:cs="Arial" w:eastAsia="Arial" w:hAnsi="Arial"/>
                <w:sz w:val="18"/>
                <w:szCs w:val="18"/>
                <w:color w:val="auto"/>
              </w:rPr>
              <w:t>$ 1,380.9</w:t>
            </w:r>
          </w:p>
        </w:tc>
        <w:tc>
          <w:tcPr>
            <w:tcW w:w="940" w:type="dxa"/>
            <w:vAlign w:val="bottom"/>
          </w:tcPr>
          <w:p>
            <w:pPr>
              <w:jc w:val="right"/>
              <w:ind w:right="56"/>
              <w:spacing w:after="0"/>
              <w:rPr>
                <w:sz w:val="20"/>
                <w:szCs w:val="20"/>
                <w:color w:val="auto"/>
              </w:rPr>
            </w:pPr>
            <w:r>
              <w:rPr>
                <w:rFonts w:ascii="Arial" w:cs="Arial" w:eastAsia="Arial" w:hAnsi="Arial"/>
                <w:sz w:val="18"/>
                <w:szCs w:val="18"/>
                <w:color w:val="auto"/>
              </w:rPr>
              <w:t>$1,380.9</w:t>
            </w:r>
          </w:p>
        </w:tc>
        <w:tc>
          <w:tcPr>
            <w:tcW w:w="1000" w:type="dxa"/>
            <w:vAlign w:val="bottom"/>
          </w:tcPr>
          <w:p>
            <w:pPr>
              <w:jc w:val="right"/>
              <w:ind w:right="154"/>
              <w:spacing w:after="0"/>
              <w:rPr>
                <w:sz w:val="20"/>
                <w:szCs w:val="20"/>
                <w:color w:val="auto"/>
              </w:rPr>
            </w:pPr>
            <w:r>
              <w:rPr>
                <w:rFonts w:ascii="Arial" w:cs="Arial" w:eastAsia="Arial" w:hAnsi="Arial"/>
                <w:sz w:val="18"/>
                <w:szCs w:val="18"/>
                <w:color w:val="auto"/>
              </w:rPr>
              <w:t>$1,728.7</w:t>
            </w:r>
          </w:p>
        </w:tc>
        <w:tc>
          <w:tcPr>
            <w:tcW w:w="760" w:type="dxa"/>
            <w:vAlign w:val="bottom"/>
          </w:tcPr>
          <w:p>
            <w:pPr>
              <w:jc w:val="right"/>
              <w:ind w:right="14"/>
              <w:spacing w:after="0"/>
              <w:rPr>
                <w:sz w:val="20"/>
                <w:szCs w:val="20"/>
                <w:color w:val="auto"/>
              </w:rPr>
            </w:pPr>
            <w:r>
              <w:rPr>
                <w:rFonts w:ascii="Arial" w:cs="Arial" w:eastAsia="Arial" w:hAnsi="Arial"/>
                <w:sz w:val="18"/>
                <w:szCs w:val="18"/>
                <w:color w:val="auto"/>
                <w:w w:val="91"/>
              </w:rPr>
              <w:t>$1,956.5</w:t>
            </w: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0" w:type="dxa"/>
            <w:vAlign w:val="bottom"/>
          </w:tcPr>
          <w:p>
            <w:pPr>
              <w:spacing w:after="0"/>
              <w:rPr>
                <w:sz w:val="18"/>
                <w:szCs w:val="18"/>
                <w:color w:val="auto"/>
              </w:rPr>
            </w:pPr>
          </w:p>
        </w:tc>
        <w:tc>
          <w:tcPr>
            <w:tcW w:w="3920" w:type="dxa"/>
            <w:vAlign w:val="bottom"/>
            <w:shd w:val="clear" w:color="auto" w:fill="CCEEFF"/>
          </w:tcPr>
          <w:p>
            <w:pPr>
              <w:spacing w:after="0"/>
              <w:rPr>
                <w:sz w:val="20"/>
                <w:szCs w:val="20"/>
                <w:color w:val="auto"/>
              </w:rPr>
            </w:pPr>
            <w:r>
              <w:rPr>
                <w:rFonts w:ascii="Arial" w:cs="Arial" w:eastAsia="Arial" w:hAnsi="Arial"/>
                <w:sz w:val="18"/>
                <w:szCs w:val="18"/>
                <w:color w:val="auto"/>
              </w:rPr>
              <w:t>Net income</w:t>
            </w:r>
          </w:p>
        </w:tc>
        <w:tc>
          <w:tcPr>
            <w:tcW w:w="2220" w:type="dxa"/>
            <w:vAlign w:val="bottom"/>
            <w:shd w:val="clear" w:color="auto" w:fill="CCEEFF"/>
          </w:tcPr>
          <w:p>
            <w:pPr>
              <w:jc w:val="right"/>
              <w:ind w:right="41"/>
              <w:spacing w:after="0"/>
              <w:rPr>
                <w:sz w:val="20"/>
                <w:szCs w:val="20"/>
                <w:color w:val="auto"/>
              </w:rPr>
            </w:pPr>
            <w:r>
              <w:rPr>
                <w:rFonts w:ascii="Arial" w:cs="Arial" w:eastAsia="Arial" w:hAnsi="Arial"/>
                <w:sz w:val="18"/>
                <w:szCs w:val="18"/>
                <w:color w:val="auto"/>
              </w:rPr>
              <w:t>32.8</w:t>
            </w:r>
          </w:p>
        </w:tc>
        <w:tc>
          <w:tcPr>
            <w:tcW w:w="1120" w:type="dxa"/>
            <w:vAlign w:val="bottom"/>
            <w:shd w:val="clear" w:color="auto" w:fill="CCEEFF"/>
          </w:tcPr>
          <w:p>
            <w:pPr>
              <w:jc w:val="right"/>
              <w:ind w:right="254"/>
              <w:spacing w:after="0"/>
              <w:rPr>
                <w:sz w:val="20"/>
                <w:szCs w:val="20"/>
                <w:color w:val="auto"/>
              </w:rPr>
            </w:pPr>
            <w:r>
              <w:rPr>
                <w:rFonts w:ascii="Arial" w:cs="Arial" w:eastAsia="Arial" w:hAnsi="Arial"/>
                <w:sz w:val="18"/>
                <w:szCs w:val="18"/>
                <w:color w:val="auto"/>
              </w:rPr>
              <w:t>33.6</w:t>
            </w:r>
          </w:p>
        </w:tc>
        <w:tc>
          <w:tcPr>
            <w:tcW w:w="20" w:type="dxa"/>
            <w:vAlign w:val="bottom"/>
            <w:shd w:val="clear" w:color="auto" w:fill="000000"/>
          </w:tcPr>
          <w:p>
            <w:pPr>
              <w:spacing w:after="0"/>
              <w:rPr>
                <w:sz w:val="18"/>
                <w:szCs w:val="18"/>
                <w:color w:val="auto"/>
              </w:rPr>
            </w:pPr>
          </w:p>
        </w:tc>
        <w:tc>
          <w:tcPr>
            <w:tcW w:w="1080" w:type="dxa"/>
            <w:vAlign w:val="bottom"/>
            <w:shd w:val="clear" w:color="auto" w:fill="CCEEFF"/>
          </w:tcPr>
          <w:p>
            <w:pPr>
              <w:jc w:val="right"/>
              <w:ind w:right="61"/>
              <w:spacing w:after="0"/>
              <w:rPr>
                <w:sz w:val="20"/>
                <w:szCs w:val="20"/>
                <w:color w:val="auto"/>
              </w:rPr>
            </w:pPr>
            <w:r>
              <w:rPr>
                <w:rFonts w:ascii="Arial" w:cs="Arial" w:eastAsia="Arial" w:hAnsi="Arial"/>
                <w:sz w:val="18"/>
                <w:szCs w:val="18"/>
                <w:color w:val="auto"/>
              </w:rPr>
              <w:t>86.2</w:t>
            </w:r>
          </w:p>
        </w:tc>
        <w:tc>
          <w:tcPr>
            <w:tcW w:w="940" w:type="dxa"/>
            <w:vAlign w:val="bottom"/>
            <w:shd w:val="clear" w:color="auto" w:fill="CCEEFF"/>
          </w:tcPr>
          <w:p>
            <w:pPr>
              <w:jc w:val="right"/>
              <w:ind w:right="56"/>
              <w:spacing w:after="0"/>
              <w:rPr>
                <w:sz w:val="20"/>
                <w:szCs w:val="20"/>
                <w:color w:val="auto"/>
              </w:rPr>
            </w:pPr>
            <w:r>
              <w:rPr>
                <w:rFonts w:ascii="Arial" w:cs="Arial" w:eastAsia="Arial" w:hAnsi="Arial"/>
                <w:sz w:val="18"/>
                <w:szCs w:val="18"/>
                <w:color w:val="auto"/>
              </w:rPr>
              <w:t>89.5</w:t>
            </w:r>
          </w:p>
        </w:tc>
        <w:tc>
          <w:tcPr>
            <w:tcW w:w="1000" w:type="dxa"/>
            <w:vAlign w:val="bottom"/>
            <w:shd w:val="clear" w:color="auto" w:fill="CCEEFF"/>
          </w:tcPr>
          <w:p>
            <w:pPr>
              <w:jc w:val="right"/>
              <w:ind w:right="154"/>
              <w:spacing w:after="0"/>
              <w:rPr>
                <w:sz w:val="20"/>
                <w:szCs w:val="20"/>
                <w:color w:val="auto"/>
              </w:rPr>
            </w:pPr>
            <w:r>
              <w:rPr>
                <w:rFonts w:ascii="Arial" w:cs="Arial" w:eastAsia="Arial" w:hAnsi="Arial"/>
                <w:sz w:val="18"/>
                <w:szCs w:val="18"/>
                <w:color w:val="auto"/>
              </w:rPr>
              <w:t>155.2</w:t>
            </w:r>
          </w:p>
        </w:tc>
        <w:tc>
          <w:tcPr>
            <w:tcW w:w="760" w:type="dxa"/>
            <w:vAlign w:val="bottom"/>
            <w:shd w:val="clear" w:color="auto" w:fill="CCEEFF"/>
          </w:tcPr>
          <w:p>
            <w:pPr>
              <w:jc w:val="right"/>
              <w:ind w:right="14"/>
              <w:spacing w:after="0"/>
              <w:rPr>
                <w:sz w:val="20"/>
                <w:szCs w:val="20"/>
                <w:color w:val="auto"/>
              </w:rPr>
            </w:pPr>
            <w:r>
              <w:rPr>
                <w:rFonts w:ascii="Arial" w:cs="Arial" w:eastAsia="Arial" w:hAnsi="Arial"/>
                <w:sz w:val="18"/>
                <w:szCs w:val="18"/>
                <w:color w:val="auto"/>
              </w:rPr>
              <w:t>167.2</w:t>
            </w: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0" w:type="dxa"/>
            <w:vAlign w:val="bottom"/>
          </w:tcPr>
          <w:p>
            <w:pPr>
              <w:spacing w:after="0"/>
              <w:rPr>
                <w:sz w:val="18"/>
                <w:szCs w:val="18"/>
                <w:color w:val="auto"/>
              </w:rPr>
            </w:pPr>
          </w:p>
        </w:tc>
        <w:tc>
          <w:tcPr>
            <w:tcW w:w="3920" w:type="dxa"/>
            <w:vAlign w:val="bottom"/>
          </w:tcPr>
          <w:p>
            <w:pPr>
              <w:spacing w:after="0"/>
              <w:rPr>
                <w:sz w:val="20"/>
                <w:szCs w:val="20"/>
                <w:color w:val="auto"/>
              </w:rPr>
            </w:pPr>
            <w:r>
              <w:rPr>
                <w:rFonts w:ascii="Arial" w:cs="Arial" w:eastAsia="Arial" w:hAnsi="Arial"/>
                <w:sz w:val="18"/>
                <w:szCs w:val="18"/>
                <w:b w:val="1"/>
                <w:bCs w:val="1"/>
                <w:color w:val="auto"/>
              </w:rPr>
              <w:t>Balance Sheet Data:</w:t>
            </w:r>
          </w:p>
        </w:tc>
        <w:tc>
          <w:tcPr>
            <w:tcW w:w="22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20" w:type="dxa"/>
            <w:vAlign w:val="bottom"/>
            <w:shd w:val="clear" w:color="auto" w:fill="000000"/>
          </w:tcPr>
          <w:p>
            <w:pPr>
              <w:spacing w:after="0"/>
              <w:rPr>
                <w:sz w:val="18"/>
                <w:szCs w:val="18"/>
                <w:color w:val="auto"/>
              </w:rPr>
            </w:pPr>
          </w:p>
        </w:tc>
        <w:tc>
          <w:tcPr>
            <w:tcW w:w="108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0" w:type="dxa"/>
            <w:vAlign w:val="bottom"/>
          </w:tcPr>
          <w:p>
            <w:pPr>
              <w:spacing w:after="0"/>
              <w:rPr>
                <w:sz w:val="18"/>
                <w:szCs w:val="18"/>
                <w:color w:val="auto"/>
              </w:rPr>
            </w:pPr>
          </w:p>
        </w:tc>
        <w:tc>
          <w:tcPr>
            <w:tcW w:w="3920" w:type="dxa"/>
            <w:vAlign w:val="bottom"/>
            <w:shd w:val="clear" w:color="auto" w:fill="CCEEFF"/>
          </w:tcPr>
          <w:p>
            <w:pPr>
              <w:spacing w:after="0"/>
              <w:rPr>
                <w:sz w:val="20"/>
                <w:szCs w:val="20"/>
                <w:color w:val="auto"/>
              </w:rPr>
            </w:pPr>
            <w:r>
              <w:rPr>
                <w:rFonts w:ascii="Arial" w:cs="Arial" w:eastAsia="Arial" w:hAnsi="Arial"/>
                <w:sz w:val="18"/>
                <w:szCs w:val="18"/>
                <w:color w:val="auto"/>
              </w:rPr>
              <w:t>Total assets (as of period end)</w:t>
            </w:r>
          </w:p>
        </w:tc>
        <w:tc>
          <w:tcPr>
            <w:tcW w:w="2220" w:type="dxa"/>
            <w:vAlign w:val="bottom"/>
            <w:shd w:val="clear" w:color="auto" w:fill="CCEEFF"/>
          </w:tcPr>
          <w:p>
            <w:pPr>
              <w:jc w:val="right"/>
              <w:ind w:right="41"/>
              <w:spacing w:after="0"/>
              <w:rPr>
                <w:sz w:val="20"/>
                <w:szCs w:val="20"/>
                <w:color w:val="auto"/>
              </w:rPr>
            </w:pPr>
            <w:r>
              <w:rPr>
                <w:rFonts w:ascii="Arial" w:cs="Arial" w:eastAsia="Arial" w:hAnsi="Arial"/>
                <w:sz w:val="18"/>
                <w:szCs w:val="18"/>
                <w:color w:val="auto"/>
              </w:rPr>
              <w:t>1,274.1</w:t>
            </w:r>
          </w:p>
        </w:tc>
        <w:tc>
          <w:tcPr>
            <w:tcW w:w="1120" w:type="dxa"/>
            <w:vAlign w:val="bottom"/>
            <w:shd w:val="clear" w:color="auto" w:fill="CCEEFF"/>
          </w:tcPr>
          <w:p>
            <w:pPr>
              <w:jc w:val="right"/>
              <w:ind w:right="254"/>
              <w:spacing w:after="0"/>
              <w:rPr>
                <w:sz w:val="20"/>
                <w:szCs w:val="20"/>
                <w:color w:val="auto"/>
              </w:rPr>
            </w:pPr>
            <w:r>
              <w:rPr>
                <w:rFonts w:ascii="Arial" w:cs="Arial" w:eastAsia="Arial" w:hAnsi="Arial"/>
                <w:sz w:val="18"/>
                <w:szCs w:val="18"/>
                <w:color w:val="auto"/>
              </w:rPr>
              <w:t>1,126.5</w:t>
            </w:r>
          </w:p>
        </w:tc>
        <w:tc>
          <w:tcPr>
            <w:tcW w:w="20" w:type="dxa"/>
            <w:vAlign w:val="bottom"/>
            <w:shd w:val="clear" w:color="auto" w:fill="000000"/>
          </w:tcPr>
          <w:p>
            <w:pPr>
              <w:spacing w:after="0"/>
              <w:rPr>
                <w:sz w:val="18"/>
                <w:szCs w:val="18"/>
                <w:color w:val="auto"/>
              </w:rPr>
            </w:pPr>
          </w:p>
        </w:tc>
        <w:tc>
          <w:tcPr>
            <w:tcW w:w="1080" w:type="dxa"/>
            <w:vAlign w:val="bottom"/>
            <w:shd w:val="clear" w:color="auto" w:fill="CCEEFF"/>
          </w:tcPr>
          <w:p>
            <w:pPr>
              <w:jc w:val="right"/>
              <w:ind w:right="61"/>
              <w:spacing w:after="0"/>
              <w:rPr>
                <w:sz w:val="20"/>
                <w:szCs w:val="20"/>
                <w:color w:val="auto"/>
              </w:rPr>
            </w:pPr>
            <w:r>
              <w:rPr>
                <w:rFonts w:ascii="Arial" w:cs="Arial" w:eastAsia="Arial" w:hAnsi="Arial"/>
                <w:sz w:val="18"/>
                <w:szCs w:val="18"/>
                <w:color w:val="auto"/>
              </w:rPr>
              <w:t>1,225.8</w:t>
            </w:r>
          </w:p>
        </w:tc>
        <w:tc>
          <w:tcPr>
            <w:tcW w:w="940" w:type="dxa"/>
            <w:vAlign w:val="bottom"/>
            <w:shd w:val="clear" w:color="auto" w:fill="CCEEFF"/>
          </w:tcPr>
          <w:p>
            <w:pPr>
              <w:jc w:val="right"/>
              <w:ind w:right="56"/>
              <w:spacing w:after="0"/>
              <w:rPr>
                <w:sz w:val="20"/>
                <w:szCs w:val="20"/>
                <w:color w:val="auto"/>
              </w:rPr>
            </w:pPr>
            <w:r>
              <w:rPr>
                <w:rFonts w:ascii="Arial" w:cs="Arial" w:eastAsia="Arial" w:hAnsi="Arial"/>
                <w:sz w:val="18"/>
                <w:szCs w:val="18"/>
                <w:color w:val="auto"/>
              </w:rPr>
              <w:t>1,078.8</w:t>
            </w:r>
          </w:p>
        </w:tc>
        <w:tc>
          <w:tcPr>
            <w:tcW w:w="1000" w:type="dxa"/>
            <w:vAlign w:val="bottom"/>
            <w:shd w:val="clear" w:color="auto" w:fill="CCEEFF"/>
          </w:tcPr>
          <w:p>
            <w:pPr>
              <w:jc w:val="right"/>
              <w:ind w:right="154"/>
              <w:spacing w:after="0"/>
              <w:rPr>
                <w:sz w:val="20"/>
                <w:szCs w:val="20"/>
                <w:color w:val="auto"/>
              </w:rPr>
            </w:pPr>
            <w:r>
              <w:rPr>
                <w:rFonts w:ascii="Arial" w:cs="Arial" w:eastAsia="Arial" w:hAnsi="Arial"/>
                <w:sz w:val="18"/>
                <w:szCs w:val="18"/>
                <w:color w:val="auto"/>
              </w:rPr>
              <w:t>960.7</w:t>
            </w:r>
          </w:p>
        </w:tc>
        <w:tc>
          <w:tcPr>
            <w:tcW w:w="760" w:type="dxa"/>
            <w:vAlign w:val="bottom"/>
            <w:shd w:val="clear" w:color="auto" w:fill="CCEEFF"/>
          </w:tcPr>
          <w:p>
            <w:pPr>
              <w:jc w:val="right"/>
              <w:ind w:right="14"/>
              <w:spacing w:after="0"/>
              <w:rPr>
                <w:sz w:val="20"/>
                <w:szCs w:val="20"/>
                <w:color w:val="auto"/>
              </w:rPr>
            </w:pPr>
            <w:r>
              <w:rPr>
                <w:rFonts w:ascii="Arial" w:cs="Arial" w:eastAsia="Arial" w:hAnsi="Arial"/>
                <w:sz w:val="18"/>
                <w:szCs w:val="18"/>
                <w:color w:val="auto"/>
              </w:rPr>
              <w:t>982.1</w:t>
            </w: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0" w:type="dxa"/>
            <w:vAlign w:val="bottom"/>
          </w:tcPr>
          <w:p>
            <w:pPr>
              <w:spacing w:after="0"/>
              <w:rPr>
                <w:sz w:val="18"/>
                <w:szCs w:val="18"/>
                <w:color w:val="auto"/>
              </w:rPr>
            </w:pPr>
          </w:p>
        </w:tc>
        <w:tc>
          <w:tcPr>
            <w:tcW w:w="3920" w:type="dxa"/>
            <w:vAlign w:val="bottom"/>
          </w:tcPr>
          <w:p>
            <w:pPr>
              <w:spacing w:after="0"/>
              <w:rPr>
                <w:sz w:val="20"/>
                <w:szCs w:val="20"/>
                <w:color w:val="auto"/>
              </w:rPr>
            </w:pPr>
            <w:r>
              <w:rPr>
                <w:rFonts w:ascii="Arial" w:cs="Arial" w:eastAsia="Arial" w:hAnsi="Arial"/>
                <w:sz w:val="18"/>
                <w:szCs w:val="18"/>
                <w:color w:val="auto"/>
              </w:rPr>
              <w:t>Long-term debt (as of period end)</w:t>
            </w:r>
          </w:p>
        </w:tc>
        <w:tc>
          <w:tcPr>
            <w:tcW w:w="2220" w:type="dxa"/>
            <w:vAlign w:val="bottom"/>
          </w:tcPr>
          <w:p>
            <w:pPr>
              <w:jc w:val="right"/>
              <w:ind w:right="41"/>
              <w:spacing w:after="0"/>
              <w:rPr>
                <w:sz w:val="20"/>
                <w:szCs w:val="20"/>
                <w:color w:val="auto"/>
              </w:rPr>
            </w:pPr>
            <w:r>
              <w:rPr>
                <w:rFonts w:ascii="Arial" w:cs="Arial" w:eastAsia="Arial" w:hAnsi="Arial"/>
                <w:sz w:val="18"/>
                <w:szCs w:val="18"/>
                <w:color w:val="auto"/>
              </w:rPr>
              <w:t>130.2</w:t>
            </w:r>
          </w:p>
        </w:tc>
        <w:tc>
          <w:tcPr>
            <w:tcW w:w="1120" w:type="dxa"/>
            <w:vAlign w:val="bottom"/>
          </w:tcPr>
          <w:p>
            <w:pPr>
              <w:jc w:val="right"/>
              <w:ind w:right="254"/>
              <w:spacing w:after="0"/>
              <w:rPr>
                <w:sz w:val="20"/>
                <w:szCs w:val="20"/>
                <w:color w:val="auto"/>
              </w:rPr>
            </w:pPr>
            <w:r>
              <w:rPr>
                <w:rFonts w:ascii="Arial" w:cs="Arial" w:eastAsia="Arial" w:hAnsi="Arial"/>
                <w:sz w:val="18"/>
                <w:szCs w:val="18"/>
                <w:color w:val="auto"/>
              </w:rPr>
              <w:t>30.2</w:t>
            </w:r>
          </w:p>
        </w:tc>
        <w:tc>
          <w:tcPr>
            <w:tcW w:w="20" w:type="dxa"/>
            <w:vAlign w:val="bottom"/>
            <w:shd w:val="clear" w:color="auto" w:fill="000000"/>
          </w:tcPr>
          <w:p>
            <w:pPr>
              <w:spacing w:after="0"/>
              <w:rPr>
                <w:sz w:val="18"/>
                <w:szCs w:val="18"/>
                <w:color w:val="auto"/>
              </w:rPr>
            </w:pPr>
          </w:p>
        </w:tc>
        <w:tc>
          <w:tcPr>
            <w:tcW w:w="1080" w:type="dxa"/>
            <w:vAlign w:val="bottom"/>
          </w:tcPr>
          <w:p>
            <w:pPr>
              <w:jc w:val="right"/>
              <w:ind w:right="61"/>
              <w:spacing w:after="0"/>
              <w:rPr>
                <w:sz w:val="20"/>
                <w:szCs w:val="20"/>
                <w:color w:val="auto"/>
              </w:rPr>
            </w:pPr>
            <w:r>
              <w:rPr>
                <w:rFonts w:ascii="Arial" w:cs="Arial" w:eastAsia="Arial" w:hAnsi="Arial"/>
                <w:sz w:val="18"/>
                <w:szCs w:val="18"/>
                <w:color w:val="auto"/>
              </w:rPr>
              <w:t>130.2</w:t>
            </w:r>
          </w:p>
        </w:tc>
        <w:tc>
          <w:tcPr>
            <w:tcW w:w="940" w:type="dxa"/>
            <w:vAlign w:val="bottom"/>
          </w:tcPr>
          <w:p>
            <w:pPr>
              <w:jc w:val="right"/>
              <w:ind w:right="56"/>
              <w:spacing w:after="0"/>
              <w:rPr>
                <w:sz w:val="20"/>
                <w:szCs w:val="20"/>
                <w:color w:val="auto"/>
              </w:rPr>
            </w:pPr>
            <w:r>
              <w:rPr>
                <w:rFonts w:ascii="Arial" w:cs="Arial" w:eastAsia="Arial" w:hAnsi="Arial"/>
                <w:sz w:val="18"/>
                <w:szCs w:val="18"/>
                <w:color w:val="auto"/>
              </w:rPr>
              <w:t>30.2</w:t>
            </w:r>
          </w:p>
        </w:tc>
        <w:tc>
          <w:tcPr>
            <w:tcW w:w="1000" w:type="dxa"/>
            <w:vAlign w:val="bottom"/>
          </w:tcPr>
          <w:p>
            <w:pPr>
              <w:jc w:val="right"/>
              <w:ind w:right="154"/>
              <w:spacing w:after="0"/>
              <w:rPr>
                <w:sz w:val="20"/>
                <w:szCs w:val="20"/>
                <w:color w:val="auto"/>
              </w:rPr>
            </w:pPr>
            <w:r>
              <w:rPr>
                <w:rFonts w:ascii="Arial" w:cs="Arial" w:eastAsia="Arial" w:hAnsi="Arial"/>
                <w:sz w:val="18"/>
                <w:szCs w:val="18"/>
                <w:color w:val="auto"/>
              </w:rPr>
              <w:t>30.2</w:t>
            </w:r>
          </w:p>
        </w:tc>
        <w:tc>
          <w:tcPr>
            <w:tcW w:w="760" w:type="dxa"/>
            <w:vAlign w:val="bottom"/>
          </w:tcPr>
          <w:p>
            <w:pPr>
              <w:jc w:val="right"/>
              <w:ind w:right="14"/>
              <w:spacing w:after="0"/>
              <w:rPr>
                <w:sz w:val="20"/>
                <w:szCs w:val="20"/>
                <w:color w:val="auto"/>
              </w:rPr>
            </w:pPr>
            <w:r>
              <w:rPr>
                <w:rFonts w:ascii="Arial" w:cs="Arial" w:eastAsia="Arial" w:hAnsi="Arial"/>
                <w:sz w:val="18"/>
                <w:szCs w:val="18"/>
                <w:color w:val="auto"/>
              </w:rPr>
              <w:t>30.2</w:t>
            </w: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59"/>
        </w:trPr>
        <w:tc>
          <w:tcPr>
            <w:tcW w:w="200" w:type="dxa"/>
            <w:vAlign w:val="bottom"/>
            <w:tcBorders>
              <w:bottom w:val="single" w:sz="8" w:color="auto"/>
            </w:tcBorders>
          </w:tcPr>
          <w:p>
            <w:pPr>
              <w:spacing w:after="0"/>
              <w:rPr>
                <w:sz w:val="13"/>
                <w:szCs w:val="13"/>
                <w:color w:val="auto"/>
              </w:rPr>
            </w:pPr>
          </w:p>
        </w:tc>
        <w:tc>
          <w:tcPr>
            <w:tcW w:w="3920" w:type="dxa"/>
            <w:vAlign w:val="bottom"/>
            <w:tcBorders>
              <w:bottom w:val="single" w:sz="8" w:color="auto"/>
            </w:tcBorders>
          </w:tcPr>
          <w:p>
            <w:pPr>
              <w:spacing w:after="0"/>
              <w:rPr>
                <w:sz w:val="13"/>
                <w:szCs w:val="13"/>
                <w:color w:val="auto"/>
              </w:rPr>
            </w:pPr>
          </w:p>
        </w:tc>
        <w:tc>
          <w:tcPr>
            <w:tcW w:w="2220" w:type="dxa"/>
            <w:vAlign w:val="bottom"/>
            <w:tcBorders>
              <w:bottom w:val="single" w:sz="8" w:color="auto"/>
            </w:tcBorders>
          </w:tcPr>
          <w:p>
            <w:pPr>
              <w:spacing w:after="0"/>
              <w:rPr>
                <w:sz w:val="13"/>
                <w:szCs w:val="13"/>
                <w:color w:val="auto"/>
              </w:rPr>
            </w:pPr>
          </w:p>
        </w:tc>
        <w:tc>
          <w:tcPr>
            <w:tcW w:w="1120" w:type="dxa"/>
            <w:vAlign w:val="bottom"/>
            <w:tcBorders>
              <w:bottom w:val="single" w:sz="8" w:color="auto"/>
            </w:tcBorders>
          </w:tcPr>
          <w:p>
            <w:pPr>
              <w:spacing w:after="0"/>
              <w:rPr>
                <w:sz w:val="13"/>
                <w:szCs w:val="13"/>
                <w:color w:val="auto"/>
              </w:rPr>
            </w:pPr>
          </w:p>
        </w:tc>
        <w:tc>
          <w:tcPr>
            <w:tcW w:w="20" w:type="dxa"/>
            <w:vAlign w:val="bottom"/>
            <w:tcBorders>
              <w:bottom w:val="single" w:sz="8" w:color="auto"/>
            </w:tcBorders>
          </w:tcPr>
          <w:p>
            <w:pPr>
              <w:spacing w:after="0"/>
              <w:rPr>
                <w:sz w:val="13"/>
                <w:szCs w:val="13"/>
                <w:color w:val="auto"/>
              </w:rPr>
            </w:pPr>
          </w:p>
        </w:tc>
        <w:tc>
          <w:tcPr>
            <w:tcW w:w="1080" w:type="dxa"/>
            <w:vAlign w:val="bottom"/>
            <w:tcBorders>
              <w:bottom w:val="single" w:sz="8" w:color="auto"/>
            </w:tcBorders>
          </w:tcPr>
          <w:p>
            <w:pPr>
              <w:spacing w:after="0"/>
              <w:rPr>
                <w:sz w:val="13"/>
                <w:szCs w:val="13"/>
                <w:color w:val="auto"/>
              </w:rPr>
            </w:pPr>
          </w:p>
        </w:tc>
        <w:tc>
          <w:tcPr>
            <w:tcW w:w="940" w:type="dxa"/>
            <w:vAlign w:val="bottom"/>
            <w:tcBorders>
              <w:bottom w:val="single" w:sz="8" w:color="auto"/>
            </w:tcBorders>
          </w:tcPr>
          <w:p>
            <w:pPr>
              <w:spacing w:after="0"/>
              <w:rPr>
                <w:sz w:val="13"/>
                <w:szCs w:val="13"/>
                <w:color w:val="auto"/>
              </w:rPr>
            </w:pPr>
          </w:p>
        </w:tc>
        <w:tc>
          <w:tcPr>
            <w:tcW w:w="1000" w:type="dxa"/>
            <w:vAlign w:val="bottom"/>
            <w:tcBorders>
              <w:bottom w:val="single" w:sz="8" w:color="auto"/>
            </w:tcBorders>
          </w:tcPr>
          <w:p>
            <w:pPr>
              <w:spacing w:after="0"/>
              <w:rPr>
                <w:sz w:val="13"/>
                <w:szCs w:val="13"/>
                <w:color w:val="auto"/>
              </w:rPr>
            </w:pPr>
          </w:p>
        </w:tc>
        <w:tc>
          <w:tcPr>
            <w:tcW w:w="760" w:type="dxa"/>
            <w:vAlign w:val="bottom"/>
            <w:tcBorders>
              <w:bottom w:val="single" w:sz="8" w:color="auto"/>
            </w:tcBorders>
          </w:tcPr>
          <w:p>
            <w:pPr>
              <w:spacing w:after="0"/>
              <w:rPr>
                <w:sz w:val="13"/>
                <w:szCs w:val="13"/>
                <w:color w:val="auto"/>
              </w:rPr>
            </w:pPr>
          </w:p>
        </w:tc>
        <w:tc>
          <w:tcPr>
            <w:tcW w:w="200" w:type="dxa"/>
            <w:vAlign w:val="bottom"/>
            <w:tcBorders>
              <w:bottom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361"/>
        </w:trPr>
        <w:tc>
          <w:tcPr>
            <w:tcW w:w="200" w:type="dxa"/>
            <w:vAlign w:val="bottom"/>
          </w:tcPr>
          <w:p>
            <w:pPr>
              <w:spacing w:after="0"/>
              <w:rPr>
                <w:sz w:val="24"/>
                <w:szCs w:val="24"/>
                <w:color w:val="auto"/>
              </w:rPr>
            </w:pPr>
          </w:p>
        </w:tc>
        <w:tc>
          <w:tcPr>
            <w:tcW w:w="3920" w:type="dxa"/>
            <w:vAlign w:val="bottom"/>
          </w:tcPr>
          <w:p>
            <w:pPr>
              <w:spacing w:after="0"/>
              <w:rPr>
                <w:sz w:val="24"/>
                <w:szCs w:val="24"/>
                <w:color w:val="auto"/>
              </w:rPr>
            </w:pPr>
          </w:p>
        </w:tc>
        <w:tc>
          <w:tcPr>
            <w:tcW w:w="2220" w:type="dxa"/>
            <w:vAlign w:val="bottom"/>
          </w:tcPr>
          <w:p>
            <w:pPr>
              <w:jc w:val="right"/>
              <w:ind w:right="501"/>
              <w:spacing w:after="0"/>
              <w:rPr>
                <w:sz w:val="20"/>
                <w:szCs w:val="20"/>
                <w:color w:val="auto"/>
              </w:rPr>
            </w:pPr>
            <w:r>
              <w:rPr>
                <w:rFonts w:ascii="Arial" w:cs="Arial" w:eastAsia="Arial" w:hAnsi="Arial"/>
                <w:sz w:val="18"/>
                <w:szCs w:val="18"/>
                <w:color w:val="auto"/>
              </w:rPr>
              <w:t>6</w:t>
            </w:r>
          </w:p>
        </w:tc>
        <w:tc>
          <w:tcPr>
            <w:tcW w:w="1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60"/>
          </w:cols>
          <w:pgMar w:left="240" w:top="459" w:right="199" w:bottom="1440" w:gutter="0" w:footer="0" w:header="0"/>
        </w:sectPr>
      </w:pPr>
    </w:p>
    <w:bookmarkStart w:id="12" w:name="page13"/>
    <w:bookmarkEnd w:id="1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1" w:lineRule="exact"/>
        <w:rPr>
          <w:sz w:val="20"/>
          <w:szCs w:val="20"/>
          <w:color w:val="auto"/>
        </w:rPr>
      </w:pPr>
    </w:p>
    <w:tbl>
      <w:tblPr>
        <w:tblLayout w:type="fixed"/>
        <w:tblInd w:w="10" w:type="dxa"/>
        <w:tblCellMar>
          <w:top w:w="0" w:type="dxa"/>
          <w:left w:w="0" w:type="dxa"/>
          <w:bottom w:w="0" w:type="dxa"/>
          <w:right w:w="0" w:type="dxa"/>
        </w:tblCellMar>
      </w:tblPr>
      <w:tr>
        <w:trPr>
          <w:trHeight w:val="408"/>
        </w:trPr>
        <w:tc>
          <w:tcPr>
            <w:tcW w:w="2360" w:type="dxa"/>
            <w:vAlign w:val="bottom"/>
            <w:tcBorders>
              <w:top w:val="single" w:sz="8" w:color="auto"/>
              <w:left w:val="single" w:sz="8" w:color="auto"/>
            </w:tcBorders>
          </w:tcPr>
          <w:p>
            <w:pPr>
              <w:spacing w:after="0"/>
              <w:rPr>
                <w:sz w:val="24"/>
                <w:szCs w:val="24"/>
                <w:color w:val="auto"/>
              </w:rPr>
            </w:pPr>
          </w:p>
        </w:tc>
        <w:tc>
          <w:tcPr>
            <w:tcW w:w="9100" w:type="dxa"/>
            <w:vAlign w:val="bottom"/>
            <w:tcBorders>
              <w:top w:val="single" w:sz="8" w:color="auto"/>
              <w:right w:val="single" w:sz="8" w:color="auto"/>
            </w:tcBorders>
          </w:tcPr>
          <w:p>
            <w:pPr>
              <w:ind w:left="2680"/>
              <w:spacing w:after="0"/>
              <w:rPr>
                <w:sz w:val="20"/>
                <w:szCs w:val="20"/>
                <w:color w:val="auto"/>
              </w:rPr>
            </w:pPr>
            <w:r>
              <w:rPr>
                <w:rFonts w:ascii="Arial" w:cs="Arial" w:eastAsia="Arial" w:hAnsi="Arial"/>
                <w:sz w:val="18"/>
                <w:szCs w:val="18"/>
                <w:b w:val="1"/>
                <w:bCs w:val="1"/>
                <w:color w:val="auto"/>
              </w:rPr>
              <w:t>THE OFFERING</w:t>
            </w:r>
          </w:p>
        </w:tc>
      </w:tr>
      <w:tr>
        <w:trPr>
          <w:trHeight w:val="459"/>
        </w:trPr>
        <w:tc>
          <w:tcPr>
            <w:tcW w:w="2360" w:type="dxa"/>
            <w:vAlign w:val="bottom"/>
            <w:tcBorders>
              <w:left w:val="single" w:sz="8" w:color="auto"/>
            </w:tcBorders>
          </w:tcPr>
          <w:p>
            <w:pPr>
              <w:ind w:left="200"/>
              <w:spacing w:after="0"/>
              <w:rPr>
                <w:sz w:val="20"/>
                <w:szCs w:val="20"/>
                <w:color w:val="auto"/>
              </w:rPr>
            </w:pPr>
            <w:r>
              <w:rPr>
                <w:rFonts w:ascii="Arial" w:cs="Arial" w:eastAsia="Arial" w:hAnsi="Arial"/>
                <w:sz w:val="18"/>
                <w:szCs w:val="18"/>
                <w:color w:val="auto"/>
              </w:rPr>
              <w:t>Securities Offered</w:t>
            </w:r>
          </w:p>
        </w:tc>
        <w:tc>
          <w:tcPr>
            <w:tcW w:w="9100" w:type="dxa"/>
            <w:vAlign w:val="bottom"/>
            <w:tcBorders>
              <w:right w:val="single" w:sz="8" w:color="auto"/>
            </w:tcBorders>
          </w:tcPr>
          <w:p>
            <w:pPr>
              <w:ind w:left="840"/>
              <w:spacing w:after="0"/>
              <w:rPr>
                <w:sz w:val="20"/>
                <w:szCs w:val="20"/>
                <w:color w:val="auto"/>
              </w:rPr>
            </w:pPr>
            <w:r>
              <w:rPr>
                <w:rFonts w:ascii="Arial" w:cs="Arial" w:eastAsia="Arial" w:hAnsi="Arial"/>
                <w:sz w:val="18"/>
                <w:szCs w:val="18"/>
                <w:color w:val="auto"/>
              </w:rPr>
              <w:t>650,000 common shares</w:t>
            </w:r>
          </w:p>
        </w:tc>
      </w:tr>
      <w:tr>
        <w:trPr>
          <w:trHeight w:val="310"/>
        </w:trPr>
        <w:tc>
          <w:tcPr>
            <w:tcW w:w="2360" w:type="dxa"/>
            <w:vAlign w:val="bottom"/>
            <w:tcBorders>
              <w:left w:val="single" w:sz="8" w:color="auto"/>
            </w:tcBorders>
          </w:tcPr>
          <w:p>
            <w:pPr>
              <w:ind w:left="200"/>
              <w:spacing w:after="0"/>
              <w:rPr>
                <w:sz w:val="20"/>
                <w:szCs w:val="20"/>
                <w:color w:val="auto"/>
              </w:rPr>
            </w:pPr>
            <w:r>
              <w:rPr>
                <w:rFonts w:ascii="Arial" w:cs="Arial" w:eastAsia="Arial" w:hAnsi="Arial"/>
                <w:sz w:val="18"/>
                <w:szCs w:val="18"/>
                <w:color w:val="auto"/>
              </w:rPr>
              <w:t>Use of Proceeds</w:t>
            </w:r>
          </w:p>
        </w:tc>
        <w:tc>
          <w:tcPr>
            <w:tcW w:w="9100" w:type="dxa"/>
            <w:vAlign w:val="bottom"/>
            <w:tcBorders>
              <w:right w:val="single" w:sz="8" w:color="auto"/>
            </w:tcBorders>
          </w:tcPr>
          <w:p>
            <w:pPr>
              <w:ind w:left="840"/>
              <w:spacing w:after="0"/>
              <w:rPr>
                <w:sz w:val="20"/>
                <w:szCs w:val="20"/>
                <w:color w:val="auto"/>
              </w:rPr>
            </w:pPr>
            <w:r>
              <w:rPr>
                <w:rFonts w:ascii="Arial" w:cs="Arial" w:eastAsia="Arial" w:hAnsi="Arial"/>
                <w:sz w:val="18"/>
                <w:szCs w:val="18"/>
                <w:color w:val="auto"/>
                <w:w w:val="93"/>
              </w:rPr>
              <w:t>We intend to use any proceeds received by us from the exercise of stock options covered by the 2014 Plan for</w:t>
            </w:r>
          </w:p>
        </w:tc>
      </w:tr>
      <w:tr>
        <w:trPr>
          <w:trHeight w:val="230"/>
        </w:trPr>
        <w:tc>
          <w:tcPr>
            <w:tcW w:w="2360" w:type="dxa"/>
            <w:vAlign w:val="bottom"/>
            <w:tcBorders>
              <w:left w:val="single" w:sz="8" w:color="auto"/>
            </w:tcBorders>
          </w:tcPr>
          <w:p>
            <w:pPr>
              <w:spacing w:after="0"/>
              <w:rPr>
                <w:sz w:val="20"/>
                <w:szCs w:val="20"/>
                <w:color w:val="auto"/>
              </w:rPr>
            </w:pPr>
          </w:p>
        </w:tc>
        <w:tc>
          <w:tcPr>
            <w:tcW w:w="9100" w:type="dxa"/>
            <w:vAlign w:val="bottom"/>
            <w:tcBorders>
              <w:right w:val="single" w:sz="8" w:color="auto"/>
            </w:tcBorders>
          </w:tcPr>
          <w:p>
            <w:pPr>
              <w:ind w:left="840"/>
              <w:spacing w:after="0"/>
              <w:rPr>
                <w:sz w:val="20"/>
                <w:szCs w:val="20"/>
                <w:color w:val="auto"/>
              </w:rPr>
            </w:pPr>
            <w:r>
              <w:rPr>
                <w:rFonts w:ascii="Arial" w:cs="Arial" w:eastAsia="Arial" w:hAnsi="Arial"/>
                <w:sz w:val="18"/>
                <w:szCs w:val="18"/>
                <w:color w:val="auto"/>
              </w:rPr>
              <w:t>general corporate purposes.</w:t>
            </w:r>
          </w:p>
        </w:tc>
      </w:tr>
      <w:tr>
        <w:trPr>
          <w:trHeight w:val="310"/>
        </w:trPr>
        <w:tc>
          <w:tcPr>
            <w:tcW w:w="2360" w:type="dxa"/>
            <w:vAlign w:val="bottom"/>
            <w:tcBorders>
              <w:left w:val="single" w:sz="8" w:color="auto"/>
            </w:tcBorders>
          </w:tcPr>
          <w:p>
            <w:pPr>
              <w:ind w:left="200"/>
              <w:spacing w:after="0"/>
              <w:rPr>
                <w:sz w:val="20"/>
                <w:szCs w:val="20"/>
                <w:color w:val="auto"/>
              </w:rPr>
            </w:pPr>
            <w:r>
              <w:rPr>
                <w:rFonts w:ascii="Arial" w:cs="Arial" w:eastAsia="Arial" w:hAnsi="Arial"/>
                <w:sz w:val="18"/>
                <w:szCs w:val="18"/>
                <w:color w:val="auto"/>
              </w:rPr>
              <w:t>Listing</w:t>
            </w:r>
          </w:p>
        </w:tc>
        <w:tc>
          <w:tcPr>
            <w:tcW w:w="9100" w:type="dxa"/>
            <w:vAlign w:val="bottom"/>
            <w:tcBorders>
              <w:right w:val="single" w:sz="8" w:color="auto"/>
            </w:tcBorders>
          </w:tcPr>
          <w:p>
            <w:pPr>
              <w:ind w:left="840"/>
              <w:spacing w:after="0"/>
              <w:rPr>
                <w:sz w:val="20"/>
                <w:szCs w:val="20"/>
                <w:color w:val="auto"/>
              </w:rPr>
            </w:pPr>
            <w:r>
              <w:rPr>
                <w:rFonts w:ascii="Arial" w:cs="Arial" w:eastAsia="Arial" w:hAnsi="Arial"/>
                <w:sz w:val="18"/>
                <w:szCs w:val="18"/>
                <w:color w:val="auto"/>
                <w:w w:val="93"/>
              </w:rPr>
              <w:t>There is no current trading market for TimkenSteel common shares. However, we expect that a limited market,</w:t>
            </w:r>
          </w:p>
        </w:tc>
      </w:tr>
      <w:tr>
        <w:trPr>
          <w:trHeight w:val="216"/>
        </w:trPr>
        <w:tc>
          <w:tcPr>
            <w:tcW w:w="2360" w:type="dxa"/>
            <w:vAlign w:val="bottom"/>
            <w:tcBorders>
              <w:left w:val="single" w:sz="8" w:color="auto"/>
            </w:tcBorders>
          </w:tcPr>
          <w:p>
            <w:pPr>
              <w:spacing w:after="0"/>
              <w:rPr>
                <w:sz w:val="18"/>
                <w:szCs w:val="18"/>
                <w:color w:val="auto"/>
              </w:rPr>
            </w:pPr>
          </w:p>
        </w:tc>
        <w:tc>
          <w:tcPr>
            <w:tcW w:w="9100" w:type="dxa"/>
            <w:vAlign w:val="bottom"/>
            <w:tcBorders>
              <w:right w:val="single" w:sz="8" w:color="auto"/>
            </w:tcBorders>
          </w:tcPr>
          <w:p>
            <w:pPr>
              <w:ind w:left="840"/>
              <w:spacing w:after="0"/>
              <w:rPr>
                <w:sz w:val="20"/>
                <w:szCs w:val="20"/>
                <w:color w:val="auto"/>
              </w:rPr>
            </w:pPr>
            <w:r>
              <w:rPr>
                <w:rFonts w:ascii="Arial" w:cs="Arial" w:eastAsia="Arial" w:hAnsi="Arial"/>
                <w:sz w:val="18"/>
                <w:szCs w:val="18"/>
                <w:color w:val="auto"/>
                <w:w w:val="96"/>
              </w:rPr>
              <w:t>commonly known as a “when-issued” trading market, for TimkenSteel common shares will begin prior to the</w:t>
            </w:r>
          </w:p>
        </w:tc>
      </w:tr>
      <w:tr>
        <w:trPr>
          <w:trHeight w:val="216"/>
        </w:trPr>
        <w:tc>
          <w:tcPr>
            <w:tcW w:w="2360" w:type="dxa"/>
            <w:vAlign w:val="bottom"/>
            <w:tcBorders>
              <w:left w:val="single" w:sz="8" w:color="auto"/>
            </w:tcBorders>
          </w:tcPr>
          <w:p>
            <w:pPr>
              <w:spacing w:after="0"/>
              <w:rPr>
                <w:sz w:val="18"/>
                <w:szCs w:val="18"/>
                <w:color w:val="auto"/>
              </w:rPr>
            </w:pPr>
          </w:p>
        </w:tc>
        <w:tc>
          <w:tcPr>
            <w:tcW w:w="9100" w:type="dxa"/>
            <w:vAlign w:val="bottom"/>
            <w:tcBorders>
              <w:right w:val="single" w:sz="8" w:color="auto"/>
            </w:tcBorders>
          </w:tcPr>
          <w:p>
            <w:pPr>
              <w:ind w:left="840"/>
              <w:spacing w:after="0"/>
              <w:rPr>
                <w:sz w:val="20"/>
                <w:szCs w:val="20"/>
                <w:color w:val="auto"/>
              </w:rPr>
            </w:pPr>
            <w:r>
              <w:rPr>
                <w:rFonts w:ascii="Arial" w:cs="Arial" w:eastAsia="Arial" w:hAnsi="Arial"/>
                <w:sz w:val="18"/>
                <w:szCs w:val="18"/>
                <w:color w:val="auto"/>
                <w:w w:val="94"/>
              </w:rPr>
              <w:t>distribution date on or about June 19, 2014, and we expect that “regular way” trading of TimkenSteel common</w:t>
            </w:r>
          </w:p>
        </w:tc>
      </w:tr>
      <w:tr>
        <w:trPr>
          <w:trHeight w:val="216"/>
        </w:trPr>
        <w:tc>
          <w:tcPr>
            <w:tcW w:w="2360" w:type="dxa"/>
            <w:vAlign w:val="bottom"/>
            <w:tcBorders>
              <w:left w:val="single" w:sz="8" w:color="auto"/>
            </w:tcBorders>
          </w:tcPr>
          <w:p>
            <w:pPr>
              <w:spacing w:after="0"/>
              <w:rPr>
                <w:sz w:val="18"/>
                <w:szCs w:val="18"/>
                <w:color w:val="auto"/>
              </w:rPr>
            </w:pPr>
          </w:p>
        </w:tc>
        <w:tc>
          <w:tcPr>
            <w:tcW w:w="9100" w:type="dxa"/>
            <w:vAlign w:val="bottom"/>
            <w:tcBorders>
              <w:right w:val="single" w:sz="8" w:color="auto"/>
            </w:tcBorders>
          </w:tcPr>
          <w:p>
            <w:pPr>
              <w:ind w:left="840"/>
              <w:spacing w:after="0"/>
              <w:rPr>
                <w:sz w:val="20"/>
                <w:szCs w:val="20"/>
                <w:color w:val="auto"/>
              </w:rPr>
            </w:pPr>
            <w:r>
              <w:rPr>
                <w:rFonts w:ascii="Arial" w:cs="Arial" w:eastAsia="Arial" w:hAnsi="Arial"/>
                <w:sz w:val="18"/>
                <w:szCs w:val="18"/>
                <w:color w:val="auto"/>
              </w:rPr>
              <w:t>shares will begin the first day of trading after the distribution date. We have applied to list TimkenSteel</w:t>
            </w:r>
          </w:p>
        </w:tc>
      </w:tr>
      <w:tr>
        <w:trPr>
          <w:trHeight w:val="230"/>
        </w:trPr>
        <w:tc>
          <w:tcPr>
            <w:tcW w:w="2360" w:type="dxa"/>
            <w:vAlign w:val="bottom"/>
            <w:tcBorders>
              <w:left w:val="single" w:sz="8" w:color="auto"/>
            </w:tcBorders>
          </w:tcPr>
          <w:p>
            <w:pPr>
              <w:spacing w:after="0"/>
              <w:rPr>
                <w:sz w:val="20"/>
                <w:szCs w:val="20"/>
                <w:color w:val="auto"/>
              </w:rPr>
            </w:pPr>
          </w:p>
        </w:tc>
        <w:tc>
          <w:tcPr>
            <w:tcW w:w="9100" w:type="dxa"/>
            <w:vAlign w:val="bottom"/>
            <w:tcBorders>
              <w:right w:val="single" w:sz="8" w:color="auto"/>
            </w:tcBorders>
          </w:tcPr>
          <w:p>
            <w:pPr>
              <w:ind w:left="840"/>
              <w:spacing w:after="0"/>
              <w:rPr>
                <w:sz w:val="20"/>
                <w:szCs w:val="20"/>
                <w:color w:val="auto"/>
              </w:rPr>
            </w:pPr>
            <w:r>
              <w:rPr>
                <w:rFonts w:ascii="Arial" w:cs="Arial" w:eastAsia="Arial" w:hAnsi="Arial"/>
                <w:sz w:val="18"/>
                <w:szCs w:val="18"/>
                <w:color w:val="auto"/>
              </w:rPr>
              <w:t>common shares on the New York Stock Exchange under the symbol “TMST.”</w:t>
            </w:r>
          </w:p>
        </w:tc>
      </w:tr>
      <w:tr>
        <w:trPr>
          <w:trHeight w:val="159"/>
        </w:trPr>
        <w:tc>
          <w:tcPr>
            <w:tcW w:w="2360" w:type="dxa"/>
            <w:vAlign w:val="bottom"/>
            <w:tcBorders>
              <w:left w:val="single" w:sz="8" w:color="auto"/>
              <w:bottom w:val="single" w:sz="8" w:color="auto"/>
            </w:tcBorders>
          </w:tcPr>
          <w:p>
            <w:pPr>
              <w:spacing w:after="0"/>
              <w:rPr>
                <w:sz w:val="13"/>
                <w:szCs w:val="13"/>
                <w:color w:val="auto"/>
              </w:rPr>
            </w:pPr>
          </w:p>
        </w:tc>
        <w:tc>
          <w:tcPr>
            <w:tcW w:w="9100" w:type="dxa"/>
            <w:vAlign w:val="bottom"/>
            <w:tcBorders>
              <w:bottom w:val="single" w:sz="8" w:color="auto"/>
              <w:right w:val="single" w:sz="8" w:color="auto"/>
            </w:tcBorders>
          </w:tcPr>
          <w:p>
            <w:pPr>
              <w:spacing w:after="0"/>
              <w:rPr>
                <w:sz w:val="13"/>
                <w:szCs w:val="13"/>
                <w:color w:val="auto"/>
              </w:rPr>
            </w:pPr>
          </w:p>
        </w:tc>
      </w:tr>
      <w:tr>
        <w:trPr>
          <w:trHeight w:val="361"/>
        </w:trPr>
        <w:tc>
          <w:tcPr>
            <w:tcW w:w="2360" w:type="dxa"/>
            <w:vAlign w:val="bottom"/>
          </w:tcPr>
          <w:p>
            <w:pPr>
              <w:spacing w:after="0"/>
              <w:rPr>
                <w:sz w:val="24"/>
                <w:szCs w:val="24"/>
                <w:color w:val="auto"/>
              </w:rPr>
            </w:pPr>
          </w:p>
        </w:tc>
        <w:tc>
          <w:tcPr>
            <w:tcW w:w="9100" w:type="dxa"/>
            <w:vAlign w:val="bottom"/>
          </w:tcPr>
          <w:p>
            <w:pPr>
              <w:ind w:left="3300"/>
              <w:spacing w:after="0"/>
              <w:rPr>
                <w:sz w:val="20"/>
                <w:szCs w:val="20"/>
                <w:color w:val="auto"/>
              </w:rPr>
            </w:pPr>
            <w:r>
              <w:rPr>
                <w:rFonts w:ascii="Arial" w:cs="Arial" w:eastAsia="Arial" w:hAnsi="Arial"/>
                <w:sz w:val="18"/>
                <w:szCs w:val="18"/>
                <w:color w:val="auto"/>
              </w:rPr>
              <w:t>7</w:t>
            </w:r>
          </w:p>
        </w:tc>
      </w:tr>
    </w:tbl>
    <w:p>
      <w:pPr>
        <w:sectPr>
          <w:pgSz w:w="11900" w:h="16838" w:orient="portrait"/>
          <w:cols w:equalWidth="0" w:num="1">
            <w:col w:w="11460"/>
          </w:cols>
          <w:pgMar w:left="240" w:top="459" w:right="199" w:bottom="1440" w:gutter="0" w:footer="0" w:header="0"/>
        </w:sectPr>
      </w:pPr>
    </w:p>
    <w:bookmarkStart w:id="13" w:name="page14"/>
    <w:bookmarkEnd w:id="1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RISK FACTORS</w:t>
      </w:r>
    </w:p>
    <w:p>
      <w:pPr>
        <w:spacing w:after="0" w:line="310" w:lineRule="exact"/>
        <w:rPr>
          <w:sz w:val="20"/>
          <w:szCs w:val="20"/>
          <w:color w:val="auto"/>
        </w:rPr>
      </w:pPr>
    </w:p>
    <w:p>
      <w:pPr>
        <w:ind w:firstLine="456"/>
        <w:spacing w:after="0" w:line="257" w:lineRule="auto"/>
        <w:rPr>
          <w:sz w:val="20"/>
          <w:szCs w:val="20"/>
          <w:color w:val="auto"/>
        </w:rPr>
      </w:pPr>
      <w:r>
        <w:rPr>
          <w:rFonts w:ascii="Arial" w:cs="Arial" w:eastAsia="Arial" w:hAnsi="Arial"/>
          <w:sz w:val="18"/>
          <w:szCs w:val="18"/>
          <w:i w:val="1"/>
          <w:iCs w:val="1"/>
          <w:color w:val="auto"/>
        </w:rPr>
        <w:t>The following are certain risk factors that could affect our business, financial condition and results of operations. The risks that are highlighted below are not the only ones that we face. You should carefully consider each of the following risks and all of the other information contained in this prospectus. Some of these risks relate principally to our spinoff from Timken, while others relate principally to our business and the industry in which we operate or to the securities markets generally and ownership of our common shares. If any of the following risks actually occur, our business, financial condition or results of operations could be negatively affected.</w:t>
      </w:r>
    </w:p>
    <w:p>
      <w:pPr>
        <w:spacing w:after="0" w:line="200" w:lineRule="exact"/>
        <w:rPr>
          <w:sz w:val="20"/>
          <w:szCs w:val="20"/>
          <w:color w:val="auto"/>
        </w:rPr>
      </w:pPr>
    </w:p>
    <w:p>
      <w:pPr>
        <w:spacing w:after="0" w:line="2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Risks Relating to the Spinoff</w:t>
      </w:r>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may not realize the potential benefits from the spinoff.</w:t>
      </w:r>
    </w:p>
    <w:p>
      <w:pPr>
        <w:spacing w:after="0" w:line="252" w:lineRule="exact"/>
        <w:rPr>
          <w:sz w:val="20"/>
          <w:szCs w:val="20"/>
          <w:color w:val="auto"/>
        </w:rPr>
      </w:pPr>
    </w:p>
    <w:p>
      <w:pPr>
        <w:ind w:right="40" w:firstLine="913"/>
        <w:spacing w:after="0" w:line="293" w:lineRule="auto"/>
        <w:rPr>
          <w:sz w:val="20"/>
          <w:szCs w:val="20"/>
          <w:color w:val="auto"/>
        </w:rPr>
      </w:pPr>
      <w:r>
        <w:rPr>
          <w:rFonts w:ascii="Arial" w:cs="Arial" w:eastAsia="Arial" w:hAnsi="Arial"/>
          <w:sz w:val="16"/>
          <w:szCs w:val="16"/>
          <w:color w:val="auto"/>
        </w:rPr>
        <w:t>We may not realize the potential benefits that we expect from our spinoff from Timken. We have described those anticipated benefits elsewhere in this prospectus. See “The Spinoff–Reasons for the Spinoff.” In addition, we expect to incur one-time transaction costs of approximately $10 million or less (Timken is expected to bear substantially all of the $95 million of estimated one-time transaction costs to effectuate the spinoff mentioned elsewhere in this prospectus) and additional ongoing costs ranging from $30 million to $35 million related to the transition to becoming an independent public company and replacing the services previously provided by Timken, which may exceed our estimates, and we will likely incur some negative effects from our separation from Timken, including loss of access to the financial, managerial and professional resources from which we have benefited in the past.</w:t>
      </w:r>
    </w:p>
    <w:p>
      <w:pPr>
        <w:spacing w:after="0" w:line="205" w:lineRule="exact"/>
        <w:rPr>
          <w:sz w:val="20"/>
          <w:szCs w:val="20"/>
          <w:color w:val="auto"/>
        </w:rPr>
      </w:pPr>
    </w:p>
    <w:p>
      <w:pPr>
        <w:ind w:right="140"/>
        <w:spacing w:after="0" w:line="264" w:lineRule="auto"/>
        <w:rPr>
          <w:sz w:val="20"/>
          <w:szCs w:val="20"/>
          <w:color w:val="auto"/>
        </w:rPr>
      </w:pPr>
      <w:r>
        <w:rPr>
          <w:rFonts w:ascii="Arial" w:cs="Arial" w:eastAsia="Arial" w:hAnsi="Arial"/>
          <w:sz w:val="18"/>
          <w:szCs w:val="18"/>
          <w:b w:val="1"/>
          <w:bCs w:val="1"/>
          <w:i w:val="1"/>
          <w:iCs w:val="1"/>
          <w:color w:val="auto"/>
        </w:rPr>
        <w:t>Our historical consolidated and pro forma financial information are not necessarily indicative of our future financial condition, results of operations or cash flows nor do they reflect what our financial condition, results of operations or cash flows would have been as an independent public company during the periods presented.</w:t>
      </w:r>
    </w:p>
    <w:p>
      <w:pPr>
        <w:spacing w:after="0" w:line="222" w:lineRule="exact"/>
        <w:rPr>
          <w:sz w:val="20"/>
          <w:szCs w:val="20"/>
          <w:color w:val="auto"/>
        </w:rPr>
      </w:pPr>
    </w:p>
    <w:p>
      <w:pPr>
        <w:jc w:val="both"/>
        <w:ind w:right="360" w:firstLine="913"/>
        <w:spacing w:after="0" w:line="286" w:lineRule="auto"/>
        <w:rPr>
          <w:sz w:val="20"/>
          <w:szCs w:val="20"/>
          <w:color w:val="auto"/>
        </w:rPr>
      </w:pPr>
      <w:r>
        <w:rPr>
          <w:rFonts w:ascii="Arial" w:cs="Arial" w:eastAsia="Arial" w:hAnsi="Arial"/>
          <w:sz w:val="17"/>
          <w:szCs w:val="17"/>
          <w:color w:val="auto"/>
        </w:rPr>
        <w:t>The historical consolidated financial information we have included in this prospectus does not reflect what our financial condition, results of operations or cash flows would have been as an independent public company during the periods presented and is not necessarily indicative of our future financial condition, future results of operations or future cash flows. This is primarily a result of the following factors:</w:t>
      </w:r>
    </w:p>
    <w:p>
      <w:pPr>
        <w:spacing w:after="0" w:line="247" w:lineRule="exact"/>
        <w:rPr>
          <w:sz w:val="20"/>
          <w:szCs w:val="20"/>
          <w:color w:val="auto"/>
        </w:rPr>
      </w:pPr>
    </w:p>
    <w:p>
      <w:pPr>
        <w:ind w:left="1240" w:hanging="327"/>
        <w:spacing w:after="0" w:line="308" w:lineRule="auto"/>
        <w:tabs>
          <w:tab w:leader="none" w:pos="1240" w:val="left"/>
        </w:tabs>
        <w:numPr>
          <w:ilvl w:val="0"/>
          <w:numId w:val="4"/>
        </w:numPr>
        <w:rPr>
          <w:rFonts w:ascii="Arial" w:cs="Arial" w:eastAsia="Arial" w:hAnsi="Arial"/>
          <w:sz w:val="17"/>
          <w:szCs w:val="17"/>
          <w:color w:val="auto"/>
        </w:rPr>
      </w:pPr>
      <w:r>
        <w:rPr>
          <w:rFonts w:ascii="Arial" w:cs="Arial" w:eastAsia="Arial" w:hAnsi="Arial"/>
          <w:sz w:val="17"/>
          <w:szCs w:val="17"/>
          <w:color w:val="auto"/>
        </w:rPr>
        <w:t>our historical consolidated financial results reflect allocations of expenses for services historically provided by Timken, and those allocations may be significantly lower than the comparable expenses we would have incurred as an independent company;</w:t>
      </w:r>
    </w:p>
    <w:p>
      <w:pPr>
        <w:spacing w:after="0" w:line="51" w:lineRule="exact"/>
        <w:rPr>
          <w:rFonts w:ascii="Arial" w:cs="Arial" w:eastAsia="Arial" w:hAnsi="Arial"/>
          <w:sz w:val="17"/>
          <w:szCs w:val="17"/>
          <w:color w:val="auto"/>
        </w:rPr>
      </w:pPr>
    </w:p>
    <w:p>
      <w:pPr>
        <w:ind w:left="1240" w:right="300" w:hanging="327"/>
        <w:spacing w:after="0" w:line="264" w:lineRule="auto"/>
        <w:tabs>
          <w:tab w:leader="none" w:pos="1240" w:val="left"/>
        </w:tabs>
        <w:numPr>
          <w:ilvl w:val="0"/>
          <w:numId w:val="4"/>
        </w:numPr>
        <w:rPr>
          <w:rFonts w:ascii="Arial" w:cs="Arial" w:eastAsia="Arial" w:hAnsi="Arial"/>
          <w:sz w:val="18"/>
          <w:szCs w:val="18"/>
          <w:color w:val="auto"/>
        </w:rPr>
      </w:pPr>
      <w:r>
        <w:rPr>
          <w:rFonts w:ascii="Arial" w:cs="Arial" w:eastAsia="Arial" w:hAnsi="Arial"/>
          <w:sz w:val="18"/>
          <w:szCs w:val="18"/>
          <w:color w:val="auto"/>
        </w:rPr>
        <w:t>our working capital requirements and capital expenditures historically have been satisfied as part of Timken’s corporate-wide capital allocation and cash management programs; as a result, our debt structure and cost of debt and other capital may be significantly different from that reflected in our historical consolidated financial statements;</w:t>
      </w:r>
    </w:p>
    <w:p>
      <w:pPr>
        <w:spacing w:after="0" w:line="86" w:lineRule="exact"/>
        <w:rPr>
          <w:rFonts w:ascii="Arial" w:cs="Arial" w:eastAsia="Arial" w:hAnsi="Arial"/>
          <w:sz w:val="18"/>
          <w:szCs w:val="18"/>
          <w:color w:val="auto"/>
        </w:rPr>
      </w:pPr>
    </w:p>
    <w:p>
      <w:pPr>
        <w:ind w:left="1240" w:hanging="327"/>
        <w:spacing w:after="0" w:line="264" w:lineRule="auto"/>
        <w:tabs>
          <w:tab w:leader="none" w:pos="1240" w:val="left"/>
        </w:tabs>
        <w:numPr>
          <w:ilvl w:val="0"/>
          <w:numId w:val="4"/>
        </w:numPr>
        <w:rPr>
          <w:rFonts w:ascii="Arial" w:cs="Arial" w:eastAsia="Arial" w:hAnsi="Arial"/>
          <w:sz w:val="18"/>
          <w:szCs w:val="18"/>
          <w:color w:val="auto"/>
        </w:rPr>
      </w:pPr>
      <w:r>
        <w:rPr>
          <w:rFonts w:ascii="Arial" w:cs="Arial" w:eastAsia="Arial" w:hAnsi="Arial"/>
          <w:sz w:val="18"/>
          <w:szCs w:val="18"/>
          <w:color w:val="auto"/>
        </w:rPr>
        <w:t>the historical consolidated financial information may not fully reflect the increased costs associated with being an independent public company, including significant changes that will occur in our cost structure, management, financing arrangements and business operations as a result of our spinoff from Timken; and</w:t>
      </w:r>
    </w:p>
    <w:p>
      <w:pPr>
        <w:spacing w:after="0" w:line="86" w:lineRule="exact"/>
        <w:rPr>
          <w:rFonts w:ascii="Arial" w:cs="Arial" w:eastAsia="Arial" w:hAnsi="Arial"/>
          <w:sz w:val="18"/>
          <w:szCs w:val="18"/>
          <w:color w:val="auto"/>
        </w:rPr>
      </w:pPr>
    </w:p>
    <w:p>
      <w:pPr>
        <w:ind w:left="1240" w:right="160" w:hanging="327"/>
        <w:spacing w:after="0" w:line="308" w:lineRule="auto"/>
        <w:tabs>
          <w:tab w:leader="none" w:pos="1240" w:val="left"/>
        </w:tabs>
        <w:numPr>
          <w:ilvl w:val="0"/>
          <w:numId w:val="4"/>
        </w:numPr>
        <w:rPr>
          <w:rFonts w:ascii="Arial" w:cs="Arial" w:eastAsia="Arial" w:hAnsi="Arial"/>
          <w:sz w:val="17"/>
          <w:szCs w:val="17"/>
          <w:color w:val="auto"/>
        </w:rPr>
      </w:pPr>
      <w:r>
        <w:rPr>
          <w:rFonts w:ascii="Arial" w:cs="Arial" w:eastAsia="Arial" w:hAnsi="Arial"/>
          <w:sz w:val="17"/>
          <w:szCs w:val="17"/>
          <w:color w:val="auto"/>
        </w:rPr>
        <w:t>the historical consolidated financial information may not fully reflect the effects of certain liabilities that will be incurred or assumed by us and may not fully reflect the effects of certain assets that will be transferred to, and liabilities that will be assumed by, Timken.</w:t>
      </w:r>
    </w:p>
    <w:p>
      <w:pPr>
        <w:spacing w:after="0" w:line="174" w:lineRule="exact"/>
        <w:rPr>
          <w:sz w:val="20"/>
          <w:szCs w:val="20"/>
          <w:color w:val="auto"/>
        </w:rPr>
      </w:pPr>
    </w:p>
    <w:p>
      <w:pPr>
        <w:ind w:firstLine="913"/>
        <w:spacing w:after="0" w:line="255" w:lineRule="auto"/>
        <w:rPr>
          <w:sz w:val="20"/>
          <w:szCs w:val="20"/>
          <w:color w:val="auto"/>
        </w:rPr>
      </w:pPr>
      <w:r>
        <w:rPr>
          <w:rFonts w:ascii="Arial" w:cs="Arial" w:eastAsia="Arial" w:hAnsi="Arial"/>
          <w:sz w:val="18"/>
          <w:szCs w:val="18"/>
          <w:color w:val="auto"/>
        </w:rPr>
        <w:t>The pro forma adjustments are based on available information and assumptions that we believe are reasonable; however, our assumptions may prove not to be accurate. In addition, our unaudited pro forma consolidated financial information may not give effect to various ongoing additional costs that we may incur in connection with being an independent public company. Accordingly, our unaudited pro forma consolidated financial information does not reflect what our financial condition, results of operations or cash flows would have been as an independent public company and are not necessarily indicative of our future financial condition, future results of operations or future cash flows. Please refer to “Management’s Discussion and Analysis of Financial Condition and Results of Operations” and “Unaudited Pro Forma Consolidated Financial Data” and our Consolidated Financial Statements and corresponding notes included elsewhere in this prospectus.</w:t>
      </w:r>
    </w:p>
    <w:p>
      <w:pPr>
        <w:spacing w:after="0" w:line="230" w:lineRule="exact"/>
        <w:rPr>
          <w:sz w:val="20"/>
          <w:szCs w:val="20"/>
          <w:color w:val="auto"/>
        </w:rPr>
      </w:pPr>
    </w:p>
    <w:p>
      <w:pPr>
        <w:jc w:val="both"/>
        <w:ind w:right="300"/>
        <w:spacing w:after="0" w:line="381" w:lineRule="auto"/>
        <w:rPr>
          <w:sz w:val="20"/>
          <w:szCs w:val="20"/>
          <w:color w:val="auto"/>
        </w:rPr>
      </w:pPr>
      <w:r>
        <w:rPr>
          <w:rFonts w:ascii="Arial" w:cs="Arial" w:eastAsia="Arial" w:hAnsi="Arial"/>
          <w:sz w:val="15"/>
          <w:szCs w:val="15"/>
          <w:b w:val="1"/>
          <w:bCs w:val="1"/>
          <w:i w:val="1"/>
          <w:iCs w:val="1"/>
          <w:color w:val="auto"/>
        </w:rPr>
        <w:t>We have no history operating as an independent public company. We will incur additional expenses to create the corporate infrastructure necessary to operate as an independent public company and we will experience increased ongoing costs in connection with being an independent public company.</w:t>
      </w:r>
    </w:p>
    <w:p>
      <w:pPr>
        <w:spacing w:after="0" w:line="141" w:lineRule="exact"/>
        <w:rPr>
          <w:sz w:val="20"/>
          <w:szCs w:val="20"/>
          <w:color w:val="auto"/>
        </w:rPr>
      </w:pPr>
    </w:p>
    <w:p>
      <w:pPr>
        <w:jc w:val="both"/>
        <w:ind w:right="200" w:firstLine="913"/>
        <w:spacing w:after="0" w:line="257" w:lineRule="auto"/>
        <w:rPr>
          <w:sz w:val="20"/>
          <w:szCs w:val="20"/>
          <w:color w:val="auto"/>
        </w:rPr>
      </w:pPr>
      <w:r>
        <w:rPr>
          <w:rFonts w:ascii="Arial" w:cs="Arial" w:eastAsia="Arial" w:hAnsi="Arial"/>
          <w:sz w:val="18"/>
          <w:szCs w:val="18"/>
          <w:color w:val="auto"/>
        </w:rPr>
        <w:t>We have historically used Timken’s corporate infrastructure to support our business functions, including information technology systems. The expenses related to establishing and maintaining this infrastructure were spread among all of the Timken businesses. Except as described under the caption “Relationship with Timken Following the Spinoff,” we will no longer have access to Timken’s infrastructure after the distribution date, and we will need to establish our own. We expect to incur costs beginning in 2014 to establish the necessary infrastructure. See “Unaudited Pro Forma Consolidated Financial Data.”</w:t>
      </w:r>
    </w:p>
    <w:p>
      <w:pPr>
        <w:sectPr>
          <w:pgSz w:w="11900" w:h="16838" w:orient="portrait"/>
          <w:cols w:equalWidth="0" w:num="1">
            <w:col w:w="11400"/>
          </w:cols>
          <w:pgMar w:left="240" w:top="459" w:right="259" w:bottom="1440" w:gutter="0" w:footer="0" w:header="0"/>
        </w:sectPr>
      </w:pPr>
    </w:p>
    <w:p>
      <w:pPr>
        <w:spacing w:after="0" w:line="121"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8</w:t>
      </w:r>
    </w:p>
    <w:p>
      <w:pPr>
        <w:sectPr>
          <w:pgSz w:w="11900" w:h="16838" w:orient="portrait"/>
          <w:cols w:equalWidth="0" w:num="1">
            <w:col w:w="11400"/>
          </w:cols>
          <w:pgMar w:left="240" w:top="459" w:right="259" w:bottom="1440" w:gutter="0" w:footer="0" w:header="0"/>
          <w:type w:val="continuous"/>
        </w:sectPr>
      </w:pPr>
    </w:p>
    <w:bookmarkStart w:id="14" w:name="page15"/>
    <w:bookmarkEnd w:id="1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20" w:firstLine="913"/>
        <w:spacing w:after="0" w:line="286" w:lineRule="auto"/>
        <w:rPr>
          <w:sz w:val="20"/>
          <w:szCs w:val="20"/>
          <w:color w:val="auto"/>
        </w:rPr>
      </w:pPr>
      <w:r>
        <w:rPr>
          <w:rFonts w:ascii="Arial" w:cs="Arial" w:eastAsia="Arial" w:hAnsi="Arial"/>
          <w:sz w:val="16"/>
          <w:szCs w:val="16"/>
          <w:color w:val="auto"/>
        </w:rPr>
        <w:t>Timken performs many important corporate functions for us, including some treasury, tax administration, accounting, financial reporting, human resource services, marketing and communications, information technology, incentive compensation, legal and other services. We currently pay Timken for many of these services on a cost-allocation basis. Following the spinoff, Timken will continue to provide some of these services to us on a transitional basis pursuant to a transition services agreement we will enter into with Timken. For more information regarding the transition services agreement, see “Relationship with Timken Following the Spinoff–Material Agreements Between Timken and Us–Transition Services Agreement.” However, we cannot assure you that all these functions will be successfully executed by Timken during the transition period or that we will not have to expend significant efforts or costs materially in excess of those estimated in the transition services agreement. Any interruption in these services could have a material adverse effect on our financial condition, results of operation and cash flows. In addition, at the end of this transition period, we will need to perform these functions ourselves or hire third parties to perform these functions on our behalf. It is currently estimated that the additional ongoing costs to be incurred after the spinoff related to the transition to becoming an independent public company and replacing the services previously provided by Timken will range from approximately $30 million to $35 million. The costs associated with performing or outsourcing these functions may exceed the amounts reflected in our historical consolidated financial statements or that we have agreed to pay Timken during the transition period. A significant increase in the costs of performing or outsourcing these functions could materially and adversely affect our business, financial condition, results of operations and cash flows.</w:t>
      </w:r>
    </w:p>
    <w:p>
      <w:pPr>
        <w:spacing w:after="0" w:line="21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will be subject to continuing contingent liabilities of Timken following the spinoff.</w:t>
      </w:r>
    </w:p>
    <w:p>
      <w:pPr>
        <w:spacing w:after="0" w:line="266" w:lineRule="exact"/>
        <w:rPr>
          <w:sz w:val="20"/>
          <w:szCs w:val="20"/>
          <w:color w:val="auto"/>
        </w:rPr>
      </w:pPr>
    </w:p>
    <w:p>
      <w:pPr>
        <w:ind w:right="20" w:firstLine="913"/>
        <w:spacing w:after="0" w:line="269" w:lineRule="auto"/>
        <w:rPr>
          <w:sz w:val="20"/>
          <w:szCs w:val="20"/>
          <w:color w:val="auto"/>
        </w:rPr>
      </w:pPr>
      <w:r>
        <w:rPr>
          <w:rFonts w:ascii="Arial" w:cs="Arial" w:eastAsia="Arial" w:hAnsi="Arial"/>
          <w:sz w:val="17"/>
          <w:szCs w:val="17"/>
          <w:color w:val="auto"/>
        </w:rPr>
        <w:t>After the spinoff, there will be several significant areas where the liabilities of Timken may become our obligations. The separation and distribution agreement and employee matters agreement generally provide that we are responsible for substantially all liabilities that may exist that relate to our steel business activities, whether incurred prior to or after the spinoff, as well as those liabilities of Timken specifically assumed by us. See “Relationship with Timken Following the Spinoff–Material Agreements Between Timken and Us.” In addition, under the Code and the related rules and regulations, each corporation that was a member of the Timken consolidated tax reporting group during any taxable period or portion of any taxable period ending on or before the completion of the spinoff is jointly and severally liable for the federal income tax liability of the entire Timken consolidated tax reporting group for that taxable period. In connection with the spinoff, we will enter into a tax sharing agreement with Timken that will allocate the responsibility for prior period taxes of the Timken consolidated tax reporting group between us and Timken. See “Relationship with Timken Following the Spinoff–Material Agreements Between Timken and Us–Tax Sharing Agreement.” However, if Timken is unable to pay any prior period taxes for which it is responsible, we could be required to pay the entire amount of such taxes. Other provisions of federal law establish similar liability for other matters, including laws governing tax-qualified pension plans as well as other contingent liabilities.</w:t>
      </w:r>
    </w:p>
    <w:p>
      <w:pPr>
        <w:spacing w:after="0" w:line="210" w:lineRule="exact"/>
        <w:rPr>
          <w:sz w:val="20"/>
          <w:szCs w:val="20"/>
          <w:color w:val="auto"/>
        </w:rPr>
      </w:pPr>
    </w:p>
    <w:p>
      <w:pPr>
        <w:ind w:right="100"/>
        <w:spacing w:after="0" w:line="342" w:lineRule="auto"/>
        <w:rPr>
          <w:sz w:val="20"/>
          <w:szCs w:val="20"/>
          <w:color w:val="auto"/>
        </w:rPr>
      </w:pPr>
      <w:r>
        <w:rPr>
          <w:rFonts w:ascii="Arial" w:cs="Arial" w:eastAsia="Arial" w:hAnsi="Arial"/>
          <w:sz w:val="16"/>
          <w:szCs w:val="16"/>
          <w:b w:val="1"/>
          <w:bCs w:val="1"/>
          <w:i w:val="1"/>
          <w:iCs w:val="1"/>
          <w:color w:val="auto"/>
        </w:rPr>
        <w:t>If the spinoff does not qualify as a tax-free transaction, Timken could be subject to material amounts of taxes and, in certain circumstances, we could be required to indemnify Timken for material taxes pursuant to indemnification obligations under the tax sharing agreement.</w:t>
      </w:r>
    </w:p>
    <w:p>
      <w:pPr>
        <w:spacing w:after="0" w:line="164" w:lineRule="exact"/>
        <w:rPr>
          <w:sz w:val="20"/>
          <w:szCs w:val="20"/>
          <w:color w:val="auto"/>
        </w:rPr>
      </w:pPr>
    </w:p>
    <w:p>
      <w:pPr>
        <w:ind w:firstLine="913"/>
        <w:spacing w:after="0" w:line="289" w:lineRule="auto"/>
        <w:rPr>
          <w:sz w:val="20"/>
          <w:szCs w:val="20"/>
          <w:color w:val="auto"/>
        </w:rPr>
      </w:pPr>
      <w:r>
        <w:rPr>
          <w:rFonts w:ascii="Arial" w:cs="Arial" w:eastAsia="Arial" w:hAnsi="Arial"/>
          <w:sz w:val="16"/>
          <w:szCs w:val="16"/>
          <w:color w:val="auto"/>
        </w:rPr>
        <w:t>The spinoff is conditioned on Timken’s receipt of an opinion from Covington &amp; Burling LLP, special tax counsel to Timken (or other nationally recognized tax counsel), in form and substance satisfactory to Timken, that the distribution of TimkenSteel common shares in the spinoff will qualify as tax-free (except for cash received in lieu of fractional shares) to us, Timken and Timken shareholders for U.S. federal income tax purposes under Sections 355 and 368(a)(1)(D) and related provisions of the Code. Such opinion is expected to be delivered to us by special tax counsel prior to the spinoff. The opinion will rely on, among other things, various assumptions and representations as to factual matters made by Timken and us which, if inaccurate or incomplete in any material respect, could jeopardize the conclusions reached by such counsel in its opinion. Neither we nor Timken are aware of any facts or circumstances that would cause the assumptions or representations that will be relied on in the opinion of counsel to be inaccurate or incomplete in any material respect. The opinion will not be binding on the Internal Revenue Service, or IRS, or the courts, and there can be no assurance that the qualification of the spinoff as a transaction under Sections 355 and 368(a) of the Code will not be challenged by the IRS or by others in court, or that any such challenge would not prevail.</w:t>
      </w:r>
    </w:p>
    <w:p>
      <w:pPr>
        <w:spacing w:after="0" w:line="207" w:lineRule="exact"/>
        <w:rPr>
          <w:sz w:val="20"/>
          <w:szCs w:val="20"/>
          <w:color w:val="auto"/>
        </w:rPr>
      </w:pPr>
    </w:p>
    <w:p>
      <w:pPr>
        <w:ind w:right="20" w:firstLine="913"/>
        <w:spacing w:after="0" w:line="254" w:lineRule="auto"/>
        <w:rPr>
          <w:sz w:val="20"/>
          <w:szCs w:val="20"/>
          <w:color w:val="auto"/>
        </w:rPr>
      </w:pPr>
      <w:r>
        <w:rPr>
          <w:rFonts w:ascii="Arial" w:cs="Arial" w:eastAsia="Arial" w:hAnsi="Arial"/>
          <w:sz w:val="18"/>
          <w:szCs w:val="18"/>
          <w:color w:val="auto"/>
        </w:rPr>
        <w:t>If, notwithstanding receipt of the opinion of counsel, the spinoff were determined not to qualify under Section 355 of the Code, each U.S. holder of Timken common shares who receives our common shares in the spinoff would generally be treated as receiving a taxable distribution of property in an amount equal to the fair market value of our common shares received. That distribution would be taxable to each such shareholder as a dividend to the extent of such shareholder’s share of Timken’s current and accumulated earnings and profits. For each such shareholder, any amount that exceeded its share of Timken’s earnings and profits would be treated first as a non-taxable return of capital to the extent of such shareholder’s tax basis in his or her Timken common shares with any remaining amount being taxed as a capital gain. Timken would be subject to tax as if it had sold common shares in a taxable sale for their fair market value and would recognize taxable gain in an amount equal to the excess of the fair market value of such shares over its tax basis in such shares.</w:t>
      </w:r>
    </w:p>
    <w:p>
      <w:pPr>
        <w:spacing w:after="0" w:line="125"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9</w:t>
      </w:r>
    </w:p>
    <w:p>
      <w:pPr>
        <w:sectPr>
          <w:pgSz w:w="11900" w:h="16838" w:orient="portrait"/>
          <w:cols w:equalWidth="0" w:num="1">
            <w:col w:w="11380"/>
          </w:cols>
          <w:pgMar w:left="240" w:top="459" w:right="279" w:bottom="1440" w:gutter="0" w:footer="0" w:header="0"/>
        </w:sectPr>
      </w:pPr>
    </w:p>
    <w:bookmarkStart w:id="15" w:name="page16"/>
    <w:bookmarkEnd w:id="1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firstLine="913"/>
        <w:spacing w:after="0" w:line="255" w:lineRule="auto"/>
        <w:rPr>
          <w:sz w:val="20"/>
          <w:szCs w:val="20"/>
          <w:color w:val="auto"/>
        </w:rPr>
      </w:pPr>
      <w:r>
        <w:rPr>
          <w:rFonts w:ascii="Arial" w:cs="Arial" w:eastAsia="Arial" w:hAnsi="Arial"/>
          <w:sz w:val="18"/>
          <w:szCs w:val="18"/>
          <w:color w:val="auto"/>
        </w:rPr>
        <w:t>With respect to taxes and other liabilities that could be imposed on Timken in connection with the spinoff (and certain related transactions) under the terms of the tax sharing agreement we will enter into with Timken prior to the spinoff, we will be liable to Timken for any such taxes or liabilities attributable to actions taken by or with respect to us, any of our affiliates, or any person that, after the spinoff, is an affiliate thereof. See “Relationship with Timken Following the Spinoff–Material Agreements Between Timken and Us–Tax Sharing Agreement.” We may be similarly liable if we breach specified representations or covenants set forth in the tax sharing agreement. If we are required to indemnify Timken for taxes incurred as a result of the spinoff (or certain related transactions) being taxable to Timken, it could have a material adverse effect on our business, financial condition, results of operations and cash flows.</w:t>
      </w:r>
    </w:p>
    <w:p>
      <w:pPr>
        <w:spacing w:after="0" w:line="230"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Potential liabilities associated with certain assumed obligations under the tax sharing agreement cannot be precisely quantified at this time.</w:t>
      </w:r>
    </w:p>
    <w:p>
      <w:pPr>
        <w:spacing w:after="0" w:line="277" w:lineRule="exact"/>
        <w:rPr>
          <w:sz w:val="20"/>
          <w:szCs w:val="20"/>
          <w:color w:val="auto"/>
        </w:rPr>
      </w:pPr>
    </w:p>
    <w:p>
      <w:pPr>
        <w:ind w:firstLine="913"/>
        <w:spacing w:after="0" w:line="270" w:lineRule="auto"/>
        <w:rPr>
          <w:sz w:val="20"/>
          <w:szCs w:val="20"/>
          <w:color w:val="auto"/>
        </w:rPr>
      </w:pPr>
      <w:r>
        <w:rPr>
          <w:rFonts w:ascii="Arial" w:cs="Arial" w:eastAsia="Arial" w:hAnsi="Arial"/>
          <w:sz w:val="17"/>
          <w:szCs w:val="17"/>
          <w:color w:val="auto"/>
        </w:rPr>
        <w:t>Under the tax sharing agreement with Timken, we will be responsible generally for all taxes paid after the spinoff attributable to us or any of our subsidiaries, whether accruing before, on or after the spinoff. We have also agreed to be responsible for, and to indemnify Timken with respect to, all taxes arising as a result of the spinoff (or certain internal restructuring transactions) failing to qualify as transactions under Sections 368(a) and 355 of the Code for U.S. federal income tax purposes (which could result, for example, from a merger or other transaction involving an acquisition of our shares) to the extent such tax liability arises as a result of any breach of any representation, warranty, covenant or other obligation by us or certain affiliates made in connection with the issuance of the tax opinion relating to the spinoff or in the tax sharing agreement. As described above, such tax liability would be calculated as though Timken (or its affiliate) had sold its common shares of our company in a taxable sale for their fair market value, and Timken (or its affiliate) would recognize taxable gain in an amount equal to the excess of the fair market value of such shares over its tax basis in such shares. That tax liability could have a material adverse effect on our company. For a more detailed discussion, see “Relationship with Timken Following the Spinoff–Material Agreements Between Timken and Us–Tax Sharing Agreement.”</w:t>
      </w:r>
    </w:p>
    <w:p>
      <w:pPr>
        <w:spacing w:after="0" w:line="205" w:lineRule="exact"/>
        <w:rPr>
          <w:sz w:val="20"/>
          <w:szCs w:val="20"/>
          <w:color w:val="auto"/>
        </w:rPr>
      </w:pPr>
    </w:p>
    <w:p>
      <w:pPr>
        <w:ind w:right="60"/>
        <w:spacing w:after="0" w:line="342" w:lineRule="auto"/>
        <w:rPr>
          <w:sz w:val="20"/>
          <w:szCs w:val="20"/>
          <w:color w:val="auto"/>
        </w:rPr>
      </w:pPr>
      <w:r>
        <w:rPr>
          <w:rFonts w:ascii="Arial" w:cs="Arial" w:eastAsia="Arial" w:hAnsi="Arial"/>
          <w:sz w:val="16"/>
          <w:szCs w:val="16"/>
          <w:b w:val="1"/>
          <w:bCs w:val="1"/>
          <w:i w:val="1"/>
          <w:iCs w:val="1"/>
          <w:color w:val="auto"/>
        </w:rPr>
        <w:t>We may not be able to engage in desirable strategic or equity raising transactions following the spinoff. In addition, under some circumstances, we could be liable for any adverse tax consequences resulting from engaging in significant strategic or capital raising transactions.</w:t>
      </w:r>
    </w:p>
    <w:p>
      <w:pPr>
        <w:spacing w:after="0" w:line="164" w:lineRule="exact"/>
        <w:rPr>
          <w:sz w:val="20"/>
          <w:szCs w:val="20"/>
          <w:color w:val="auto"/>
        </w:rPr>
      </w:pPr>
    </w:p>
    <w:p>
      <w:pPr>
        <w:ind w:right="20" w:firstLine="913"/>
        <w:spacing w:after="0" w:line="286" w:lineRule="auto"/>
        <w:rPr>
          <w:sz w:val="20"/>
          <w:szCs w:val="20"/>
          <w:color w:val="auto"/>
        </w:rPr>
      </w:pPr>
      <w:r>
        <w:rPr>
          <w:rFonts w:ascii="Arial" w:cs="Arial" w:eastAsia="Arial" w:hAnsi="Arial"/>
          <w:sz w:val="16"/>
          <w:szCs w:val="16"/>
          <w:color w:val="auto"/>
        </w:rPr>
        <w:t>Even if the spinoff otherwise qualifies as a tax-free distribution under Section 355 of the Code, the spinoff may result in significant U.S. federal income tax liabilities to Timken under applicable provisions of the Code if 50% or more of Timken’s shares or our shares (in each case, by vote or value) are treated as having been acquired, directly or indirectly, by one or more persons (other than the acquisition of our common shares by Timken shareholders in the spinoff) as part of a plan (or series of related transactions) that includes the spinoff. Under those provisions, any acquisitions of Timken shares or our shares (or similar acquisitions), or any understanding, arrangement or substantial negotiations regarding an acquisition of Timken shares or our shares (or similar acquisitions), within two years before or after the spinoff are subject to special scrutiny. The process for determining whether an acquisition triggering those provisions has occurred is complex, inherently factual and subject to interpretation of the facts and circumstances of a particular case. If a direct or indirect acquisition of Timken shares or our shares resulted in a change in control as contemplated by those provisions, Timken (but not its shareholders) would recognize taxable gain. Under the tax sharing agreement, there are restrictions on our ability to take actions that could cause the separation to fail to qualify as a tax-free distribution, and we will be required to indemnify Timken against any such tax liabilities attributable to actions taken by or with respect to us or any of our affiliates, or any person that, after the spinoff, is an affiliate thereof. We may be similarly liable if we breach certain other representations or covenants set forth in the tax sharing agreement. See “Relationship with Timken Following the Spinoff–Material Agreements Between Timken and Us– Tax Sharing Agreement.” As a result of the foregoing, we may be unable to engage in certain strategic or capital raising transactions that our shareholders might consider favorable, including use of TimkenSteel common shares to make acquisitions and equity capital market transactions, or to structure potential transactions in the manner most favorable to us, without adverse tax consequences, if at all.</w:t>
      </w:r>
    </w:p>
    <w:p>
      <w:pPr>
        <w:spacing w:after="0" w:line="209" w:lineRule="exact"/>
        <w:rPr>
          <w:sz w:val="20"/>
          <w:szCs w:val="20"/>
          <w:color w:val="auto"/>
        </w:rPr>
      </w:pPr>
    </w:p>
    <w:p>
      <w:pPr>
        <w:ind w:right="100"/>
        <w:spacing w:after="0" w:line="277" w:lineRule="auto"/>
        <w:rPr>
          <w:sz w:val="20"/>
          <w:szCs w:val="20"/>
          <w:color w:val="auto"/>
        </w:rPr>
      </w:pPr>
      <w:r>
        <w:rPr>
          <w:rFonts w:ascii="Arial" w:cs="Arial" w:eastAsia="Arial" w:hAnsi="Arial"/>
          <w:sz w:val="18"/>
          <w:szCs w:val="18"/>
          <w:b w:val="1"/>
          <w:bCs w:val="1"/>
          <w:i w:val="1"/>
          <w:iCs w:val="1"/>
          <w:color w:val="auto"/>
        </w:rPr>
        <w:t>Potential indemnification liabilities to Timken pursuant to the separation and distribution agreement could materially and adversely affect our business, financial condition, results of operations and cash flows.</w:t>
      </w:r>
    </w:p>
    <w:p>
      <w:pPr>
        <w:spacing w:after="0" w:line="197" w:lineRule="exact"/>
        <w:rPr>
          <w:sz w:val="20"/>
          <w:szCs w:val="20"/>
          <w:color w:val="auto"/>
        </w:rPr>
      </w:pPr>
    </w:p>
    <w:p>
      <w:pPr>
        <w:ind w:right="100" w:firstLine="913"/>
        <w:spacing w:after="0" w:line="257" w:lineRule="auto"/>
        <w:rPr>
          <w:sz w:val="20"/>
          <w:szCs w:val="20"/>
          <w:color w:val="auto"/>
        </w:rPr>
      </w:pPr>
      <w:r>
        <w:rPr>
          <w:rFonts w:ascii="Arial" w:cs="Arial" w:eastAsia="Arial" w:hAnsi="Arial"/>
          <w:sz w:val="18"/>
          <w:szCs w:val="18"/>
          <w:color w:val="auto"/>
        </w:rPr>
        <w:t>We will enter into a separation and distribution agreement with Timken that will provide for, among other things, the principal corporate transactions required to effect the spinoff, certain conditions to the spinoff and provisions governing the relationship between our company and Timken with respect to and resulting from the spinoff. For a description of the separation and distribution agreement, see “Relationship with Timken Following the Spinoff–Material Agreements Between Timken and Us–Separation and Distribution Agreement.” Among other things, the separation and distribution agreement provides for indemnification</w:t>
      </w:r>
    </w:p>
    <w:p>
      <w:pPr>
        <w:spacing w:after="0" w:line="121"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10</w:t>
      </w:r>
    </w:p>
    <w:p>
      <w:pPr>
        <w:sectPr>
          <w:pgSz w:w="11900" w:h="16838" w:orient="portrait"/>
          <w:cols w:equalWidth="0" w:num="1">
            <w:col w:w="11380"/>
          </w:cols>
          <w:pgMar w:left="240" w:top="459" w:right="279" w:bottom="1440" w:gutter="0" w:footer="0" w:header="0"/>
        </w:sectPr>
      </w:pPr>
    </w:p>
    <w:bookmarkStart w:id="16" w:name="page17"/>
    <w:bookmarkEnd w:id="1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jc w:val="both"/>
        <w:ind w:right="80"/>
        <w:spacing w:after="0" w:line="312" w:lineRule="auto"/>
        <w:rPr>
          <w:sz w:val="20"/>
          <w:szCs w:val="20"/>
          <w:color w:val="auto"/>
        </w:rPr>
      </w:pPr>
      <w:r>
        <w:rPr>
          <w:rFonts w:ascii="Arial" w:cs="Arial" w:eastAsia="Arial" w:hAnsi="Arial"/>
          <w:sz w:val="16"/>
          <w:szCs w:val="16"/>
          <w:color w:val="auto"/>
        </w:rPr>
        <w:t>obligations designed to make us financially responsible for substantially all liabilities that may exist relating to our steel business activities, whether incurred prior to or after the spinoff, as well as those obligations of Timken assumed by us pursuant to the separation and distribution agreement. If we are required to indemnify Timken under the circumstances set forth in the separation and distribution agreement, we may be subject to substantial liabilities.</w:t>
      </w:r>
    </w:p>
    <w:p>
      <w:pPr>
        <w:spacing w:after="0" w:line="187" w:lineRule="exact"/>
        <w:rPr>
          <w:sz w:val="20"/>
          <w:szCs w:val="20"/>
          <w:color w:val="auto"/>
        </w:rPr>
      </w:pPr>
    </w:p>
    <w:p>
      <w:pPr>
        <w:ind w:right="140"/>
        <w:spacing w:after="0" w:line="264" w:lineRule="auto"/>
        <w:rPr>
          <w:sz w:val="20"/>
          <w:szCs w:val="20"/>
          <w:color w:val="auto"/>
        </w:rPr>
      </w:pPr>
      <w:r>
        <w:rPr>
          <w:rFonts w:ascii="Arial" w:cs="Arial" w:eastAsia="Arial" w:hAnsi="Arial"/>
          <w:sz w:val="18"/>
          <w:szCs w:val="18"/>
          <w:b w:val="1"/>
          <w:bCs w:val="1"/>
          <w:i w:val="1"/>
          <w:iCs w:val="1"/>
          <w:color w:val="auto"/>
        </w:rPr>
        <w:t>In connection with our separation from Timken, Timken will indemnify us for certain liabilities. However, there can be no assurance that the indemnity will be sufficient to insure us against the full amount of such liabilities, or that Timken’s ability to satisfy its indemnification obligations will not be impaired in the future.</w:t>
      </w:r>
    </w:p>
    <w:p>
      <w:pPr>
        <w:spacing w:after="0" w:line="222" w:lineRule="exact"/>
        <w:rPr>
          <w:sz w:val="20"/>
          <w:szCs w:val="20"/>
          <w:color w:val="auto"/>
        </w:rPr>
      </w:pPr>
    </w:p>
    <w:p>
      <w:pPr>
        <w:ind w:right="20" w:firstLine="913"/>
        <w:spacing w:after="0" w:line="255" w:lineRule="auto"/>
        <w:rPr>
          <w:sz w:val="20"/>
          <w:szCs w:val="20"/>
          <w:color w:val="auto"/>
        </w:rPr>
      </w:pPr>
      <w:r>
        <w:rPr>
          <w:rFonts w:ascii="Arial" w:cs="Arial" w:eastAsia="Arial" w:hAnsi="Arial"/>
          <w:sz w:val="18"/>
          <w:szCs w:val="18"/>
          <w:color w:val="auto"/>
        </w:rPr>
        <w:t>Pursuant to the separation and distribution agreement, Timken will agree to indemnify us for certain liabilities. However, third parties could seek to hold us responsible for any of the liabilities that Timken has agreed to retain, and there can be no assurance that the indemnity from Timken will be sufficient to protect us against the full amount of such liabilities, or that Timken will be able to fully satisfy its indemnification obligations. Moreover, even if we ultimately succeed in recovering from Timken any amounts for which we are held liable, we may be temporarily required to bear these losses ourselves. If Timken is unable to satisfy its indemnification obligations, the underlying liabilities could have a material adverse effect on our business, financial condition, results of operations and cash flows.</w:t>
      </w:r>
    </w:p>
    <w:p>
      <w:pPr>
        <w:spacing w:after="0" w:line="220" w:lineRule="exact"/>
        <w:rPr>
          <w:sz w:val="20"/>
          <w:szCs w:val="20"/>
          <w:color w:val="auto"/>
        </w:rPr>
      </w:pPr>
    </w:p>
    <w:p>
      <w:pPr>
        <w:ind w:firstLine="913"/>
        <w:spacing w:after="0" w:line="277" w:lineRule="auto"/>
        <w:rPr>
          <w:sz w:val="20"/>
          <w:szCs w:val="20"/>
          <w:color w:val="auto"/>
        </w:rPr>
      </w:pPr>
      <w:r>
        <w:rPr>
          <w:rFonts w:ascii="Arial" w:cs="Arial" w:eastAsia="Arial" w:hAnsi="Arial"/>
          <w:sz w:val="18"/>
          <w:szCs w:val="18"/>
          <w:color w:val="auto"/>
        </w:rPr>
        <w:t>After the spinoff, Timken’s insurers may deny coverage to us for liabilities associated with occurrences prior to the spinoff. Even if we ultimately succeed in recovering from such insurance providers, we may be required to temporarily bear such loss of coverage.</w:t>
      </w:r>
    </w:p>
    <w:p>
      <w:pPr>
        <w:spacing w:after="0" w:line="211" w:lineRule="exact"/>
        <w:rPr>
          <w:sz w:val="20"/>
          <w:szCs w:val="20"/>
          <w:color w:val="auto"/>
        </w:rPr>
      </w:pPr>
    </w:p>
    <w:p>
      <w:pPr>
        <w:ind w:right="80"/>
        <w:spacing w:after="0" w:line="264" w:lineRule="auto"/>
        <w:rPr>
          <w:sz w:val="20"/>
          <w:szCs w:val="20"/>
          <w:color w:val="auto"/>
        </w:rPr>
      </w:pPr>
      <w:r>
        <w:rPr>
          <w:rFonts w:ascii="Arial" w:cs="Arial" w:eastAsia="Arial" w:hAnsi="Arial"/>
          <w:sz w:val="18"/>
          <w:szCs w:val="18"/>
          <w:b w:val="1"/>
          <w:bCs w:val="1"/>
          <w:i w:val="1"/>
          <w:iCs w:val="1"/>
          <w:color w:val="auto"/>
        </w:rPr>
        <w:t>Our accounting and other management systems and resources may not be adequately prepared to meet the financial reporting and other requirements to which we will be subject following the spinoff. If we are unable to achieve and maintain effective internal controls, our business, financial condition, results of operations and cash flows could be materially adversely affected.</w:t>
      </w:r>
    </w:p>
    <w:p>
      <w:pPr>
        <w:spacing w:after="0" w:line="222" w:lineRule="exact"/>
        <w:rPr>
          <w:sz w:val="20"/>
          <w:szCs w:val="20"/>
          <w:color w:val="auto"/>
        </w:rPr>
      </w:pPr>
    </w:p>
    <w:p>
      <w:pPr>
        <w:ind w:firstLine="913"/>
        <w:spacing w:after="0" w:line="269" w:lineRule="auto"/>
        <w:rPr>
          <w:sz w:val="20"/>
          <w:szCs w:val="20"/>
          <w:color w:val="auto"/>
        </w:rPr>
      </w:pPr>
      <w:r>
        <w:rPr>
          <w:rFonts w:ascii="Arial" w:cs="Arial" w:eastAsia="Arial" w:hAnsi="Arial"/>
          <w:sz w:val="17"/>
          <w:szCs w:val="17"/>
          <w:color w:val="auto"/>
        </w:rPr>
        <w:t>Our financial results are currently included within the consolidated results of Timken, and we believe that our reporting and control systems are appropriate for a subsidiary of a public company. However, prior to the spinoff, we were not directly subject to the reporting and other requirements of the Securities Exchange Act of 1934, as amended, which we refer to as the Exchange Act. As a result of the spinoff, we will be directly subject to reporting and other obligations under the Exchange Act, including the requirements of Section 404 of the Sarbanes-Oxley Act of 2002. These reporting and other obligations will place significant demands on our management and administrative and operational resources, including accounting resources. To comply with these requirements, we anticipate that we will need to upgrade our systems, including information technology, implement additional financial and management controls, reporting systems and procedures and hire additional accounting and finance staff. We expect to incur additional annual expenses related to these steps, and those expenses may be significant. If we are unable to upgrade our financial and management controls, reporting systems, information technology and procedures in a timely and effective fashion, our ability to comply with our financial reporting requirements and other rules that apply to reporting companies under the Exchange Act could be impaired. Any failure to achieve and maintain effective internal controls could have a material adverse effect on our business, financial condition, results of operations and cash flows.</w:t>
      </w:r>
    </w:p>
    <w:p>
      <w:pPr>
        <w:spacing w:after="0" w:line="210" w:lineRule="exact"/>
        <w:rPr>
          <w:sz w:val="20"/>
          <w:szCs w:val="20"/>
          <w:color w:val="auto"/>
        </w:rPr>
      </w:pPr>
    </w:p>
    <w:p>
      <w:pPr>
        <w:ind w:right="460"/>
        <w:spacing w:after="0" w:line="277" w:lineRule="auto"/>
        <w:rPr>
          <w:sz w:val="20"/>
          <w:szCs w:val="20"/>
          <w:color w:val="auto"/>
        </w:rPr>
      </w:pPr>
      <w:r>
        <w:rPr>
          <w:rFonts w:ascii="Arial" w:cs="Arial" w:eastAsia="Arial" w:hAnsi="Arial"/>
          <w:sz w:val="18"/>
          <w:szCs w:val="18"/>
          <w:b w:val="1"/>
          <w:bCs w:val="1"/>
          <w:i w:val="1"/>
          <w:iCs w:val="1"/>
          <w:color w:val="auto"/>
        </w:rPr>
        <w:t>Several members of our board of directors and management may have actual or potential conflicts of interest because of their ownership of Timken common shares or their current or prior relationships with Timken.</w:t>
      </w:r>
    </w:p>
    <w:p>
      <w:pPr>
        <w:spacing w:after="0" w:line="211" w:lineRule="exact"/>
        <w:rPr>
          <w:sz w:val="20"/>
          <w:szCs w:val="20"/>
          <w:color w:val="auto"/>
        </w:rPr>
      </w:pPr>
    </w:p>
    <w:p>
      <w:pPr>
        <w:ind w:right="100" w:firstLine="913"/>
        <w:spacing w:after="0" w:line="276" w:lineRule="auto"/>
        <w:rPr>
          <w:sz w:val="20"/>
          <w:szCs w:val="20"/>
          <w:color w:val="auto"/>
        </w:rPr>
      </w:pPr>
      <w:r>
        <w:rPr>
          <w:rFonts w:ascii="Arial" w:cs="Arial" w:eastAsia="Arial" w:hAnsi="Arial"/>
          <w:sz w:val="17"/>
          <w:szCs w:val="17"/>
          <w:color w:val="auto"/>
        </w:rPr>
        <w:t>Several members of our board of directors and management own Timken common shares and/or options to purchase Timken common shares because of their current or prior relationships with Timken, which could create, or appear to create, potential conflicts of interest when our directors and executive officers are faced with decisions that could have different implications for us and Timken. It is possible that some of our directors might be current or former directors of Timken following the spinoff. This may create, or appear to create, potential conflicts of interest if these directors are faced with decisions that could have different implications for Timken then the decisions have for us. See “Management.”</w:t>
      </w:r>
    </w:p>
    <w:p>
      <w:pPr>
        <w:spacing w:after="0" w:line="20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Risks Relating to Our Industry and Our Business</w:t>
      </w:r>
    </w:p>
    <w:p>
      <w:pPr>
        <w:spacing w:after="0" w:line="297"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Competition in the steel industry, together with potential global overcapacity, could result in significant pricing pressure for our products.</w:t>
      </w:r>
    </w:p>
    <w:p>
      <w:pPr>
        <w:spacing w:after="0" w:line="277" w:lineRule="exact"/>
        <w:rPr>
          <w:sz w:val="20"/>
          <w:szCs w:val="20"/>
          <w:color w:val="auto"/>
        </w:rPr>
      </w:pPr>
    </w:p>
    <w:p>
      <w:pPr>
        <w:ind w:right="800" w:firstLine="913"/>
        <w:spacing w:after="0" w:line="277" w:lineRule="auto"/>
        <w:rPr>
          <w:sz w:val="20"/>
          <w:szCs w:val="20"/>
          <w:color w:val="auto"/>
        </w:rPr>
      </w:pPr>
      <w:r>
        <w:rPr>
          <w:rFonts w:ascii="Arial" w:cs="Arial" w:eastAsia="Arial" w:hAnsi="Arial"/>
          <w:sz w:val="18"/>
          <w:szCs w:val="18"/>
          <w:color w:val="auto"/>
        </w:rPr>
        <w:t>Competition within the steel industry, both domestically and worldwide, is intense and is expected to remain so. The steel industry has historically been characterized by periods of excess global capacity and supply. Excess global capacity and</w:t>
      </w:r>
    </w:p>
    <w:p>
      <w:pPr>
        <w:spacing w:after="0" w:line="103"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11</w:t>
      </w:r>
    </w:p>
    <w:p>
      <w:pPr>
        <w:sectPr>
          <w:pgSz w:w="11900" w:h="16838" w:orient="portrait"/>
          <w:cols w:equalWidth="0" w:num="1">
            <w:col w:w="11400"/>
          </w:cols>
          <w:pgMar w:left="240" w:top="459" w:right="259" w:bottom="1440" w:gutter="0" w:footer="0" w:header="0"/>
        </w:sectPr>
      </w:pPr>
    </w:p>
    <w:bookmarkStart w:id="17" w:name="page18"/>
    <w:bookmarkEnd w:id="1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120"/>
        <w:spacing w:after="0" w:line="297" w:lineRule="auto"/>
        <w:rPr>
          <w:sz w:val="20"/>
          <w:szCs w:val="20"/>
          <w:color w:val="auto"/>
        </w:rPr>
      </w:pPr>
      <w:r>
        <w:rPr>
          <w:rFonts w:ascii="Arial" w:cs="Arial" w:eastAsia="Arial" w:hAnsi="Arial"/>
          <w:sz w:val="16"/>
          <w:szCs w:val="16"/>
          <w:color w:val="auto"/>
        </w:rPr>
        <w:t>supply has, and could continue to, negatively affected domestic steel prices, which could adversely impact our results of operations and financial condition. High levels of steel imports into the United States could exacerbate the decrease in domestic steel prices. In particular, steel production in China, the world’s largest producer and consumer of steel, continues to exceed Chinese demand. This overcapacity in China has the potential to result in a further increase in imports of low-priced steel and steel products to the United States that could put our steel products at a competitive disadvantage. A continuation of this imbalance or a significant decrease in China’s rate of economic expansion could result in increasing steel exports from China.</w:t>
      </w:r>
    </w:p>
    <w:p>
      <w:pPr>
        <w:spacing w:after="0" w:line="199" w:lineRule="exact"/>
        <w:rPr>
          <w:sz w:val="20"/>
          <w:szCs w:val="20"/>
          <w:color w:val="auto"/>
        </w:rPr>
      </w:pPr>
    </w:p>
    <w:p>
      <w:pPr>
        <w:ind w:firstLine="913"/>
        <w:spacing w:after="0" w:line="308" w:lineRule="auto"/>
        <w:rPr>
          <w:sz w:val="20"/>
          <w:szCs w:val="20"/>
          <w:color w:val="auto"/>
        </w:rPr>
      </w:pPr>
      <w:r>
        <w:rPr>
          <w:rFonts w:ascii="Arial" w:cs="Arial" w:eastAsia="Arial" w:hAnsi="Arial"/>
          <w:sz w:val="17"/>
          <w:szCs w:val="17"/>
          <w:color w:val="auto"/>
        </w:rPr>
        <w:t>Additionally, in many applications, steel competes with other materials, such as concrete, aluminum, composites, plastic and wood. Increased use of these materials in substitution for steel products could have a material adverse effect on prices and demand for our steel products.</w:t>
      </w:r>
    </w:p>
    <w:p>
      <w:pPr>
        <w:spacing w:after="0" w:line="187" w:lineRule="exact"/>
        <w:rPr>
          <w:sz w:val="20"/>
          <w:szCs w:val="20"/>
          <w:color w:val="auto"/>
        </w:rPr>
      </w:pPr>
    </w:p>
    <w:p>
      <w:pPr>
        <w:ind w:right="380"/>
        <w:spacing w:after="0" w:line="277" w:lineRule="auto"/>
        <w:rPr>
          <w:sz w:val="20"/>
          <w:szCs w:val="20"/>
          <w:color w:val="auto"/>
        </w:rPr>
      </w:pPr>
      <w:r>
        <w:rPr>
          <w:rFonts w:ascii="Arial" w:cs="Arial" w:eastAsia="Arial" w:hAnsi="Arial"/>
          <w:sz w:val="18"/>
          <w:szCs w:val="18"/>
          <w:b w:val="1"/>
          <w:bCs w:val="1"/>
          <w:i w:val="1"/>
          <w:iCs w:val="1"/>
          <w:color w:val="auto"/>
        </w:rPr>
        <w:t>Any change in the operation of our raw material surcharge mechanisms, a raw material market index or the availability or cost of raw materials and energy resources could materially affect our revenues and earnings.</w:t>
      </w:r>
    </w:p>
    <w:p>
      <w:pPr>
        <w:spacing w:after="0" w:line="197" w:lineRule="exact"/>
        <w:rPr>
          <w:sz w:val="20"/>
          <w:szCs w:val="20"/>
          <w:color w:val="auto"/>
        </w:rPr>
      </w:pPr>
    </w:p>
    <w:p>
      <w:pPr>
        <w:ind w:right="20" w:firstLine="913"/>
        <w:spacing w:after="0" w:line="255" w:lineRule="auto"/>
        <w:rPr>
          <w:sz w:val="20"/>
          <w:szCs w:val="20"/>
          <w:color w:val="auto"/>
        </w:rPr>
      </w:pPr>
      <w:r>
        <w:rPr>
          <w:rFonts w:ascii="Arial" w:cs="Arial" w:eastAsia="Arial" w:hAnsi="Arial"/>
          <w:sz w:val="18"/>
          <w:szCs w:val="18"/>
          <w:color w:val="auto"/>
        </w:rPr>
        <w:t>We require substantial amounts of raw materials, including scrap metal and alloys and natural gas, to operate our business. Many of our customer contracts contain surcharge pricing provisions that are designed to enable us to recover raw material cost increases. The surcharges are generally tied to a widely-available market index for that specific raw material. Recently, many of the widely-available raw material market indices have experienced wide fluctuations. Any change in a raw material market index could materially affect our revenues. Any change in the relationship between the market indices and our underlying costs could materially affect our earnings. Any change in our projected year-end input costs could materially affect our last-in, first-out, or LIFO, inventory valuation method and earnings.</w:t>
      </w:r>
    </w:p>
    <w:p>
      <w:pPr>
        <w:spacing w:after="0" w:line="234" w:lineRule="exact"/>
        <w:rPr>
          <w:sz w:val="20"/>
          <w:szCs w:val="20"/>
          <w:color w:val="auto"/>
        </w:rPr>
      </w:pPr>
    </w:p>
    <w:p>
      <w:pPr>
        <w:ind w:right="60" w:firstLine="913"/>
        <w:spacing w:after="0" w:line="255" w:lineRule="auto"/>
        <w:rPr>
          <w:sz w:val="20"/>
          <w:szCs w:val="20"/>
          <w:color w:val="auto"/>
        </w:rPr>
      </w:pPr>
      <w:r>
        <w:rPr>
          <w:rFonts w:ascii="Arial" w:cs="Arial" w:eastAsia="Arial" w:hAnsi="Arial"/>
          <w:sz w:val="18"/>
          <w:szCs w:val="18"/>
          <w:color w:val="auto"/>
        </w:rPr>
        <w:t>A rapid rise in raw material costs could have a negative effect on our operating results. Since we value the majority of our inventory utilizing the LIFO inventory valuation method, changes in the cost of raw materials and production activities are recognized in cost of products sold in the current period even though these material and other costs may have been incurred at significantly different values due to the length of time of our production cycle. In a period of rising prices, cost of products sold expense recognized under LIFO is generally higher than the cash costs incurred to acquire the inventory sold. Conversely, in a period of declining raw material prices, cost of sales recognized under LIFO is generally lower than cash costs incurred to acquire the inventory sold.</w:t>
      </w:r>
    </w:p>
    <w:p>
      <w:pPr>
        <w:spacing w:after="0" w:line="234" w:lineRule="exact"/>
        <w:rPr>
          <w:sz w:val="20"/>
          <w:szCs w:val="20"/>
          <w:color w:val="auto"/>
        </w:rPr>
      </w:pPr>
    </w:p>
    <w:p>
      <w:pPr>
        <w:ind w:right="40" w:firstLine="913"/>
        <w:spacing w:after="0" w:line="264" w:lineRule="auto"/>
        <w:rPr>
          <w:sz w:val="20"/>
          <w:szCs w:val="20"/>
          <w:color w:val="auto"/>
        </w:rPr>
      </w:pPr>
      <w:r>
        <w:rPr>
          <w:rFonts w:ascii="Arial" w:cs="Arial" w:eastAsia="Arial" w:hAnsi="Arial"/>
          <w:sz w:val="18"/>
          <w:szCs w:val="18"/>
          <w:color w:val="auto"/>
        </w:rPr>
        <w:t>Moreover, future disruptions in the supply of our raw materials could impair our ability to manufacture our products for our customers or require us to pay higher prices in order to obtain these raw materials from other sources, and could thereby affect our sales and profitability. Any increase in the prices for such raw materials could materially affect our costs and therefore our earnings.</w:t>
      </w:r>
    </w:p>
    <w:p>
      <w:pPr>
        <w:spacing w:after="0" w:line="208" w:lineRule="exact"/>
        <w:rPr>
          <w:sz w:val="20"/>
          <w:szCs w:val="20"/>
          <w:color w:val="auto"/>
        </w:rPr>
      </w:pPr>
    </w:p>
    <w:p>
      <w:pPr>
        <w:jc w:val="both"/>
        <w:ind w:right="40" w:firstLine="913"/>
        <w:spacing w:after="0" w:line="297" w:lineRule="auto"/>
        <w:rPr>
          <w:sz w:val="20"/>
          <w:szCs w:val="20"/>
          <w:color w:val="auto"/>
        </w:rPr>
      </w:pPr>
      <w:r>
        <w:rPr>
          <w:rFonts w:ascii="Arial" w:cs="Arial" w:eastAsia="Arial" w:hAnsi="Arial"/>
          <w:sz w:val="16"/>
          <w:szCs w:val="16"/>
          <w:color w:val="auto"/>
        </w:rPr>
        <w:t>We rely to a substantial extent on third parties to supply certain raw materials that are critical to the manufacture of our products. Purchase prices and availability of these critical raw materials are subject to volatility. At any given time we may be unable to obtain an adequate supply of these critical raw materials on a timely basis, on acceptable price and other terms, or at all. If suppliers increase the price of critical raw materials, we may not have alternative sources of supply. In addition, to the extent that we have quoted prices to customers and accepted customer orders for products prior to purchasing necessary raw materials, or have existing contracts, we may be unable to raise the price of products to cover all or part of the increased cost of the raw materials.</w:t>
      </w:r>
    </w:p>
    <w:p>
      <w:pPr>
        <w:spacing w:after="0" w:line="199" w:lineRule="exact"/>
        <w:rPr>
          <w:sz w:val="20"/>
          <w:szCs w:val="20"/>
          <w:color w:val="auto"/>
        </w:rPr>
      </w:pPr>
    </w:p>
    <w:p>
      <w:pPr>
        <w:ind w:right="220"/>
        <w:spacing w:after="0" w:line="277" w:lineRule="auto"/>
        <w:rPr>
          <w:sz w:val="20"/>
          <w:szCs w:val="20"/>
          <w:color w:val="auto"/>
        </w:rPr>
      </w:pPr>
      <w:r>
        <w:rPr>
          <w:rFonts w:ascii="Arial" w:cs="Arial" w:eastAsia="Arial" w:hAnsi="Arial"/>
          <w:sz w:val="18"/>
          <w:szCs w:val="18"/>
          <w:b w:val="1"/>
          <w:bCs w:val="1"/>
          <w:i w:val="1"/>
          <w:iCs w:val="1"/>
          <w:color w:val="auto"/>
        </w:rPr>
        <w:t>Our operating results depend in part on continued successful research, development and marketing of new and/or improved products and services, and there can be no assurance that we will continue to successfully introduce new products and services.</w:t>
      </w:r>
    </w:p>
    <w:p>
      <w:pPr>
        <w:spacing w:after="0" w:line="211" w:lineRule="exact"/>
        <w:rPr>
          <w:sz w:val="20"/>
          <w:szCs w:val="20"/>
          <w:color w:val="auto"/>
        </w:rPr>
      </w:pPr>
    </w:p>
    <w:p>
      <w:pPr>
        <w:ind w:right="20" w:firstLine="913"/>
        <w:spacing w:after="0" w:line="302" w:lineRule="auto"/>
        <w:rPr>
          <w:sz w:val="20"/>
          <w:szCs w:val="20"/>
          <w:color w:val="auto"/>
        </w:rPr>
      </w:pPr>
      <w:r>
        <w:rPr>
          <w:rFonts w:ascii="Arial" w:cs="Arial" w:eastAsia="Arial" w:hAnsi="Arial"/>
          <w:sz w:val="16"/>
          <w:szCs w:val="16"/>
          <w:color w:val="auto"/>
        </w:rPr>
        <w:t>The success of new and improved products and services depends on their initial and continued acceptance by our customers. Our business is affected, to varying degrees, by technological change and corresponding shifts in customer demand, which could result in unpredictable product transitions or shortened life cycles. We may experience difficulties or delays in the research, development, production, or marketing of new products and services that may prevent us from recouping or realizing a return on the investments required to bring new products and services to market.</w:t>
      </w:r>
    </w:p>
    <w:p>
      <w:pPr>
        <w:spacing w:after="0" w:line="181" w:lineRule="exact"/>
        <w:rPr>
          <w:sz w:val="20"/>
          <w:szCs w:val="20"/>
          <w:color w:val="auto"/>
        </w:rPr>
      </w:pPr>
    </w:p>
    <w:p>
      <w:pPr>
        <w:ind w:firstLine="913"/>
        <w:spacing w:after="0" w:line="291" w:lineRule="auto"/>
        <w:rPr>
          <w:sz w:val="20"/>
          <w:szCs w:val="20"/>
          <w:color w:val="auto"/>
        </w:rPr>
      </w:pPr>
      <w:r>
        <w:rPr>
          <w:rFonts w:ascii="Arial" w:cs="Arial" w:eastAsia="Arial" w:hAnsi="Arial"/>
          <w:sz w:val="16"/>
          <w:szCs w:val="16"/>
          <w:color w:val="auto"/>
        </w:rPr>
        <w:t>New technologies in the steel industry may: (a) improve cost competitiveness; (b) increase production capabilities; or (c) improve operational efficiency compared to our current production methods. However, we may not have sufficient capital to invest in such technologies or to make certain capital improvements, and may, from time to time, incur cost over-runs and difficulties adapting and fully integrating these technologies or capital improvements into our existing operations. We may also encounter control or production restrictions, or not realize the cost benefit from such capital intensive technology adaptations or capital improvements to our current production processes. Customers continue to demand stronger and lighter products, among other adaptations to traditional products. We may not be successful in meeting these technological challenges and there may be increased liability exposure connected with the supply of additional products and services or an adverse impact to our results of operations and profitability.</w:t>
      </w:r>
    </w:p>
    <w:p>
      <w:pPr>
        <w:spacing w:after="0" w:line="10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12</w:t>
      </w:r>
    </w:p>
    <w:p>
      <w:pPr>
        <w:sectPr>
          <w:pgSz w:w="11900" w:h="16838" w:orient="portrait"/>
          <w:cols w:equalWidth="0" w:num="1">
            <w:col w:w="11400"/>
          </w:cols>
          <w:pgMar w:left="240" w:top="459" w:right="259" w:bottom="1440" w:gutter="0" w:footer="0" w:header="0"/>
        </w:sectPr>
      </w:pPr>
    </w:p>
    <w:bookmarkStart w:id="18" w:name="page19"/>
    <w:bookmarkEnd w:id="1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260"/>
        <w:spacing w:after="0" w:line="264" w:lineRule="auto"/>
        <w:rPr>
          <w:sz w:val="20"/>
          <w:szCs w:val="20"/>
          <w:color w:val="auto"/>
        </w:rPr>
      </w:pPr>
      <w:r>
        <w:rPr>
          <w:rFonts w:ascii="Arial" w:cs="Arial" w:eastAsia="Arial" w:hAnsi="Arial"/>
          <w:sz w:val="18"/>
          <w:szCs w:val="18"/>
          <w:b w:val="1"/>
          <w:bCs w:val="1"/>
          <w:i w:val="1"/>
          <w:iCs w:val="1"/>
          <w:color w:val="auto"/>
        </w:rPr>
        <w:t>Our business is capital intensive, and if there are downturns in the industries that we serve, we may be forced to significantly curtail or suspend operations with respect to those industries, which could result in our recording asset impairment charges or taking other measures that may adversely affect our results of operations and profitability.</w:t>
      </w:r>
    </w:p>
    <w:p>
      <w:pPr>
        <w:spacing w:after="0" w:line="222" w:lineRule="exact"/>
        <w:rPr>
          <w:sz w:val="20"/>
          <w:szCs w:val="20"/>
          <w:color w:val="auto"/>
        </w:rPr>
      </w:pPr>
    </w:p>
    <w:p>
      <w:pPr>
        <w:ind w:right="80" w:firstLine="913"/>
        <w:spacing w:after="0" w:line="279" w:lineRule="auto"/>
        <w:rPr>
          <w:sz w:val="20"/>
          <w:szCs w:val="20"/>
          <w:color w:val="auto"/>
        </w:rPr>
      </w:pPr>
      <w:r>
        <w:rPr>
          <w:rFonts w:ascii="Arial" w:cs="Arial" w:eastAsia="Arial" w:hAnsi="Arial"/>
          <w:sz w:val="17"/>
          <w:szCs w:val="17"/>
          <w:color w:val="auto"/>
        </w:rPr>
        <w:t>Our business operations are capital intensive, and we devote a significant amount of capital to certain industries. If there are downturns in the industries that we serve, we may be forced to significantly curtail or suspend our operations with respect to those industries, including laying-off employees, recording asset impairment charges and other measures. In addition, we may not realize the benefits or expected returns from announced plans, programs, initiatives and capital investments. Any of these events could adversely affect our results of operations and profitability.</w:t>
      </w:r>
    </w:p>
    <w:p>
      <w:pPr>
        <w:spacing w:after="0" w:line="21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are dependent on our key customers.</w:t>
      </w:r>
    </w:p>
    <w:p>
      <w:pPr>
        <w:spacing w:after="0" w:line="252" w:lineRule="exact"/>
        <w:rPr>
          <w:sz w:val="20"/>
          <w:szCs w:val="20"/>
          <w:color w:val="auto"/>
        </w:rPr>
      </w:pPr>
    </w:p>
    <w:p>
      <w:pPr>
        <w:ind w:firstLine="913"/>
        <w:spacing w:after="0" w:line="271" w:lineRule="auto"/>
        <w:rPr>
          <w:sz w:val="20"/>
          <w:szCs w:val="20"/>
          <w:color w:val="auto"/>
        </w:rPr>
      </w:pPr>
      <w:r>
        <w:rPr>
          <w:rFonts w:ascii="Arial" w:cs="Arial" w:eastAsia="Arial" w:hAnsi="Arial"/>
          <w:sz w:val="17"/>
          <w:szCs w:val="17"/>
          <w:color w:val="auto"/>
        </w:rPr>
        <w:t>For the year ended December 31, 2013, intercompany sales to Timken (our largest customer), sales to our 10 largest customers (including Timken), and sales to our 20 largest customers (including Timken) accounted for approximately 5%, 43% and 61% of our net sales, respectively. Sales to Timken included above only include direct sales; they do not include indirect sales that, for example, are sold to third-party forge and machining suppliers who convert raw materials into forgings, green rings or wire rod that are then sold to Timken. Due to competitive pressures, we face the risk of losing key customers. As a result of our dependence on our key customers, we could experience a material adverse effect on our business, financial condition and results of operations if any of the following, among other things, were to occur: (a) a loss of any key customer, or a material amount of business from such key customer; (b) the insolvency or bankruptcy of any key customer; (c) a declining market in which customers reduce orders; or (d) a strike or work stoppage at a key customer facility, which could affect both its suppliers and customers.</w:t>
      </w:r>
    </w:p>
    <w:p>
      <w:pPr>
        <w:spacing w:after="0" w:line="219" w:lineRule="exact"/>
        <w:rPr>
          <w:sz w:val="20"/>
          <w:szCs w:val="20"/>
          <w:color w:val="auto"/>
        </w:rPr>
      </w:pPr>
    </w:p>
    <w:p>
      <w:pPr>
        <w:ind w:right="200"/>
        <w:spacing w:after="0" w:line="264" w:lineRule="auto"/>
        <w:rPr>
          <w:sz w:val="20"/>
          <w:szCs w:val="20"/>
          <w:color w:val="auto"/>
        </w:rPr>
      </w:pPr>
      <w:r>
        <w:rPr>
          <w:rFonts w:ascii="Arial" w:cs="Arial" w:eastAsia="Arial" w:hAnsi="Arial"/>
          <w:sz w:val="18"/>
          <w:szCs w:val="18"/>
          <w:b w:val="1"/>
          <w:bCs w:val="1"/>
          <w:i w:val="1"/>
          <w:iCs w:val="1"/>
          <w:color w:val="auto"/>
        </w:rPr>
        <w:t>Weakness in global economic conditions or in any of the industries or geographic regions in which we or our customers operate, as well as the cyclical nature of our customers’ businesses generally or sustained uncertainty in financial markets, could adversely impact our revenues and profitability by reducing demand and margins.</w:t>
      </w:r>
    </w:p>
    <w:p>
      <w:pPr>
        <w:spacing w:after="0" w:line="222" w:lineRule="exact"/>
        <w:rPr>
          <w:sz w:val="20"/>
          <w:szCs w:val="20"/>
          <w:color w:val="auto"/>
        </w:rPr>
      </w:pPr>
    </w:p>
    <w:p>
      <w:pPr>
        <w:ind w:right="120" w:firstLine="913"/>
        <w:spacing w:after="0" w:line="257" w:lineRule="auto"/>
        <w:rPr>
          <w:sz w:val="20"/>
          <w:szCs w:val="20"/>
          <w:color w:val="auto"/>
        </w:rPr>
      </w:pPr>
      <w:r>
        <w:rPr>
          <w:rFonts w:ascii="Arial" w:cs="Arial" w:eastAsia="Arial" w:hAnsi="Arial"/>
          <w:sz w:val="18"/>
          <w:szCs w:val="18"/>
          <w:color w:val="auto"/>
        </w:rPr>
        <w:t>Our results of operations may be materially affected by the conditions in the global economy generally and in global capital markets. There has been extreme volatility in the capital markets and in the end markets and geographic regions in which we or our customers operate, which has negatively affected our revenues. Many of the markets in which our customers participate are also cyclical in nature and experience significant fluctuations in demand for our steel products based on economic conditions, consumer demand, raw material and energy costs, and government actions. Many of these factors are beyond our control.</w:t>
      </w:r>
    </w:p>
    <w:p>
      <w:pPr>
        <w:spacing w:after="0" w:line="215" w:lineRule="exact"/>
        <w:rPr>
          <w:sz w:val="20"/>
          <w:szCs w:val="20"/>
          <w:color w:val="auto"/>
        </w:rPr>
      </w:pPr>
    </w:p>
    <w:p>
      <w:pPr>
        <w:ind w:right="80" w:firstLine="913"/>
        <w:spacing w:after="0" w:line="289" w:lineRule="auto"/>
        <w:rPr>
          <w:sz w:val="20"/>
          <w:szCs w:val="20"/>
          <w:color w:val="auto"/>
        </w:rPr>
      </w:pPr>
      <w:r>
        <w:rPr>
          <w:rFonts w:ascii="Arial" w:cs="Arial" w:eastAsia="Arial" w:hAnsi="Arial"/>
          <w:sz w:val="16"/>
          <w:szCs w:val="16"/>
          <w:color w:val="auto"/>
        </w:rPr>
        <w:t>A decline in consumer and business confidence and spending, together with severe reductions in the availability and cost of credit, as well as volatility in the capital and credit markets, could adversely affect the business and economic environment in which we operate and the profitability of our business. We are also exposed to risks associated with the creditworthiness of our suppliers and customers. If the availability of credit to fund or support the continuation and expansion of our customers’ business operations is curtailed or if the cost of that credit is increased, the resulting inability of our customers or of their customers to either access credit or absorb the increased cost of that credit could adversely affect our business by reducing our sales or by increasing our exposure to losses from uncollectible customer accounts. These conditions and a disruption of the credit markets could also result in financial instability of some of our suppliers and customers. The consequences of such adverse effects could include the interruption of production at the facilities of our customers, the reduction, delay or cancellation of customer orders, delays or interruptions of the supply of raw materials we purchase, and bankruptcy of customers, suppliers or other creditors. Any of these events could adversely affect our profitability, cash flow and financial condition.</w:t>
      </w:r>
    </w:p>
    <w:p>
      <w:pPr>
        <w:spacing w:after="0" w:line="207" w:lineRule="exact"/>
        <w:rPr>
          <w:sz w:val="20"/>
          <w:szCs w:val="20"/>
          <w:color w:val="auto"/>
        </w:rPr>
      </w:pPr>
    </w:p>
    <w:p>
      <w:pPr>
        <w:ind w:right="440"/>
        <w:spacing w:after="0" w:line="277" w:lineRule="auto"/>
        <w:rPr>
          <w:sz w:val="20"/>
          <w:szCs w:val="20"/>
          <w:color w:val="auto"/>
        </w:rPr>
      </w:pPr>
      <w:r>
        <w:rPr>
          <w:rFonts w:ascii="Arial" w:cs="Arial" w:eastAsia="Arial" w:hAnsi="Arial"/>
          <w:sz w:val="18"/>
          <w:szCs w:val="18"/>
          <w:b w:val="1"/>
          <w:bCs w:val="1"/>
          <w:i w:val="1"/>
          <w:iCs w:val="1"/>
          <w:color w:val="auto"/>
        </w:rPr>
        <w:t>Our capital resources may not be adequate to provide for all of our cash requirements, and we are exposed to risks associated with financial, credit, capital and banking markets.</w:t>
      </w:r>
    </w:p>
    <w:p>
      <w:pPr>
        <w:spacing w:after="0" w:line="211" w:lineRule="exact"/>
        <w:rPr>
          <w:sz w:val="20"/>
          <w:szCs w:val="20"/>
          <w:color w:val="auto"/>
        </w:rPr>
      </w:pPr>
    </w:p>
    <w:p>
      <w:pPr>
        <w:ind w:right="40" w:firstLine="913"/>
        <w:spacing w:after="0" w:line="259" w:lineRule="auto"/>
        <w:rPr>
          <w:sz w:val="20"/>
          <w:szCs w:val="20"/>
          <w:color w:val="auto"/>
        </w:rPr>
      </w:pPr>
      <w:r>
        <w:rPr>
          <w:rFonts w:ascii="Arial" w:cs="Arial" w:eastAsia="Arial" w:hAnsi="Arial"/>
          <w:sz w:val="18"/>
          <w:szCs w:val="18"/>
          <w:color w:val="auto"/>
        </w:rPr>
        <w:t>In the ordinary course of business, we will seek to access competitive financial, credit, capital and/or banking markets. Currently, we believe we have adequate access to these markets to meet our reasonably anticipated business needs based on our historic financial performance, as well as our expected continued strong financial position. To the extent our access to competitive financial, credit, capital and/or banking markets was to be impaired, our operations, financial results and cash flows could be adversely impacted.</w:t>
      </w:r>
    </w:p>
    <w:p>
      <w:pPr>
        <w:sectPr>
          <w:pgSz w:w="11900" w:h="16838" w:orient="portrait"/>
          <w:cols w:equalWidth="0" w:num="1">
            <w:col w:w="11360"/>
          </w:cols>
          <w:pgMar w:left="240" w:top="459" w:right="299" w:bottom="1440" w:gutter="0" w:footer="0" w:header="0"/>
        </w:sectPr>
      </w:pPr>
    </w:p>
    <w:bookmarkStart w:id="19" w:name="page20"/>
    <w:bookmarkEnd w:id="19"/>
    <w:p>
      <w:pPr>
        <w:ind w:right="520"/>
        <w:spacing w:after="0" w:line="277" w:lineRule="auto"/>
        <w:rPr>
          <w:sz w:val="20"/>
          <w:szCs w:val="20"/>
          <w:color w:val="auto"/>
        </w:rPr>
      </w:pPr>
      <w:r>
        <w:rPr>
          <w:rFonts w:ascii="Arial" w:cs="Arial" w:eastAsia="Arial" w:hAnsi="Arial"/>
          <w:sz w:val="18"/>
          <w:szCs w:val="18"/>
          <w:b w:val="1"/>
          <w:bCs w:val="1"/>
          <w:i w:val="1"/>
          <w:iCs w:val="1"/>
          <w:color w:val="auto"/>
        </w:rPr>
        <w:t>The funded status of obligations under defined benefit, pension plans and other postretirement plans that we expect to assume from Timken on the distribution date may cause a significant reduction in our shareholders’ equity in the future.</w:t>
      </w:r>
    </w:p>
    <w:p>
      <w:pPr>
        <w:spacing w:after="0" w:line="211" w:lineRule="exact"/>
        <w:rPr>
          <w:sz w:val="20"/>
          <w:szCs w:val="20"/>
          <w:color w:val="auto"/>
        </w:rPr>
      </w:pPr>
    </w:p>
    <w:p>
      <w:pPr>
        <w:ind w:right="180" w:firstLine="913"/>
        <w:spacing w:after="0" w:line="255" w:lineRule="auto"/>
        <w:rPr>
          <w:sz w:val="20"/>
          <w:szCs w:val="20"/>
          <w:color w:val="auto"/>
        </w:rPr>
      </w:pPr>
      <w:r>
        <w:rPr>
          <w:rFonts w:ascii="Arial" w:cs="Arial" w:eastAsia="Arial" w:hAnsi="Arial"/>
          <w:sz w:val="18"/>
          <w:szCs w:val="18"/>
          <w:color w:val="auto"/>
        </w:rPr>
        <w:t>The funded status of obligations under defined benefit, pension plans and other postretirement plans that we expect to assume from Timken on the distribution date may require us to make large contributions to such plans. We cannot predict whether changing economic conditions, the future performance of assets in the plans or other factors will lead us or require us to make contributions in excess of our current expectations, diverting funds we would otherwise apply to other uses. In addition, we may be required to record charges related to pension and other postretirement liabilities as a result of unfavorable asset returns, discount rate changes or other actuarial adjustments. These charges may be significant and would cause a significant reduction in our shareholders’ equity and earnings.</w:t>
      </w:r>
    </w:p>
    <w:p>
      <w:pPr>
        <w:spacing w:after="0" w:line="220" w:lineRule="exact"/>
        <w:rPr>
          <w:sz w:val="20"/>
          <w:szCs w:val="20"/>
          <w:color w:val="auto"/>
        </w:rPr>
      </w:pPr>
    </w:p>
    <w:p>
      <w:pPr>
        <w:jc w:val="both"/>
        <w:ind w:right="380"/>
        <w:spacing w:after="0" w:line="264" w:lineRule="auto"/>
        <w:rPr>
          <w:sz w:val="20"/>
          <w:szCs w:val="20"/>
          <w:color w:val="auto"/>
        </w:rPr>
      </w:pPr>
      <w:r>
        <w:rPr>
          <w:rFonts w:ascii="Arial" w:cs="Arial" w:eastAsia="Arial" w:hAnsi="Arial"/>
          <w:sz w:val="18"/>
          <w:szCs w:val="18"/>
          <w:b w:val="1"/>
          <w:bCs w:val="1"/>
          <w:i w:val="1"/>
          <w:iCs w:val="1"/>
          <w:color w:val="auto"/>
        </w:rPr>
        <w:t>Our obligations for defined benefit plan assets and liabilities to be assumed from Timken on the distribution date are expected to be substantial and expenses and contributions related to those plans are affected by factors outside our control, including the performance of plan assets, interest rates, actuarial data and experience, and changes in laws and regulations.</w:t>
      </w:r>
    </w:p>
    <w:p>
      <w:pPr>
        <w:spacing w:after="0" w:line="222" w:lineRule="exact"/>
        <w:rPr>
          <w:sz w:val="20"/>
          <w:szCs w:val="20"/>
          <w:color w:val="auto"/>
        </w:rPr>
      </w:pPr>
    </w:p>
    <w:p>
      <w:pPr>
        <w:ind w:firstLine="913"/>
        <w:spacing w:after="0" w:line="253" w:lineRule="auto"/>
        <w:rPr>
          <w:sz w:val="20"/>
          <w:szCs w:val="20"/>
          <w:color w:val="auto"/>
        </w:rPr>
      </w:pPr>
      <w:r>
        <w:rPr>
          <w:rFonts w:ascii="Arial" w:cs="Arial" w:eastAsia="Arial" w:hAnsi="Arial"/>
          <w:sz w:val="18"/>
          <w:szCs w:val="18"/>
          <w:color w:val="auto"/>
        </w:rPr>
        <w:t>The net benefit plan liabilities that we expect to assume from Timken on the distribution date are estimated to be approximately $56.8 million. However, our future expense and funding obligations for the defined benefit pension plans depend upon a number of factors, including the level of benefits provided for by the plans, the future performance of assets set aside in trusts for these plans, the level of interest rates used to determine the discount rate to calculate the amount of liabilities, actuarial data and experience and any changes in government laws and regulations. In addition, if the various investments held by our pension trusts do not perform as expected or the liabilities increase as a result of discount rates and other actuarial changes, our pension expense and required contributions would increase and, as a result, could materially adversely affect our business. Due to the value of our defined benefit plan assets and liabilities, even a minor decrease in interest rates, to the extent not offset by contributions or asset returns, could increase our obligations under such plans. We may be legally required to make contributions to the pension plans in the future in excess of our current expectations, and those contributions could be material.</w:t>
      </w:r>
    </w:p>
    <w:p>
      <w:pPr>
        <w:spacing w:after="0" w:line="130"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13</w:t>
      </w:r>
    </w:p>
    <w:p>
      <w:pPr>
        <w:sectPr>
          <w:pgSz w:w="11900" w:h="16838" w:orient="portrait"/>
          <w:cols w:equalWidth="0" w:num="1">
            <w:col w:w="11380"/>
          </w:cols>
          <w:pgMar w:left="240" w:top="125" w:right="279" w:bottom="1440" w:gutter="0" w:footer="0" w:header="0"/>
        </w:sectPr>
      </w:pPr>
    </w:p>
    <w:bookmarkStart w:id="20" w:name="page21"/>
    <w:bookmarkEnd w:id="2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Product liability, warranty and product quality claims could adversely affect our operating results.</w:t>
      </w:r>
    </w:p>
    <w:p>
      <w:pPr>
        <w:spacing w:after="0" w:line="266" w:lineRule="exact"/>
        <w:rPr>
          <w:sz w:val="20"/>
          <w:szCs w:val="20"/>
          <w:color w:val="auto"/>
        </w:rPr>
      </w:pPr>
    </w:p>
    <w:p>
      <w:pPr>
        <w:ind w:right="100" w:firstLine="913"/>
        <w:spacing w:after="0" w:line="257" w:lineRule="auto"/>
        <w:rPr>
          <w:sz w:val="20"/>
          <w:szCs w:val="20"/>
          <w:color w:val="auto"/>
        </w:rPr>
      </w:pPr>
      <w:r>
        <w:rPr>
          <w:rFonts w:ascii="Arial" w:cs="Arial" w:eastAsia="Arial" w:hAnsi="Arial"/>
          <w:sz w:val="18"/>
          <w:szCs w:val="18"/>
          <w:color w:val="auto"/>
        </w:rPr>
        <w:t>We produce high-performance carbon and alloy steel, sold as ingots, bars and tubes in a variety of chemistries, lengths and finishes designed for our customers’ demanding applications. Failure of the materials that are included in our customers’ applications could give rise to product liability or warranty claims. There can be no assurance that our insurance coverage will be adequate or continue to be available on terms acceptable to us. If we fail to meet the customer specifications for their products, we may be subject to product quality costs and claims. A successful warranty or product liability claim against us could have a material adverse effect on our earnings.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The cost and availability of electricity and natural gas are also subject to volatile market conditions.</w:t>
      </w:r>
    </w:p>
    <w:p>
      <w:pPr>
        <w:spacing w:after="0" w:line="252" w:lineRule="exact"/>
        <w:rPr>
          <w:sz w:val="20"/>
          <w:szCs w:val="20"/>
          <w:color w:val="auto"/>
        </w:rPr>
      </w:pPr>
    </w:p>
    <w:p>
      <w:pPr>
        <w:ind w:right="20" w:firstLine="913"/>
        <w:spacing w:after="0" w:line="253" w:lineRule="auto"/>
        <w:rPr>
          <w:sz w:val="20"/>
          <w:szCs w:val="20"/>
          <w:color w:val="auto"/>
        </w:rPr>
      </w:pPr>
      <w:r>
        <w:rPr>
          <w:rFonts w:ascii="Arial" w:cs="Arial" w:eastAsia="Arial" w:hAnsi="Arial"/>
          <w:sz w:val="18"/>
          <w:szCs w:val="18"/>
          <w:color w:val="auto"/>
        </w:rPr>
        <w:t>Steel producers like us consume large amounts of energy. We rely on third parties for the supply of energy resources we consume in our steelmaking activities. The prices for and availability of electricity, natural gas, oil and other energy resources are also subject to volatile market conditions, often affected by weather conditions as well as political and economic factors beyond our control. As large consumers of electricity and gas, we must have dependable delivery in order to operate. Accordingly, we are at risk in the event of an energy disruption. Prolonged black-outs or brown-outs or disruptions caused by natural disasters or by political considerations would substantially disrupt our production. Moreover, many of our finished steel products are delivered by truck. Unforeseen fluctuations in the price of fuel would also have a negative impact on our costs or on the costs of many of our customers. In addition, changes in certain environmental regulations in the United States, including those that may impose output limitations or higher costs associated with climate change or greenhouse gas emissions, could substantially increase the cost of manufacturing and raw materials, such as energy, to us and other U.S. steel producers.</w:t>
      </w:r>
    </w:p>
    <w:p>
      <w:pPr>
        <w:spacing w:after="0" w:line="23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may incur restructuring and impairment charges that could materially affect our profitability.</w:t>
      </w:r>
    </w:p>
    <w:p>
      <w:pPr>
        <w:spacing w:after="0" w:line="266" w:lineRule="exact"/>
        <w:rPr>
          <w:sz w:val="20"/>
          <w:szCs w:val="20"/>
          <w:color w:val="auto"/>
        </w:rPr>
      </w:pPr>
    </w:p>
    <w:p>
      <w:pPr>
        <w:ind w:right="200" w:firstLine="913"/>
        <w:spacing w:after="0" w:line="277" w:lineRule="auto"/>
        <w:rPr>
          <w:sz w:val="20"/>
          <w:szCs w:val="20"/>
          <w:color w:val="auto"/>
        </w:rPr>
      </w:pPr>
      <w:r>
        <w:rPr>
          <w:rFonts w:ascii="Arial" w:cs="Arial" w:eastAsia="Arial" w:hAnsi="Arial"/>
          <w:sz w:val="18"/>
          <w:szCs w:val="18"/>
          <w:color w:val="auto"/>
        </w:rPr>
        <w:t>Changes in business or economic conditions, or our business strategy, may result in actions that require us to incur restructuring or impairment charges in the future, which could have a material adverse effect on our earnings.</w:t>
      </w:r>
    </w:p>
    <w:p>
      <w:pPr>
        <w:spacing w:after="0" w:line="197" w:lineRule="exact"/>
        <w:rPr>
          <w:sz w:val="20"/>
          <w:szCs w:val="20"/>
          <w:color w:val="auto"/>
        </w:rPr>
      </w:pPr>
    </w:p>
    <w:p>
      <w:pPr>
        <w:ind w:right="100"/>
        <w:spacing w:after="0" w:line="277" w:lineRule="auto"/>
        <w:rPr>
          <w:sz w:val="20"/>
          <w:szCs w:val="20"/>
          <w:color w:val="auto"/>
        </w:rPr>
      </w:pPr>
      <w:r>
        <w:rPr>
          <w:rFonts w:ascii="Arial" w:cs="Arial" w:eastAsia="Arial" w:hAnsi="Arial"/>
          <w:sz w:val="18"/>
          <w:szCs w:val="18"/>
          <w:b w:val="1"/>
          <w:bCs w:val="1"/>
          <w:i w:val="1"/>
          <w:iCs w:val="1"/>
          <w:color w:val="auto"/>
        </w:rPr>
        <w:t>Environmental laws and regulations impose substantial costs and limitations on our operations, and environmental compliance may be more costly than we expect.</w:t>
      </w:r>
    </w:p>
    <w:p>
      <w:pPr>
        <w:spacing w:after="0" w:line="211" w:lineRule="exact"/>
        <w:rPr>
          <w:sz w:val="20"/>
          <w:szCs w:val="20"/>
          <w:color w:val="auto"/>
        </w:rPr>
      </w:pPr>
    </w:p>
    <w:p>
      <w:pPr>
        <w:ind w:firstLine="913"/>
        <w:spacing w:after="0" w:line="276" w:lineRule="auto"/>
        <w:rPr>
          <w:sz w:val="20"/>
          <w:szCs w:val="20"/>
          <w:color w:val="auto"/>
        </w:rPr>
      </w:pPr>
      <w:r>
        <w:rPr>
          <w:rFonts w:ascii="Arial" w:cs="Arial" w:eastAsia="Arial" w:hAnsi="Arial"/>
          <w:sz w:val="17"/>
          <w:szCs w:val="17"/>
          <w:color w:val="auto"/>
        </w:rPr>
        <w:t>We are subject to the risk of substantial environmental liability and limitations on our operations due to environmental laws and regulations. We are subject to extensive federal, state, local and foreign environmental, health and safety laws and regulations concerning matters such as air emissions, wastewater discharges, solid and hazardous waste handling and disposal and the investigation and remediation of contamination. The risks of substantial costs and liabilities related to compliance with these laws and regulations are an inherent part of our business, and future conditions may develop, arise or be discovered that create substantial environmental compliance or remediation liabilities and costs.</w:t>
      </w:r>
    </w:p>
    <w:p>
      <w:pPr>
        <w:spacing w:after="0" w:line="213" w:lineRule="exact"/>
        <w:rPr>
          <w:sz w:val="20"/>
          <w:szCs w:val="20"/>
          <w:color w:val="auto"/>
        </w:rPr>
      </w:pPr>
    </w:p>
    <w:p>
      <w:pPr>
        <w:ind w:right="120" w:firstLine="913"/>
        <w:spacing w:after="0" w:line="291" w:lineRule="auto"/>
        <w:rPr>
          <w:sz w:val="20"/>
          <w:szCs w:val="20"/>
          <w:color w:val="auto"/>
        </w:rPr>
      </w:pPr>
      <w:r>
        <w:rPr>
          <w:rFonts w:ascii="Arial" w:cs="Arial" w:eastAsia="Arial" w:hAnsi="Arial"/>
          <w:sz w:val="16"/>
          <w:szCs w:val="16"/>
          <w:color w:val="auto"/>
        </w:rPr>
        <w:t>Compliance with environmental, health and safety legislation and regulatory requirements may prove to be more limiting and costly than we anticipate. To date, we have committed significant expenditures in our efforts to achieve and maintain compliance with these requirements at our facilities, and we expect that we will continue to make significant expenditures related to such compliance in the future. From time to time, we may be subject to legal proceedings brought by private parties or governmental authorities with respect to environmental matters, including matters involving alleged property damage or personal injury. New laws and regulations, including those which may relate to emissions of greenhouse gases, stricter enforcement of existing laws and regulations, the discovery of previously unknown contamination or the imposition of new clean-up requirements could require us to incur costs or become the basis for new or increased liabilities that could have a material adverse effect on our business, financial condition or results of operations.</w:t>
      </w:r>
    </w:p>
    <w:p>
      <w:pPr>
        <w:spacing w:after="0" w:line="194" w:lineRule="exact"/>
        <w:rPr>
          <w:sz w:val="20"/>
          <w:szCs w:val="20"/>
          <w:color w:val="auto"/>
        </w:rPr>
      </w:pPr>
    </w:p>
    <w:p>
      <w:pPr>
        <w:jc w:val="both"/>
        <w:ind w:right="180" w:firstLine="913"/>
        <w:spacing w:after="0" w:line="259" w:lineRule="auto"/>
        <w:rPr>
          <w:sz w:val="20"/>
          <w:szCs w:val="20"/>
          <w:color w:val="auto"/>
        </w:rPr>
      </w:pPr>
      <w:r>
        <w:rPr>
          <w:rFonts w:ascii="Arial" w:cs="Arial" w:eastAsia="Arial" w:hAnsi="Arial"/>
          <w:sz w:val="18"/>
          <w:szCs w:val="18"/>
          <w:color w:val="auto"/>
        </w:rPr>
        <w:t>From both a medium- and long-term perspective, we are likely to see an increase in costs relating to our assets that emit relatively significant amounts of greenhouse gases as a result of new legal and regulatory initiatives. These initiatives will be either voluntary or mandatory and may impact our operations directly or through our suppliers or customers. Until the timing, scope and extent of any future regulation becomes known, we cannot predict the effect on our financial condition, operating performance and ability to compete.</w:t>
      </w:r>
    </w:p>
    <w:p>
      <w:pPr>
        <w:sectPr>
          <w:pgSz w:w="11900" w:h="16838" w:orient="portrait"/>
          <w:cols w:equalWidth="0" w:num="1">
            <w:col w:w="11400"/>
          </w:cols>
          <w:pgMar w:left="240" w:top="459" w:right="259" w:bottom="1440" w:gutter="0" w:footer="0" w:header="0"/>
        </w:sectPr>
      </w:pPr>
    </w:p>
    <w:bookmarkStart w:id="21" w:name="page22"/>
    <w:bookmarkEnd w:id="21"/>
    <w:p>
      <w:pPr>
        <w:ind w:right="480"/>
        <w:spacing w:after="0" w:line="277" w:lineRule="auto"/>
        <w:rPr>
          <w:sz w:val="20"/>
          <w:szCs w:val="20"/>
          <w:color w:val="auto"/>
        </w:rPr>
      </w:pPr>
      <w:r>
        <w:rPr>
          <w:rFonts w:ascii="Arial" w:cs="Arial" w:eastAsia="Arial" w:hAnsi="Arial"/>
          <w:sz w:val="18"/>
          <w:szCs w:val="18"/>
          <w:b w:val="1"/>
          <w:bCs w:val="1"/>
          <w:i w:val="1"/>
          <w:iCs w:val="1"/>
          <w:color w:val="auto"/>
        </w:rPr>
        <w:t>Unexpected equipment failures or other disruptions of our operations may increase our costs and reduce our sales and earnings due to production curtailments or shutdowns.</w:t>
      </w:r>
    </w:p>
    <w:p>
      <w:pPr>
        <w:spacing w:after="0" w:line="211" w:lineRule="exact"/>
        <w:rPr>
          <w:sz w:val="20"/>
          <w:szCs w:val="20"/>
          <w:color w:val="auto"/>
        </w:rPr>
      </w:pPr>
    </w:p>
    <w:p>
      <w:pPr>
        <w:ind w:firstLine="913"/>
        <w:spacing w:after="0" w:line="272" w:lineRule="auto"/>
        <w:rPr>
          <w:sz w:val="20"/>
          <w:szCs w:val="20"/>
          <w:color w:val="auto"/>
        </w:rPr>
      </w:pPr>
      <w:r>
        <w:rPr>
          <w:rFonts w:ascii="Arial" w:cs="Arial" w:eastAsia="Arial" w:hAnsi="Arial"/>
          <w:sz w:val="17"/>
          <w:szCs w:val="17"/>
          <w:color w:val="auto"/>
        </w:rPr>
        <w:t>Interruptions in production capabilities would likely increase our production costs and reduce sales and earnings for the affected period. In addition to equipment failures, our facilities and information technology systems are also subject to the risk of catastrophic loss due to unanticipated events such as fires, explosions or violent weather conditions. Our manufacturing processes are dependent upon critical pieces of equipment for which there may be only limited or no production alternatives, such as furnaces, continuous casters and rolling equipment, as well as electrical equipment, such as transformers, and this equipment may, on occasion, be out of service as a result of unanticipated failures. In the future, we may experience material plant shutdowns or periods of reduced production as a result of these types of equipment failures, which could cause us to lose or prevent us from taking advantage of various business opportunities or prevent us from responding to competitive pressures.</w:t>
      </w:r>
    </w:p>
    <w:p>
      <w:pPr>
        <w:spacing w:after="0" w:line="110"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14</w:t>
      </w:r>
    </w:p>
    <w:p>
      <w:pPr>
        <w:sectPr>
          <w:pgSz w:w="11900" w:h="16838" w:orient="portrait"/>
          <w:cols w:equalWidth="0" w:num="1">
            <w:col w:w="11320"/>
          </w:cols>
          <w:pgMar w:left="240" w:top="125" w:right="339" w:bottom="1440" w:gutter="0" w:footer="0" w:header="0"/>
        </w:sectPr>
      </w:pPr>
    </w:p>
    <w:bookmarkStart w:id="22" w:name="page23"/>
    <w:bookmarkEnd w:id="2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640"/>
        <w:spacing w:after="0" w:line="277" w:lineRule="auto"/>
        <w:rPr>
          <w:sz w:val="20"/>
          <w:szCs w:val="20"/>
          <w:color w:val="auto"/>
        </w:rPr>
      </w:pPr>
      <w:r>
        <w:rPr>
          <w:rFonts w:ascii="Arial" w:cs="Arial" w:eastAsia="Arial" w:hAnsi="Arial"/>
          <w:sz w:val="18"/>
          <w:szCs w:val="18"/>
          <w:b w:val="1"/>
          <w:bCs w:val="1"/>
          <w:i w:val="1"/>
          <w:iCs w:val="1"/>
          <w:color w:val="auto"/>
        </w:rPr>
        <w:t>A significant portion of our manufacturing facilities are located in Stark County, Ohio, which increases the risk of a significant disruption to our business as a result of unforeseeable developments in this geographic area.</w:t>
      </w:r>
    </w:p>
    <w:p>
      <w:pPr>
        <w:spacing w:after="0" w:line="211" w:lineRule="exact"/>
        <w:rPr>
          <w:sz w:val="20"/>
          <w:szCs w:val="20"/>
          <w:color w:val="auto"/>
        </w:rPr>
      </w:pPr>
    </w:p>
    <w:p>
      <w:pPr>
        <w:jc w:val="both"/>
        <w:ind w:right="60" w:firstLine="913"/>
        <w:spacing w:after="0" w:line="259" w:lineRule="auto"/>
        <w:rPr>
          <w:sz w:val="20"/>
          <w:szCs w:val="20"/>
          <w:color w:val="auto"/>
        </w:rPr>
      </w:pPr>
      <w:r>
        <w:rPr>
          <w:rFonts w:ascii="Arial" w:cs="Arial" w:eastAsia="Arial" w:hAnsi="Arial"/>
          <w:sz w:val="18"/>
          <w:szCs w:val="18"/>
          <w:color w:val="auto"/>
        </w:rPr>
        <w:t>It is possible that we could experience prolonged periods of reduced production due to unforeseen catastrophic events occurring in or around our manufacturing facilities in Stark County, Ohio. As a result, we may be unable to shift manufacturing capabilities to alternate locations, accept materials from suppliers, meet customer shipment deadlines or address other significant issues, any of which could have a material adverse effect on our business, financial condition or results of operations.</w:t>
      </w:r>
    </w:p>
    <w:p>
      <w:pPr>
        <w:spacing w:after="0" w:line="22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may be subject to risks relating to our information technology systems.</w:t>
      </w:r>
    </w:p>
    <w:p>
      <w:pPr>
        <w:spacing w:after="0" w:line="252" w:lineRule="exact"/>
        <w:rPr>
          <w:sz w:val="20"/>
          <w:szCs w:val="20"/>
          <w:color w:val="auto"/>
        </w:rPr>
      </w:pPr>
    </w:p>
    <w:p>
      <w:pPr>
        <w:ind w:right="60" w:firstLine="913"/>
        <w:spacing w:after="0" w:line="272" w:lineRule="auto"/>
        <w:rPr>
          <w:sz w:val="20"/>
          <w:szCs w:val="20"/>
          <w:color w:val="auto"/>
        </w:rPr>
      </w:pPr>
      <w:r>
        <w:rPr>
          <w:rFonts w:ascii="Arial" w:cs="Arial" w:eastAsia="Arial" w:hAnsi="Arial"/>
          <w:sz w:val="17"/>
          <w:szCs w:val="17"/>
          <w:color w:val="auto"/>
        </w:rPr>
        <w:t>We rely on information technology systems to process, transmit and store electronic information and manage and operate our business. A breach in security could expose us and our customers and suppliers to risks of misuse of confidential information, manipulation and destruction of data, production downtimes and operations disruptions, which in turn could adversely affect our reputation, competitive position, business or results of operations. While we expect to establish policies and procedures to prevent or limit the impact of systems failures, interruptions, and security breaches, there can be no assurance that such events will not occur or that they will be adequately addressed if they do. Although we rely on commonly used security and processing systems to provide the security and authentication necessary to effect the secure transmission of data, these precautions may not protect our systems from all potential compromises or breaches of security.</w:t>
      </w:r>
    </w:p>
    <w:p>
      <w:pPr>
        <w:spacing w:after="0" w:line="218"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Work stoppages or similar difficulties could significantly disrupt our operations, reduce our revenues and materially affect our earnings.</w:t>
      </w:r>
    </w:p>
    <w:p>
      <w:pPr>
        <w:spacing w:after="0" w:line="277" w:lineRule="exact"/>
        <w:rPr>
          <w:sz w:val="20"/>
          <w:szCs w:val="20"/>
          <w:color w:val="auto"/>
        </w:rPr>
      </w:pPr>
    </w:p>
    <w:p>
      <w:pPr>
        <w:ind w:right="200" w:firstLine="913"/>
        <w:spacing w:after="0" w:line="255" w:lineRule="auto"/>
        <w:rPr>
          <w:sz w:val="20"/>
          <w:szCs w:val="20"/>
          <w:color w:val="auto"/>
        </w:rPr>
      </w:pPr>
      <w:r>
        <w:rPr>
          <w:rFonts w:ascii="Arial" w:cs="Arial" w:eastAsia="Arial" w:hAnsi="Arial"/>
          <w:sz w:val="18"/>
          <w:szCs w:val="18"/>
          <w:color w:val="auto"/>
        </w:rPr>
        <w:t>A work stoppage at one or more of our facilities could have a material adverse effect on our business, financial condition and results of operations. As of December 31, 2013, approximately 61% of our employees were covered under two collective bargaining agreements that run through December 2016 and September 2017, respectively. Any failure to negotiate and conclude new collective bargaining agreements with the unions when the existing agreements expire could cause work interruptions or stoppages. Also, if one or more of our customers were to experience a work stoppage, that customer would likely halt or limit purchases of our products, which could have a material adverse effect on our business, financial condition and results of operations.</w:t>
      </w:r>
    </w:p>
    <w:p>
      <w:pPr>
        <w:spacing w:after="0" w:line="220" w:lineRule="exact"/>
        <w:rPr>
          <w:sz w:val="20"/>
          <w:szCs w:val="20"/>
          <w:color w:val="auto"/>
        </w:rPr>
      </w:pPr>
    </w:p>
    <w:p>
      <w:pPr>
        <w:ind w:right="120"/>
        <w:spacing w:after="0" w:line="277" w:lineRule="auto"/>
        <w:rPr>
          <w:sz w:val="20"/>
          <w:szCs w:val="20"/>
          <w:color w:val="auto"/>
        </w:rPr>
      </w:pPr>
      <w:r>
        <w:rPr>
          <w:rFonts w:ascii="Arial" w:cs="Arial" w:eastAsia="Arial" w:hAnsi="Arial"/>
          <w:sz w:val="18"/>
          <w:szCs w:val="18"/>
          <w:b w:val="1"/>
          <w:bCs w:val="1"/>
          <w:i w:val="1"/>
          <w:iCs w:val="1"/>
          <w:color w:val="auto"/>
        </w:rPr>
        <w:t>We are subject to a wide variety of domestic and foreign laws and regulations that could adversely affect our results of operations, cash flow or financial condition.</w:t>
      </w:r>
    </w:p>
    <w:p>
      <w:pPr>
        <w:spacing w:after="0" w:line="211" w:lineRule="exact"/>
        <w:rPr>
          <w:sz w:val="20"/>
          <w:szCs w:val="20"/>
          <w:color w:val="auto"/>
        </w:rPr>
      </w:pPr>
    </w:p>
    <w:p>
      <w:pPr>
        <w:ind w:right="180" w:firstLine="913"/>
        <w:spacing w:after="0" w:line="312" w:lineRule="auto"/>
        <w:rPr>
          <w:sz w:val="20"/>
          <w:szCs w:val="20"/>
          <w:color w:val="auto"/>
        </w:rPr>
      </w:pPr>
      <w:r>
        <w:rPr>
          <w:rFonts w:ascii="Arial" w:cs="Arial" w:eastAsia="Arial" w:hAnsi="Arial"/>
          <w:sz w:val="16"/>
          <w:szCs w:val="16"/>
          <w:color w:val="auto"/>
        </w:rPr>
        <w:t>We are subject to a wide variety of domestic and foreign laws and regulations, and legal compliance risks, including securities laws, tax laws, employment and pension-related laws, competition laws, U.S. and foreign export and trading laws, and laws governing improper business practices. We are affected by new laws and regulations, and changes to existing laws and regulations, including interpretations by courts and regulators.</w:t>
      </w:r>
    </w:p>
    <w:p>
      <w:pPr>
        <w:spacing w:after="0" w:line="187" w:lineRule="exact"/>
        <w:rPr>
          <w:sz w:val="20"/>
          <w:szCs w:val="20"/>
          <w:color w:val="auto"/>
        </w:rPr>
      </w:pPr>
    </w:p>
    <w:p>
      <w:pPr>
        <w:ind w:right="240" w:firstLine="913"/>
        <w:spacing w:after="0" w:line="264" w:lineRule="auto"/>
        <w:rPr>
          <w:sz w:val="20"/>
          <w:szCs w:val="20"/>
          <w:color w:val="auto"/>
        </w:rPr>
      </w:pPr>
      <w:r>
        <w:rPr>
          <w:rFonts w:ascii="Arial" w:cs="Arial" w:eastAsia="Arial" w:hAnsi="Arial"/>
          <w:sz w:val="18"/>
          <w:szCs w:val="18"/>
          <w:color w:val="auto"/>
        </w:rPr>
        <w:t>Compliance with the laws and regulations described above or with other applicable foreign, federal, state, and local laws and regulations currently in effect or that may be adopted in the future could materially adversely affect our competitive position, operating results, financial condition and liquidity.</w:t>
      </w:r>
    </w:p>
    <w:p>
      <w:pPr>
        <w:spacing w:after="0" w:line="20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If we are unable to attract and retain key personnel, our business could be materially adversely affected.</w:t>
      </w:r>
    </w:p>
    <w:p>
      <w:pPr>
        <w:spacing w:after="0" w:line="266" w:lineRule="exact"/>
        <w:rPr>
          <w:sz w:val="20"/>
          <w:szCs w:val="20"/>
          <w:color w:val="auto"/>
        </w:rPr>
      </w:pPr>
    </w:p>
    <w:p>
      <w:pPr>
        <w:ind w:firstLine="913"/>
        <w:spacing w:after="0" w:line="293" w:lineRule="auto"/>
        <w:rPr>
          <w:sz w:val="20"/>
          <w:szCs w:val="20"/>
          <w:color w:val="auto"/>
        </w:rPr>
      </w:pPr>
      <w:r>
        <w:rPr>
          <w:rFonts w:ascii="Arial" w:cs="Arial" w:eastAsia="Arial" w:hAnsi="Arial"/>
          <w:sz w:val="16"/>
          <w:szCs w:val="16"/>
          <w:color w:val="auto"/>
        </w:rPr>
        <w:t>Our business substantially depends on the continued service of key members of our management. The loss of the services of a significant number of members of our management could have a material adverse effect on our business. Modern steel-making uses specialized techniques and advanced equipment and requires experienced engineers and skilled laborers. Our future success will depend on our ability to attract and retain highly skilled personnel, such as engineers and experienced laborers, as well as finance, marketing and senior management professionals. Competition for these employees is intense, and we could experience difficulty from time to time in hiring and retaining the personnel necessary to support our business. If we do not succeed in retaining our current employees and attracting new high-quality employees, our business could be materially adversely affected.</w:t>
      </w:r>
    </w:p>
    <w:p>
      <w:pPr>
        <w:spacing w:after="0" w:line="205" w:lineRule="exact"/>
        <w:rPr>
          <w:sz w:val="20"/>
          <w:szCs w:val="20"/>
          <w:color w:val="auto"/>
        </w:rPr>
      </w:pPr>
    </w:p>
    <w:p>
      <w:pPr>
        <w:ind w:right="160"/>
        <w:spacing w:after="0" w:line="277" w:lineRule="auto"/>
        <w:rPr>
          <w:sz w:val="20"/>
          <w:szCs w:val="20"/>
          <w:color w:val="auto"/>
        </w:rPr>
      </w:pPr>
      <w:r>
        <w:rPr>
          <w:rFonts w:ascii="Arial" w:cs="Arial" w:eastAsia="Arial" w:hAnsi="Arial"/>
          <w:sz w:val="18"/>
          <w:szCs w:val="18"/>
          <w:b w:val="1"/>
          <w:bCs w:val="1"/>
          <w:i w:val="1"/>
          <w:iCs w:val="1"/>
          <w:color w:val="auto"/>
        </w:rPr>
        <w:t>We may not realize the improved operating results that we anticipate from past and future acquisitions and we may experience difficulties in integrating acquired businesses.</w:t>
      </w:r>
    </w:p>
    <w:p>
      <w:pPr>
        <w:spacing w:after="0" w:line="197" w:lineRule="exact"/>
        <w:rPr>
          <w:sz w:val="20"/>
          <w:szCs w:val="20"/>
          <w:color w:val="auto"/>
        </w:rPr>
      </w:pPr>
    </w:p>
    <w:p>
      <w:pPr>
        <w:jc w:val="both"/>
        <w:ind w:firstLine="913"/>
        <w:spacing w:after="0" w:line="312" w:lineRule="auto"/>
        <w:rPr>
          <w:sz w:val="20"/>
          <w:szCs w:val="20"/>
          <w:color w:val="auto"/>
        </w:rPr>
      </w:pPr>
      <w:r>
        <w:rPr>
          <w:rFonts w:ascii="Arial" w:cs="Arial" w:eastAsia="Arial" w:hAnsi="Arial"/>
          <w:sz w:val="16"/>
          <w:szCs w:val="16"/>
          <w:color w:val="auto"/>
        </w:rPr>
        <w:t>We intend to seek to grow, in part, through strategic acquisitions and joint ventures, which are intended to complement or expand our businesses. These acquisitions could involve challenges and risks. In the event that we do not successfully integrate these acquisitions into our existing operations so as to realize the expected return on our investment, our results of operations, cash flows or financial condition could be adversely affected.</w:t>
      </w:r>
    </w:p>
    <w:p>
      <w:pPr>
        <w:spacing w:after="0" w:line="7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15</w:t>
      </w:r>
    </w:p>
    <w:p>
      <w:pPr>
        <w:sectPr>
          <w:pgSz w:w="11900" w:h="16838" w:orient="portrait"/>
          <w:cols w:equalWidth="0" w:num="1">
            <w:col w:w="11400"/>
          </w:cols>
          <w:pgMar w:left="240" w:top="459" w:right="259" w:bottom="1440" w:gutter="0" w:footer="0" w:header="0"/>
        </w:sectPr>
      </w:pPr>
    </w:p>
    <w:bookmarkStart w:id="23" w:name="page24"/>
    <w:bookmarkEnd w:id="2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Risks Relating to Ownership of Our Common Shares</w:t>
      </w:r>
    </w:p>
    <w:p>
      <w:pPr>
        <w:spacing w:after="0" w:line="229" w:lineRule="exact"/>
        <w:rPr>
          <w:sz w:val="20"/>
          <w:szCs w:val="20"/>
          <w:color w:val="auto"/>
        </w:rPr>
      </w:pPr>
    </w:p>
    <w:p>
      <w:pPr>
        <w:ind w:right="240"/>
        <w:spacing w:after="0" w:line="308" w:lineRule="auto"/>
        <w:rPr>
          <w:sz w:val="20"/>
          <w:szCs w:val="20"/>
          <w:color w:val="auto"/>
        </w:rPr>
      </w:pPr>
      <w:r>
        <w:rPr>
          <w:rFonts w:ascii="Arial" w:cs="Arial" w:eastAsia="Arial" w:hAnsi="Arial"/>
          <w:sz w:val="17"/>
          <w:szCs w:val="17"/>
          <w:b w:val="1"/>
          <w:bCs w:val="1"/>
          <w:i w:val="1"/>
          <w:iCs w:val="1"/>
          <w:color w:val="auto"/>
        </w:rPr>
        <w:t>Because there has not been any public market for our common shares, the market price and trading volume of our common shares may be volatile and you may not be able to resell your shares at or above the initial market price of our common shares following the spinoff.</w:t>
      </w:r>
    </w:p>
    <w:p>
      <w:pPr>
        <w:spacing w:after="0" w:line="187" w:lineRule="exact"/>
        <w:rPr>
          <w:sz w:val="20"/>
          <w:szCs w:val="20"/>
          <w:color w:val="auto"/>
        </w:rPr>
      </w:pPr>
    </w:p>
    <w:p>
      <w:pPr>
        <w:ind w:right="320" w:firstLine="913"/>
        <w:spacing w:after="0" w:line="312" w:lineRule="auto"/>
        <w:rPr>
          <w:sz w:val="20"/>
          <w:szCs w:val="20"/>
          <w:color w:val="auto"/>
        </w:rPr>
      </w:pPr>
      <w:r>
        <w:rPr>
          <w:rFonts w:ascii="Arial" w:cs="Arial" w:eastAsia="Arial" w:hAnsi="Arial"/>
          <w:sz w:val="16"/>
          <w:szCs w:val="16"/>
          <w:color w:val="auto"/>
        </w:rPr>
        <w:t>Prior to the spinoff, there will have been no trading market for our common shares. We cannot assure you that an active trading market will develop or be sustained for our common shares after the spinoff, nor can we predict the price at which our common shares will trade after the spinoff. The market price of our common shares could fluctuate significantly due to a number of factors, many of which are beyond our control, including:</w:t>
      </w:r>
    </w:p>
    <w:p>
      <w:pPr>
        <w:spacing w:after="0" w:line="228" w:lineRule="exact"/>
        <w:rPr>
          <w:sz w:val="20"/>
          <w:szCs w:val="20"/>
          <w:color w:val="auto"/>
        </w:rPr>
      </w:pPr>
    </w:p>
    <w:p>
      <w:pPr>
        <w:ind w:left="1240" w:hanging="327"/>
        <w:spacing w:after="0"/>
        <w:tabs>
          <w:tab w:leader="none" w:pos="1240" w:val="left"/>
        </w:tabs>
        <w:numPr>
          <w:ilvl w:val="0"/>
          <w:numId w:val="5"/>
        </w:numPr>
        <w:rPr>
          <w:rFonts w:ascii="Arial" w:cs="Arial" w:eastAsia="Arial" w:hAnsi="Arial"/>
          <w:sz w:val="18"/>
          <w:szCs w:val="18"/>
          <w:color w:val="auto"/>
        </w:rPr>
      </w:pPr>
      <w:r>
        <w:rPr>
          <w:rFonts w:ascii="Arial" w:cs="Arial" w:eastAsia="Arial" w:hAnsi="Arial"/>
          <w:sz w:val="18"/>
          <w:szCs w:val="18"/>
          <w:color w:val="auto"/>
        </w:rPr>
        <w:t>fluctuations in our quarterly or annual earnings results or those of other companies in our industry;</w:t>
      </w:r>
    </w:p>
    <w:p>
      <w:pPr>
        <w:spacing w:after="0" w:line="130" w:lineRule="exact"/>
        <w:rPr>
          <w:rFonts w:ascii="Arial" w:cs="Arial" w:eastAsia="Arial" w:hAnsi="Arial"/>
          <w:sz w:val="18"/>
          <w:szCs w:val="18"/>
          <w:color w:val="auto"/>
        </w:rPr>
      </w:pPr>
    </w:p>
    <w:p>
      <w:pPr>
        <w:ind w:left="1240" w:right="160" w:hanging="327"/>
        <w:spacing w:after="0" w:line="277" w:lineRule="auto"/>
        <w:tabs>
          <w:tab w:leader="none" w:pos="1240" w:val="left"/>
        </w:tabs>
        <w:numPr>
          <w:ilvl w:val="0"/>
          <w:numId w:val="5"/>
        </w:numPr>
        <w:rPr>
          <w:rFonts w:ascii="Arial" w:cs="Arial" w:eastAsia="Arial" w:hAnsi="Arial"/>
          <w:sz w:val="18"/>
          <w:szCs w:val="18"/>
          <w:color w:val="auto"/>
        </w:rPr>
      </w:pPr>
      <w:r>
        <w:rPr>
          <w:rFonts w:ascii="Arial" w:cs="Arial" w:eastAsia="Arial" w:hAnsi="Arial"/>
          <w:sz w:val="18"/>
          <w:szCs w:val="18"/>
          <w:color w:val="auto"/>
        </w:rPr>
        <w:t>failures of our operating results to meet the estimates of securities analysts or the expectations of our shareholders, or changes by securities analysts in their estimates of our future earnings;</w:t>
      </w:r>
    </w:p>
    <w:p>
      <w:pPr>
        <w:spacing w:after="0" w:line="75" w:lineRule="exact"/>
        <w:rPr>
          <w:rFonts w:ascii="Arial" w:cs="Arial" w:eastAsia="Arial" w:hAnsi="Arial"/>
          <w:sz w:val="18"/>
          <w:szCs w:val="18"/>
          <w:color w:val="auto"/>
        </w:rPr>
      </w:pPr>
    </w:p>
    <w:p>
      <w:pPr>
        <w:ind w:left="1240" w:hanging="327"/>
        <w:spacing w:after="0"/>
        <w:tabs>
          <w:tab w:leader="none" w:pos="1240" w:val="left"/>
        </w:tabs>
        <w:numPr>
          <w:ilvl w:val="0"/>
          <w:numId w:val="5"/>
        </w:numPr>
        <w:rPr>
          <w:rFonts w:ascii="Arial" w:cs="Arial" w:eastAsia="Arial" w:hAnsi="Arial"/>
          <w:sz w:val="18"/>
          <w:szCs w:val="18"/>
          <w:color w:val="auto"/>
        </w:rPr>
      </w:pPr>
      <w:r>
        <w:rPr>
          <w:rFonts w:ascii="Arial" w:cs="Arial" w:eastAsia="Arial" w:hAnsi="Arial"/>
          <w:sz w:val="18"/>
          <w:szCs w:val="18"/>
          <w:color w:val="auto"/>
        </w:rPr>
        <w:t>announcements by us or our customers, suppliers or competitors;</w:t>
      </w:r>
    </w:p>
    <w:p>
      <w:pPr>
        <w:spacing w:after="0" w:line="130" w:lineRule="exact"/>
        <w:rPr>
          <w:rFonts w:ascii="Arial" w:cs="Arial" w:eastAsia="Arial" w:hAnsi="Arial"/>
          <w:sz w:val="18"/>
          <w:szCs w:val="18"/>
          <w:color w:val="auto"/>
        </w:rPr>
      </w:pPr>
    </w:p>
    <w:p>
      <w:pPr>
        <w:ind w:left="1240" w:hanging="327"/>
        <w:spacing w:after="0"/>
        <w:tabs>
          <w:tab w:leader="none" w:pos="1240" w:val="left"/>
        </w:tabs>
        <w:numPr>
          <w:ilvl w:val="0"/>
          <w:numId w:val="5"/>
        </w:numPr>
        <w:rPr>
          <w:rFonts w:ascii="Arial" w:cs="Arial" w:eastAsia="Arial" w:hAnsi="Arial"/>
          <w:sz w:val="18"/>
          <w:szCs w:val="18"/>
          <w:color w:val="auto"/>
        </w:rPr>
      </w:pPr>
      <w:r>
        <w:rPr>
          <w:rFonts w:ascii="Arial" w:cs="Arial" w:eastAsia="Arial" w:hAnsi="Arial"/>
          <w:sz w:val="18"/>
          <w:szCs w:val="18"/>
          <w:color w:val="auto"/>
        </w:rPr>
        <w:t>changes in laws or regulations which adversely affect our industry or us;</w:t>
      </w:r>
    </w:p>
    <w:p>
      <w:pPr>
        <w:spacing w:after="0" w:line="130" w:lineRule="exact"/>
        <w:rPr>
          <w:rFonts w:ascii="Arial" w:cs="Arial" w:eastAsia="Arial" w:hAnsi="Arial"/>
          <w:sz w:val="18"/>
          <w:szCs w:val="18"/>
          <w:color w:val="auto"/>
        </w:rPr>
      </w:pPr>
    </w:p>
    <w:p>
      <w:pPr>
        <w:ind w:left="1240" w:hanging="327"/>
        <w:spacing w:after="0"/>
        <w:tabs>
          <w:tab w:leader="none" w:pos="1240" w:val="left"/>
        </w:tabs>
        <w:numPr>
          <w:ilvl w:val="0"/>
          <w:numId w:val="5"/>
        </w:numPr>
        <w:rPr>
          <w:rFonts w:ascii="Arial" w:cs="Arial" w:eastAsia="Arial" w:hAnsi="Arial"/>
          <w:sz w:val="18"/>
          <w:szCs w:val="18"/>
          <w:color w:val="auto"/>
        </w:rPr>
      </w:pPr>
      <w:r>
        <w:rPr>
          <w:rFonts w:ascii="Arial" w:cs="Arial" w:eastAsia="Arial" w:hAnsi="Arial"/>
          <w:sz w:val="18"/>
          <w:szCs w:val="18"/>
          <w:color w:val="auto"/>
        </w:rPr>
        <w:t>changes in accounting standards, policies, guidance, interpretations or principles;</w:t>
      </w:r>
    </w:p>
    <w:p>
      <w:pPr>
        <w:spacing w:after="0" w:line="130" w:lineRule="exact"/>
        <w:rPr>
          <w:rFonts w:ascii="Arial" w:cs="Arial" w:eastAsia="Arial" w:hAnsi="Arial"/>
          <w:sz w:val="18"/>
          <w:szCs w:val="18"/>
          <w:color w:val="auto"/>
        </w:rPr>
      </w:pPr>
    </w:p>
    <w:p>
      <w:pPr>
        <w:ind w:left="1240" w:hanging="327"/>
        <w:spacing w:after="0"/>
        <w:tabs>
          <w:tab w:leader="none" w:pos="1240" w:val="left"/>
        </w:tabs>
        <w:numPr>
          <w:ilvl w:val="0"/>
          <w:numId w:val="5"/>
        </w:numPr>
        <w:rPr>
          <w:rFonts w:ascii="Arial" w:cs="Arial" w:eastAsia="Arial" w:hAnsi="Arial"/>
          <w:sz w:val="18"/>
          <w:szCs w:val="18"/>
          <w:color w:val="auto"/>
        </w:rPr>
      </w:pPr>
      <w:r>
        <w:rPr>
          <w:rFonts w:ascii="Arial" w:cs="Arial" w:eastAsia="Arial" w:hAnsi="Arial"/>
          <w:sz w:val="18"/>
          <w:szCs w:val="18"/>
          <w:color w:val="auto"/>
        </w:rPr>
        <w:t>general economic, industry and stock market conditions;</w:t>
      </w:r>
    </w:p>
    <w:p>
      <w:pPr>
        <w:spacing w:after="0" w:line="130" w:lineRule="exact"/>
        <w:rPr>
          <w:rFonts w:ascii="Arial" w:cs="Arial" w:eastAsia="Arial" w:hAnsi="Arial"/>
          <w:sz w:val="18"/>
          <w:szCs w:val="18"/>
          <w:color w:val="auto"/>
        </w:rPr>
      </w:pPr>
    </w:p>
    <w:p>
      <w:pPr>
        <w:ind w:left="1240" w:hanging="327"/>
        <w:spacing w:after="0"/>
        <w:tabs>
          <w:tab w:leader="none" w:pos="1240" w:val="left"/>
        </w:tabs>
        <w:numPr>
          <w:ilvl w:val="0"/>
          <w:numId w:val="5"/>
        </w:numPr>
        <w:rPr>
          <w:rFonts w:ascii="Arial" w:cs="Arial" w:eastAsia="Arial" w:hAnsi="Arial"/>
          <w:sz w:val="18"/>
          <w:szCs w:val="18"/>
          <w:color w:val="auto"/>
        </w:rPr>
      </w:pPr>
      <w:r>
        <w:rPr>
          <w:rFonts w:ascii="Arial" w:cs="Arial" w:eastAsia="Arial" w:hAnsi="Arial"/>
          <w:sz w:val="18"/>
          <w:szCs w:val="18"/>
          <w:color w:val="auto"/>
        </w:rPr>
        <w:t>future sales of our common shares by our shareholders;</w:t>
      </w:r>
    </w:p>
    <w:p>
      <w:pPr>
        <w:spacing w:after="0" w:line="130" w:lineRule="exact"/>
        <w:rPr>
          <w:rFonts w:ascii="Arial" w:cs="Arial" w:eastAsia="Arial" w:hAnsi="Arial"/>
          <w:sz w:val="18"/>
          <w:szCs w:val="18"/>
          <w:color w:val="auto"/>
        </w:rPr>
      </w:pPr>
    </w:p>
    <w:p>
      <w:pPr>
        <w:ind w:left="1240" w:hanging="327"/>
        <w:spacing w:after="0"/>
        <w:tabs>
          <w:tab w:leader="none" w:pos="1240" w:val="left"/>
        </w:tabs>
        <w:numPr>
          <w:ilvl w:val="0"/>
          <w:numId w:val="5"/>
        </w:numPr>
        <w:rPr>
          <w:rFonts w:ascii="Arial" w:cs="Arial" w:eastAsia="Arial" w:hAnsi="Arial"/>
          <w:sz w:val="18"/>
          <w:szCs w:val="18"/>
          <w:color w:val="auto"/>
        </w:rPr>
      </w:pPr>
      <w:r>
        <w:rPr>
          <w:rFonts w:ascii="Arial" w:cs="Arial" w:eastAsia="Arial" w:hAnsi="Arial"/>
          <w:sz w:val="18"/>
          <w:szCs w:val="18"/>
          <w:color w:val="auto"/>
        </w:rPr>
        <w:t>future issuances of our common shares by us;</w:t>
      </w:r>
    </w:p>
    <w:p>
      <w:pPr>
        <w:spacing w:after="0" w:line="130" w:lineRule="exact"/>
        <w:rPr>
          <w:rFonts w:ascii="Arial" w:cs="Arial" w:eastAsia="Arial" w:hAnsi="Arial"/>
          <w:sz w:val="18"/>
          <w:szCs w:val="18"/>
          <w:color w:val="auto"/>
        </w:rPr>
      </w:pPr>
    </w:p>
    <w:p>
      <w:pPr>
        <w:ind w:left="1240" w:hanging="327"/>
        <w:spacing w:after="0"/>
        <w:tabs>
          <w:tab w:leader="none" w:pos="1240" w:val="left"/>
        </w:tabs>
        <w:numPr>
          <w:ilvl w:val="0"/>
          <w:numId w:val="5"/>
        </w:numPr>
        <w:rPr>
          <w:rFonts w:ascii="Arial" w:cs="Arial" w:eastAsia="Arial" w:hAnsi="Arial"/>
          <w:sz w:val="18"/>
          <w:szCs w:val="18"/>
          <w:color w:val="auto"/>
        </w:rPr>
      </w:pPr>
      <w:r>
        <w:rPr>
          <w:rFonts w:ascii="Arial" w:cs="Arial" w:eastAsia="Arial" w:hAnsi="Arial"/>
          <w:sz w:val="18"/>
          <w:szCs w:val="18"/>
          <w:color w:val="auto"/>
        </w:rPr>
        <w:t>our ability to pay dividends in the future; and</w:t>
      </w:r>
    </w:p>
    <w:p>
      <w:pPr>
        <w:spacing w:after="0" w:line="130" w:lineRule="exact"/>
        <w:rPr>
          <w:rFonts w:ascii="Arial" w:cs="Arial" w:eastAsia="Arial" w:hAnsi="Arial"/>
          <w:sz w:val="18"/>
          <w:szCs w:val="18"/>
          <w:color w:val="auto"/>
        </w:rPr>
      </w:pPr>
    </w:p>
    <w:p>
      <w:pPr>
        <w:ind w:left="1240" w:hanging="327"/>
        <w:spacing w:after="0"/>
        <w:tabs>
          <w:tab w:leader="none" w:pos="1240" w:val="left"/>
        </w:tabs>
        <w:numPr>
          <w:ilvl w:val="0"/>
          <w:numId w:val="5"/>
        </w:numPr>
        <w:rPr>
          <w:rFonts w:ascii="Arial" w:cs="Arial" w:eastAsia="Arial" w:hAnsi="Arial"/>
          <w:sz w:val="18"/>
          <w:szCs w:val="18"/>
          <w:color w:val="auto"/>
        </w:rPr>
      </w:pPr>
      <w:r>
        <w:rPr>
          <w:rFonts w:ascii="Arial" w:cs="Arial" w:eastAsia="Arial" w:hAnsi="Arial"/>
          <w:sz w:val="18"/>
          <w:szCs w:val="18"/>
          <w:color w:val="auto"/>
        </w:rPr>
        <w:t>the other factors described in these “Risk Factors” and other parts of this prospectus.</w:t>
      </w:r>
    </w:p>
    <w:p>
      <w:pPr>
        <w:spacing w:after="0" w:line="266"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A large number of our common shares are or will be eligible for future sale, which may cause the market price for our common shares to decline.</w:t>
      </w:r>
    </w:p>
    <w:p>
      <w:pPr>
        <w:spacing w:after="0" w:line="275" w:lineRule="exact"/>
        <w:rPr>
          <w:sz w:val="20"/>
          <w:szCs w:val="20"/>
          <w:color w:val="auto"/>
        </w:rPr>
      </w:pPr>
    </w:p>
    <w:p>
      <w:pPr>
        <w:ind w:firstLine="913"/>
        <w:spacing w:after="0" w:line="270" w:lineRule="auto"/>
        <w:rPr>
          <w:sz w:val="20"/>
          <w:szCs w:val="20"/>
          <w:color w:val="auto"/>
        </w:rPr>
      </w:pPr>
      <w:r>
        <w:rPr>
          <w:rFonts w:ascii="Arial" w:cs="Arial" w:eastAsia="Arial" w:hAnsi="Arial"/>
          <w:sz w:val="17"/>
          <w:szCs w:val="17"/>
          <w:color w:val="auto"/>
        </w:rPr>
        <w:t>Upon completion of the spinoff, we will have outstanding an aggregate of approximately 45.4 million common shares. Virtually all of those shares will be freely tradable without restriction or registration under the Securities Act of 1933, as amended, which we refer to as the Securities Act. We are unable to predict whether large amounts of our common shares will be sold in the open market following the spinoff. We are also unable to predict whether a sufficient number of buyers would be in the market at that time. Certain Timken shareholders may be required to sell the common shares of TimkenSteel that they receive in the spinoff. In addition, it is possible that other Timken shareholders will sell the common shares of TimkenSteel they receive in the spinoff for various reasons. For example, such shareholders may not believe that our business profile or level of market capitalization as an independent company fits their investment objectives. We can provide no assurance that there will be sufficient new buying interest to offset the potential sale of common shares of TimkenSteel. In addition, index funds currently holding Timken common shares may be required to sell the TimkenSteel common shares they receive in the spinoff. Accordingly, our common shares could experience a high level of volatility immediately following the spinoff and, as a result, the price of our common shares could be adversely affected.</w:t>
      </w:r>
    </w:p>
    <w:p>
      <w:pPr>
        <w:spacing w:after="0" w:line="200" w:lineRule="exact"/>
        <w:rPr>
          <w:sz w:val="20"/>
          <w:szCs w:val="20"/>
          <w:color w:val="auto"/>
        </w:rPr>
      </w:pPr>
    </w:p>
    <w:p>
      <w:pPr>
        <w:spacing w:after="0" w:line="234" w:lineRule="exact"/>
        <w:rPr>
          <w:sz w:val="20"/>
          <w:szCs w:val="20"/>
          <w:color w:val="auto"/>
        </w:rPr>
      </w:pPr>
    </w:p>
    <w:p>
      <w:pPr>
        <w:ind w:right="400"/>
        <w:spacing w:after="0" w:line="277" w:lineRule="auto"/>
        <w:rPr>
          <w:sz w:val="20"/>
          <w:szCs w:val="20"/>
          <w:color w:val="auto"/>
        </w:rPr>
      </w:pPr>
      <w:r>
        <w:rPr>
          <w:rFonts w:ascii="Arial" w:cs="Arial" w:eastAsia="Arial" w:hAnsi="Arial"/>
          <w:sz w:val="18"/>
          <w:szCs w:val="18"/>
          <w:b w:val="1"/>
          <w:bCs w:val="1"/>
          <w:i w:val="1"/>
          <w:iCs w:val="1"/>
          <w:color w:val="auto"/>
        </w:rPr>
        <w:t>Provisions in our corporate documents and Ohio law could have the effect of delaying, deferring or preventing a change in control of us, even if that change may be considered beneficial by some of our shareholders.</w:t>
      </w:r>
    </w:p>
    <w:p>
      <w:pPr>
        <w:spacing w:after="0" w:line="170" w:lineRule="exact"/>
        <w:rPr>
          <w:sz w:val="20"/>
          <w:szCs w:val="20"/>
          <w:color w:val="auto"/>
        </w:rPr>
      </w:pPr>
    </w:p>
    <w:p>
      <w:pPr>
        <w:ind w:right="780" w:firstLine="456"/>
        <w:spacing w:after="0" w:line="277" w:lineRule="auto"/>
        <w:rPr>
          <w:sz w:val="20"/>
          <w:szCs w:val="20"/>
          <w:color w:val="auto"/>
        </w:rPr>
      </w:pPr>
      <w:r>
        <w:rPr>
          <w:rFonts w:ascii="Arial" w:cs="Arial" w:eastAsia="Arial" w:hAnsi="Arial"/>
          <w:sz w:val="18"/>
          <w:szCs w:val="18"/>
          <w:color w:val="auto"/>
        </w:rPr>
        <w:t>The existence of some provisions of our articles of incorporation and regulations and Ohio law could have the effect of delaying, deferring or preventing a change in control of us that a shareholder may consider favorable. These provisions include:</w:t>
      </w:r>
    </w:p>
    <w:p>
      <w:pPr>
        <w:spacing w:after="0" w:line="76" w:lineRule="exact"/>
        <w:rPr>
          <w:sz w:val="20"/>
          <w:szCs w:val="20"/>
          <w:color w:val="auto"/>
        </w:rPr>
      </w:pPr>
    </w:p>
    <w:p>
      <w:pPr>
        <w:ind w:left="1240" w:hanging="327"/>
        <w:spacing w:after="0"/>
        <w:tabs>
          <w:tab w:leader="none" w:pos="1240" w:val="left"/>
        </w:tabs>
        <w:numPr>
          <w:ilvl w:val="0"/>
          <w:numId w:val="6"/>
        </w:numPr>
        <w:rPr>
          <w:rFonts w:ascii="Arial" w:cs="Arial" w:eastAsia="Arial" w:hAnsi="Arial"/>
          <w:sz w:val="18"/>
          <w:szCs w:val="18"/>
          <w:color w:val="auto"/>
        </w:rPr>
      </w:pPr>
      <w:r>
        <w:rPr>
          <w:rFonts w:ascii="Arial" w:cs="Arial" w:eastAsia="Arial" w:hAnsi="Arial"/>
          <w:sz w:val="18"/>
          <w:szCs w:val="18"/>
          <w:color w:val="auto"/>
        </w:rPr>
        <w:t>providing that our board of directors fixes the number of members of the board;</w:t>
      </w:r>
    </w:p>
    <w:p>
      <w:pPr>
        <w:spacing w:after="0" w:line="130" w:lineRule="exact"/>
        <w:rPr>
          <w:rFonts w:ascii="Arial" w:cs="Arial" w:eastAsia="Arial" w:hAnsi="Arial"/>
          <w:sz w:val="18"/>
          <w:szCs w:val="18"/>
          <w:color w:val="auto"/>
        </w:rPr>
      </w:pPr>
    </w:p>
    <w:p>
      <w:pPr>
        <w:ind w:left="1240" w:hanging="327"/>
        <w:spacing w:after="0"/>
        <w:tabs>
          <w:tab w:leader="none" w:pos="1240" w:val="left"/>
        </w:tabs>
        <w:numPr>
          <w:ilvl w:val="0"/>
          <w:numId w:val="6"/>
        </w:numPr>
        <w:rPr>
          <w:rFonts w:ascii="Arial" w:cs="Arial" w:eastAsia="Arial" w:hAnsi="Arial"/>
          <w:sz w:val="18"/>
          <w:szCs w:val="18"/>
          <w:color w:val="auto"/>
        </w:rPr>
      </w:pPr>
      <w:r>
        <w:rPr>
          <w:rFonts w:ascii="Arial" w:cs="Arial" w:eastAsia="Arial" w:hAnsi="Arial"/>
          <w:sz w:val="18"/>
          <w:szCs w:val="18"/>
          <w:color w:val="auto"/>
        </w:rPr>
        <w:t>providing for the division of our board of directors into three classes with staggered terms;</w:t>
      </w:r>
    </w:p>
    <w:p>
      <w:pPr>
        <w:spacing w:after="0" w:line="130" w:lineRule="exact"/>
        <w:rPr>
          <w:rFonts w:ascii="Arial" w:cs="Arial" w:eastAsia="Arial" w:hAnsi="Arial"/>
          <w:sz w:val="18"/>
          <w:szCs w:val="18"/>
          <w:color w:val="auto"/>
        </w:rPr>
      </w:pPr>
    </w:p>
    <w:p>
      <w:pPr>
        <w:ind w:left="1240" w:right="260" w:hanging="327"/>
        <w:spacing w:after="0" w:line="277" w:lineRule="auto"/>
        <w:tabs>
          <w:tab w:leader="none" w:pos="1240" w:val="left"/>
        </w:tabs>
        <w:numPr>
          <w:ilvl w:val="0"/>
          <w:numId w:val="6"/>
        </w:numPr>
        <w:rPr>
          <w:rFonts w:ascii="Arial" w:cs="Arial" w:eastAsia="Arial" w:hAnsi="Arial"/>
          <w:sz w:val="18"/>
          <w:szCs w:val="18"/>
          <w:color w:val="auto"/>
        </w:rPr>
      </w:pPr>
      <w:r>
        <w:rPr>
          <w:rFonts w:ascii="Arial" w:cs="Arial" w:eastAsia="Arial" w:hAnsi="Arial"/>
          <w:sz w:val="18"/>
          <w:szCs w:val="18"/>
          <w:color w:val="auto"/>
        </w:rPr>
        <w:t>establishing advance notice requirements for nominations of candidates for election to our board of directors or for proposing matters that can be acted on by shareholders at shareholder meetings; and</w:t>
      </w:r>
    </w:p>
    <w:p>
      <w:pPr>
        <w:spacing w:after="0" w:line="75" w:lineRule="exact"/>
        <w:rPr>
          <w:rFonts w:ascii="Arial" w:cs="Arial" w:eastAsia="Arial" w:hAnsi="Arial"/>
          <w:sz w:val="18"/>
          <w:szCs w:val="18"/>
          <w:color w:val="auto"/>
        </w:rPr>
      </w:pPr>
    </w:p>
    <w:p>
      <w:pPr>
        <w:ind w:left="1240" w:right="580" w:hanging="327"/>
        <w:spacing w:after="0" w:line="277" w:lineRule="auto"/>
        <w:tabs>
          <w:tab w:leader="none" w:pos="1240" w:val="left"/>
        </w:tabs>
        <w:numPr>
          <w:ilvl w:val="0"/>
          <w:numId w:val="6"/>
        </w:numPr>
        <w:rPr>
          <w:rFonts w:ascii="Arial" w:cs="Arial" w:eastAsia="Arial" w:hAnsi="Arial"/>
          <w:sz w:val="18"/>
          <w:szCs w:val="18"/>
          <w:color w:val="auto"/>
        </w:rPr>
      </w:pPr>
      <w:r>
        <w:rPr>
          <w:rFonts w:ascii="Arial" w:cs="Arial" w:eastAsia="Arial" w:hAnsi="Arial"/>
          <w:sz w:val="18"/>
          <w:szCs w:val="18"/>
          <w:color w:val="auto"/>
        </w:rPr>
        <w:t>authorizing the issuance of “blank check” preferred shares, which could be issued by our board of directors to increase the number of outstanding securities of ours with voting rights and thwart a takeover attempt.</w:t>
      </w:r>
    </w:p>
    <w:p>
      <w:pPr>
        <w:spacing w:after="0" w:line="10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16</w:t>
      </w:r>
    </w:p>
    <w:p>
      <w:pPr>
        <w:sectPr>
          <w:pgSz w:w="11900" w:h="16838" w:orient="portrait"/>
          <w:cols w:equalWidth="0" w:num="1">
            <w:col w:w="11420"/>
          </w:cols>
          <w:pgMar w:left="240" w:top="459" w:right="239" w:bottom="1440" w:gutter="0" w:footer="0" w:header="0"/>
        </w:sectPr>
      </w:pPr>
    </w:p>
    <w:bookmarkStart w:id="24" w:name="page25"/>
    <w:bookmarkEnd w:id="2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firstLine="913"/>
        <w:spacing w:after="0" w:line="302" w:lineRule="auto"/>
        <w:rPr>
          <w:sz w:val="20"/>
          <w:szCs w:val="20"/>
          <w:color w:val="auto"/>
        </w:rPr>
      </w:pPr>
      <w:r>
        <w:rPr>
          <w:rFonts w:ascii="Arial" w:cs="Arial" w:eastAsia="Arial" w:hAnsi="Arial"/>
          <w:sz w:val="16"/>
          <w:szCs w:val="16"/>
          <w:color w:val="auto"/>
        </w:rPr>
        <w:t>As an Ohio corporation, after the spinoff, we will be subject to Chapter 1704 of the Ohio Revised Code, or Chapter 1704. Chapter 1704 prohibits certain corporations from engaging in a “chapter 1704 transaction” (described below) with an “interested shareholder” for a period of three years after the date of the transaction in which the person became an interested shareholder, unless, among other things, prior to the interested shareholder’s share acquisition date, the directors of the corporation have approved the transaction or the purchase of shares on the share acquisition date.</w:t>
      </w:r>
    </w:p>
    <w:p>
      <w:pPr>
        <w:spacing w:after="0" w:line="195" w:lineRule="exact"/>
        <w:rPr>
          <w:sz w:val="20"/>
          <w:szCs w:val="20"/>
          <w:color w:val="auto"/>
        </w:rPr>
      </w:pPr>
    </w:p>
    <w:p>
      <w:pPr>
        <w:ind w:firstLine="913"/>
        <w:spacing w:after="0" w:line="271" w:lineRule="auto"/>
        <w:rPr>
          <w:sz w:val="20"/>
          <w:szCs w:val="20"/>
          <w:color w:val="auto"/>
        </w:rPr>
      </w:pPr>
      <w:r>
        <w:rPr>
          <w:rFonts w:ascii="Arial" w:cs="Arial" w:eastAsia="Arial" w:hAnsi="Arial"/>
          <w:sz w:val="17"/>
          <w:szCs w:val="17"/>
          <w:color w:val="auto"/>
        </w:rPr>
        <w:t>After the three-year moratorium period, the corporation may not consummate a Chapter 1704 transaction unless, among other things, it is approved by the affirmative vote of the holders of at least two-thirds of the voting power in the election of directors and the holders of a majority of the voting shares, excluding all shares beneficially owned by an interested shareholder or an affiliate or associate of an interested shareholder, or the shareholders receive certain minimum consideration for their shares. A Chapter 1704 transaction includes certain mergers, sales of assets, consolidations, combinations and majority share acquisitions involving an interested shareholder. An interested shareholder is defined to include, with limited exceptions, any person who, together with affiliates and associates, is the beneficial owner of a sufficient number of shares of the corporation to entitle the person, directly or indirectly, alone or with others, to exercise or direct the exercise of 10% or more of the voting power in the election of directors after taking into account all of the person’s beneficially owned shares that are not then outstanding.</w:t>
      </w:r>
    </w:p>
    <w:p>
      <w:pPr>
        <w:spacing w:after="0" w:line="219" w:lineRule="exact"/>
        <w:rPr>
          <w:sz w:val="20"/>
          <w:szCs w:val="20"/>
          <w:color w:val="auto"/>
        </w:rPr>
      </w:pPr>
    </w:p>
    <w:p>
      <w:pPr>
        <w:ind w:right="180" w:firstLine="913"/>
        <w:spacing w:after="0" w:line="255" w:lineRule="auto"/>
        <w:rPr>
          <w:sz w:val="20"/>
          <w:szCs w:val="20"/>
          <w:color w:val="auto"/>
        </w:rPr>
      </w:pPr>
      <w:r>
        <w:rPr>
          <w:rFonts w:ascii="Arial" w:cs="Arial" w:eastAsia="Arial" w:hAnsi="Arial"/>
          <w:sz w:val="18"/>
          <w:szCs w:val="18"/>
          <w:color w:val="auto"/>
        </w:rPr>
        <w:t>After the spinoff, we will also be subject to Section 1701.831 of the Ohio Revised Code, or Section 1701.831, which requires the prior authorization of the shareholders of certain corporations in order for any person to acquire, either directly or indirectly, shares of that corporation that would entitle the acquiring person to exercise or direct the exercise of 20% or more of the voting power of that corporation in the election of directors or to exceed specified other percentages of voting power. The acquiring person may complete the proposed acquisition only if the acquisition is approved by the affirmative vote of the holders of at least a majority of the voting power of all shares entitled to vote in the election of directors represented at the meeting, excluding the voting power of all “interested shares.” Interested shares include any shares held by the acquiring person and those held by officers and directors of the corporation.</w:t>
      </w:r>
    </w:p>
    <w:p>
      <w:pPr>
        <w:spacing w:after="0" w:line="216" w:lineRule="exact"/>
        <w:rPr>
          <w:sz w:val="20"/>
          <w:szCs w:val="20"/>
          <w:color w:val="auto"/>
        </w:rPr>
      </w:pPr>
    </w:p>
    <w:p>
      <w:pPr>
        <w:ind w:right="100" w:firstLine="913"/>
        <w:spacing w:after="0" w:line="302" w:lineRule="auto"/>
        <w:rPr>
          <w:sz w:val="20"/>
          <w:szCs w:val="20"/>
          <w:color w:val="auto"/>
        </w:rPr>
      </w:pPr>
      <w:r>
        <w:rPr>
          <w:rFonts w:ascii="Arial" w:cs="Arial" w:eastAsia="Arial" w:hAnsi="Arial"/>
          <w:sz w:val="16"/>
          <w:szCs w:val="16"/>
          <w:color w:val="auto"/>
        </w:rPr>
        <w:t>We believe these provisions protect our shareholders from coercive or otherwise unfair takeover tactics by requiring potential acquirors to negotiate with our board of directors and by providing our board of directors with more time to assess any acquisition proposal, and are not intended to make our company immune from takeovers. However, these provisions apply even if the offer may be considered beneficial by some shareholders and could delay, defer or prevent an acquisition that our board of directors determines is not in the best interests of our company and our shareholders.</w:t>
      </w:r>
    </w:p>
    <w:p>
      <w:pPr>
        <w:spacing w:after="0" w:line="19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may issue preferred shares with terms that could dilute the voting power or reduce the value of our common shares.</w:t>
      </w:r>
    </w:p>
    <w:p>
      <w:pPr>
        <w:spacing w:after="0" w:line="266" w:lineRule="exact"/>
        <w:rPr>
          <w:sz w:val="20"/>
          <w:szCs w:val="20"/>
          <w:color w:val="auto"/>
        </w:rPr>
      </w:pPr>
    </w:p>
    <w:p>
      <w:pPr>
        <w:ind w:right="40" w:firstLine="913"/>
        <w:spacing w:after="0" w:line="255" w:lineRule="auto"/>
        <w:rPr>
          <w:sz w:val="20"/>
          <w:szCs w:val="20"/>
          <w:color w:val="auto"/>
        </w:rPr>
      </w:pPr>
      <w:r>
        <w:rPr>
          <w:rFonts w:ascii="Arial" w:cs="Arial" w:eastAsia="Arial" w:hAnsi="Arial"/>
          <w:sz w:val="18"/>
          <w:szCs w:val="18"/>
          <w:color w:val="auto"/>
        </w:rPr>
        <w:t>Our articles of incorporation authorize us to issue, without the approval of our shareholders, one or more classes or series of preferred shares having such designation, powers, preferences and relative, participating, optional and other special rights, including preferences over our common shares respecting dividends and distributions, as our board of directors generally may determine. The terms of one or more classes or series of preferred shares could dilute the voting power or reduce the value of our common shares. For example, we could grant holders of preferred shares the right to elect some number of our directors in all events or on the happening of specified events or the right to veto specified transactions. Similarly, the repurchase or redemption rights or liquidation preferences we could assign to holders of preferred shares could affect the residual value of the common shares. See “Description of Capital Stock–Preferred Shares.”</w:t>
      </w:r>
    </w:p>
    <w:p>
      <w:pPr>
        <w:spacing w:after="0" w:line="12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17</w:t>
      </w:r>
    </w:p>
    <w:p>
      <w:pPr>
        <w:sectPr>
          <w:pgSz w:w="11900" w:h="16838" w:orient="portrait"/>
          <w:cols w:equalWidth="0" w:num="1">
            <w:col w:w="11420"/>
          </w:cols>
          <w:pgMar w:left="240" w:top="459" w:right="239" w:bottom="1440" w:gutter="0" w:footer="0" w:header="0"/>
        </w:sectPr>
      </w:pPr>
    </w:p>
    <w:bookmarkStart w:id="25" w:name="page26"/>
    <w:bookmarkEnd w:id="2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CAUTIONARY STATEMENT CONCERNING FORWARD-LOOKING STATEMENTS</w:t>
      </w:r>
    </w:p>
    <w:p>
      <w:pPr>
        <w:spacing w:after="0" w:line="310" w:lineRule="exact"/>
        <w:rPr>
          <w:sz w:val="20"/>
          <w:szCs w:val="20"/>
          <w:color w:val="auto"/>
        </w:rPr>
      </w:pPr>
    </w:p>
    <w:p>
      <w:pPr>
        <w:ind w:firstLine="913"/>
        <w:spacing w:after="0" w:line="272" w:lineRule="auto"/>
        <w:rPr>
          <w:sz w:val="20"/>
          <w:szCs w:val="20"/>
          <w:color w:val="auto"/>
        </w:rPr>
      </w:pPr>
      <w:r>
        <w:rPr>
          <w:rFonts w:ascii="Arial" w:cs="Arial" w:eastAsia="Arial" w:hAnsi="Arial"/>
          <w:sz w:val="17"/>
          <w:szCs w:val="17"/>
          <w:color w:val="auto"/>
        </w:rPr>
        <w:t>This prospectus includes “forward-looking” statements within the meaning of the federal securities laws. You can generally identify our forward-looking statements by words such as “anticipate,” “believe,” “could,” “estimate,” “expect,” “forecast,” “outlook,” “intend,” “may,” “possible,” “potential,” “predict,” “project,” “seek,” “target,” “could,” “may,” “should” or “would” or other similar words, phrases or expressions that convey the uncertainty of future events or outcomes. When considering these forward-looking statements, you should keep in mind the risk factors described under the caption “Risk Factors” and other cautionary statements contained in this prospectus. Forward-looking statements speak only as of the date they are made and are not guarantees of future performance. TimkenSteel cautions readers that actual results may differ materially from those expressed or implied in forward-looking statements made by or on behalf of TimkenSteel due to a variety of factors, such as:</w:t>
      </w:r>
    </w:p>
    <w:p>
      <w:pPr>
        <w:spacing w:after="0" w:line="259" w:lineRule="exact"/>
        <w:rPr>
          <w:sz w:val="20"/>
          <w:szCs w:val="20"/>
          <w:color w:val="auto"/>
        </w:rPr>
      </w:pPr>
    </w:p>
    <w:p>
      <w:pPr>
        <w:ind w:left="1240" w:hanging="327"/>
        <w:spacing w:after="0"/>
        <w:tabs>
          <w:tab w:leader="none" w:pos="1240" w:val="left"/>
        </w:tabs>
        <w:numPr>
          <w:ilvl w:val="0"/>
          <w:numId w:val="7"/>
        </w:numPr>
        <w:rPr>
          <w:rFonts w:ascii="Arial" w:cs="Arial" w:eastAsia="Arial" w:hAnsi="Arial"/>
          <w:sz w:val="18"/>
          <w:szCs w:val="18"/>
          <w:color w:val="auto"/>
        </w:rPr>
      </w:pPr>
      <w:r>
        <w:rPr>
          <w:rFonts w:ascii="Arial" w:cs="Arial" w:eastAsia="Arial" w:hAnsi="Arial"/>
          <w:sz w:val="18"/>
          <w:szCs w:val="18"/>
          <w:color w:val="auto"/>
        </w:rPr>
        <w:t>the spinoff, as well as the anticipated effects of restructuring or reorganization of business components;</w:t>
      </w:r>
    </w:p>
    <w:p>
      <w:pPr>
        <w:spacing w:after="0" w:line="130" w:lineRule="exact"/>
        <w:rPr>
          <w:rFonts w:ascii="Arial" w:cs="Arial" w:eastAsia="Arial" w:hAnsi="Arial"/>
          <w:sz w:val="18"/>
          <w:szCs w:val="18"/>
          <w:color w:val="auto"/>
        </w:rPr>
      </w:pPr>
    </w:p>
    <w:p>
      <w:pPr>
        <w:ind w:left="1240" w:right="200" w:hanging="327"/>
        <w:spacing w:after="0" w:line="259" w:lineRule="auto"/>
        <w:tabs>
          <w:tab w:leader="none" w:pos="1240" w:val="left"/>
        </w:tabs>
        <w:numPr>
          <w:ilvl w:val="0"/>
          <w:numId w:val="7"/>
        </w:numPr>
        <w:rPr>
          <w:rFonts w:ascii="Arial" w:cs="Arial" w:eastAsia="Arial" w:hAnsi="Arial"/>
          <w:sz w:val="18"/>
          <w:szCs w:val="18"/>
          <w:color w:val="auto"/>
        </w:rPr>
      </w:pPr>
      <w:r>
        <w:rPr>
          <w:rFonts w:ascii="Arial" w:cs="Arial" w:eastAsia="Arial" w:hAnsi="Arial"/>
          <w:sz w:val="18"/>
          <w:szCs w:val="18"/>
          <w:color w:val="auto"/>
        </w:rPr>
        <w:t>deterioration in world economic conditions, or in economic conditions in any of the geographic regions in which we conduct business, including additional adverse effects from global economic slowdown, terrorism or hostilities. This includes: political risks associated with the potential instability of governments and legal systems in countries in which we or our customers conduct business, and changes in currency valuations;</w:t>
      </w:r>
    </w:p>
    <w:p>
      <w:pPr>
        <w:spacing w:after="0" w:line="92" w:lineRule="exact"/>
        <w:rPr>
          <w:rFonts w:ascii="Arial" w:cs="Arial" w:eastAsia="Arial" w:hAnsi="Arial"/>
          <w:sz w:val="18"/>
          <w:szCs w:val="18"/>
          <w:color w:val="auto"/>
        </w:rPr>
      </w:pPr>
    </w:p>
    <w:p>
      <w:pPr>
        <w:ind w:left="1240" w:right="180" w:hanging="327"/>
        <w:spacing w:after="0" w:line="286" w:lineRule="auto"/>
        <w:tabs>
          <w:tab w:leader="none" w:pos="1240" w:val="left"/>
        </w:tabs>
        <w:numPr>
          <w:ilvl w:val="0"/>
          <w:numId w:val="7"/>
        </w:numPr>
        <w:rPr>
          <w:rFonts w:ascii="Arial" w:cs="Arial" w:eastAsia="Arial" w:hAnsi="Arial"/>
          <w:sz w:val="17"/>
          <w:szCs w:val="17"/>
          <w:color w:val="auto"/>
        </w:rPr>
      </w:pPr>
      <w:r>
        <w:rPr>
          <w:rFonts w:ascii="Arial" w:cs="Arial" w:eastAsia="Arial" w:hAnsi="Arial"/>
          <w:sz w:val="17"/>
          <w:szCs w:val="17"/>
          <w:color w:val="auto"/>
        </w:rPr>
        <w:t>the effects of fluctuations in customer demand on sales, product mix and prices in the industries in which we operate. This includes: the ability of TimkenSteel to respond to rapid changes in customer demand, the effects of customer bankruptcies or liquidations, the impact of changes in industrial business cycles, and whether conditions of fair trade continue in the U.S. markets;</w:t>
      </w:r>
    </w:p>
    <w:p>
      <w:pPr>
        <w:spacing w:after="0" w:line="70" w:lineRule="exact"/>
        <w:rPr>
          <w:rFonts w:ascii="Arial" w:cs="Arial" w:eastAsia="Arial" w:hAnsi="Arial"/>
          <w:sz w:val="17"/>
          <w:szCs w:val="17"/>
          <w:color w:val="auto"/>
        </w:rPr>
      </w:pPr>
    </w:p>
    <w:p>
      <w:pPr>
        <w:ind w:left="1240" w:right="160" w:hanging="327"/>
        <w:spacing w:after="0" w:line="264" w:lineRule="auto"/>
        <w:tabs>
          <w:tab w:leader="none" w:pos="1240" w:val="left"/>
        </w:tabs>
        <w:numPr>
          <w:ilvl w:val="0"/>
          <w:numId w:val="7"/>
        </w:numPr>
        <w:rPr>
          <w:rFonts w:ascii="Arial" w:cs="Arial" w:eastAsia="Arial" w:hAnsi="Arial"/>
          <w:sz w:val="18"/>
          <w:szCs w:val="18"/>
          <w:color w:val="auto"/>
        </w:rPr>
      </w:pPr>
      <w:r>
        <w:rPr>
          <w:rFonts w:ascii="Arial" w:cs="Arial" w:eastAsia="Arial" w:hAnsi="Arial"/>
          <w:sz w:val="18"/>
          <w:szCs w:val="18"/>
          <w:color w:val="auto"/>
        </w:rPr>
        <w:t>competitive factors, including changes in market penetration, increasing price competition by existing or new foreign and domestic competitors, the introduction of new products by existing and new competitors, and new technology that may impact the way our products are sold or distributed;</w:t>
      </w:r>
    </w:p>
    <w:p>
      <w:pPr>
        <w:spacing w:after="0" w:line="86" w:lineRule="exact"/>
        <w:rPr>
          <w:rFonts w:ascii="Arial" w:cs="Arial" w:eastAsia="Arial" w:hAnsi="Arial"/>
          <w:sz w:val="18"/>
          <w:szCs w:val="18"/>
          <w:color w:val="auto"/>
        </w:rPr>
      </w:pPr>
    </w:p>
    <w:p>
      <w:pPr>
        <w:ind w:left="1240" w:hanging="327"/>
        <w:spacing w:after="0" w:line="276" w:lineRule="auto"/>
        <w:tabs>
          <w:tab w:leader="none" w:pos="1240" w:val="left"/>
        </w:tabs>
        <w:numPr>
          <w:ilvl w:val="0"/>
          <w:numId w:val="7"/>
        </w:numPr>
        <w:rPr>
          <w:rFonts w:ascii="Arial" w:cs="Arial" w:eastAsia="Arial" w:hAnsi="Arial"/>
          <w:sz w:val="17"/>
          <w:szCs w:val="17"/>
          <w:color w:val="auto"/>
        </w:rPr>
      </w:pPr>
      <w:r>
        <w:rPr>
          <w:rFonts w:ascii="Arial" w:cs="Arial" w:eastAsia="Arial" w:hAnsi="Arial"/>
          <w:sz w:val="17"/>
          <w:szCs w:val="17"/>
          <w:color w:val="auto"/>
        </w:rPr>
        <w:t>changes in operating costs. This includes: the effect of changes in our manufacturing processes; changes in costs associated with varying levels of operations and manufacturing capacity; availability of raw materials and energy; our ability to mitigate the impact of fluctuations in raw materials and energy costs and the effectiveness of our surcharge mechanism; changes in the expected costs associated with product warranty claims; changes resulting from inventory management, cost reduction initiatives and different levels of customer demands; the effects of unplanned work stoppages; and changes in the cost of labor and benefits;</w:t>
      </w:r>
    </w:p>
    <w:p>
      <w:pPr>
        <w:spacing w:after="0" w:line="77" w:lineRule="exact"/>
        <w:rPr>
          <w:rFonts w:ascii="Arial" w:cs="Arial" w:eastAsia="Arial" w:hAnsi="Arial"/>
          <w:sz w:val="17"/>
          <w:szCs w:val="17"/>
          <w:color w:val="auto"/>
        </w:rPr>
      </w:pPr>
    </w:p>
    <w:p>
      <w:pPr>
        <w:ind w:left="1240" w:right="360" w:hanging="327"/>
        <w:spacing w:after="0" w:line="259" w:lineRule="auto"/>
        <w:tabs>
          <w:tab w:leader="none" w:pos="1240" w:val="left"/>
        </w:tabs>
        <w:numPr>
          <w:ilvl w:val="0"/>
          <w:numId w:val="7"/>
        </w:numPr>
        <w:rPr>
          <w:rFonts w:ascii="Arial" w:cs="Arial" w:eastAsia="Arial" w:hAnsi="Arial"/>
          <w:sz w:val="18"/>
          <w:szCs w:val="18"/>
          <w:color w:val="auto"/>
        </w:rPr>
      </w:pPr>
      <w:r>
        <w:rPr>
          <w:rFonts w:ascii="Arial" w:cs="Arial" w:eastAsia="Arial" w:hAnsi="Arial"/>
          <w:sz w:val="18"/>
          <w:szCs w:val="18"/>
          <w:color w:val="auto"/>
        </w:rPr>
        <w:t>the success of TimkenSteel’s operating plans, announced programs, initiatives and capital investments; the ability to integrate acquired companies; the ability of acquired companies to achieve satisfactory operating results, including results being accretive to earnings; and TimkenSteel’s ability to maintain appropriate relations with unions that represent TimkenSteel associates in certain locations in order to avoid disruptions of business;</w:t>
      </w:r>
    </w:p>
    <w:p>
      <w:pPr>
        <w:spacing w:after="0" w:line="92" w:lineRule="exact"/>
        <w:rPr>
          <w:rFonts w:ascii="Arial" w:cs="Arial" w:eastAsia="Arial" w:hAnsi="Arial"/>
          <w:sz w:val="18"/>
          <w:szCs w:val="18"/>
          <w:color w:val="auto"/>
        </w:rPr>
      </w:pPr>
    </w:p>
    <w:p>
      <w:pPr>
        <w:ind w:left="1240" w:right="640" w:hanging="327"/>
        <w:spacing w:after="0" w:line="277" w:lineRule="auto"/>
        <w:tabs>
          <w:tab w:leader="none" w:pos="1240" w:val="left"/>
        </w:tabs>
        <w:numPr>
          <w:ilvl w:val="0"/>
          <w:numId w:val="7"/>
        </w:numPr>
        <w:rPr>
          <w:rFonts w:ascii="Arial" w:cs="Arial" w:eastAsia="Arial" w:hAnsi="Arial"/>
          <w:sz w:val="18"/>
          <w:szCs w:val="18"/>
          <w:color w:val="auto"/>
        </w:rPr>
      </w:pPr>
      <w:r>
        <w:rPr>
          <w:rFonts w:ascii="Arial" w:cs="Arial" w:eastAsia="Arial" w:hAnsi="Arial"/>
          <w:sz w:val="18"/>
          <w:szCs w:val="18"/>
          <w:color w:val="auto"/>
        </w:rPr>
        <w:t>unanticipated litigation, claims or assessments. This includes: claims or problems related to intellectual property, product liability or warranty, environmental issues and taxes;</w:t>
      </w:r>
    </w:p>
    <w:p>
      <w:pPr>
        <w:spacing w:after="0" w:line="75" w:lineRule="exact"/>
        <w:rPr>
          <w:rFonts w:ascii="Arial" w:cs="Arial" w:eastAsia="Arial" w:hAnsi="Arial"/>
          <w:sz w:val="18"/>
          <w:szCs w:val="18"/>
          <w:color w:val="auto"/>
        </w:rPr>
      </w:pPr>
    </w:p>
    <w:p>
      <w:pPr>
        <w:ind w:left="1240" w:right="260" w:hanging="327"/>
        <w:spacing w:after="0" w:line="312" w:lineRule="auto"/>
        <w:tabs>
          <w:tab w:leader="none" w:pos="1240" w:val="left"/>
        </w:tabs>
        <w:numPr>
          <w:ilvl w:val="0"/>
          <w:numId w:val="7"/>
        </w:numPr>
        <w:rPr>
          <w:rFonts w:ascii="Arial" w:cs="Arial" w:eastAsia="Arial" w:hAnsi="Arial"/>
          <w:sz w:val="16"/>
          <w:szCs w:val="16"/>
          <w:color w:val="auto"/>
        </w:rPr>
      </w:pPr>
      <w:r>
        <w:rPr>
          <w:rFonts w:ascii="Arial" w:cs="Arial" w:eastAsia="Arial" w:hAnsi="Arial"/>
          <w:sz w:val="16"/>
          <w:szCs w:val="16"/>
          <w:color w:val="auto"/>
        </w:rPr>
        <w:t>changes in worldwide financial markets, including availability of financing and interest rates, which affect: TimkenSteel’s cost of funds and/or ability to raise capital; TimkenSteel’s pension obligations and investment performance; and/or customer demand and the ability of customers to obtain financing to purchase TimkenSteel’s products or equipment that contain TimkenSteel’s products; and</w:t>
      </w:r>
    </w:p>
    <w:p>
      <w:pPr>
        <w:spacing w:after="0" w:line="52" w:lineRule="exact"/>
        <w:rPr>
          <w:rFonts w:ascii="Arial" w:cs="Arial" w:eastAsia="Arial" w:hAnsi="Arial"/>
          <w:sz w:val="16"/>
          <w:szCs w:val="16"/>
          <w:color w:val="auto"/>
        </w:rPr>
      </w:pPr>
    </w:p>
    <w:p>
      <w:pPr>
        <w:ind w:left="1240" w:hanging="327"/>
        <w:spacing w:after="0"/>
        <w:tabs>
          <w:tab w:leader="none" w:pos="1240" w:val="left"/>
        </w:tabs>
        <w:numPr>
          <w:ilvl w:val="0"/>
          <w:numId w:val="7"/>
        </w:numPr>
        <w:rPr>
          <w:rFonts w:ascii="Arial" w:cs="Arial" w:eastAsia="Arial" w:hAnsi="Arial"/>
          <w:sz w:val="18"/>
          <w:szCs w:val="18"/>
          <w:color w:val="auto"/>
        </w:rPr>
      </w:pPr>
      <w:r>
        <w:rPr>
          <w:rFonts w:ascii="Arial" w:cs="Arial" w:eastAsia="Arial" w:hAnsi="Arial"/>
          <w:sz w:val="18"/>
          <w:szCs w:val="18"/>
          <w:color w:val="auto"/>
        </w:rPr>
        <w:t>the risks identified in this prospectus under “Risk Factors.”</w:t>
      </w:r>
    </w:p>
    <w:p>
      <w:pPr>
        <w:spacing w:after="0" w:line="225" w:lineRule="exact"/>
        <w:rPr>
          <w:sz w:val="20"/>
          <w:szCs w:val="20"/>
          <w:color w:val="auto"/>
        </w:rPr>
      </w:pPr>
    </w:p>
    <w:p>
      <w:pPr>
        <w:ind w:right="240" w:firstLine="913"/>
        <w:spacing w:after="0" w:line="264" w:lineRule="auto"/>
        <w:rPr>
          <w:sz w:val="20"/>
          <w:szCs w:val="20"/>
          <w:color w:val="auto"/>
        </w:rPr>
      </w:pPr>
      <w:r>
        <w:rPr>
          <w:rFonts w:ascii="Arial" w:cs="Arial" w:eastAsia="Arial" w:hAnsi="Arial"/>
          <w:sz w:val="18"/>
          <w:szCs w:val="18"/>
          <w:color w:val="auto"/>
        </w:rPr>
        <w:t>Additional risks relating to TimkenSteel’s business, the industries in which TimkenSteel operates or TimkenSteel’s common shares may be described from time to time in TimkenSteel’s filings with the SEC. All of these risk factors are difficult to predict, are subject to material uncertainties that may affect actual results and may be beyond TimkenSteel’s control.</w:t>
      </w:r>
    </w:p>
    <w:p>
      <w:pPr>
        <w:spacing w:after="0" w:line="208" w:lineRule="exact"/>
        <w:rPr>
          <w:sz w:val="20"/>
          <w:szCs w:val="20"/>
          <w:color w:val="auto"/>
        </w:rPr>
      </w:pPr>
    </w:p>
    <w:p>
      <w:pPr>
        <w:ind w:right="60" w:firstLine="913"/>
        <w:spacing w:after="0" w:line="286" w:lineRule="auto"/>
        <w:rPr>
          <w:sz w:val="20"/>
          <w:szCs w:val="20"/>
          <w:color w:val="auto"/>
        </w:rPr>
      </w:pPr>
      <w:r>
        <w:rPr>
          <w:rFonts w:ascii="Arial" w:cs="Arial" w:eastAsia="Arial" w:hAnsi="Arial"/>
          <w:sz w:val="17"/>
          <w:szCs w:val="17"/>
          <w:color w:val="auto"/>
        </w:rPr>
        <w:t>Readers are cautioned that it is not possible to predict or identify all of the risks, uncertainties and other factors that may affect future results and that the above list should not be considered to be a complete list. Except as required by the federal securities laws, TimkenSteel undertakes no obligation to publicly update or revise any forward-looking statement, whether as a result of new information, future events or otherwise.</w:t>
      </w:r>
    </w:p>
    <w:p>
      <w:pPr>
        <w:spacing w:after="0" w:line="98"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18</w:t>
      </w:r>
    </w:p>
    <w:p>
      <w:pPr>
        <w:sectPr>
          <w:pgSz w:w="11900" w:h="16838" w:orient="portrait"/>
          <w:cols w:equalWidth="0" w:num="1">
            <w:col w:w="11380"/>
          </w:cols>
          <w:pgMar w:left="240" w:top="459" w:right="279" w:bottom="1440" w:gutter="0" w:footer="0" w:header="0"/>
        </w:sectPr>
      </w:pPr>
    </w:p>
    <w:bookmarkStart w:id="26" w:name="page27"/>
    <w:bookmarkEnd w:id="2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399"/>
        <w:spacing w:after="0"/>
        <w:rPr>
          <w:sz w:val="20"/>
          <w:szCs w:val="20"/>
          <w:color w:val="auto"/>
        </w:rPr>
      </w:pPr>
      <w:r>
        <w:rPr>
          <w:rFonts w:ascii="Arial" w:cs="Arial" w:eastAsia="Arial" w:hAnsi="Arial"/>
          <w:sz w:val="18"/>
          <w:szCs w:val="18"/>
          <w:b w:val="1"/>
          <w:bCs w:val="1"/>
          <w:color w:val="auto"/>
        </w:rPr>
        <w:t>USE OF PROCEEDS</w:t>
      </w:r>
    </w:p>
    <w:p>
      <w:pPr>
        <w:spacing w:after="0" w:line="229" w:lineRule="exact"/>
        <w:rPr>
          <w:sz w:val="20"/>
          <w:szCs w:val="20"/>
          <w:color w:val="auto"/>
        </w:rPr>
      </w:pPr>
    </w:p>
    <w:p>
      <w:pPr>
        <w:ind w:firstLine="913"/>
        <w:spacing w:after="0" w:line="277" w:lineRule="auto"/>
        <w:rPr>
          <w:sz w:val="20"/>
          <w:szCs w:val="20"/>
          <w:color w:val="auto"/>
        </w:rPr>
      </w:pPr>
      <w:r>
        <w:rPr>
          <w:rFonts w:ascii="Arial" w:cs="Arial" w:eastAsia="Arial" w:hAnsi="Arial"/>
          <w:sz w:val="18"/>
          <w:szCs w:val="18"/>
          <w:color w:val="auto"/>
        </w:rPr>
        <w:t>Any proceeds received by us from the exercise of stock options covered by the 2014 Plan will be used for general corporate purposes. These proceeds represent the exercise prices for the stock options.</w:t>
      </w:r>
    </w:p>
    <w:p>
      <w:pPr>
        <w:spacing w:after="0" w:line="103" w:lineRule="exact"/>
        <w:rPr>
          <w:sz w:val="20"/>
          <w:szCs w:val="20"/>
          <w:color w:val="auto"/>
        </w:rPr>
      </w:pPr>
    </w:p>
    <w:p>
      <w:pPr>
        <w:jc w:val="center"/>
        <w:ind w:right="-399"/>
        <w:spacing w:after="0"/>
        <w:rPr>
          <w:sz w:val="20"/>
          <w:szCs w:val="20"/>
          <w:color w:val="auto"/>
        </w:rPr>
      </w:pPr>
      <w:r>
        <w:rPr>
          <w:rFonts w:ascii="Arial" w:cs="Arial" w:eastAsia="Arial" w:hAnsi="Arial"/>
          <w:sz w:val="18"/>
          <w:szCs w:val="18"/>
          <w:color w:val="auto"/>
        </w:rPr>
        <w:t>19</w:t>
      </w:r>
    </w:p>
    <w:p>
      <w:pPr>
        <w:sectPr>
          <w:pgSz w:w="11900" w:h="16838" w:orient="portrait"/>
          <w:cols w:equalWidth="0" w:num="1">
            <w:col w:w="11040"/>
          </w:cols>
          <w:pgMar w:left="240" w:top="459" w:right="619" w:bottom="1440" w:gutter="0" w:footer="0" w:header="0"/>
        </w:sectPr>
      </w:pPr>
    </w:p>
    <w:bookmarkStart w:id="27" w:name="page28"/>
    <w:bookmarkEnd w:id="2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CAPITALIZATION</w:t>
      </w:r>
    </w:p>
    <w:p>
      <w:pPr>
        <w:spacing w:after="0" w:line="270" w:lineRule="exact"/>
        <w:rPr>
          <w:sz w:val="20"/>
          <w:szCs w:val="20"/>
          <w:color w:val="auto"/>
        </w:rPr>
      </w:pPr>
    </w:p>
    <w:p>
      <w:pPr>
        <w:ind w:right="20" w:firstLine="913"/>
        <w:spacing w:after="0" w:line="257" w:lineRule="auto"/>
        <w:rPr>
          <w:sz w:val="20"/>
          <w:szCs w:val="20"/>
          <w:color w:val="auto"/>
        </w:rPr>
      </w:pPr>
      <w:r>
        <w:rPr>
          <w:rFonts w:ascii="Arial" w:cs="Arial" w:eastAsia="Arial" w:hAnsi="Arial"/>
          <w:sz w:val="18"/>
          <w:szCs w:val="18"/>
          <w:color w:val="auto"/>
        </w:rPr>
        <w:t>The following table sets forth TimkenSteel’s cash and cash equivalents and capitalization as of March 31, 2014 (i) on a historical basis and (ii) on an as adjusted basis to give effect to the pro forma adjustments included in TimkenSteel’s unaudited pro forma financial information included elsewhere in this prospectus. The information below is not necessarily indicative of what TimkenSteel’s cash and cash equivalents and capitalization would have been had the spinoff been completed as of March 31, 2014. In addition, this information is not indicative of TimkenSteel’s future cash and cash equivalents and capitalization.</w:t>
      </w:r>
    </w:p>
    <w:p>
      <w:pPr>
        <w:spacing w:after="0" w:line="188" w:lineRule="exact"/>
        <w:rPr>
          <w:sz w:val="20"/>
          <w:szCs w:val="20"/>
          <w:color w:val="auto"/>
        </w:rPr>
      </w:pPr>
    </w:p>
    <w:p>
      <w:pPr>
        <w:ind w:right="20" w:firstLine="913"/>
        <w:spacing w:after="0" w:line="264" w:lineRule="auto"/>
        <w:rPr>
          <w:sz w:val="20"/>
          <w:szCs w:val="20"/>
          <w:color w:val="auto"/>
        </w:rPr>
      </w:pPr>
      <w:r>
        <w:rPr>
          <w:rFonts w:ascii="Arial" w:cs="Arial" w:eastAsia="Arial" w:hAnsi="Arial"/>
          <w:sz w:val="18"/>
          <w:szCs w:val="18"/>
          <w:color w:val="auto"/>
        </w:rPr>
        <w:t>This table should be read in conjunction with the sections entitled “Selected Historical Consolidated Financial Data,” “Unaudited Pro Forma Consolidated Financial Data” and “Management’s Discussion and Analysis of Financial Condition and Results of Operations” and our Consolidated Financial Statements and corresponding notes included elsewhere in this prospectus.</w:t>
      </w:r>
    </w:p>
    <w:p>
      <w:pPr>
        <w:spacing w:after="0" w:line="254"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8880" w:type="dxa"/>
            <w:vAlign w:val="bottom"/>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1540" w:type="dxa"/>
            <w:vAlign w:val="bottom"/>
            <w:tcBorders>
              <w:bottom w:val="single" w:sz="8" w:color="auto"/>
            </w:tcBorders>
            <w:gridSpan w:val="4"/>
          </w:tcPr>
          <w:p>
            <w:pPr>
              <w:jc w:val="right"/>
              <w:spacing w:after="0"/>
              <w:rPr>
                <w:sz w:val="20"/>
                <w:szCs w:val="20"/>
                <w:color w:val="auto"/>
              </w:rPr>
            </w:pPr>
            <w:r>
              <w:rPr>
                <w:rFonts w:ascii="Arial" w:cs="Arial" w:eastAsia="Arial" w:hAnsi="Arial"/>
                <w:sz w:val="14"/>
                <w:szCs w:val="14"/>
                <w:b w:val="1"/>
                <w:bCs w:val="1"/>
                <w:color w:val="auto"/>
              </w:rPr>
              <w:t>As of March 31, 2014</w:t>
            </w:r>
          </w:p>
        </w:tc>
        <w:tc>
          <w:tcPr>
            <w:tcW w:w="460" w:type="dxa"/>
            <w:vAlign w:val="bottom"/>
            <w:tcBorders>
              <w:bottom w:val="single" w:sz="8" w:color="auto"/>
            </w:tcBorders>
          </w:tcPr>
          <w:p>
            <w:pPr>
              <w:spacing w:after="0"/>
              <w:rPr>
                <w:sz w:val="14"/>
                <w:szCs w:val="14"/>
                <w:color w:val="auto"/>
              </w:rPr>
            </w:pPr>
          </w:p>
        </w:tc>
        <w:tc>
          <w:tcPr>
            <w:tcW w:w="2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8880" w:type="dxa"/>
            <w:vAlign w:val="bottom"/>
          </w:tcPr>
          <w:p>
            <w:pPr>
              <w:spacing w:after="0"/>
              <w:rPr>
                <w:sz w:val="12"/>
                <w:szCs w:val="12"/>
                <w:color w:val="auto"/>
              </w:rPr>
            </w:pPr>
          </w:p>
        </w:tc>
        <w:tc>
          <w:tcPr>
            <w:tcW w:w="260" w:type="dxa"/>
            <w:vAlign w:val="bottom"/>
            <w:tcBorders>
              <w:bottom w:val="single" w:sz="8" w:color="auto"/>
            </w:tcBorders>
          </w:tcPr>
          <w:p>
            <w:pPr>
              <w:spacing w:after="0"/>
              <w:rPr>
                <w:sz w:val="12"/>
                <w:szCs w:val="12"/>
                <w:color w:val="auto"/>
              </w:rPr>
            </w:pPr>
          </w:p>
        </w:tc>
        <w:tc>
          <w:tcPr>
            <w:tcW w:w="1540" w:type="dxa"/>
            <w:vAlign w:val="bottom"/>
            <w:tcBorders>
              <w:bottom w:val="single" w:sz="8" w:color="auto"/>
            </w:tcBorders>
            <w:gridSpan w:val="4"/>
          </w:tcPr>
          <w:p>
            <w:pPr>
              <w:jc w:val="right"/>
              <w:spacing w:after="0" w:line="142" w:lineRule="exact"/>
              <w:rPr>
                <w:sz w:val="20"/>
                <w:szCs w:val="20"/>
                <w:color w:val="auto"/>
              </w:rPr>
            </w:pPr>
            <w:r>
              <w:rPr>
                <w:rFonts w:ascii="Arial" w:cs="Arial" w:eastAsia="Arial" w:hAnsi="Arial"/>
                <w:sz w:val="14"/>
                <w:szCs w:val="14"/>
                <w:b w:val="1"/>
                <w:bCs w:val="1"/>
                <w:color w:val="auto"/>
              </w:rPr>
              <w:t>(dollars in millions)</w:t>
            </w:r>
          </w:p>
        </w:tc>
        <w:tc>
          <w:tcPr>
            <w:tcW w:w="460" w:type="dxa"/>
            <w:vAlign w:val="bottom"/>
            <w:tcBorders>
              <w:bottom w:val="single" w:sz="8" w:color="auto"/>
            </w:tcBorders>
          </w:tcPr>
          <w:p>
            <w:pPr>
              <w:spacing w:after="0"/>
              <w:rPr>
                <w:sz w:val="12"/>
                <w:szCs w:val="12"/>
                <w:color w:val="auto"/>
              </w:rPr>
            </w:pPr>
          </w:p>
        </w:tc>
        <w:tc>
          <w:tcPr>
            <w:tcW w:w="2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88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980" w:type="dxa"/>
            <w:vAlign w:val="bottom"/>
            <w:gridSpan w:val="2"/>
          </w:tcPr>
          <w:p>
            <w:pPr>
              <w:jc w:val="right"/>
              <w:ind w:right="480"/>
              <w:spacing w:after="0" w:line="142" w:lineRule="exact"/>
              <w:rPr>
                <w:sz w:val="20"/>
                <w:szCs w:val="20"/>
                <w:color w:val="auto"/>
              </w:rPr>
            </w:pPr>
            <w:r>
              <w:rPr>
                <w:rFonts w:ascii="Arial" w:cs="Arial" w:eastAsia="Arial" w:hAnsi="Arial"/>
                <w:sz w:val="14"/>
                <w:szCs w:val="14"/>
                <w:b w:val="1"/>
                <w:bCs w:val="1"/>
                <w:color w:val="auto"/>
              </w:rPr>
              <w:t>Actual</w:t>
            </w:r>
          </w:p>
        </w:tc>
        <w:tc>
          <w:tcPr>
            <w:tcW w:w="100" w:type="dxa"/>
            <w:vAlign w:val="bottom"/>
          </w:tcPr>
          <w:p>
            <w:pPr>
              <w:spacing w:after="0"/>
              <w:rPr>
                <w:sz w:val="12"/>
                <w:szCs w:val="12"/>
                <w:color w:val="auto"/>
              </w:rPr>
            </w:pPr>
          </w:p>
        </w:tc>
        <w:tc>
          <w:tcPr>
            <w:tcW w:w="920" w:type="dxa"/>
            <w:vAlign w:val="bottom"/>
            <w:gridSpan w:val="2"/>
          </w:tcPr>
          <w:p>
            <w:pPr>
              <w:jc w:val="right"/>
              <w:ind w:right="30"/>
              <w:spacing w:after="0" w:line="142" w:lineRule="exact"/>
              <w:rPr>
                <w:sz w:val="20"/>
                <w:szCs w:val="20"/>
                <w:color w:val="auto"/>
              </w:rPr>
            </w:pPr>
            <w:r>
              <w:rPr>
                <w:rFonts w:ascii="Arial" w:cs="Arial" w:eastAsia="Arial" w:hAnsi="Arial"/>
                <w:sz w:val="14"/>
                <w:szCs w:val="14"/>
                <w:b w:val="1"/>
                <w:bCs w:val="1"/>
                <w:color w:val="auto"/>
                <w:w w:val="95"/>
              </w:rPr>
              <w:t>As Adjusted</w:t>
            </w:r>
          </w:p>
        </w:tc>
        <w:tc>
          <w:tcPr>
            <w:tcW w:w="2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888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Cash and cash equivalents:</w:t>
            </w:r>
          </w:p>
        </w:tc>
        <w:tc>
          <w:tcPr>
            <w:tcW w:w="260" w:type="dxa"/>
            <w:vAlign w:val="bottom"/>
            <w:tcBorders>
              <w:top w:val="single" w:sz="8" w:color="auto"/>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8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460" w:type="dxa"/>
            <w:vAlign w:val="bottom"/>
            <w:tcBorders>
              <w:top w:val="single" w:sz="8" w:color="auto"/>
              <w:bottom w:val="single" w:sz="8" w:color="auto"/>
            </w:tcBorders>
            <w:shd w:val="clear" w:color="auto" w:fill="CCEEFF"/>
          </w:tcPr>
          <w:p>
            <w:pPr>
              <w:jc w:val="right"/>
              <w:ind w:right="254"/>
              <w:spacing w:after="0"/>
              <w:rPr>
                <w:sz w:val="20"/>
                <w:szCs w:val="20"/>
                <w:color w:val="auto"/>
              </w:rPr>
            </w:pPr>
            <w:r>
              <w:rPr>
                <w:rFonts w:ascii="Arial" w:cs="Arial" w:eastAsia="Arial" w:hAnsi="Arial"/>
                <w:sz w:val="18"/>
                <w:szCs w:val="18"/>
                <w:color w:val="auto"/>
                <w:w w:val="99"/>
              </w:rPr>
              <w:t>$</w:t>
            </w:r>
          </w:p>
        </w:tc>
        <w:tc>
          <w:tcPr>
            <w:tcW w:w="4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50.0</w:t>
            </w:r>
          </w:p>
        </w:tc>
        <w:tc>
          <w:tcPr>
            <w:tcW w:w="26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88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70"/>
        </w:trPr>
        <w:tc>
          <w:tcPr>
            <w:tcW w:w="20" w:type="dxa"/>
            <w:vAlign w:val="bottom"/>
            <w:vMerge w:val="restart"/>
          </w:tcPr>
          <w:p>
            <w:pPr>
              <w:spacing w:after="0"/>
              <w:rPr>
                <w:sz w:val="14"/>
                <w:szCs w:val="14"/>
                <w:color w:val="auto"/>
              </w:rPr>
            </w:pPr>
          </w:p>
        </w:tc>
        <w:tc>
          <w:tcPr>
            <w:tcW w:w="88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8880" w:type="dxa"/>
            <w:vAlign w:val="bottom"/>
            <w:shd w:val="clear" w:color="auto" w:fill="CCEEFF"/>
          </w:tcPr>
          <w:p>
            <w:pPr>
              <w:spacing w:after="0"/>
              <w:rPr>
                <w:sz w:val="20"/>
                <w:szCs w:val="20"/>
                <w:color w:val="auto"/>
              </w:rPr>
            </w:pPr>
            <w:r>
              <w:rPr>
                <w:rFonts w:ascii="Arial" w:cs="Arial" w:eastAsia="Arial" w:hAnsi="Arial"/>
                <w:sz w:val="18"/>
                <w:szCs w:val="18"/>
                <w:color w:val="auto"/>
              </w:rPr>
              <w:t>Debt, including current and long-term:</w:t>
            </w:r>
          </w:p>
        </w:tc>
        <w:tc>
          <w:tcPr>
            <w:tcW w:w="26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8880" w:type="dxa"/>
            <w:vAlign w:val="bottom"/>
          </w:tcPr>
          <w:p>
            <w:pPr>
              <w:ind w:left="340"/>
              <w:spacing w:after="0"/>
              <w:rPr>
                <w:sz w:val="20"/>
                <w:szCs w:val="20"/>
                <w:color w:val="auto"/>
              </w:rPr>
            </w:pPr>
            <w:r>
              <w:rPr>
                <w:rFonts w:ascii="Arial" w:cs="Arial" w:eastAsia="Arial" w:hAnsi="Arial"/>
                <w:sz w:val="18"/>
                <w:szCs w:val="18"/>
                <w:color w:val="auto"/>
              </w:rPr>
              <w:t>Long-term debt</w:t>
            </w:r>
          </w:p>
        </w:tc>
        <w:tc>
          <w:tcPr>
            <w:tcW w:w="26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w:t>
            </w: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30.2</w:t>
            </w: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60" w:type="dxa"/>
            <w:vAlign w:val="bottom"/>
            <w:tcBorders>
              <w:bottom w:val="single" w:sz="8" w:color="auto"/>
            </w:tcBorders>
          </w:tcPr>
          <w:p>
            <w:pPr>
              <w:jc w:val="right"/>
              <w:ind w:right="254"/>
              <w:spacing w:after="0"/>
              <w:rPr>
                <w:sz w:val="20"/>
                <w:szCs w:val="20"/>
                <w:color w:val="auto"/>
              </w:rPr>
            </w:pPr>
            <w:r>
              <w:rPr>
                <w:rFonts w:ascii="Arial" w:cs="Arial" w:eastAsia="Arial" w:hAnsi="Arial"/>
                <w:sz w:val="18"/>
                <w:szCs w:val="18"/>
                <w:color w:val="auto"/>
                <w:w w:val="99"/>
              </w:rPr>
              <w:t>$</w:t>
            </w:r>
          </w:p>
        </w:tc>
        <w:tc>
          <w:tcPr>
            <w:tcW w:w="4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88"/>
              </w:rPr>
              <w:t>130.2</w:t>
            </w:r>
          </w:p>
        </w:tc>
        <w:tc>
          <w:tcPr>
            <w:tcW w:w="260" w:type="dxa"/>
            <w:vAlign w:val="bottom"/>
          </w:tcPr>
          <w:p>
            <w:pPr>
              <w:jc w:val="right"/>
              <w:spacing w:after="0"/>
              <w:rPr>
                <w:sz w:val="20"/>
                <w:szCs w:val="20"/>
                <w:color w:val="auto"/>
              </w:rPr>
            </w:pPr>
            <w:r>
              <w:rPr>
                <w:rFonts w:ascii="Arial" w:cs="Arial" w:eastAsia="Arial" w:hAnsi="Arial"/>
                <w:sz w:val="18"/>
                <w:szCs w:val="18"/>
                <w:color w:val="auto"/>
                <w:w w:val="90"/>
              </w:rPr>
              <w:t>(1)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880" w:type="dxa"/>
            <w:vAlign w:val="bottom"/>
            <w:shd w:val="clear" w:color="auto" w:fill="CCEEFF"/>
          </w:tcPr>
          <w:p>
            <w:pPr>
              <w:ind w:left="340"/>
              <w:spacing w:after="0"/>
              <w:rPr>
                <w:sz w:val="20"/>
                <w:szCs w:val="20"/>
                <w:color w:val="auto"/>
              </w:rPr>
            </w:pPr>
            <w:r>
              <w:rPr>
                <w:rFonts w:ascii="Arial" w:cs="Arial" w:eastAsia="Arial" w:hAnsi="Arial"/>
                <w:sz w:val="18"/>
                <w:szCs w:val="18"/>
                <w:color w:val="auto"/>
              </w:rPr>
              <w:t>Total debt</w:t>
            </w:r>
          </w:p>
        </w:tc>
        <w:tc>
          <w:tcPr>
            <w:tcW w:w="26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30.2</w:t>
            </w:r>
          </w:p>
        </w:tc>
        <w:tc>
          <w:tcPr>
            <w:tcW w:w="120" w:type="dxa"/>
            <w:vAlign w:val="bottom"/>
            <w:shd w:val="clear" w:color="auto" w:fill="CCEEFF"/>
          </w:tcPr>
          <w:p>
            <w:pPr>
              <w:spacing w:after="0"/>
              <w:rPr>
                <w:sz w:val="18"/>
                <w:szCs w:val="18"/>
                <w:color w:val="auto"/>
              </w:rPr>
            </w:pPr>
          </w:p>
        </w:tc>
        <w:tc>
          <w:tcPr>
            <w:tcW w:w="560" w:type="dxa"/>
            <w:vAlign w:val="bottom"/>
            <w:gridSpan w:val="2"/>
            <w:shd w:val="clear" w:color="auto" w:fill="CCEEFF"/>
          </w:tcPr>
          <w:p>
            <w:pPr>
              <w:jc w:val="right"/>
              <w:ind w:right="254"/>
              <w:spacing w:after="0"/>
              <w:rPr>
                <w:sz w:val="20"/>
                <w:szCs w:val="20"/>
                <w:color w:val="auto"/>
              </w:rPr>
            </w:pPr>
            <w:r>
              <w:rPr>
                <w:rFonts w:ascii="Arial" w:cs="Arial" w:eastAsia="Arial" w:hAnsi="Arial"/>
                <w:sz w:val="18"/>
                <w:szCs w:val="18"/>
                <w:color w:val="auto"/>
              </w:rPr>
              <w:t>$</w:t>
            </w:r>
          </w:p>
        </w:tc>
        <w:tc>
          <w:tcPr>
            <w:tcW w:w="4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8"/>
              </w:rPr>
              <w:t>130.2</w:t>
            </w:r>
          </w:p>
        </w:tc>
        <w:tc>
          <w:tcPr>
            <w:tcW w:w="2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88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70"/>
        </w:trPr>
        <w:tc>
          <w:tcPr>
            <w:tcW w:w="20" w:type="dxa"/>
            <w:vAlign w:val="bottom"/>
            <w:vMerge w:val="restart"/>
          </w:tcPr>
          <w:p>
            <w:pPr>
              <w:spacing w:after="0"/>
              <w:rPr>
                <w:sz w:val="14"/>
                <w:szCs w:val="14"/>
                <w:color w:val="auto"/>
              </w:rPr>
            </w:pPr>
          </w:p>
        </w:tc>
        <w:tc>
          <w:tcPr>
            <w:tcW w:w="88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8880" w:type="dxa"/>
            <w:vAlign w:val="bottom"/>
            <w:shd w:val="clear" w:color="auto" w:fill="CCEEFF"/>
          </w:tcPr>
          <w:p>
            <w:pPr>
              <w:spacing w:after="0"/>
              <w:rPr>
                <w:sz w:val="20"/>
                <w:szCs w:val="20"/>
                <w:color w:val="auto"/>
              </w:rPr>
            </w:pPr>
            <w:r>
              <w:rPr>
                <w:rFonts w:ascii="Arial" w:cs="Arial" w:eastAsia="Arial" w:hAnsi="Arial"/>
                <w:sz w:val="18"/>
                <w:szCs w:val="18"/>
                <w:color w:val="auto"/>
              </w:rPr>
              <w:t>Equity:</w:t>
            </w:r>
          </w:p>
        </w:tc>
        <w:tc>
          <w:tcPr>
            <w:tcW w:w="26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880" w:type="dxa"/>
            <w:vAlign w:val="bottom"/>
          </w:tcPr>
          <w:p>
            <w:pPr>
              <w:ind w:left="340"/>
              <w:spacing w:after="0"/>
              <w:rPr>
                <w:sz w:val="20"/>
                <w:szCs w:val="20"/>
                <w:color w:val="auto"/>
              </w:rPr>
            </w:pPr>
            <w:r>
              <w:rPr>
                <w:rFonts w:ascii="Arial" w:cs="Arial" w:eastAsia="Arial" w:hAnsi="Arial"/>
                <w:sz w:val="18"/>
                <w:szCs w:val="18"/>
                <w:color w:val="auto"/>
              </w:rPr>
              <w:t>Common shares, no par value</w:t>
            </w:r>
          </w:p>
        </w:tc>
        <w:tc>
          <w:tcPr>
            <w:tcW w:w="26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98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560" w:type="dxa"/>
            <w:vAlign w:val="bottom"/>
            <w:gridSpan w:val="2"/>
          </w:tcPr>
          <w:p>
            <w:pPr>
              <w:jc w:val="right"/>
              <w:ind w:right="294"/>
              <w:spacing w:after="0"/>
              <w:rPr>
                <w:sz w:val="20"/>
                <w:szCs w:val="20"/>
                <w:color w:val="auto"/>
              </w:rPr>
            </w:pPr>
            <w:r>
              <w:rPr>
                <w:rFonts w:ascii="Arial" w:cs="Arial" w:eastAsia="Arial" w:hAnsi="Arial"/>
                <w:sz w:val="18"/>
                <w:szCs w:val="18"/>
                <w:color w:val="auto"/>
              </w:rPr>
              <w:t>$</w:t>
            </w:r>
          </w:p>
        </w:tc>
        <w:tc>
          <w:tcPr>
            <w:tcW w:w="720" w:type="dxa"/>
            <w:vAlign w:val="bottom"/>
            <w:gridSpan w:val="2"/>
          </w:tcPr>
          <w:p>
            <w:pPr>
              <w:jc w:val="right"/>
              <w:spacing w:after="0"/>
              <w:rPr>
                <w:sz w:val="20"/>
                <w:szCs w:val="20"/>
                <w:color w:val="auto"/>
              </w:rPr>
            </w:pPr>
            <w:r>
              <w:rPr>
                <w:rFonts w:ascii="Arial" w:cs="Arial" w:eastAsia="Arial" w:hAnsi="Arial"/>
                <w:sz w:val="18"/>
                <w:szCs w:val="18"/>
                <w:color w:val="auto"/>
              </w:rPr>
              <w:t>— (2)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880" w:type="dxa"/>
            <w:vAlign w:val="bottom"/>
            <w:shd w:val="clear" w:color="auto" w:fill="CCEEFF"/>
          </w:tcPr>
          <w:p>
            <w:pPr>
              <w:ind w:left="340"/>
              <w:spacing w:after="0"/>
              <w:rPr>
                <w:sz w:val="20"/>
                <w:szCs w:val="20"/>
                <w:color w:val="auto"/>
              </w:rPr>
            </w:pPr>
            <w:r>
              <w:rPr>
                <w:rFonts w:ascii="Arial" w:cs="Arial" w:eastAsia="Arial" w:hAnsi="Arial"/>
                <w:sz w:val="18"/>
                <w:szCs w:val="18"/>
                <w:color w:val="auto"/>
              </w:rPr>
              <w:t>Additional paid-in capital</w:t>
            </w:r>
          </w:p>
        </w:tc>
        <w:tc>
          <w:tcPr>
            <w:tcW w:w="26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4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8"/>
              </w:rPr>
              <w:t>952.5</w:t>
            </w:r>
          </w:p>
        </w:tc>
        <w:tc>
          <w:tcPr>
            <w:tcW w:w="2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880" w:type="dxa"/>
            <w:vAlign w:val="bottom"/>
          </w:tcPr>
          <w:p>
            <w:pPr>
              <w:ind w:left="340"/>
              <w:spacing w:after="0"/>
              <w:rPr>
                <w:sz w:val="20"/>
                <w:szCs w:val="20"/>
                <w:color w:val="auto"/>
              </w:rPr>
            </w:pPr>
            <w:r>
              <w:rPr>
                <w:rFonts w:ascii="Arial" w:cs="Arial" w:eastAsia="Arial" w:hAnsi="Arial"/>
                <w:sz w:val="18"/>
                <w:szCs w:val="18"/>
                <w:color w:val="auto"/>
              </w:rPr>
              <w:t>Net parent investment in TimkenSteel</w:t>
            </w:r>
          </w:p>
        </w:tc>
        <w:tc>
          <w:tcPr>
            <w:tcW w:w="26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823.3</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460" w:type="dxa"/>
            <w:vAlign w:val="bottom"/>
          </w:tcPr>
          <w:p>
            <w:pPr>
              <w:jc w:val="right"/>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880" w:type="dxa"/>
            <w:vAlign w:val="bottom"/>
            <w:shd w:val="clear" w:color="auto" w:fill="CCEEFF"/>
          </w:tcPr>
          <w:p>
            <w:pPr>
              <w:ind w:left="340"/>
              <w:spacing w:after="0"/>
              <w:rPr>
                <w:sz w:val="20"/>
                <w:szCs w:val="20"/>
                <w:color w:val="auto"/>
              </w:rPr>
            </w:pPr>
            <w:r>
              <w:rPr>
                <w:rFonts w:ascii="Arial" w:cs="Arial" w:eastAsia="Arial" w:hAnsi="Arial"/>
                <w:sz w:val="18"/>
                <w:szCs w:val="18"/>
                <w:color w:val="auto"/>
              </w:rPr>
              <w:t>Accumulated other comprehensive loss</w:t>
            </w:r>
          </w:p>
        </w:tc>
        <w:tc>
          <w:tcPr>
            <w:tcW w:w="26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(0.6)</w:t>
            </w:r>
          </w:p>
        </w:tc>
        <w:tc>
          <w:tcPr>
            <w:tcW w:w="10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10"/>
              <w:spacing w:after="0"/>
              <w:rPr>
                <w:sz w:val="20"/>
                <w:szCs w:val="20"/>
                <w:color w:val="auto"/>
              </w:rPr>
            </w:pPr>
            <w:r>
              <w:rPr>
                <w:rFonts w:ascii="Arial" w:cs="Arial" w:eastAsia="Arial" w:hAnsi="Arial"/>
                <w:sz w:val="18"/>
                <w:szCs w:val="18"/>
                <w:color w:val="auto"/>
                <w:w w:val="87"/>
              </w:rPr>
              <w:t>(216.7)</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8880" w:type="dxa"/>
            <w:vAlign w:val="bottom"/>
          </w:tcPr>
          <w:p>
            <w:pPr>
              <w:ind w:left="340"/>
              <w:spacing w:after="0"/>
              <w:rPr>
                <w:sz w:val="20"/>
                <w:szCs w:val="20"/>
                <w:color w:val="auto"/>
              </w:rPr>
            </w:pPr>
            <w:r>
              <w:rPr>
                <w:rFonts w:ascii="Arial" w:cs="Arial" w:eastAsia="Arial" w:hAnsi="Arial"/>
                <w:sz w:val="18"/>
                <w:szCs w:val="18"/>
                <w:color w:val="auto"/>
              </w:rPr>
              <w:t>Total equity</w:t>
            </w:r>
          </w:p>
        </w:tc>
        <w:tc>
          <w:tcPr>
            <w:tcW w:w="26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rPr>
              <w:t>$</w:t>
            </w:r>
          </w:p>
        </w:tc>
        <w:tc>
          <w:tcPr>
            <w:tcW w:w="8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822.7</w:t>
            </w: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60" w:type="dxa"/>
            <w:vAlign w:val="bottom"/>
            <w:tcBorders>
              <w:top w:val="single" w:sz="8" w:color="auto"/>
              <w:bottom w:val="single" w:sz="8" w:color="auto"/>
            </w:tcBorders>
          </w:tcPr>
          <w:p>
            <w:pPr>
              <w:jc w:val="right"/>
              <w:ind w:right="254"/>
              <w:spacing w:after="0"/>
              <w:rPr>
                <w:sz w:val="20"/>
                <w:szCs w:val="20"/>
                <w:color w:val="auto"/>
              </w:rPr>
            </w:pPr>
            <w:r>
              <w:rPr>
                <w:rFonts w:ascii="Arial" w:cs="Arial" w:eastAsia="Arial" w:hAnsi="Arial"/>
                <w:sz w:val="18"/>
                <w:szCs w:val="18"/>
                <w:color w:val="auto"/>
                <w:w w:val="99"/>
              </w:rPr>
              <w:t>$</w:t>
            </w:r>
          </w:p>
        </w:tc>
        <w:tc>
          <w:tcPr>
            <w:tcW w:w="4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8"/>
              </w:rPr>
              <w:t>735.8</w:t>
            </w:r>
          </w:p>
        </w:tc>
        <w:tc>
          <w:tcPr>
            <w:tcW w:w="2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88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8880" w:type="dxa"/>
            <w:vAlign w:val="bottom"/>
            <w:shd w:val="clear" w:color="auto" w:fill="CCEEFF"/>
          </w:tcPr>
          <w:p>
            <w:pPr>
              <w:spacing w:after="0"/>
              <w:rPr>
                <w:sz w:val="20"/>
                <w:szCs w:val="20"/>
                <w:color w:val="auto"/>
              </w:rPr>
            </w:pPr>
            <w:r>
              <w:rPr>
                <w:rFonts w:ascii="Arial" w:cs="Arial" w:eastAsia="Arial" w:hAnsi="Arial"/>
                <w:sz w:val="18"/>
                <w:szCs w:val="18"/>
                <w:color w:val="auto"/>
              </w:rPr>
              <w:t>Total capitalization</w:t>
            </w:r>
          </w:p>
        </w:tc>
        <w:tc>
          <w:tcPr>
            <w:tcW w:w="26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852.9</w:t>
            </w:r>
          </w:p>
        </w:tc>
        <w:tc>
          <w:tcPr>
            <w:tcW w:w="120" w:type="dxa"/>
            <w:vAlign w:val="bottom"/>
            <w:shd w:val="clear" w:color="auto" w:fill="CCEEFF"/>
          </w:tcPr>
          <w:p>
            <w:pPr>
              <w:spacing w:after="0"/>
              <w:rPr>
                <w:sz w:val="18"/>
                <w:szCs w:val="18"/>
                <w:color w:val="auto"/>
              </w:rPr>
            </w:pPr>
          </w:p>
        </w:tc>
        <w:tc>
          <w:tcPr>
            <w:tcW w:w="560" w:type="dxa"/>
            <w:vAlign w:val="bottom"/>
            <w:gridSpan w:val="2"/>
            <w:shd w:val="clear" w:color="auto" w:fill="CCEEFF"/>
          </w:tcPr>
          <w:p>
            <w:pPr>
              <w:jc w:val="right"/>
              <w:ind w:right="254"/>
              <w:spacing w:after="0"/>
              <w:rPr>
                <w:sz w:val="20"/>
                <w:szCs w:val="20"/>
                <w:color w:val="auto"/>
              </w:rPr>
            </w:pPr>
            <w:r>
              <w:rPr>
                <w:rFonts w:ascii="Arial" w:cs="Arial" w:eastAsia="Arial" w:hAnsi="Arial"/>
                <w:sz w:val="18"/>
                <w:szCs w:val="18"/>
                <w:color w:val="auto"/>
              </w:rPr>
              <w:t>$</w:t>
            </w:r>
          </w:p>
        </w:tc>
        <w:tc>
          <w:tcPr>
            <w:tcW w:w="4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8"/>
              </w:rPr>
              <w:t>866.0</w:t>
            </w:r>
          </w:p>
        </w:tc>
        <w:tc>
          <w:tcPr>
            <w:tcW w:w="2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88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42" w:lineRule="exact"/>
        <w:rPr>
          <w:sz w:val="20"/>
          <w:szCs w:val="20"/>
          <w:color w:val="auto"/>
        </w:rPr>
      </w:pPr>
    </w:p>
    <w:p>
      <w:pPr>
        <w:ind w:left="900" w:right="20" w:hanging="446"/>
        <w:spacing w:after="0" w:line="269" w:lineRule="auto"/>
        <w:tabs>
          <w:tab w:leader="none" w:pos="900" w:val="left"/>
        </w:tabs>
        <w:numPr>
          <w:ilvl w:val="0"/>
          <w:numId w:val="8"/>
        </w:numPr>
        <w:rPr>
          <w:rFonts w:ascii="Arial" w:cs="Arial" w:eastAsia="Arial" w:hAnsi="Arial"/>
          <w:sz w:val="17"/>
          <w:szCs w:val="17"/>
          <w:color w:val="auto"/>
        </w:rPr>
      </w:pPr>
      <w:r>
        <w:rPr>
          <w:rFonts w:ascii="Arial" w:cs="Arial" w:eastAsia="Arial" w:hAnsi="Arial"/>
          <w:sz w:val="17"/>
          <w:szCs w:val="17"/>
          <w:color w:val="auto"/>
        </w:rPr>
        <w:t>We have entered into a commitment letter with two lead arranger banks to secure a credit facility prior to the completion of the spinoff. The credit facility is anticipated to be for approximately $300 million, and we are currently in the process of negotiating and initiating the syndication process with two lead arranger banks and several other banks. At the distribution date, we expect to have approximately $100 million of borrowings outstanding under the credit facility in addition to $30.2 million of existing long-term debt outstanding.</w:t>
      </w:r>
    </w:p>
    <w:p>
      <w:pPr>
        <w:spacing w:after="0" w:line="2" w:lineRule="exact"/>
        <w:rPr>
          <w:rFonts w:ascii="Arial" w:cs="Arial" w:eastAsia="Arial" w:hAnsi="Arial"/>
          <w:sz w:val="17"/>
          <w:szCs w:val="17"/>
          <w:color w:val="auto"/>
        </w:rPr>
      </w:pPr>
    </w:p>
    <w:p>
      <w:pPr>
        <w:ind w:left="900" w:right="20" w:hanging="446"/>
        <w:spacing w:after="0" w:line="261" w:lineRule="auto"/>
        <w:tabs>
          <w:tab w:leader="none" w:pos="900" w:val="left"/>
        </w:tabs>
        <w:numPr>
          <w:ilvl w:val="0"/>
          <w:numId w:val="8"/>
        </w:numPr>
        <w:rPr>
          <w:rFonts w:ascii="Arial" w:cs="Arial" w:eastAsia="Arial" w:hAnsi="Arial"/>
          <w:sz w:val="18"/>
          <w:szCs w:val="18"/>
          <w:color w:val="auto"/>
        </w:rPr>
      </w:pPr>
      <w:r>
        <w:rPr>
          <w:rFonts w:ascii="Arial" w:cs="Arial" w:eastAsia="Arial" w:hAnsi="Arial"/>
          <w:sz w:val="18"/>
          <w:szCs w:val="18"/>
          <w:color w:val="auto"/>
        </w:rPr>
        <w:t>We expect to distribute approximately 45.4 million TimkenSteel common shares without par value to holders of Timken common shares based on the number of Timken common shares outstanding on April 30, 2014.</w:t>
      </w:r>
    </w:p>
    <w:p>
      <w:pPr>
        <w:spacing w:after="0" w:line="11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20</w:t>
      </w:r>
    </w:p>
    <w:p>
      <w:pPr>
        <w:sectPr>
          <w:pgSz w:w="11900" w:h="16838" w:orient="portrait"/>
          <w:cols w:equalWidth="0" w:num="1">
            <w:col w:w="11420"/>
          </w:cols>
          <w:pgMar w:left="240" w:top="459" w:right="239" w:bottom="1440" w:gutter="0" w:footer="0" w:header="0"/>
        </w:sectPr>
      </w:pPr>
    </w:p>
    <w:bookmarkStart w:id="28" w:name="page29"/>
    <w:bookmarkEnd w:id="2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299"/>
        <w:spacing w:after="0"/>
        <w:rPr>
          <w:sz w:val="20"/>
          <w:szCs w:val="20"/>
          <w:color w:val="auto"/>
        </w:rPr>
      </w:pPr>
      <w:r>
        <w:rPr>
          <w:rFonts w:ascii="Arial" w:cs="Arial" w:eastAsia="Arial" w:hAnsi="Arial"/>
          <w:sz w:val="18"/>
          <w:szCs w:val="18"/>
          <w:b w:val="1"/>
          <w:bCs w:val="1"/>
          <w:color w:val="auto"/>
        </w:rPr>
        <w:t>DIVIDEND POLICY</w:t>
      </w:r>
    </w:p>
    <w:p>
      <w:pPr>
        <w:spacing w:after="0" w:line="310" w:lineRule="exact"/>
        <w:rPr>
          <w:sz w:val="20"/>
          <w:szCs w:val="20"/>
          <w:color w:val="auto"/>
        </w:rPr>
      </w:pPr>
    </w:p>
    <w:p>
      <w:pPr>
        <w:ind w:firstLine="913"/>
        <w:spacing w:after="0" w:line="259" w:lineRule="auto"/>
        <w:rPr>
          <w:sz w:val="20"/>
          <w:szCs w:val="20"/>
          <w:color w:val="auto"/>
        </w:rPr>
      </w:pPr>
      <w:r>
        <w:rPr>
          <w:rFonts w:ascii="Arial" w:cs="Arial" w:eastAsia="Arial" w:hAnsi="Arial"/>
          <w:sz w:val="18"/>
          <w:szCs w:val="18"/>
          <w:color w:val="auto"/>
        </w:rPr>
        <w:t>We expect to pay dividends on our common shares at the discretion of our board of directors and dependent upon then-existing conditions, including our operating results and financial condition, capital requirements, contractual restrictions, business prospects and other factors that our board of directors may deem relevant. There can be no assurance that we will pay a dividend in the future or continue to pay any dividend if we do commence the payment of dividends.</w:t>
      </w:r>
    </w:p>
    <w:p>
      <w:pPr>
        <w:spacing w:after="0" w:line="119" w:lineRule="exact"/>
        <w:rPr>
          <w:sz w:val="20"/>
          <w:szCs w:val="20"/>
          <w:color w:val="auto"/>
        </w:rPr>
      </w:pPr>
    </w:p>
    <w:p>
      <w:pPr>
        <w:jc w:val="center"/>
        <w:ind w:right="-299"/>
        <w:spacing w:after="0"/>
        <w:rPr>
          <w:sz w:val="20"/>
          <w:szCs w:val="20"/>
          <w:color w:val="auto"/>
        </w:rPr>
      </w:pPr>
      <w:r>
        <w:rPr>
          <w:rFonts w:ascii="Arial" w:cs="Arial" w:eastAsia="Arial" w:hAnsi="Arial"/>
          <w:sz w:val="18"/>
          <w:szCs w:val="18"/>
          <w:color w:val="auto"/>
        </w:rPr>
        <w:t>21</w:t>
      </w:r>
    </w:p>
    <w:p>
      <w:pPr>
        <w:sectPr>
          <w:pgSz w:w="11900" w:h="16838" w:orient="portrait"/>
          <w:cols w:equalWidth="0" w:num="1">
            <w:col w:w="11140"/>
          </w:cols>
          <w:pgMar w:left="240" w:top="459" w:right="519" w:bottom="1440" w:gutter="0" w:footer="0" w:header="0"/>
        </w:sectPr>
      </w:pPr>
    </w:p>
    <w:bookmarkStart w:id="29" w:name="page30"/>
    <w:bookmarkEnd w:id="2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99"/>
        <w:spacing w:after="0"/>
        <w:rPr>
          <w:sz w:val="20"/>
          <w:szCs w:val="20"/>
          <w:color w:val="auto"/>
        </w:rPr>
      </w:pPr>
      <w:r>
        <w:rPr>
          <w:rFonts w:ascii="Arial" w:cs="Arial" w:eastAsia="Arial" w:hAnsi="Arial"/>
          <w:sz w:val="18"/>
          <w:szCs w:val="18"/>
          <w:b w:val="1"/>
          <w:bCs w:val="1"/>
          <w:color w:val="auto"/>
        </w:rPr>
        <w:t>THE SPINOFF</w:t>
      </w:r>
    </w:p>
    <w:p>
      <w:pPr>
        <w:spacing w:after="0" w:line="2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General</w:t>
      </w:r>
    </w:p>
    <w:p>
      <w:pPr>
        <w:spacing w:after="0" w:line="270" w:lineRule="exact"/>
        <w:rPr>
          <w:sz w:val="20"/>
          <w:szCs w:val="20"/>
          <w:color w:val="auto"/>
        </w:rPr>
      </w:pPr>
    </w:p>
    <w:p>
      <w:pPr>
        <w:ind w:firstLine="913"/>
        <w:spacing w:after="0" w:line="255" w:lineRule="auto"/>
        <w:rPr>
          <w:sz w:val="20"/>
          <w:szCs w:val="20"/>
          <w:color w:val="auto"/>
        </w:rPr>
      </w:pPr>
      <w:r>
        <w:rPr>
          <w:rFonts w:ascii="Arial" w:cs="Arial" w:eastAsia="Arial" w:hAnsi="Arial"/>
          <w:sz w:val="18"/>
          <w:szCs w:val="18"/>
          <w:color w:val="auto"/>
        </w:rPr>
        <w:t>The board of directors of Timken regularly reviews the various operations conducted by Timken to ensure that resources are deployed and activities are pursued in a manner believed to be in the best interests of its shareholders. On September 5, 2013, following a review led by a strategy committee comprised of independent directors of the Timken board, or the Strategy Committee, Timken announced that its board of directors had authorized its management to take various actions in contemplation of the distribution of our common shares to Timken’s shareholders in a spinoff. This authorization is subject to final approval by the Timken board of directors, which approval is subject to, among other things, the conditions described below under “Spinoff Conditions and Termination.”</w:t>
      </w:r>
    </w:p>
    <w:p>
      <w:pPr>
        <w:spacing w:after="0" w:line="220" w:lineRule="exact"/>
        <w:rPr>
          <w:sz w:val="20"/>
          <w:szCs w:val="20"/>
          <w:color w:val="auto"/>
        </w:rPr>
      </w:pPr>
    </w:p>
    <w:p>
      <w:pPr>
        <w:ind w:right="320" w:firstLine="913"/>
        <w:spacing w:after="0" w:line="308" w:lineRule="auto"/>
        <w:rPr>
          <w:sz w:val="20"/>
          <w:szCs w:val="20"/>
          <w:color w:val="auto"/>
        </w:rPr>
      </w:pPr>
      <w:r>
        <w:rPr>
          <w:rFonts w:ascii="Arial" w:cs="Arial" w:eastAsia="Arial" w:hAnsi="Arial"/>
          <w:sz w:val="17"/>
          <w:szCs w:val="17"/>
          <w:color w:val="auto"/>
        </w:rPr>
        <w:t>TimkenSteel is currently a wholly owned subsidiary of Timken. We were incorporated in Ohio on October 24, 2013, in conjunction with the spinoff. Timken has transferred to us all the assets and generally all the liabilities relating to the Timken steel business.</w:t>
      </w:r>
    </w:p>
    <w:p>
      <w:pPr>
        <w:spacing w:after="0" w:line="187" w:lineRule="exact"/>
        <w:rPr>
          <w:sz w:val="20"/>
          <w:szCs w:val="20"/>
          <w:color w:val="auto"/>
        </w:rPr>
      </w:pPr>
    </w:p>
    <w:p>
      <w:pPr>
        <w:ind w:right="200" w:firstLine="913"/>
        <w:spacing w:after="0" w:line="264" w:lineRule="auto"/>
        <w:rPr>
          <w:sz w:val="20"/>
          <w:szCs w:val="20"/>
          <w:color w:val="auto"/>
        </w:rPr>
      </w:pPr>
      <w:r>
        <w:rPr>
          <w:rFonts w:ascii="Arial" w:cs="Arial" w:eastAsia="Arial" w:hAnsi="Arial"/>
          <w:sz w:val="18"/>
          <w:szCs w:val="18"/>
          <w:color w:val="auto"/>
        </w:rPr>
        <w:t>We will be separated from Timken and will become an independent, publicly traded company through a spinoff, on June 30, 2014, the distribution date. As a result of the spinoff, each holder of Timken common shares as of 5:00 p.m., New York City time, on June 23, 2014, the record date, will be entitled to:</w:t>
      </w:r>
    </w:p>
    <w:p>
      <w:pPr>
        <w:spacing w:after="0" w:line="262" w:lineRule="exact"/>
        <w:rPr>
          <w:sz w:val="20"/>
          <w:szCs w:val="20"/>
          <w:color w:val="auto"/>
        </w:rPr>
      </w:pPr>
    </w:p>
    <w:p>
      <w:pPr>
        <w:ind w:left="1240" w:hanging="327"/>
        <w:spacing w:after="0"/>
        <w:tabs>
          <w:tab w:leader="none" w:pos="1240" w:val="left"/>
        </w:tabs>
        <w:numPr>
          <w:ilvl w:val="0"/>
          <w:numId w:val="9"/>
        </w:numPr>
        <w:rPr>
          <w:rFonts w:ascii="Arial" w:cs="Arial" w:eastAsia="Arial" w:hAnsi="Arial"/>
          <w:sz w:val="18"/>
          <w:szCs w:val="18"/>
          <w:color w:val="auto"/>
        </w:rPr>
      </w:pPr>
      <w:r>
        <w:rPr>
          <w:rFonts w:ascii="Arial" w:cs="Arial" w:eastAsia="Arial" w:hAnsi="Arial"/>
          <w:sz w:val="18"/>
          <w:szCs w:val="18"/>
          <w:color w:val="auto"/>
        </w:rPr>
        <w:t>receive one of our common shares for every two common shares of Timken owned by such holder; and</w:t>
      </w:r>
    </w:p>
    <w:p>
      <w:pPr>
        <w:spacing w:after="0" w:line="23" w:lineRule="exact"/>
        <w:rPr>
          <w:rFonts w:ascii="Arial" w:cs="Arial" w:eastAsia="Arial" w:hAnsi="Arial"/>
          <w:sz w:val="18"/>
          <w:szCs w:val="18"/>
          <w:color w:val="auto"/>
        </w:rPr>
      </w:pPr>
    </w:p>
    <w:p>
      <w:pPr>
        <w:ind w:left="1240" w:hanging="327"/>
        <w:spacing w:after="0"/>
        <w:tabs>
          <w:tab w:leader="none" w:pos="1240" w:val="left"/>
        </w:tabs>
        <w:numPr>
          <w:ilvl w:val="0"/>
          <w:numId w:val="9"/>
        </w:numPr>
        <w:rPr>
          <w:rFonts w:ascii="Arial" w:cs="Arial" w:eastAsia="Arial" w:hAnsi="Arial"/>
          <w:sz w:val="18"/>
          <w:szCs w:val="18"/>
          <w:color w:val="auto"/>
        </w:rPr>
      </w:pPr>
      <w:r>
        <w:rPr>
          <w:rFonts w:ascii="Arial" w:cs="Arial" w:eastAsia="Arial" w:hAnsi="Arial"/>
          <w:sz w:val="18"/>
          <w:szCs w:val="18"/>
          <w:color w:val="auto"/>
        </w:rPr>
        <w:t>retain such holder’s common shares in Timken.</w:t>
      </w:r>
    </w:p>
    <w:p>
      <w:pPr>
        <w:spacing w:after="0" w:line="247" w:lineRule="exact"/>
        <w:rPr>
          <w:sz w:val="20"/>
          <w:szCs w:val="20"/>
          <w:color w:val="auto"/>
        </w:rPr>
      </w:pPr>
    </w:p>
    <w:p>
      <w:pPr>
        <w:ind w:right="80" w:firstLine="913"/>
        <w:spacing w:after="0" w:line="314" w:lineRule="auto"/>
        <w:rPr>
          <w:sz w:val="20"/>
          <w:szCs w:val="20"/>
          <w:color w:val="auto"/>
        </w:rPr>
      </w:pPr>
      <w:r>
        <w:rPr>
          <w:rFonts w:ascii="Arial" w:cs="Arial" w:eastAsia="Arial" w:hAnsi="Arial"/>
          <w:sz w:val="16"/>
          <w:szCs w:val="16"/>
          <w:b w:val="1"/>
          <w:bCs w:val="1"/>
          <w:color w:val="auto"/>
        </w:rPr>
        <w:t>Timken shareholders will not be required to pay for our common shares received in the spinoff or to surrender or exchange common shares of Timken in order to receive our common shares or to take any other action in connection with the spinoff. No vote of Timken shareholders is required or sought in connection with the spinoff, and Timken shareholders have no appraisal rights in connection with the spinoff.</w:t>
      </w:r>
    </w:p>
    <w:p>
      <w:pPr>
        <w:spacing w:after="0" w:line="79"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22</w:t>
      </w:r>
    </w:p>
    <w:p>
      <w:pPr>
        <w:sectPr>
          <w:pgSz w:w="11900" w:h="16838" w:orient="portrait"/>
          <w:cols w:equalWidth="0" w:num="1">
            <w:col w:w="11340"/>
          </w:cols>
          <w:pgMar w:left="240" w:top="459" w:right="319" w:bottom="1440" w:gutter="0" w:footer="0" w:header="0"/>
        </w:sectPr>
      </w:pPr>
    </w:p>
    <w:bookmarkStart w:id="30" w:name="page31"/>
    <w:bookmarkEnd w:id="3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Reasons for the Spinoff</w:t>
      </w:r>
    </w:p>
    <w:p>
      <w:pPr>
        <w:spacing w:after="0" w:line="270" w:lineRule="exact"/>
        <w:rPr>
          <w:sz w:val="20"/>
          <w:szCs w:val="20"/>
          <w:color w:val="auto"/>
        </w:rPr>
      </w:pPr>
    </w:p>
    <w:p>
      <w:pPr>
        <w:ind w:right="280" w:firstLine="913"/>
        <w:spacing w:after="0" w:line="264" w:lineRule="auto"/>
        <w:rPr>
          <w:sz w:val="20"/>
          <w:szCs w:val="20"/>
          <w:color w:val="auto"/>
        </w:rPr>
      </w:pPr>
      <w:r>
        <w:rPr>
          <w:rFonts w:ascii="Arial" w:cs="Arial" w:eastAsia="Arial" w:hAnsi="Arial"/>
          <w:sz w:val="18"/>
          <w:szCs w:val="18"/>
          <w:color w:val="auto"/>
        </w:rPr>
        <w:t>As a result of a comprehensive evaluation process performed by the Strategy Committee, Timken’s board of directors believes that separating Timken into two independent, publicly traded companies is in the best interests of Timken and its shareholders, and has concluded that the spinoff will provide each company with certain opportunities and benefits. Such opportunities and benefits include:</w:t>
      </w:r>
    </w:p>
    <w:p>
      <w:pPr>
        <w:spacing w:after="0" w:line="262" w:lineRule="exact"/>
        <w:rPr>
          <w:sz w:val="20"/>
          <w:szCs w:val="20"/>
          <w:color w:val="auto"/>
        </w:rPr>
      </w:pPr>
    </w:p>
    <w:p>
      <w:pPr>
        <w:jc w:val="both"/>
        <w:ind w:left="1460" w:right="20" w:hanging="547"/>
        <w:spacing w:after="0" w:line="264" w:lineRule="auto"/>
        <w:tabs>
          <w:tab w:leader="none" w:pos="1460" w:val="left"/>
        </w:tabs>
        <w:numPr>
          <w:ilvl w:val="0"/>
          <w:numId w:val="10"/>
        </w:numPr>
        <w:rPr>
          <w:rFonts w:ascii="Arial" w:cs="Arial" w:eastAsia="Arial" w:hAnsi="Arial"/>
          <w:sz w:val="18"/>
          <w:szCs w:val="18"/>
          <w:color w:val="auto"/>
        </w:rPr>
      </w:pPr>
      <w:r>
        <w:rPr>
          <w:rFonts w:ascii="Arial" w:cs="Arial" w:eastAsia="Arial" w:hAnsi="Arial"/>
          <w:sz w:val="18"/>
          <w:szCs w:val="18"/>
          <w:i w:val="1"/>
          <w:iCs w:val="1"/>
          <w:u w:val="single" w:color="auto"/>
          <w:color w:val="auto"/>
        </w:rPr>
        <w:t>Investor Perspectives</w:t>
      </w:r>
      <w:r>
        <w:rPr>
          <w:rFonts w:ascii="Arial" w:cs="Arial" w:eastAsia="Arial" w:hAnsi="Arial"/>
          <w:sz w:val="18"/>
          <w:szCs w:val="18"/>
          <w:color w:val="auto"/>
        </w:rPr>
        <w:t>. Improving the market’s understanding of the unique industry-leading business and financial characteristics of both</w:t>
      </w:r>
      <w:r>
        <w:rPr>
          <w:rFonts w:ascii="Arial" w:cs="Arial" w:eastAsia="Arial" w:hAnsi="Arial"/>
          <w:sz w:val="18"/>
          <w:szCs w:val="18"/>
          <w:i w:val="1"/>
          <w:iCs w:val="1"/>
          <w:color w:val="auto"/>
        </w:rPr>
        <w:t xml:space="preserve"> </w:t>
      </w:r>
      <w:r>
        <w:rPr>
          <w:rFonts w:ascii="Arial" w:cs="Arial" w:eastAsia="Arial" w:hAnsi="Arial"/>
          <w:sz w:val="18"/>
          <w:szCs w:val="18"/>
          <w:color w:val="auto"/>
        </w:rPr>
        <w:t>Timken and TimkenSteel and facilitating independent valuation assessments for each company. This is expected to provide investors with a more targeted investment opportunity;</w:t>
      </w:r>
    </w:p>
    <w:p>
      <w:pPr>
        <w:spacing w:after="0" w:line="262" w:lineRule="exact"/>
        <w:rPr>
          <w:rFonts w:ascii="Arial" w:cs="Arial" w:eastAsia="Arial" w:hAnsi="Arial"/>
          <w:sz w:val="18"/>
          <w:szCs w:val="18"/>
          <w:color w:val="auto"/>
        </w:rPr>
      </w:pPr>
    </w:p>
    <w:p>
      <w:pPr>
        <w:ind w:left="1460" w:right="140" w:hanging="547"/>
        <w:spacing w:after="0" w:line="312" w:lineRule="auto"/>
        <w:tabs>
          <w:tab w:leader="none" w:pos="1460" w:val="left"/>
        </w:tabs>
        <w:numPr>
          <w:ilvl w:val="0"/>
          <w:numId w:val="10"/>
        </w:numPr>
        <w:rPr>
          <w:rFonts w:ascii="Arial" w:cs="Arial" w:eastAsia="Arial" w:hAnsi="Arial"/>
          <w:sz w:val="16"/>
          <w:szCs w:val="16"/>
          <w:color w:val="auto"/>
        </w:rPr>
      </w:pPr>
      <w:r>
        <w:rPr>
          <w:rFonts w:ascii="Arial" w:cs="Arial" w:eastAsia="Arial" w:hAnsi="Arial"/>
          <w:sz w:val="16"/>
          <w:szCs w:val="16"/>
          <w:i w:val="1"/>
          <w:iCs w:val="1"/>
          <w:u w:val="single" w:color="auto"/>
          <w:color w:val="auto"/>
        </w:rPr>
        <w:t>Strategic Focus</w:t>
      </w:r>
      <w:r>
        <w:rPr>
          <w:rFonts w:ascii="Arial" w:cs="Arial" w:eastAsia="Arial" w:hAnsi="Arial"/>
          <w:sz w:val="16"/>
          <w:szCs w:val="16"/>
          <w:color w:val="auto"/>
        </w:rPr>
        <w:t>. Enhancing the flexibility of the management team of each company to implement its distinct corporate strategy and</w:t>
      </w:r>
      <w:r>
        <w:rPr>
          <w:rFonts w:ascii="Arial" w:cs="Arial" w:eastAsia="Arial" w:hAnsi="Arial"/>
          <w:sz w:val="16"/>
          <w:szCs w:val="16"/>
          <w:i w:val="1"/>
          <w:iCs w:val="1"/>
          <w:color w:val="auto"/>
        </w:rPr>
        <w:t xml:space="preserve"> </w:t>
      </w:r>
      <w:r>
        <w:rPr>
          <w:rFonts w:ascii="Arial" w:cs="Arial" w:eastAsia="Arial" w:hAnsi="Arial"/>
          <w:sz w:val="16"/>
          <w:szCs w:val="16"/>
          <w:color w:val="auto"/>
        </w:rPr>
        <w:t>make business and operational decisions that are in the best interests of its independent business and shareholders and to allocate capital and corporate resources in a manner that focuses on achieving its own strategic priorities independent of varying business cycles;</w:t>
      </w:r>
    </w:p>
    <w:p>
      <w:pPr>
        <w:spacing w:after="0" w:line="227" w:lineRule="exact"/>
        <w:rPr>
          <w:rFonts w:ascii="Arial" w:cs="Arial" w:eastAsia="Arial" w:hAnsi="Arial"/>
          <w:sz w:val="16"/>
          <w:szCs w:val="16"/>
          <w:color w:val="auto"/>
        </w:rPr>
      </w:pPr>
    </w:p>
    <w:p>
      <w:pPr>
        <w:ind w:left="1460" w:right="20" w:hanging="547"/>
        <w:spacing w:after="0" w:line="277" w:lineRule="auto"/>
        <w:tabs>
          <w:tab w:leader="none" w:pos="1460" w:val="left"/>
        </w:tabs>
        <w:numPr>
          <w:ilvl w:val="0"/>
          <w:numId w:val="10"/>
        </w:numPr>
        <w:rPr>
          <w:rFonts w:ascii="Arial" w:cs="Arial" w:eastAsia="Arial" w:hAnsi="Arial"/>
          <w:sz w:val="18"/>
          <w:szCs w:val="18"/>
          <w:color w:val="auto"/>
        </w:rPr>
      </w:pPr>
      <w:r>
        <w:rPr>
          <w:rFonts w:ascii="Arial" w:cs="Arial" w:eastAsia="Arial" w:hAnsi="Arial"/>
          <w:sz w:val="18"/>
          <w:szCs w:val="18"/>
          <w:i w:val="1"/>
          <w:iCs w:val="1"/>
          <w:u w:val="single" w:color="auto"/>
          <w:color w:val="auto"/>
        </w:rPr>
        <w:t>Management &amp; Employee Incentives</w:t>
      </w:r>
      <w:r>
        <w:rPr>
          <w:rFonts w:ascii="Arial" w:cs="Arial" w:eastAsia="Arial" w:hAnsi="Arial"/>
          <w:sz w:val="18"/>
          <w:szCs w:val="18"/>
          <w:color w:val="auto"/>
        </w:rPr>
        <w:t>. Incentivizing management performance through equity-based compensation that is aligned with the</w:t>
      </w:r>
      <w:r>
        <w:rPr>
          <w:rFonts w:ascii="Arial" w:cs="Arial" w:eastAsia="Arial" w:hAnsi="Arial"/>
          <w:sz w:val="18"/>
          <w:szCs w:val="18"/>
          <w:i w:val="1"/>
          <w:iCs w:val="1"/>
          <w:color w:val="auto"/>
        </w:rPr>
        <w:t xml:space="preserve"> </w:t>
      </w:r>
      <w:r>
        <w:rPr>
          <w:rFonts w:ascii="Arial" w:cs="Arial" w:eastAsia="Arial" w:hAnsi="Arial"/>
          <w:sz w:val="18"/>
          <w:szCs w:val="18"/>
          <w:color w:val="auto"/>
        </w:rPr>
        <w:t>performance of its own operations and designed to attract and retain key employees;</w:t>
      </w:r>
    </w:p>
    <w:p>
      <w:pPr>
        <w:spacing w:after="0" w:line="251" w:lineRule="exact"/>
        <w:rPr>
          <w:rFonts w:ascii="Arial" w:cs="Arial" w:eastAsia="Arial" w:hAnsi="Arial"/>
          <w:sz w:val="18"/>
          <w:szCs w:val="18"/>
          <w:color w:val="auto"/>
        </w:rPr>
      </w:pPr>
    </w:p>
    <w:p>
      <w:pPr>
        <w:ind w:left="1460" w:right="220" w:hanging="547"/>
        <w:spacing w:after="0" w:line="264" w:lineRule="auto"/>
        <w:tabs>
          <w:tab w:leader="none" w:pos="1460" w:val="left"/>
        </w:tabs>
        <w:numPr>
          <w:ilvl w:val="0"/>
          <w:numId w:val="10"/>
        </w:numPr>
        <w:rPr>
          <w:rFonts w:ascii="Arial" w:cs="Arial" w:eastAsia="Arial" w:hAnsi="Arial"/>
          <w:sz w:val="18"/>
          <w:szCs w:val="18"/>
          <w:color w:val="auto"/>
        </w:rPr>
      </w:pPr>
      <w:r>
        <w:rPr>
          <w:rFonts w:ascii="Arial" w:cs="Arial" w:eastAsia="Arial" w:hAnsi="Arial"/>
          <w:sz w:val="18"/>
          <w:szCs w:val="18"/>
          <w:i w:val="1"/>
          <w:iCs w:val="1"/>
          <w:u w:val="single" w:color="auto"/>
          <w:color w:val="auto"/>
        </w:rPr>
        <w:t>Access to Capital</w:t>
      </w:r>
      <w:r>
        <w:rPr>
          <w:rFonts w:ascii="Arial" w:cs="Arial" w:eastAsia="Arial" w:hAnsi="Arial"/>
          <w:sz w:val="18"/>
          <w:szCs w:val="18"/>
          <w:color w:val="auto"/>
        </w:rPr>
        <w:t>. Removing the competition for capital between the businesses. Instead, both companies will have direct access to the</w:t>
      </w:r>
      <w:r>
        <w:rPr>
          <w:rFonts w:ascii="Arial" w:cs="Arial" w:eastAsia="Arial" w:hAnsi="Arial"/>
          <w:sz w:val="18"/>
          <w:szCs w:val="18"/>
          <w:i w:val="1"/>
          <w:iCs w:val="1"/>
          <w:color w:val="auto"/>
        </w:rPr>
        <w:t xml:space="preserve"> </w:t>
      </w:r>
      <w:r>
        <w:rPr>
          <w:rFonts w:ascii="Arial" w:cs="Arial" w:eastAsia="Arial" w:hAnsi="Arial"/>
          <w:sz w:val="18"/>
          <w:szCs w:val="18"/>
          <w:color w:val="auto"/>
        </w:rPr>
        <w:t>debt and equity capital markets to fund their respective growth strategies and to establish an appropriate capital structure for their business needs; and</w:t>
      </w:r>
    </w:p>
    <w:p>
      <w:pPr>
        <w:spacing w:after="0" w:line="262" w:lineRule="exact"/>
        <w:rPr>
          <w:rFonts w:ascii="Arial" w:cs="Arial" w:eastAsia="Arial" w:hAnsi="Arial"/>
          <w:sz w:val="18"/>
          <w:szCs w:val="18"/>
          <w:color w:val="auto"/>
        </w:rPr>
      </w:pPr>
    </w:p>
    <w:p>
      <w:pPr>
        <w:ind w:left="1460" w:right="280" w:hanging="547"/>
        <w:spacing w:after="0" w:line="277" w:lineRule="auto"/>
        <w:tabs>
          <w:tab w:leader="none" w:pos="1460" w:val="left"/>
        </w:tabs>
        <w:numPr>
          <w:ilvl w:val="0"/>
          <w:numId w:val="10"/>
        </w:numPr>
        <w:rPr>
          <w:rFonts w:ascii="Arial" w:cs="Arial" w:eastAsia="Arial" w:hAnsi="Arial"/>
          <w:sz w:val="18"/>
          <w:szCs w:val="18"/>
          <w:color w:val="auto"/>
        </w:rPr>
      </w:pPr>
      <w:r>
        <w:rPr>
          <w:rFonts w:ascii="Arial" w:cs="Arial" w:eastAsia="Arial" w:hAnsi="Arial"/>
          <w:sz w:val="18"/>
          <w:szCs w:val="18"/>
          <w:i w:val="1"/>
          <w:iCs w:val="1"/>
          <w:u w:val="single" w:color="auto"/>
          <w:color w:val="auto"/>
        </w:rPr>
        <w:t>Flexibility</w:t>
      </w:r>
      <w:r>
        <w:rPr>
          <w:rFonts w:ascii="Arial" w:cs="Arial" w:eastAsia="Arial" w:hAnsi="Arial"/>
          <w:sz w:val="18"/>
          <w:szCs w:val="18"/>
          <w:color w:val="auto"/>
        </w:rPr>
        <w:t>. Providing each independent company increased strategic and financial flexibility to pursue acquisitions, unencumbered by</w:t>
      </w:r>
      <w:r>
        <w:rPr>
          <w:rFonts w:ascii="Arial" w:cs="Arial" w:eastAsia="Arial" w:hAnsi="Arial"/>
          <w:sz w:val="18"/>
          <w:szCs w:val="18"/>
          <w:i w:val="1"/>
          <w:iCs w:val="1"/>
          <w:color w:val="auto"/>
        </w:rPr>
        <w:t xml:space="preserve"> </w:t>
      </w:r>
      <w:r>
        <w:rPr>
          <w:rFonts w:ascii="Arial" w:cs="Arial" w:eastAsia="Arial" w:hAnsi="Arial"/>
          <w:sz w:val="18"/>
          <w:szCs w:val="18"/>
          <w:color w:val="auto"/>
        </w:rPr>
        <w:t>considerations of the potential impact on the business of the other company.</w:t>
      </w:r>
    </w:p>
    <w:p>
      <w:pPr>
        <w:spacing w:after="0" w:line="211" w:lineRule="exact"/>
        <w:rPr>
          <w:sz w:val="20"/>
          <w:szCs w:val="20"/>
          <w:color w:val="auto"/>
        </w:rPr>
      </w:pPr>
    </w:p>
    <w:p>
      <w:pPr>
        <w:ind w:right="220" w:firstLine="913"/>
        <w:spacing w:after="0" w:line="259" w:lineRule="auto"/>
        <w:rPr>
          <w:sz w:val="20"/>
          <w:szCs w:val="20"/>
          <w:color w:val="auto"/>
        </w:rPr>
      </w:pPr>
      <w:r>
        <w:rPr>
          <w:rFonts w:ascii="Arial" w:cs="Arial" w:eastAsia="Arial" w:hAnsi="Arial"/>
          <w:sz w:val="18"/>
          <w:szCs w:val="18"/>
          <w:color w:val="auto"/>
        </w:rPr>
        <w:t>Based on our Audited Consolidated Financial Statements included elsewhere in this prospectus: at December 31, 2013, 2012 and 2011, TimkenSteel’s revenue as a percent of Timken’s total revenue was 32%, 35% and 38%, respectively; total assets attributable to TimkenSteel as a percent of Timken’s total assets was 24% and 23% as of December 31, 2013 and 2012, respectively; and total liabilities attributable to TimkenSteel as a percent of Timken’s total liabilities was 15% and 13% as of December 31, 2013 and 2012, respectively.</w:t>
      </w:r>
    </w:p>
    <w:p>
      <w:pPr>
        <w:spacing w:after="0" w:line="214" w:lineRule="exact"/>
        <w:rPr>
          <w:sz w:val="20"/>
          <w:szCs w:val="20"/>
          <w:color w:val="auto"/>
        </w:rPr>
      </w:pPr>
    </w:p>
    <w:p>
      <w:pPr>
        <w:ind w:right="40" w:firstLine="913"/>
        <w:spacing w:after="0" w:line="293" w:lineRule="auto"/>
        <w:rPr>
          <w:sz w:val="20"/>
          <w:szCs w:val="20"/>
          <w:color w:val="auto"/>
        </w:rPr>
      </w:pPr>
      <w:r>
        <w:rPr>
          <w:rFonts w:ascii="Arial" w:cs="Arial" w:eastAsia="Arial" w:hAnsi="Arial"/>
          <w:sz w:val="16"/>
          <w:szCs w:val="16"/>
          <w:color w:val="auto"/>
        </w:rPr>
        <w:t>The Timken board of directors also considered the probability of successful execution of the spinoff and the risks associated therewith, including the: potential loss of synergies from operating as a consolidated entity; potential loss of joint purchasing power; potential disruptions to the businesses as a result of the spinoff, including information technology or other disruptions; risk of being unable to achieve the benefits expected to be attained by the spinoff; risk that the spinoff might not be completed; potential impact on both companies’ ability to continue to demonstrate civic and charitable leadership in their respective communities; and one-time costs of executing the spinoff. The Timken board of directors concluded that, notwithstanding these potentially negative factors, the spinoff would be in the best interests of its shareholders. For more information, see “Risk Factors–Risks Relating to the Spinoff.”</w:t>
      </w:r>
    </w:p>
    <w:p>
      <w:pPr>
        <w:spacing w:after="0" w:line="20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Results of the Spinoff</w:t>
      </w:r>
    </w:p>
    <w:p>
      <w:pPr>
        <w:spacing w:after="0" w:line="270" w:lineRule="exact"/>
        <w:rPr>
          <w:sz w:val="20"/>
          <w:szCs w:val="20"/>
          <w:color w:val="auto"/>
        </w:rPr>
      </w:pPr>
    </w:p>
    <w:p>
      <w:pPr>
        <w:ind w:firstLine="913"/>
        <w:spacing w:after="0" w:line="279" w:lineRule="auto"/>
        <w:rPr>
          <w:sz w:val="20"/>
          <w:szCs w:val="20"/>
          <w:color w:val="auto"/>
        </w:rPr>
      </w:pPr>
      <w:r>
        <w:rPr>
          <w:rFonts w:ascii="Arial" w:cs="Arial" w:eastAsia="Arial" w:hAnsi="Arial"/>
          <w:sz w:val="17"/>
          <w:szCs w:val="17"/>
          <w:color w:val="auto"/>
        </w:rPr>
        <w:t>After the spinoff, we will be an independent, publicly traded company. Immediately after the distribution date, we expect that approximately 45.4 million of our common shares will be issued and outstanding, based on the distribution of one of our common shares for every two common shares of Timken outstanding and the anticipated number of common shares of Timken outstanding as of the record date. The actual number of our common shares to be distributed will be determined based on the number of common shares of Timken outstanding as of the record date.</w:t>
      </w:r>
    </w:p>
    <w:p>
      <w:pPr>
        <w:spacing w:after="0" w:line="131" w:lineRule="exact"/>
        <w:rPr>
          <w:sz w:val="20"/>
          <w:szCs w:val="20"/>
          <w:color w:val="auto"/>
        </w:rPr>
      </w:pPr>
    </w:p>
    <w:p>
      <w:pPr>
        <w:ind w:right="20" w:firstLine="913"/>
        <w:spacing w:after="0" w:line="308" w:lineRule="auto"/>
        <w:rPr>
          <w:sz w:val="20"/>
          <w:szCs w:val="20"/>
          <w:color w:val="auto"/>
        </w:rPr>
      </w:pPr>
      <w:r>
        <w:rPr>
          <w:rFonts w:ascii="Arial" w:cs="Arial" w:eastAsia="Arial" w:hAnsi="Arial"/>
          <w:sz w:val="17"/>
          <w:szCs w:val="17"/>
          <w:color w:val="auto"/>
        </w:rPr>
        <w:t>We and Timken will be parties to a number of agreements that will govern the spinoff and our future relationship. For a more detailed description of these agreements, please see “Relationship with Timken Following the Spinoff–Material Agreements Between Timken and Us.”</w:t>
      </w:r>
    </w:p>
    <w:p>
      <w:pPr>
        <w:sectPr>
          <w:pgSz w:w="11900" w:h="16838" w:orient="portrait"/>
          <w:cols w:equalWidth="0" w:num="1">
            <w:col w:w="11400"/>
          </w:cols>
          <w:pgMar w:left="240" w:top="459" w:right="259" w:bottom="1440" w:gutter="0" w:footer="0" w:header="0"/>
        </w:sectPr>
      </w:pPr>
    </w:p>
    <w:bookmarkStart w:id="31" w:name="page32"/>
    <w:bookmarkEnd w:id="31"/>
    <w:p>
      <w:pPr>
        <w:spacing w:after="0"/>
        <w:rPr>
          <w:sz w:val="20"/>
          <w:szCs w:val="20"/>
          <w:color w:val="auto"/>
        </w:rPr>
      </w:pPr>
      <w:r>
        <w:rPr>
          <w:rFonts w:ascii="Arial" w:cs="Arial" w:eastAsia="Arial" w:hAnsi="Arial"/>
          <w:sz w:val="18"/>
          <w:szCs w:val="18"/>
          <w:b w:val="1"/>
          <w:bCs w:val="1"/>
          <w:color w:val="auto"/>
        </w:rPr>
        <w:t>Manner of Effecting the Spinoff</w:t>
      </w:r>
    </w:p>
    <w:p>
      <w:pPr>
        <w:spacing w:after="0" w:line="270" w:lineRule="exact"/>
        <w:rPr>
          <w:sz w:val="20"/>
          <w:szCs w:val="20"/>
          <w:color w:val="auto"/>
        </w:rPr>
      </w:pPr>
    </w:p>
    <w:p>
      <w:pPr>
        <w:ind w:firstLine="913"/>
        <w:spacing w:after="0" w:line="302" w:lineRule="auto"/>
        <w:rPr>
          <w:sz w:val="20"/>
          <w:szCs w:val="20"/>
          <w:color w:val="auto"/>
        </w:rPr>
      </w:pPr>
      <w:r>
        <w:rPr>
          <w:rFonts w:ascii="Arial" w:cs="Arial" w:eastAsia="Arial" w:hAnsi="Arial"/>
          <w:sz w:val="16"/>
          <w:szCs w:val="16"/>
          <w:color w:val="auto"/>
        </w:rPr>
        <w:t>The general terms and conditions relating to the spinoff will be set forth in a separation and distribution agreement between Timken and us. For a description of the terms of that agreement, see “Relationship with Timken Following the Spinoff–Material Agreements Between Timken and Us–Separation and Distribution Agreement.” Under the separation and distribution agreement, the spinoff will occur on the distribution date. As a result of the spinoff, each Timken shareholder will be entitled to receive one of our common shares for every two common shares of Timken owned on the record date.</w:t>
      </w:r>
    </w:p>
    <w:p>
      <w:pPr>
        <w:spacing w:after="0" w:line="8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23</w:t>
      </w:r>
    </w:p>
    <w:p>
      <w:pPr>
        <w:sectPr>
          <w:pgSz w:w="11900" w:h="16838" w:orient="portrait"/>
          <w:cols w:equalWidth="0" w:num="1">
            <w:col w:w="11380"/>
          </w:cols>
          <w:pgMar w:left="240" w:top="121" w:right="279" w:bottom="1440" w:gutter="0" w:footer="0" w:header="0"/>
        </w:sectPr>
      </w:pPr>
    </w:p>
    <w:bookmarkStart w:id="32" w:name="page33"/>
    <w:bookmarkEnd w:id="3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Market for Our Common Shares</w:t>
      </w:r>
    </w:p>
    <w:p>
      <w:pPr>
        <w:spacing w:after="0" w:line="270" w:lineRule="exact"/>
        <w:rPr>
          <w:sz w:val="20"/>
          <w:szCs w:val="20"/>
          <w:color w:val="auto"/>
        </w:rPr>
      </w:pPr>
    </w:p>
    <w:p>
      <w:pPr>
        <w:ind w:firstLine="913"/>
        <w:spacing w:after="0" w:line="289" w:lineRule="auto"/>
        <w:rPr>
          <w:sz w:val="20"/>
          <w:szCs w:val="20"/>
          <w:color w:val="auto"/>
        </w:rPr>
      </w:pPr>
      <w:r>
        <w:rPr>
          <w:rFonts w:ascii="Arial" w:cs="Arial" w:eastAsia="Arial" w:hAnsi="Arial"/>
          <w:sz w:val="16"/>
          <w:szCs w:val="16"/>
          <w:color w:val="auto"/>
        </w:rPr>
        <w:t>There is currently no public market for our common shares. We have applied to list our common shares on the NYSE under the symbol “TMST.” We anticipate that trading of our common shares will commence on a “when-issued basis” approximately two trading days before the record date. When-issued trading refers to a sale or purchase made conditionally because the security has been authorized but not yet issued. Generally, common shares may trade on the NYSE on a when-issued basis after they have been authorized but not yet formally issued, which is often initiated by the NYSE prior to the record date relating to the issuance of such common shares. When-issued transactions are settled after our common shares have been issued to Timken shareholders. On the first trading day following the distribution date, when-issued trading with respect to our common shares will end and “regular way” trading will begin. Regular way trading refers to trading after a security has been issued. We cannot predict what the trading price for our common shares will be before or after the distribution date. See “Risk Factors–Risks Relating to Ownership of Our Common Shares.” In addition, we cannot predict any change that may occur in the trading price of Timken’s common shares, which will continue to trade on the NYSE under the symbol “TKR,” as a result of the spinoff.</w:t>
      </w:r>
    </w:p>
    <w:p>
      <w:pPr>
        <w:spacing w:after="0" w:line="12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Spinoff Conditions and Termination</w:t>
      </w:r>
    </w:p>
    <w:p>
      <w:pPr>
        <w:spacing w:after="0" w:line="270" w:lineRule="exact"/>
        <w:rPr>
          <w:sz w:val="20"/>
          <w:szCs w:val="20"/>
          <w:color w:val="auto"/>
        </w:rPr>
      </w:pPr>
    </w:p>
    <w:p>
      <w:pPr>
        <w:ind w:left="920"/>
        <w:spacing w:after="0"/>
        <w:rPr>
          <w:sz w:val="20"/>
          <w:szCs w:val="20"/>
          <w:color w:val="auto"/>
        </w:rPr>
      </w:pPr>
      <w:r>
        <w:rPr>
          <w:rFonts w:ascii="Arial" w:cs="Arial" w:eastAsia="Arial" w:hAnsi="Arial"/>
          <w:sz w:val="18"/>
          <w:szCs w:val="18"/>
          <w:color w:val="auto"/>
        </w:rPr>
        <w:t>We expect that the spinoff will be completed on June 30, 2014, provided that, among other things:</w:t>
      </w:r>
    </w:p>
    <w:p>
      <w:pPr>
        <w:spacing w:after="0" w:line="131" w:lineRule="exact"/>
        <w:rPr>
          <w:sz w:val="20"/>
          <w:szCs w:val="20"/>
          <w:color w:val="auto"/>
        </w:rPr>
      </w:pPr>
    </w:p>
    <w:p>
      <w:pPr>
        <w:ind w:left="1240" w:hanging="327"/>
        <w:spacing w:after="0"/>
        <w:tabs>
          <w:tab w:leader="none" w:pos="124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the reorganization will have been completed;</w:t>
      </w:r>
    </w:p>
    <w:p>
      <w:pPr>
        <w:spacing w:after="0" w:line="130" w:lineRule="exact"/>
        <w:rPr>
          <w:rFonts w:ascii="Arial" w:cs="Arial" w:eastAsia="Arial" w:hAnsi="Arial"/>
          <w:sz w:val="18"/>
          <w:szCs w:val="18"/>
          <w:color w:val="auto"/>
        </w:rPr>
      </w:pPr>
    </w:p>
    <w:p>
      <w:pPr>
        <w:ind w:left="1240" w:right="180" w:hanging="327"/>
        <w:spacing w:after="0" w:line="277" w:lineRule="auto"/>
        <w:tabs>
          <w:tab w:leader="none" w:pos="124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the Timken board of directors will, in its sole and absolute discretion, have authorized and approved the separation and the distribution and will not have withdrawn that authorization and approval;</w:t>
      </w:r>
    </w:p>
    <w:p>
      <w:pPr>
        <w:spacing w:after="0" w:line="75" w:lineRule="exact"/>
        <w:rPr>
          <w:rFonts w:ascii="Arial" w:cs="Arial" w:eastAsia="Arial" w:hAnsi="Arial"/>
          <w:sz w:val="18"/>
          <w:szCs w:val="18"/>
          <w:color w:val="auto"/>
        </w:rPr>
      </w:pPr>
    </w:p>
    <w:p>
      <w:pPr>
        <w:ind w:left="1240" w:hanging="327"/>
        <w:spacing w:after="0"/>
        <w:tabs>
          <w:tab w:leader="none" w:pos="1240" w:val="left"/>
        </w:tabs>
        <w:numPr>
          <w:ilvl w:val="0"/>
          <w:numId w:val="11"/>
        </w:numPr>
        <w:rPr>
          <w:rFonts w:ascii="Arial" w:cs="Arial" w:eastAsia="Arial" w:hAnsi="Arial"/>
          <w:sz w:val="17"/>
          <w:szCs w:val="17"/>
          <w:color w:val="auto"/>
        </w:rPr>
      </w:pPr>
      <w:r>
        <w:rPr>
          <w:rFonts w:ascii="Arial" w:cs="Arial" w:eastAsia="Arial" w:hAnsi="Arial"/>
          <w:sz w:val="17"/>
          <w:szCs w:val="17"/>
          <w:color w:val="auto"/>
        </w:rPr>
        <w:t>the Timken board of directors will have declared the distribution of all of our outstanding common shares to Timken shareholders;</w:t>
      </w:r>
    </w:p>
    <w:p>
      <w:pPr>
        <w:spacing w:after="0" w:line="142" w:lineRule="exact"/>
        <w:rPr>
          <w:rFonts w:ascii="Arial" w:cs="Arial" w:eastAsia="Arial" w:hAnsi="Arial"/>
          <w:sz w:val="17"/>
          <w:szCs w:val="17"/>
          <w:color w:val="auto"/>
        </w:rPr>
      </w:pPr>
    </w:p>
    <w:p>
      <w:pPr>
        <w:ind w:left="1240" w:right="80" w:hanging="327"/>
        <w:spacing w:after="0" w:line="277" w:lineRule="auto"/>
        <w:tabs>
          <w:tab w:leader="none" w:pos="124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Timken and we will have executed and delivered the separation and distribution agreement, employee matters agreement, transition services agreements, tax sharing agreement and all other ancillary agreements related to the spinoff;</w:t>
      </w:r>
    </w:p>
    <w:p>
      <w:pPr>
        <w:spacing w:after="0" w:line="10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24</w:t>
      </w:r>
    </w:p>
    <w:p>
      <w:pPr>
        <w:sectPr>
          <w:pgSz w:w="11900" w:h="16838" w:orient="portrait"/>
          <w:cols w:equalWidth="0" w:num="1">
            <w:col w:w="11420"/>
          </w:cols>
          <w:pgMar w:left="240" w:top="459" w:right="239" w:bottom="1440" w:gutter="0" w:footer="0" w:header="0"/>
        </w:sectPr>
      </w:pPr>
    </w:p>
    <w:bookmarkStart w:id="33" w:name="page34"/>
    <w:bookmarkEnd w:id="3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1240" w:right="500" w:hanging="327"/>
        <w:spacing w:after="0" w:line="277" w:lineRule="auto"/>
        <w:tabs>
          <w:tab w:leader="none" w:pos="1240" w:val="left"/>
        </w:tabs>
        <w:numPr>
          <w:ilvl w:val="0"/>
          <w:numId w:val="12"/>
        </w:numPr>
        <w:rPr>
          <w:rFonts w:ascii="Arial" w:cs="Arial" w:eastAsia="Arial" w:hAnsi="Arial"/>
          <w:sz w:val="18"/>
          <w:szCs w:val="18"/>
          <w:color w:val="auto"/>
        </w:rPr>
      </w:pPr>
      <w:r>
        <w:rPr>
          <w:rFonts w:ascii="Arial" w:cs="Arial" w:eastAsia="Arial" w:hAnsi="Arial"/>
          <w:sz w:val="18"/>
          <w:szCs w:val="18"/>
          <w:color w:val="auto"/>
        </w:rPr>
        <w:t>the SEC shall have declared effective our registration statement on Form 10, under the Exchange Act, with no stop order in effect with respect to the Form 10, and the related information statement shall have been sent to Timken shareholders;</w:t>
      </w:r>
    </w:p>
    <w:p>
      <w:pPr>
        <w:spacing w:after="0" w:line="75" w:lineRule="exact"/>
        <w:rPr>
          <w:rFonts w:ascii="Arial" w:cs="Arial" w:eastAsia="Arial" w:hAnsi="Arial"/>
          <w:sz w:val="18"/>
          <w:szCs w:val="18"/>
          <w:color w:val="auto"/>
        </w:rPr>
      </w:pPr>
    </w:p>
    <w:p>
      <w:pPr>
        <w:ind w:left="1240" w:right="400" w:hanging="327"/>
        <w:spacing w:after="0" w:line="259" w:lineRule="auto"/>
        <w:tabs>
          <w:tab w:leader="none" w:pos="1240" w:val="left"/>
        </w:tabs>
        <w:numPr>
          <w:ilvl w:val="0"/>
          <w:numId w:val="12"/>
        </w:numPr>
        <w:rPr>
          <w:rFonts w:ascii="Arial" w:cs="Arial" w:eastAsia="Arial" w:hAnsi="Arial"/>
          <w:sz w:val="18"/>
          <w:szCs w:val="18"/>
          <w:color w:val="auto"/>
        </w:rPr>
      </w:pPr>
      <w:r>
        <w:rPr>
          <w:rFonts w:ascii="Arial" w:cs="Arial" w:eastAsia="Arial" w:hAnsi="Arial"/>
          <w:sz w:val="18"/>
          <w:szCs w:val="18"/>
          <w:color w:val="auto"/>
        </w:rPr>
        <w:t>no order, injunction or decree that would prevent the consummation of the distribution will be threatened, pending or issued (and still in effect) by any governmental entity of competent jurisdiction, no other legal restraint or prohibition preventing the consummation of the distribution will be in effect, and no other event outside the control of Timken will have occurred or failed to occur that prevents the consummation of the distribution;</w:t>
      </w:r>
    </w:p>
    <w:p>
      <w:pPr>
        <w:spacing w:after="0" w:line="92" w:lineRule="exact"/>
        <w:rPr>
          <w:rFonts w:ascii="Arial" w:cs="Arial" w:eastAsia="Arial" w:hAnsi="Arial"/>
          <w:sz w:val="18"/>
          <w:szCs w:val="18"/>
          <w:color w:val="auto"/>
        </w:rPr>
      </w:pPr>
    </w:p>
    <w:p>
      <w:pPr>
        <w:ind w:left="1240" w:hanging="327"/>
        <w:spacing w:after="0"/>
        <w:tabs>
          <w:tab w:leader="none" w:pos="1240" w:val="left"/>
        </w:tabs>
        <w:numPr>
          <w:ilvl w:val="0"/>
          <w:numId w:val="12"/>
        </w:numPr>
        <w:rPr>
          <w:rFonts w:ascii="Arial" w:cs="Arial" w:eastAsia="Arial" w:hAnsi="Arial"/>
          <w:sz w:val="18"/>
          <w:szCs w:val="18"/>
          <w:color w:val="auto"/>
        </w:rPr>
      </w:pPr>
      <w:r>
        <w:rPr>
          <w:rFonts w:ascii="Arial" w:cs="Arial" w:eastAsia="Arial" w:hAnsi="Arial"/>
          <w:sz w:val="18"/>
          <w:szCs w:val="18"/>
          <w:color w:val="auto"/>
        </w:rPr>
        <w:t>our common shares shall have been approved for listing on the NYSE, subject to official notice of issuance;</w:t>
      </w:r>
    </w:p>
    <w:p>
      <w:pPr>
        <w:spacing w:after="0" w:line="130" w:lineRule="exact"/>
        <w:rPr>
          <w:rFonts w:ascii="Arial" w:cs="Arial" w:eastAsia="Arial" w:hAnsi="Arial"/>
          <w:sz w:val="18"/>
          <w:szCs w:val="18"/>
          <w:color w:val="auto"/>
        </w:rPr>
      </w:pPr>
    </w:p>
    <w:p>
      <w:pPr>
        <w:ind w:left="1240" w:right="460" w:hanging="327"/>
        <w:spacing w:after="0" w:line="277" w:lineRule="auto"/>
        <w:tabs>
          <w:tab w:leader="none" w:pos="1240" w:val="left"/>
        </w:tabs>
        <w:numPr>
          <w:ilvl w:val="0"/>
          <w:numId w:val="12"/>
        </w:numPr>
        <w:rPr>
          <w:rFonts w:ascii="Arial" w:cs="Arial" w:eastAsia="Arial" w:hAnsi="Arial"/>
          <w:sz w:val="18"/>
          <w:szCs w:val="18"/>
          <w:color w:val="auto"/>
        </w:rPr>
      </w:pPr>
      <w:r>
        <w:rPr>
          <w:rFonts w:ascii="Arial" w:cs="Arial" w:eastAsia="Arial" w:hAnsi="Arial"/>
          <w:sz w:val="18"/>
          <w:szCs w:val="18"/>
          <w:color w:val="auto"/>
        </w:rPr>
        <w:t>Timken shall have received an opinion from its tax counsel regarding the tax-free status of the spinoff and certain internal restructuring transactions as of the distribution date;</w:t>
      </w:r>
    </w:p>
    <w:p>
      <w:pPr>
        <w:spacing w:after="0" w:line="75" w:lineRule="exact"/>
        <w:rPr>
          <w:rFonts w:ascii="Arial" w:cs="Arial" w:eastAsia="Arial" w:hAnsi="Arial"/>
          <w:sz w:val="18"/>
          <w:szCs w:val="18"/>
          <w:color w:val="auto"/>
        </w:rPr>
      </w:pPr>
    </w:p>
    <w:p>
      <w:pPr>
        <w:ind w:left="1240" w:right="160" w:hanging="327"/>
        <w:spacing w:after="0" w:line="277" w:lineRule="auto"/>
        <w:tabs>
          <w:tab w:leader="none" w:pos="1240" w:val="left"/>
        </w:tabs>
        <w:numPr>
          <w:ilvl w:val="0"/>
          <w:numId w:val="12"/>
        </w:numPr>
        <w:rPr>
          <w:rFonts w:ascii="Arial" w:cs="Arial" w:eastAsia="Arial" w:hAnsi="Arial"/>
          <w:sz w:val="18"/>
          <w:szCs w:val="18"/>
          <w:color w:val="auto"/>
        </w:rPr>
      </w:pPr>
      <w:r>
        <w:rPr>
          <w:rFonts w:ascii="Arial" w:cs="Arial" w:eastAsia="Arial" w:hAnsi="Arial"/>
          <w:sz w:val="18"/>
          <w:szCs w:val="18"/>
          <w:color w:val="auto"/>
        </w:rPr>
        <w:t>immediately prior to the distribution, our restated articles of incorporation and regulations, each in substantially the form filed as an exhibit to our registration statement on Form 10, will be in effect; and</w:t>
      </w:r>
    </w:p>
    <w:p>
      <w:pPr>
        <w:spacing w:after="0" w:line="75" w:lineRule="exact"/>
        <w:rPr>
          <w:rFonts w:ascii="Arial" w:cs="Arial" w:eastAsia="Arial" w:hAnsi="Arial"/>
          <w:sz w:val="18"/>
          <w:szCs w:val="18"/>
          <w:color w:val="auto"/>
        </w:rPr>
      </w:pPr>
    </w:p>
    <w:p>
      <w:pPr>
        <w:ind w:left="1240" w:right="400" w:hanging="327"/>
        <w:spacing w:after="0" w:line="277" w:lineRule="auto"/>
        <w:tabs>
          <w:tab w:leader="none" w:pos="1240" w:val="left"/>
        </w:tabs>
        <w:numPr>
          <w:ilvl w:val="0"/>
          <w:numId w:val="12"/>
        </w:numPr>
        <w:rPr>
          <w:rFonts w:ascii="Arial" w:cs="Arial" w:eastAsia="Arial" w:hAnsi="Arial"/>
          <w:sz w:val="18"/>
          <w:szCs w:val="18"/>
          <w:color w:val="auto"/>
        </w:rPr>
      </w:pPr>
      <w:r>
        <w:rPr>
          <w:rFonts w:ascii="Arial" w:cs="Arial" w:eastAsia="Arial" w:hAnsi="Arial"/>
          <w:sz w:val="18"/>
          <w:szCs w:val="18"/>
          <w:color w:val="auto"/>
        </w:rPr>
        <w:t>no other events or developments will have occurred that, in the judgment of the board of directors of Timken would result in the spinoff having a material adverse effect on Timken or its shareholders.</w:t>
      </w:r>
    </w:p>
    <w:p>
      <w:pPr>
        <w:spacing w:after="0" w:line="170" w:lineRule="exact"/>
        <w:rPr>
          <w:sz w:val="20"/>
          <w:szCs w:val="20"/>
          <w:color w:val="auto"/>
        </w:rPr>
      </w:pPr>
    </w:p>
    <w:p>
      <w:pPr>
        <w:ind w:firstLine="913"/>
        <w:spacing w:after="0" w:line="255" w:lineRule="auto"/>
        <w:rPr>
          <w:sz w:val="20"/>
          <w:szCs w:val="20"/>
          <w:color w:val="auto"/>
        </w:rPr>
      </w:pPr>
      <w:r>
        <w:rPr>
          <w:rFonts w:ascii="Arial" w:cs="Arial" w:eastAsia="Arial" w:hAnsi="Arial"/>
          <w:sz w:val="18"/>
          <w:szCs w:val="18"/>
          <w:color w:val="auto"/>
        </w:rPr>
        <w:t>Timken may waive one or more of these conditions in its sole and absolute discretion, and the determination by Timken regarding the satisfaction of these conditions will be conclusive. The fulfillment of these conditions will not create any obligation on Timken’s part to effect the distribution, and Timken has reserved the right to amend, modify or abandon any and all terms of the distribution and the related transactions at any time prior to the distribution date. Timken does not intend to notify its shareholders of any modifications to the terms or the conditions to the separation that, in the judgment of its board of directors, are not material. To the extent that the Timken board of directors determines that any such modifications materially change the terms and conditions of the distribution, Timken will notify its shareholders in a manner reasonably calculated to inform them of such modifications with a press release, Current Report on Form 8-K or other similar means.</w:t>
      </w:r>
    </w:p>
    <w:p>
      <w:pPr>
        <w:spacing w:after="0" w:line="12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25</w:t>
      </w:r>
    </w:p>
    <w:p>
      <w:pPr>
        <w:sectPr>
          <w:pgSz w:w="11900" w:h="16838" w:orient="portrait"/>
          <w:cols w:equalWidth="0" w:num="1">
            <w:col w:w="11420"/>
          </w:cols>
          <w:pgMar w:left="240" w:top="459" w:right="239" w:bottom="1440" w:gutter="0" w:footer="0" w:header="0"/>
        </w:sectPr>
      </w:pPr>
    </w:p>
    <w:bookmarkStart w:id="34" w:name="page35"/>
    <w:bookmarkEnd w:id="3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SELECTED HISTORICAL CONSOLIDATED FINANCIAL DATA</w:t>
      </w:r>
    </w:p>
    <w:p>
      <w:pPr>
        <w:spacing w:after="0" w:line="270" w:lineRule="exact"/>
        <w:rPr>
          <w:sz w:val="20"/>
          <w:szCs w:val="20"/>
          <w:color w:val="auto"/>
        </w:rPr>
      </w:pPr>
    </w:p>
    <w:p>
      <w:pPr>
        <w:ind w:firstLine="913"/>
        <w:spacing w:after="0" w:line="268" w:lineRule="auto"/>
        <w:rPr>
          <w:sz w:val="20"/>
          <w:szCs w:val="20"/>
          <w:color w:val="auto"/>
        </w:rPr>
      </w:pPr>
      <w:r>
        <w:rPr>
          <w:rFonts w:ascii="Arial" w:cs="Arial" w:eastAsia="Arial" w:hAnsi="Arial"/>
          <w:sz w:val="17"/>
          <w:szCs w:val="17"/>
          <w:color w:val="auto"/>
        </w:rPr>
        <w:t>The following table presents TimkenSteel’s selected historical consolidated financial data. TimkenSteel derived the selected historical consolidated financial data as of December 31, 2013 and 2012 and for the years ended December 31, 2013, 2012 and 2011 from TimkenSteel’s Audited Consolidated Financial Statements included elsewhere in this prospectus. TimkenSteel derived the selected historical consolidated financial data as of March 31, 2014 from TimkenSteel’s Unaudited Consolidated Financial Statements included elsewhere in this prospectus. In TimkenSteel’s management’s opinion, the Unaudited Consolidated Financial Statements as of March 31, 2014 and for the three months ended March 31, 2014 and 2013 have been prepared on the same basis as the Audited Consolidated Financial Statements and include all adjustments, consisting only of normal recurring adjustments and allocations, necessary for a fair presentation of the information for the periods presented. TimkenSteel derived the selected historical consolidated financial data as of December 31, 2011 and for the year ended December 31, 2010 from TimkenSteel’s Audited Consolidated Financial Statements that are not included in this prospectus. TimkenSteel derived the selected historical consolidated data as of December 31, 2010 and 2009 and for the year ended December 31, 2009 from TimkenSteel’s Unaudited Consolidated Financial Statements that are not included in this prospectus. In TimkenSteel’s management’s opinion, the Unaudited Consolidated Financial Statements for those periods have been prepared on the same basis as the Audited Consolidated Financial Statements and include all adjustments, consisting only of normal recurring adjustments and allocations, necessary for a fair presentation of the information for the periods presented.</w:t>
      </w:r>
    </w:p>
    <w:p>
      <w:pPr>
        <w:spacing w:after="0" w:line="228" w:lineRule="exact"/>
        <w:rPr>
          <w:sz w:val="20"/>
          <w:szCs w:val="20"/>
          <w:color w:val="auto"/>
        </w:rPr>
      </w:pPr>
    </w:p>
    <w:p>
      <w:pPr>
        <w:ind w:right="80" w:firstLine="913"/>
        <w:spacing w:after="0" w:line="270" w:lineRule="auto"/>
        <w:rPr>
          <w:sz w:val="20"/>
          <w:szCs w:val="20"/>
          <w:color w:val="auto"/>
        </w:rPr>
      </w:pPr>
      <w:r>
        <w:rPr>
          <w:rFonts w:ascii="Arial" w:cs="Arial" w:eastAsia="Arial" w:hAnsi="Arial"/>
          <w:sz w:val="17"/>
          <w:szCs w:val="17"/>
          <w:color w:val="auto"/>
        </w:rPr>
        <w:t>The selected historical consolidated financial data include certain expenses of Timken that were allocated to us for certain corporate functions including information technology, research and development, finance, legal, insurance, compliance and human resources activities. These costs may not be representative of the future costs we will incur as an independent, publicly traded company. In addition, TimkenSteel’s historical financial information does not reflect changes that we expect to experience in the future as a result of our spinoff from Timken, including changes in TimkenSteel’s cost structure, personnel needs, tax structure, capital structure, financing and business operations. TimkenSteel’s Consolidated Financial Statements also do not reflect the allocation of certain assets and liabilities between Timken and TimkenSteel as reflected under “Unaudited Pro Forma Consolidated Financial Data” included elsewhere in this prospectus. Consequently, the financial information included here may not necessarily reflect TimkenSteel’s financial position, results of operations and cash flows in the future or what TimkenSteel’s financial position, results of operations and cash flows would have been had TimkenSteel been an independent, publicly traded company during the periods presented.</w:t>
      </w:r>
    </w:p>
    <w:p>
      <w:pPr>
        <w:spacing w:after="0" w:line="209" w:lineRule="exact"/>
        <w:rPr>
          <w:sz w:val="20"/>
          <w:szCs w:val="20"/>
          <w:color w:val="auto"/>
        </w:rPr>
      </w:pPr>
    </w:p>
    <w:p>
      <w:pPr>
        <w:ind w:firstLine="913"/>
        <w:spacing w:after="0" w:line="264" w:lineRule="auto"/>
        <w:rPr>
          <w:sz w:val="20"/>
          <w:szCs w:val="20"/>
          <w:color w:val="auto"/>
        </w:rPr>
      </w:pPr>
      <w:r>
        <w:rPr>
          <w:rFonts w:ascii="Arial" w:cs="Arial" w:eastAsia="Arial" w:hAnsi="Arial"/>
          <w:sz w:val="18"/>
          <w:szCs w:val="18"/>
          <w:color w:val="auto"/>
        </w:rPr>
        <w:t>For a better understanding, this section should be read in conjunction with the discussion in “Management’s Discussion and Analysis of Financial Condition and Results of Operations” and the “Unaudited Pro Forma Consolidated Financial Data” and corresponding notes and the Audited Consolidated Financial Statements and corresponding notes included elsewhere in this prospectus.</w:t>
      </w:r>
    </w:p>
    <w:p>
      <w:pPr>
        <w:spacing w:after="0" w:line="309" w:lineRule="exact"/>
        <w:rPr>
          <w:sz w:val="20"/>
          <w:szCs w:val="20"/>
          <w:color w:val="auto"/>
        </w:rPr>
      </w:pPr>
    </w:p>
    <w:tbl>
      <w:tblPr>
        <w:tblLayout w:type="fixed"/>
        <w:tblInd w:w="0" w:type="dxa"/>
        <w:tblCellMar>
          <w:top w:w="0" w:type="dxa"/>
          <w:left w:w="0" w:type="dxa"/>
          <w:bottom w:w="0" w:type="dxa"/>
          <w:right w:w="0" w:type="dxa"/>
        </w:tblCellMar>
      </w:tblPr>
      <w:tr>
        <w:trPr>
          <w:trHeight w:val="35"/>
        </w:trPr>
        <w:tc>
          <w:tcPr>
            <w:tcW w:w="20" w:type="dxa"/>
            <w:vAlign w:val="bottom"/>
          </w:tcPr>
          <w:p>
            <w:pPr>
              <w:spacing w:after="0"/>
              <w:rPr>
                <w:sz w:val="3"/>
                <w:szCs w:val="3"/>
                <w:color w:val="auto"/>
              </w:rPr>
            </w:pPr>
          </w:p>
        </w:tc>
        <w:tc>
          <w:tcPr>
            <w:tcW w:w="3580" w:type="dxa"/>
            <w:vAlign w:val="bottom"/>
          </w:tcPr>
          <w:p>
            <w:pPr>
              <w:spacing w:after="0"/>
              <w:rPr>
                <w:sz w:val="3"/>
                <w:szCs w:val="3"/>
                <w:color w:val="auto"/>
              </w:rPr>
            </w:pPr>
          </w:p>
        </w:tc>
        <w:tc>
          <w:tcPr>
            <w:tcW w:w="3020" w:type="dxa"/>
            <w:vAlign w:val="bottom"/>
            <w:gridSpan w:val="2"/>
            <w:vMerge w:val="restart"/>
          </w:tcPr>
          <w:p>
            <w:pPr>
              <w:jc w:val="right"/>
              <w:ind w:right="394"/>
              <w:spacing w:after="0"/>
              <w:rPr>
                <w:sz w:val="20"/>
                <w:szCs w:val="20"/>
                <w:color w:val="auto"/>
              </w:rPr>
            </w:pPr>
            <w:r>
              <w:rPr>
                <w:rFonts w:ascii="Arial" w:cs="Arial" w:eastAsia="Arial" w:hAnsi="Arial"/>
                <w:sz w:val="14"/>
                <w:szCs w:val="14"/>
                <w:b w:val="1"/>
                <w:bCs w:val="1"/>
                <w:color w:val="auto"/>
              </w:rPr>
              <w:t>Three Months Ended</w:t>
            </w:r>
          </w:p>
        </w:tc>
        <w:tc>
          <w:tcPr>
            <w:tcW w:w="1040" w:type="dxa"/>
            <w:vAlign w:val="bottom"/>
          </w:tcPr>
          <w:p>
            <w:pPr>
              <w:spacing w:after="0"/>
              <w:rPr>
                <w:sz w:val="3"/>
                <w:szCs w:val="3"/>
                <w:color w:val="auto"/>
              </w:rPr>
            </w:pPr>
          </w:p>
        </w:tc>
        <w:tc>
          <w:tcPr>
            <w:tcW w:w="980" w:type="dxa"/>
            <w:vAlign w:val="bottom"/>
          </w:tcPr>
          <w:p>
            <w:pPr>
              <w:spacing w:after="0"/>
              <w:rPr>
                <w:sz w:val="3"/>
                <w:szCs w:val="3"/>
                <w:color w:val="auto"/>
              </w:rPr>
            </w:pPr>
          </w:p>
        </w:tc>
        <w:tc>
          <w:tcPr>
            <w:tcW w:w="980" w:type="dxa"/>
            <w:vAlign w:val="bottom"/>
          </w:tcPr>
          <w:p>
            <w:pPr>
              <w:spacing w:after="0"/>
              <w:rPr>
                <w:sz w:val="3"/>
                <w:szCs w:val="3"/>
                <w:color w:val="auto"/>
              </w:rPr>
            </w:pPr>
          </w:p>
        </w:tc>
        <w:tc>
          <w:tcPr>
            <w:tcW w:w="980" w:type="dxa"/>
            <w:vAlign w:val="bottom"/>
          </w:tcPr>
          <w:p>
            <w:pPr>
              <w:spacing w:after="0"/>
              <w:rPr>
                <w:sz w:val="3"/>
                <w:szCs w:val="3"/>
                <w:color w:val="auto"/>
              </w:rPr>
            </w:pPr>
          </w:p>
        </w:tc>
        <w:tc>
          <w:tcPr>
            <w:tcW w:w="82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26"/>
        </w:trPr>
        <w:tc>
          <w:tcPr>
            <w:tcW w:w="20" w:type="dxa"/>
            <w:vAlign w:val="bottom"/>
          </w:tcPr>
          <w:p>
            <w:pPr>
              <w:spacing w:after="0"/>
              <w:rPr>
                <w:sz w:val="10"/>
                <w:szCs w:val="10"/>
                <w:color w:val="auto"/>
              </w:rPr>
            </w:pPr>
          </w:p>
        </w:tc>
        <w:tc>
          <w:tcPr>
            <w:tcW w:w="3580" w:type="dxa"/>
            <w:vAlign w:val="bottom"/>
          </w:tcPr>
          <w:p>
            <w:pPr>
              <w:spacing w:after="0"/>
              <w:rPr>
                <w:sz w:val="10"/>
                <w:szCs w:val="10"/>
                <w:color w:val="auto"/>
              </w:rPr>
            </w:pPr>
          </w:p>
        </w:tc>
        <w:tc>
          <w:tcPr>
            <w:tcW w:w="3020" w:type="dxa"/>
            <w:vAlign w:val="bottom"/>
            <w:gridSpan w:val="2"/>
            <w:vMerge w:val="continue"/>
          </w:tcPr>
          <w:p>
            <w:pPr>
              <w:spacing w:after="0"/>
              <w:rPr>
                <w:sz w:val="10"/>
                <w:szCs w:val="10"/>
                <w:color w:val="auto"/>
              </w:rPr>
            </w:pPr>
          </w:p>
        </w:tc>
        <w:tc>
          <w:tcPr>
            <w:tcW w:w="1040" w:type="dxa"/>
            <w:vAlign w:val="bottom"/>
            <w:tcBorders>
              <w:left w:val="single" w:sz="8" w:color="auto"/>
            </w:tcBorders>
          </w:tcPr>
          <w:p>
            <w:pPr>
              <w:spacing w:after="0"/>
              <w:rPr>
                <w:sz w:val="10"/>
                <w:szCs w:val="10"/>
                <w:color w:val="auto"/>
              </w:rPr>
            </w:pPr>
          </w:p>
        </w:tc>
        <w:tc>
          <w:tcPr>
            <w:tcW w:w="980" w:type="dxa"/>
            <w:vAlign w:val="bottom"/>
          </w:tcPr>
          <w:p>
            <w:pPr>
              <w:spacing w:after="0"/>
              <w:rPr>
                <w:sz w:val="10"/>
                <w:szCs w:val="10"/>
                <w:color w:val="auto"/>
              </w:rPr>
            </w:pPr>
          </w:p>
        </w:tc>
        <w:tc>
          <w:tcPr>
            <w:tcW w:w="980" w:type="dxa"/>
            <w:vAlign w:val="bottom"/>
          </w:tcPr>
          <w:p>
            <w:pPr>
              <w:spacing w:after="0"/>
              <w:rPr>
                <w:sz w:val="10"/>
                <w:szCs w:val="10"/>
                <w:color w:val="auto"/>
              </w:rPr>
            </w:pPr>
          </w:p>
        </w:tc>
        <w:tc>
          <w:tcPr>
            <w:tcW w:w="980" w:type="dxa"/>
            <w:vAlign w:val="bottom"/>
          </w:tcPr>
          <w:p>
            <w:pPr>
              <w:spacing w:after="0"/>
              <w:rPr>
                <w:sz w:val="10"/>
                <w:szCs w:val="10"/>
                <w:color w:val="auto"/>
              </w:rPr>
            </w:pPr>
          </w:p>
        </w:tc>
        <w:tc>
          <w:tcPr>
            <w:tcW w:w="8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85"/>
        </w:trPr>
        <w:tc>
          <w:tcPr>
            <w:tcW w:w="20" w:type="dxa"/>
            <w:vAlign w:val="bottom"/>
          </w:tcPr>
          <w:p>
            <w:pPr>
              <w:spacing w:after="0"/>
              <w:rPr>
                <w:sz w:val="16"/>
                <w:szCs w:val="16"/>
                <w:color w:val="auto"/>
              </w:rPr>
            </w:pPr>
          </w:p>
        </w:tc>
        <w:tc>
          <w:tcPr>
            <w:tcW w:w="3580" w:type="dxa"/>
            <w:vAlign w:val="bottom"/>
            <w:tcBorders>
              <w:bottom w:val="single" w:sz="8" w:color="auto"/>
            </w:tcBorders>
          </w:tcPr>
          <w:p>
            <w:pPr>
              <w:spacing w:after="0"/>
              <w:rPr>
                <w:sz w:val="16"/>
                <w:szCs w:val="16"/>
                <w:color w:val="auto"/>
              </w:rPr>
            </w:pPr>
          </w:p>
        </w:tc>
        <w:tc>
          <w:tcPr>
            <w:tcW w:w="3020" w:type="dxa"/>
            <w:vAlign w:val="bottom"/>
            <w:tcBorders>
              <w:bottom w:val="single" w:sz="8" w:color="auto"/>
            </w:tcBorders>
            <w:gridSpan w:val="2"/>
          </w:tcPr>
          <w:p>
            <w:pPr>
              <w:jc w:val="right"/>
              <w:ind w:right="734"/>
              <w:spacing w:after="0"/>
              <w:rPr>
                <w:sz w:val="20"/>
                <w:szCs w:val="20"/>
                <w:color w:val="auto"/>
              </w:rPr>
            </w:pPr>
            <w:r>
              <w:rPr>
                <w:rFonts w:ascii="Arial" w:cs="Arial" w:eastAsia="Arial" w:hAnsi="Arial"/>
                <w:sz w:val="14"/>
                <w:szCs w:val="14"/>
                <w:b w:val="1"/>
                <w:bCs w:val="1"/>
                <w:color w:val="auto"/>
              </w:rPr>
              <w:t>March 31,</w:t>
            </w:r>
          </w:p>
        </w:tc>
        <w:tc>
          <w:tcPr>
            <w:tcW w:w="1040" w:type="dxa"/>
            <w:vAlign w:val="bottom"/>
            <w:tcBorders>
              <w:left w:val="single" w:sz="8" w:color="auto"/>
              <w:bottom w:val="single" w:sz="8" w:color="auto"/>
            </w:tcBorders>
          </w:tcPr>
          <w:p>
            <w:pPr>
              <w:spacing w:after="0"/>
              <w:rPr>
                <w:sz w:val="16"/>
                <w:szCs w:val="16"/>
                <w:color w:val="auto"/>
              </w:rPr>
            </w:pPr>
          </w:p>
        </w:tc>
        <w:tc>
          <w:tcPr>
            <w:tcW w:w="2940" w:type="dxa"/>
            <w:vAlign w:val="bottom"/>
            <w:tcBorders>
              <w:bottom w:val="single" w:sz="8" w:color="auto"/>
            </w:tcBorders>
            <w:gridSpan w:val="3"/>
          </w:tcPr>
          <w:p>
            <w:pPr>
              <w:jc w:val="right"/>
              <w:ind w:right="614"/>
              <w:spacing w:after="0"/>
              <w:rPr>
                <w:sz w:val="20"/>
                <w:szCs w:val="20"/>
                <w:color w:val="auto"/>
              </w:rPr>
            </w:pPr>
            <w:r>
              <w:rPr>
                <w:rFonts w:ascii="Arial" w:cs="Arial" w:eastAsia="Arial" w:hAnsi="Arial"/>
                <w:sz w:val="14"/>
                <w:szCs w:val="14"/>
                <w:b w:val="1"/>
                <w:bCs w:val="1"/>
                <w:color w:val="auto"/>
              </w:rPr>
              <w:t>Years Ended December 31,</w:t>
            </w:r>
          </w:p>
        </w:tc>
        <w:tc>
          <w:tcPr>
            <w:tcW w:w="82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3580" w:type="dxa"/>
            <w:vAlign w:val="bottom"/>
            <w:tcBorders>
              <w:bottom w:val="single" w:sz="8" w:color="auto"/>
            </w:tcBorders>
          </w:tcPr>
          <w:p>
            <w:pPr>
              <w:spacing w:after="0" w:line="142" w:lineRule="exact"/>
              <w:rPr>
                <w:sz w:val="20"/>
                <w:szCs w:val="20"/>
                <w:color w:val="auto"/>
              </w:rPr>
            </w:pPr>
            <w:r>
              <w:rPr>
                <w:rFonts w:ascii="Arial" w:cs="Arial" w:eastAsia="Arial" w:hAnsi="Arial"/>
                <w:sz w:val="14"/>
                <w:szCs w:val="14"/>
                <w:i w:val="1"/>
                <w:iCs w:val="1"/>
                <w:color w:val="auto"/>
              </w:rPr>
              <w:t>(in millions)</w:t>
            </w:r>
          </w:p>
        </w:tc>
        <w:tc>
          <w:tcPr>
            <w:tcW w:w="1900" w:type="dxa"/>
            <w:vAlign w:val="bottom"/>
            <w:tcBorders>
              <w:bottom w:val="single" w:sz="8" w:color="auto"/>
            </w:tcBorders>
          </w:tcPr>
          <w:p>
            <w:pPr>
              <w:jc w:val="right"/>
              <w:ind w:right="218"/>
              <w:spacing w:after="0" w:line="142" w:lineRule="exact"/>
              <w:rPr>
                <w:sz w:val="20"/>
                <w:szCs w:val="20"/>
                <w:color w:val="auto"/>
              </w:rPr>
            </w:pPr>
            <w:r>
              <w:rPr>
                <w:rFonts w:ascii="Arial" w:cs="Arial" w:eastAsia="Arial" w:hAnsi="Arial"/>
                <w:sz w:val="14"/>
                <w:szCs w:val="14"/>
                <w:b w:val="1"/>
                <w:bCs w:val="1"/>
                <w:color w:val="auto"/>
              </w:rPr>
              <w:t>2014</w:t>
            </w:r>
          </w:p>
        </w:tc>
        <w:tc>
          <w:tcPr>
            <w:tcW w:w="1120" w:type="dxa"/>
            <w:vAlign w:val="bottom"/>
            <w:tcBorders>
              <w:bottom w:val="single" w:sz="8" w:color="auto"/>
            </w:tcBorders>
          </w:tcPr>
          <w:p>
            <w:pPr>
              <w:jc w:val="right"/>
              <w:ind w:right="434"/>
              <w:spacing w:after="0" w:line="142" w:lineRule="exact"/>
              <w:rPr>
                <w:sz w:val="20"/>
                <w:szCs w:val="20"/>
                <w:color w:val="auto"/>
              </w:rPr>
            </w:pPr>
            <w:r>
              <w:rPr>
                <w:rFonts w:ascii="Arial" w:cs="Arial" w:eastAsia="Arial" w:hAnsi="Arial"/>
                <w:sz w:val="14"/>
                <w:szCs w:val="14"/>
                <w:b w:val="1"/>
                <w:bCs w:val="1"/>
                <w:color w:val="auto"/>
              </w:rPr>
              <w:t>2013</w:t>
            </w:r>
          </w:p>
        </w:tc>
        <w:tc>
          <w:tcPr>
            <w:tcW w:w="1040" w:type="dxa"/>
            <w:vAlign w:val="bottom"/>
            <w:tcBorders>
              <w:left w:val="single" w:sz="8" w:color="auto"/>
              <w:bottom w:val="single" w:sz="8" w:color="auto"/>
            </w:tcBorders>
          </w:tcPr>
          <w:p>
            <w:pPr>
              <w:jc w:val="right"/>
              <w:ind w:right="274"/>
              <w:spacing w:after="0" w:line="142" w:lineRule="exact"/>
              <w:rPr>
                <w:sz w:val="20"/>
                <w:szCs w:val="20"/>
                <w:color w:val="auto"/>
              </w:rPr>
            </w:pPr>
            <w:r>
              <w:rPr>
                <w:rFonts w:ascii="Arial" w:cs="Arial" w:eastAsia="Arial" w:hAnsi="Arial"/>
                <w:sz w:val="14"/>
                <w:szCs w:val="14"/>
                <w:b w:val="1"/>
                <w:bCs w:val="1"/>
                <w:color w:val="auto"/>
              </w:rPr>
              <w:t>2013</w:t>
            </w:r>
          </w:p>
        </w:tc>
        <w:tc>
          <w:tcPr>
            <w:tcW w:w="980" w:type="dxa"/>
            <w:vAlign w:val="bottom"/>
            <w:tcBorders>
              <w:bottom w:val="single" w:sz="8" w:color="auto"/>
            </w:tcBorders>
          </w:tcPr>
          <w:p>
            <w:pPr>
              <w:jc w:val="right"/>
              <w:ind w:right="276"/>
              <w:spacing w:after="0" w:line="142" w:lineRule="exact"/>
              <w:rPr>
                <w:sz w:val="20"/>
                <w:szCs w:val="20"/>
                <w:color w:val="auto"/>
              </w:rPr>
            </w:pPr>
            <w:r>
              <w:rPr>
                <w:rFonts w:ascii="Arial" w:cs="Arial" w:eastAsia="Arial" w:hAnsi="Arial"/>
                <w:sz w:val="14"/>
                <w:szCs w:val="14"/>
                <w:b w:val="1"/>
                <w:bCs w:val="1"/>
                <w:color w:val="auto"/>
              </w:rPr>
              <w:t>2012</w:t>
            </w:r>
          </w:p>
        </w:tc>
        <w:tc>
          <w:tcPr>
            <w:tcW w:w="980" w:type="dxa"/>
            <w:vAlign w:val="bottom"/>
            <w:tcBorders>
              <w:bottom w:val="single" w:sz="8" w:color="auto"/>
            </w:tcBorders>
          </w:tcPr>
          <w:p>
            <w:pPr>
              <w:jc w:val="right"/>
              <w:ind w:right="254"/>
              <w:spacing w:after="0" w:line="142" w:lineRule="exact"/>
              <w:rPr>
                <w:sz w:val="20"/>
                <w:szCs w:val="20"/>
                <w:color w:val="auto"/>
              </w:rPr>
            </w:pPr>
            <w:r>
              <w:rPr>
                <w:rFonts w:ascii="Arial" w:cs="Arial" w:eastAsia="Arial" w:hAnsi="Arial"/>
                <w:sz w:val="14"/>
                <w:szCs w:val="14"/>
                <w:b w:val="1"/>
                <w:bCs w:val="1"/>
                <w:color w:val="auto"/>
              </w:rPr>
              <w:t>2011</w:t>
            </w:r>
          </w:p>
        </w:tc>
        <w:tc>
          <w:tcPr>
            <w:tcW w:w="980" w:type="dxa"/>
            <w:vAlign w:val="bottom"/>
            <w:tcBorders>
              <w:bottom w:val="single" w:sz="8" w:color="auto"/>
            </w:tcBorders>
          </w:tcPr>
          <w:p>
            <w:pPr>
              <w:jc w:val="right"/>
              <w:ind w:right="254"/>
              <w:spacing w:after="0" w:line="142" w:lineRule="exact"/>
              <w:rPr>
                <w:sz w:val="20"/>
                <w:szCs w:val="20"/>
                <w:color w:val="auto"/>
              </w:rPr>
            </w:pPr>
            <w:r>
              <w:rPr>
                <w:rFonts w:ascii="Arial" w:cs="Arial" w:eastAsia="Arial" w:hAnsi="Arial"/>
                <w:sz w:val="14"/>
                <w:szCs w:val="14"/>
                <w:b w:val="1"/>
                <w:bCs w:val="1"/>
                <w:color w:val="auto"/>
              </w:rPr>
              <w:t>2010</w:t>
            </w:r>
          </w:p>
        </w:tc>
        <w:tc>
          <w:tcPr>
            <w:tcW w:w="820" w:type="dxa"/>
            <w:vAlign w:val="bottom"/>
            <w:tcBorders>
              <w:bottom w:val="single" w:sz="8" w:color="auto"/>
            </w:tcBorders>
          </w:tcPr>
          <w:p>
            <w:pPr>
              <w:jc w:val="right"/>
              <w:ind w:right="154"/>
              <w:spacing w:after="0" w:line="142" w:lineRule="exact"/>
              <w:rPr>
                <w:sz w:val="20"/>
                <w:szCs w:val="20"/>
                <w:color w:val="auto"/>
              </w:rPr>
            </w:pPr>
            <w:r>
              <w:rPr>
                <w:rFonts w:ascii="Arial" w:cs="Arial" w:eastAsia="Arial" w:hAnsi="Arial"/>
                <w:sz w:val="14"/>
                <w:szCs w:val="14"/>
                <w:b w:val="1"/>
                <w:bCs w:val="1"/>
                <w:color w:val="auto"/>
              </w:rPr>
              <w:t>2009</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35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Statement of Income Data:</w:t>
            </w:r>
          </w:p>
        </w:tc>
        <w:tc>
          <w:tcPr>
            <w:tcW w:w="190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1040" w:type="dxa"/>
            <w:vAlign w:val="bottom"/>
            <w:tcBorders>
              <w:left w:val="single" w:sz="8" w:color="auto"/>
            </w:tcBorders>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580" w:type="dxa"/>
            <w:vAlign w:val="bottom"/>
          </w:tcPr>
          <w:p>
            <w:pPr>
              <w:spacing w:after="0"/>
              <w:rPr>
                <w:sz w:val="20"/>
                <w:szCs w:val="20"/>
                <w:color w:val="auto"/>
              </w:rPr>
            </w:pPr>
            <w:r>
              <w:rPr>
                <w:rFonts w:ascii="Arial" w:cs="Arial" w:eastAsia="Arial" w:hAnsi="Arial"/>
                <w:sz w:val="18"/>
                <w:szCs w:val="18"/>
                <w:color w:val="auto"/>
              </w:rPr>
              <w:t>Net sales</w:t>
            </w:r>
          </w:p>
        </w:tc>
        <w:tc>
          <w:tcPr>
            <w:tcW w:w="1900" w:type="dxa"/>
            <w:vAlign w:val="bottom"/>
          </w:tcPr>
          <w:p>
            <w:pPr>
              <w:jc w:val="right"/>
              <w:ind w:right="38"/>
              <w:spacing w:after="0"/>
              <w:rPr>
                <w:sz w:val="20"/>
                <w:szCs w:val="20"/>
                <w:color w:val="auto"/>
              </w:rPr>
            </w:pPr>
            <w:r>
              <w:rPr>
                <w:rFonts w:ascii="Arial" w:cs="Arial" w:eastAsia="Arial" w:hAnsi="Arial"/>
                <w:sz w:val="18"/>
                <w:szCs w:val="18"/>
                <w:color w:val="auto"/>
              </w:rPr>
              <w:t>$  389.5</w:t>
            </w:r>
          </w:p>
        </w:tc>
        <w:tc>
          <w:tcPr>
            <w:tcW w:w="1120" w:type="dxa"/>
            <w:vAlign w:val="bottom"/>
          </w:tcPr>
          <w:p>
            <w:pPr>
              <w:jc w:val="right"/>
              <w:ind w:right="294"/>
              <w:spacing w:after="0"/>
              <w:rPr>
                <w:sz w:val="20"/>
                <w:szCs w:val="20"/>
                <w:color w:val="auto"/>
              </w:rPr>
            </w:pPr>
            <w:r>
              <w:rPr>
                <w:rFonts w:ascii="Arial" w:cs="Arial" w:eastAsia="Arial" w:hAnsi="Arial"/>
                <w:sz w:val="18"/>
                <w:szCs w:val="18"/>
                <w:color w:val="auto"/>
              </w:rPr>
              <w:t>$ 346.3</w:t>
            </w:r>
          </w:p>
        </w:tc>
        <w:tc>
          <w:tcPr>
            <w:tcW w:w="1040" w:type="dxa"/>
            <w:vAlign w:val="bottom"/>
            <w:tcBorders>
              <w:left w:val="single" w:sz="8" w:color="auto"/>
            </w:tcBorders>
          </w:tcPr>
          <w:p>
            <w:pPr>
              <w:jc w:val="right"/>
              <w:ind w:right="74"/>
              <w:spacing w:after="0"/>
              <w:rPr>
                <w:sz w:val="20"/>
                <w:szCs w:val="20"/>
                <w:color w:val="auto"/>
              </w:rPr>
            </w:pPr>
            <w:r>
              <w:rPr>
                <w:rFonts w:ascii="Arial" w:cs="Arial" w:eastAsia="Arial" w:hAnsi="Arial"/>
                <w:sz w:val="18"/>
                <w:szCs w:val="18"/>
                <w:color w:val="auto"/>
              </w:rPr>
              <w:t>$ 1,380.9</w:t>
            </w:r>
          </w:p>
        </w:tc>
        <w:tc>
          <w:tcPr>
            <w:tcW w:w="980" w:type="dxa"/>
            <w:vAlign w:val="bottom"/>
          </w:tcPr>
          <w:p>
            <w:pPr>
              <w:jc w:val="right"/>
              <w:ind w:right="76"/>
              <w:spacing w:after="0"/>
              <w:rPr>
                <w:sz w:val="20"/>
                <w:szCs w:val="20"/>
                <w:color w:val="auto"/>
              </w:rPr>
            </w:pPr>
            <w:r>
              <w:rPr>
                <w:rFonts w:ascii="Arial" w:cs="Arial" w:eastAsia="Arial" w:hAnsi="Arial"/>
                <w:sz w:val="18"/>
                <w:szCs w:val="18"/>
                <w:color w:val="auto"/>
              </w:rPr>
              <w:t>$ 1,728.7</w:t>
            </w:r>
          </w:p>
        </w:tc>
        <w:tc>
          <w:tcPr>
            <w:tcW w:w="980" w:type="dxa"/>
            <w:vAlign w:val="bottom"/>
          </w:tcPr>
          <w:p>
            <w:pPr>
              <w:jc w:val="right"/>
              <w:ind w:right="54"/>
              <w:spacing w:after="0"/>
              <w:rPr>
                <w:sz w:val="20"/>
                <w:szCs w:val="20"/>
                <w:color w:val="auto"/>
              </w:rPr>
            </w:pPr>
            <w:r>
              <w:rPr>
                <w:rFonts w:ascii="Arial" w:cs="Arial" w:eastAsia="Arial" w:hAnsi="Arial"/>
                <w:sz w:val="18"/>
                <w:szCs w:val="18"/>
                <w:color w:val="auto"/>
              </w:rPr>
              <w:t>$ 1,956.5</w:t>
            </w:r>
          </w:p>
        </w:tc>
        <w:tc>
          <w:tcPr>
            <w:tcW w:w="980" w:type="dxa"/>
            <w:vAlign w:val="bottom"/>
          </w:tcPr>
          <w:p>
            <w:pPr>
              <w:jc w:val="right"/>
              <w:ind w:right="54"/>
              <w:spacing w:after="0"/>
              <w:rPr>
                <w:sz w:val="20"/>
                <w:szCs w:val="20"/>
                <w:color w:val="auto"/>
              </w:rPr>
            </w:pPr>
            <w:r>
              <w:rPr>
                <w:rFonts w:ascii="Arial" w:cs="Arial" w:eastAsia="Arial" w:hAnsi="Arial"/>
                <w:sz w:val="18"/>
                <w:szCs w:val="18"/>
                <w:color w:val="auto"/>
              </w:rPr>
              <w:t>$ 1,359.5</w:t>
            </w:r>
          </w:p>
        </w:tc>
        <w:tc>
          <w:tcPr>
            <w:tcW w:w="820" w:type="dxa"/>
            <w:vAlign w:val="bottom"/>
          </w:tcPr>
          <w:p>
            <w:pPr>
              <w:jc w:val="right"/>
              <w:ind w:right="14"/>
              <w:spacing w:after="0"/>
              <w:rPr>
                <w:sz w:val="20"/>
                <w:szCs w:val="20"/>
                <w:color w:val="auto"/>
              </w:rPr>
            </w:pPr>
            <w:r>
              <w:rPr>
                <w:rFonts w:ascii="Arial" w:cs="Arial" w:eastAsia="Arial" w:hAnsi="Arial"/>
                <w:sz w:val="18"/>
                <w:szCs w:val="18"/>
                <w:color w:val="auto"/>
              </w:rPr>
              <w:t>$ 714.9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580" w:type="dxa"/>
            <w:vAlign w:val="bottom"/>
            <w:shd w:val="clear" w:color="auto" w:fill="CCEEFF"/>
          </w:tcPr>
          <w:p>
            <w:pPr>
              <w:spacing w:after="0"/>
              <w:rPr>
                <w:sz w:val="20"/>
                <w:szCs w:val="20"/>
                <w:color w:val="auto"/>
              </w:rPr>
            </w:pPr>
            <w:r>
              <w:rPr>
                <w:rFonts w:ascii="Arial" w:cs="Arial" w:eastAsia="Arial" w:hAnsi="Arial"/>
                <w:sz w:val="18"/>
                <w:szCs w:val="18"/>
                <w:color w:val="auto"/>
              </w:rPr>
              <w:t>Net income (loss)</w:t>
            </w:r>
          </w:p>
        </w:tc>
        <w:tc>
          <w:tcPr>
            <w:tcW w:w="1900" w:type="dxa"/>
            <w:vAlign w:val="bottom"/>
            <w:shd w:val="clear" w:color="auto" w:fill="CCEEFF"/>
          </w:tcPr>
          <w:p>
            <w:pPr>
              <w:jc w:val="right"/>
              <w:ind w:right="38"/>
              <w:spacing w:after="0"/>
              <w:rPr>
                <w:sz w:val="20"/>
                <w:szCs w:val="20"/>
                <w:color w:val="auto"/>
              </w:rPr>
            </w:pPr>
            <w:r>
              <w:rPr>
                <w:rFonts w:ascii="Arial" w:cs="Arial" w:eastAsia="Arial" w:hAnsi="Arial"/>
                <w:sz w:val="18"/>
                <w:szCs w:val="18"/>
                <w:color w:val="auto"/>
              </w:rPr>
              <w:t>33.6</w:t>
            </w:r>
          </w:p>
        </w:tc>
        <w:tc>
          <w:tcPr>
            <w:tcW w:w="1120" w:type="dxa"/>
            <w:vAlign w:val="bottom"/>
            <w:shd w:val="clear" w:color="auto" w:fill="CCEEFF"/>
          </w:tcPr>
          <w:p>
            <w:pPr>
              <w:jc w:val="right"/>
              <w:ind w:right="294"/>
              <w:spacing w:after="0"/>
              <w:rPr>
                <w:sz w:val="20"/>
                <w:szCs w:val="20"/>
                <w:color w:val="auto"/>
              </w:rPr>
            </w:pPr>
            <w:r>
              <w:rPr>
                <w:rFonts w:ascii="Arial" w:cs="Arial" w:eastAsia="Arial" w:hAnsi="Arial"/>
                <w:sz w:val="18"/>
                <w:szCs w:val="18"/>
                <w:color w:val="auto"/>
              </w:rPr>
              <w:t>21.0</w:t>
            </w:r>
          </w:p>
        </w:tc>
        <w:tc>
          <w:tcPr>
            <w:tcW w:w="1040" w:type="dxa"/>
            <w:vAlign w:val="bottom"/>
            <w:tcBorders>
              <w:left w:val="single" w:sz="8" w:color="auto"/>
            </w:tcBorders>
            <w:shd w:val="clear" w:color="auto" w:fill="CCEEFF"/>
          </w:tcPr>
          <w:p>
            <w:pPr>
              <w:jc w:val="right"/>
              <w:ind w:right="74"/>
              <w:spacing w:after="0"/>
              <w:rPr>
                <w:sz w:val="20"/>
                <w:szCs w:val="20"/>
                <w:color w:val="auto"/>
              </w:rPr>
            </w:pPr>
            <w:r>
              <w:rPr>
                <w:rFonts w:ascii="Arial" w:cs="Arial" w:eastAsia="Arial" w:hAnsi="Arial"/>
                <w:sz w:val="18"/>
                <w:szCs w:val="18"/>
                <w:color w:val="auto"/>
              </w:rPr>
              <w:t>89.5</w:t>
            </w:r>
          </w:p>
        </w:tc>
        <w:tc>
          <w:tcPr>
            <w:tcW w:w="980" w:type="dxa"/>
            <w:vAlign w:val="bottom"/>
            <w:shd w:val="clear" w:color="auto" w:fill="CCEEFF"/>
          </w:tcPr>
          <w:p>
            <w:pPr>
              <w:jc w:val="right"/>
              <w:ind w:right="76"/>
              <w:spacing w:after="0"/>
              <w:rPr>
                <w:sz w:val="20"/>
                <w:szCs w:val="20"/>
                <w:color w:val="auto"/>
              </w:rPr>
            </w:pPr>
            <w:r>
              <w:rPr>
                <w:rFonts w:ascii="Arial" w:cs="Arial" w:eastAsia="Arial" w:hAnsi="Arial"/>
                <w:sz w:val="18"/>
                <w:szCs w:val="18"/>
                <w:color w:val="auto"/>
              </w:rPr>
              <w:t>155.2</w:t>
            </w:r>
          </w:p>
        </w:tc>
        <w:tc>
          <w:tcPr>
            <w:tcW w:w="980" w:type="dxa"/>
            <w:vAlign w:val="bottom"/>
            <w:shd w:val="clear" w:color="auto" w:fill="CCEEFF"/>
          </w:tcPr>
          <w:p>
            <w:pPr>
              <w:jc w:val="right"/>
              <w:ind w:right="54"/>
              <w:spacing w:after="0"/>
              <w:rPr>
                <w:sz w:val="20"/>
                <w:szCs w:val="20"/>
                <w:color w:val="auto"/>
              </w:rPr>
            </w:pPr>
            <w:r>
              <w:rPr>
                <w:rFonts w:ascii="Arial" w:cs="Arial" w:eastAsia="Arial" w:hAnsi="Arial"/>
                <w:sz w:val="18"/>
                <w:szCs w:val="18"/>
                <w:color w:val="auto"/>
              </w:rPr>
              <w:t>167.2</w:t>
            </w:r>
          </w:p>
        </w:tc>
        <w:tc>
          <w:tcPr>
            <w:tcW w:w="980" w:type="dxa"/>
            <w:vAlign w:val="bottom"/>
            <w:shd w:val="clear" w:color="auto" w:fill="CCEEFF"/>
          </w:tcPr>
          <w:p>
            <w:pPr>
              <w:jc w:val="right"/>
              <w:ind w:right="54"/>
              <w:spacing w:after="0"/>
              <w:rPr>
                <w:sz w:val="20"/>
                <w:szCs w:val="20"/>
                <w:color w:val="auto"/>
              </w:rPr>
            </w:pPr>
            <w:r>
              <w:rPr>
                <w:rFonts w:ascii="Arial" w:cs="Arial" w:eastAsia="Arial" w:hAnsi="Arial"/>
                <w:sz w:val="18"/>
                <w:szCs w:val="18"/>
                <w:color w:val="auto"/>
              </w:rPr>
              <w:t>80.2</w:t>
            </w: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(45.9)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580" w:type="dxa"/>
            <w:vAlign w:val="bottom"/>
          </w:tcPr>
          <w:p>
            <w:pPr>
              <w:spacing w:after="0"/>
              <w:rPr>
                <w:sz w:val="20"/>
                <w:szCs w:val="20"/>
                <w:color w:val="auto"/>
              </w:rPr>
            </w:pPr>
            <w:r>
              <w:rPr>
                <w:rFonts w:ascii="Arial" w:cs="Arial" w:eastAsia="Arial" w:hAnsi="Arial"/>
                <w:sz w:val="18"/>
                <w:szCs w:val="18"/>
                <w:b w:val="1"/>
                <w:bCs w:val="1"/>
                <w:color w:val="auto"/>
              </w:rPr>
              <w:t>Balance Sheet Data:</w:t>
            </w:r>
          </w:p>
        </w:tc>
        <w:tc>
          <w:tcPr>
            <w:tcW w:w="190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040" w:type="dxa"/>
            <w:vAlign w:val="bottom"/>
            <w:tcBorders>
              <w:left w:val="single" w:sz="8" w:color="auto"/>
            </w:tcBorders>
          </w:tcPr>
          <w:p>
            <w:pPr>
              <w:spacing w:after="0"/>
              <w:rPr>
                <w:sz w:val="18"/>
                <w:szCs w:val="18"/>
                <w:color w:val="auto"/>
              </w:rPr>
            </w:pPr>
          </w:p>
        </w:tc>
        <w:tc>
          <w:tcPr>
            <w:tcW w:w="98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580" w:type="dxa"/>
            <w:vAlign w:val="bottom"/>
            <w:shd w:val="clear" w:color="auto" w:fill="CCEEFF"/>
          </w:tcPr>
          <w:p>
            <w:pPr>
              <w:spacing w:after="0"/>
              <w:rPr>
                <w:sz w:val="20"/>
                <w:szCs w:val="20"/>
                <w:color w:val="auto"/>
              </w:rPr>
            </w:pPr>
            <w:r>
              <w:rPr>
                <w:rFonts w:ascii="Arial" w:cs="Arial" w:eastAsia="Arial" w:hAnsi="Arial"/>
                <w:sz w:val="18"/>
                <w:szCs w:val="18"/>
                <w:color w:val="auto"/>
              </w:rPr>
              <w:t>Total assets (as of period end)</w:t>
            </w:r>
          </w:p>
        </w:tc>
        <w:tc>
          <w:tcPr>
            <w:tcW w:w="1900" w:type="dxa"/>
            <w:vAlign w:val="bottom"/>
            <w:shd w:val="clear" w:color="auto" w:fill="CCEEFF"/>
          </w:tcPr>
          <w:p>
            <w:pPr>
              <w:jc w:val="right"/>
              <w:ind w:right="38"/>
              <w:spacing w:after="0"/>
              <w:rPr>
                <w:sz w:val="20"/>
                <w:szCs w:val="20"/>
                <w:color w:val="auto"/>
              </w:rPr>
            </w:pPr>
            <w:r>
              <w:rPr>
                <w:rFonts w:ascii="Arial" w:cs="Arial" w:eastAsia="Arial" w:hAnsi="Arial"/>
                <w:sz w:val="18"/>
                <w:szCs w:val="18"/>
                <w:color w:val="auto"/>
              </w:rPr>
              <w:t>1,126.5</w:t>
            </w:r>
          </w:p>
        </w:tc>
        <w:tc>
          <w:tcPr>
            <w:tcW w:w="1120" w:type="dxa"/>
            <w:vAlign w:val="bottom"/>
            <w:shd w:val="clear" w:color="auto" w:fill="CCEEFF"/>
          </w:tcPr>
          <w:p>
            <w:pPr>
              <w:spacing w:after="0"/>
              <w:rPr>
                <w:sz w:val="18"/>
                <w:szCs w:val="18"/>
                <w:color w:val="auto"/>
              </w:rPr>
            </w:pPr>
          </w:p>
        </w:tc>
        <w:tc>
          <w:tcPr>
            <w:tcW w:w="1040" w:type="dxa"/>
            <w:vAlign w:val="bottom"/>
            <w:tcBorders>
              <w:left w:val="single" w:sz="8" w:color="auto"/>
            </w:tcBorders>
            <w:shd w:val="clear" w:color="auto" w:fill="CCEEFF"/>
          </w:tcPr>
          <w:p>
            <w:pPr>
              <w:jc w:val="right"/>
              <w:ind w:right="74"/>
              <w:spacing w:after="0"/>
              <w:rPr>
                <w:sz w:val="20"/>
                <w:szCs w:val="20"/>
                <w:color w:val="auto"/>
              </w:rPr>
            </w:pPr>
            <w:r>
              <w:rPr>
                <w:rFonts w:ascii="Arial" w:cs="Arial" w:eastAsia="Arial" w:hAnsi="Arial"/>
                <w:sz w:val="18"/>
                <w:szCs w:val="18"/>
                <w:color w:val="auto"/>
              </w:rPr>
              <w:t>1,078.8</w:t>
            </w:r>
          </w:p>
        </w:tc>
        <w:tc>
          <w:tcPr>
            <w:tcW w:w="980" w:type="dxa"/>
            <w:vAlign w:val="bottom"/>
            <w:shd w:val="clear" w:color="auto" w:fill="CCEEFF"/>
          </w:tcPr>
          <w:p>
            <w:pPr>
              <w:jc w:val="right"/>
              <w:ind w:right="76"/>
              <w:spacing w:after="0"/>
              <w:rPr>
                <w:sz w:val="20"/>
                <w:szCs w:val="20"/>
                <w:color w:val="auto"/>
              </w:rPr>
            </w:pPr>
            <w:r>
              <w:rPr>
                <w:rFonts w:ascii="Arial" w:cs="Arial" w:eastAsia="Arial" w:hAnsi="Arial"/>
                <w:sz w:val="18"/>
                <w:szCs w:val="18"/>
                <w:color w:val="auto"/>
              </w:rPr>
              <w:t>960.7</w:t>
            </w:r>
          </w:p>
        </w:tc>
        <w:tc>
          <w:tcPr>
            <w:tcW w:w="980" w:type="dxa"/>
            <w:vAlign w:val="bottom"/>
            <w:shd w:val="clear" w:color="auto" w:fill="CCEEFF"/>
          </w:tcPr>
          <w:p>
            <w:pPr>
              <w:jc w:val="right"/>
              <w:ind w:right="54"/>
              <w:spacing w:after="0"/>
              <w:rPr>
                <w:sz w:val="20"/>
                <w:szCs w:val="20"/>
                <w:color w:val="auto"/>
              </w:rPr>
            </w:pPr>
            <w:r>
              <w:rPr>
                <w:rFonts w:ascii="Arial" w:cs="Arial" w:eastAsia="Arial" w:hAnsi="Arial"/>
                <w:sz w:val="18"/>
                <w:szCs w:val="18"/>
                <w:color w:val="auto"/>
              </w:rPr>
              <w:t>982.1</w:t>
            </w:r>
          </w:p>
        </w:tc>
        <w:tc>
          <w:tcPr>
            <w:tcW w:w="980" w:type="dxa"/>
            <w:vAlign w:val="bottom"/>
            <w:shd w:val="clear" w:color="auto" w:fill="CCEEFF"/>
          </w:tcPr>
          <w:p>
            <w:pPr>
              <w:jc w:val="right"/>
              <w:ind w:right="54"/>
              <w:spacing w:after="0"/>
              <w:rPr>
                <w:sz w:val="20"/>
                <w:szCs w:val="20"/>
                <w:color w:val="auto"/>
              </w:rPr>
            </w:pPr>
            <w:r>
              <w:rPr>
                <w:rFonts w:ascii="Arial" w:cs="Arial" w:eastAsia="Arial" w:hAnsi="Arial"/>
                <w:sz w:val="18"/>
                <w:szCs w:val="18"/>
                <w:color w:val="auto"/>
              </w:rPr>
              <w:t>834.9</w:t>
            </w:r>
          </w:p>
        </w:tc>
        <w:tc>
          <w:tcPr>
            <w:tcW w:w="820" w:type="dxa"/>
            <w:vAlign w:val="bottom"/>
            <w:shd w:val="clear" w:color="auto" w:fill="CCEEFF"/>
          </w:tcPr>
          <w:p>
            <w:pPr>
              <w:jc w:val="right"/>
              <w:ind w:right="14"/>
              <w:spacing w:after="0"/>
              <w:rPr>
                <w:sz w:val="20"/>
                <w:szCs w:val="20"/>
                <w:color w:val="auto"/>
              </w:rPr>
            </w:pPr>
            <w:r>
              <w:rPr>
                <w:rFonts w:ascii="Arial" w:cs="Arial" w:eastAsia="Arial" w:hAnsi="Arial"/>
                <w:sz w:val="18"/>
                <w:szCs w:val="18"/>
                <w:color w:val="auto"/>
              </w:rPr>
              <w:t>577.4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580" w:type="dxa"/>
            <w:vAlign w:val="bottom"/>
          </w:tcPr>
          <w:p>
            <w:pPr>
              <w:spacing w:after="0"/>
              <w:rPr>
                <w:sz w:val="20"/>
                <w:szCs w:val="20"/>
                <w:color w:val="auto"/>
              </w:rPr>
            </w:pPr>
            <w:r>
              <w:rPr>
                <w:rFonts w:ascii="Arial" w:cs="Arial" w:eastAsia="Arial" w:hAnsi="Arial"/>
                <w:sz w:val="18"/>
                <w:szCs w:val="18"/>
                <w:color w:val="auto"/>
              </w:rPr>
              <w:t>Long-term debt (as of period end)</w:t>
            </w:r>
          </w:p>
        </w:tc>
        <w:tc>
          <w:tcPr>
            <w:tcW w:w="1900" w:type="dxa"/>
            <w:vAlign w:val="bottom"/>
          </w:tcPr>
          <w:p>
            <w:pPr>
              <w:jc w:val="right"/>
              <w:ind w:right="38"/>
              <w:spacing w:after="0"/>
              <w:rPr>
                <w:sz w:val="20"/>
                <w:szCs w:val="20"/>
                <w:color w:val="auto"/>
              </w:rPr>
            </w:pPr>
            <w:r>
              <w:rPr>
                <w:rFonts w:ascii="Arial" w:cs="Arial" w:eastAsia="Arial" w:hAnsi="Arial"/>
                <w:sz w:val="18"/>
                <w:szCs w:val="18"/>
                <w:color w:val="auto"/>
              </w:rPr>
              <w:t>30.2</w:t>
            </w:r>
          </w:p>
        </w:tc>
        <w:tc>
          <w:tcPr>
            <w:tcW w:w="1120" w:type="dxa"/>
            <w:vAlign w:val="bottom"/>
          </w:tcPr>
          <w:p>
            <w:pPr>
              <w:spacing w:after="0"/>
              <w:rPr>
                <w:sz w:val="18"/>
                <w:szCs w:val="18"/>
                <w:color w:val="auto"/>
              </w:rPr>
            </w:pPr>
          </w:p>
        </w:tc>
        <w:tc>
          <w:tcPr>
            <w:tcW w:w="1040" w:type="dxa"/>
            <w:vAlign w:val="bottom"/>
            <w:tcBorders>
              <w:left w:val="single" w:sz="8" w:color="auto"/>
            </w:tcBorders>
          </w:tcPr>
          <w:p>
            <w:pPr>
              <w:jc w:val="right"/>
              <w:ind w:right="74"/>
              <w:spacing w:after="0"/>
              <w:rPr>
                <w:sz w:val="20"/>
                <w:szCs w:val="20"/>
                <w:color w:val="auto"/>
              </w:rPr>
            </w:pPr>
            <w:r>
              <w:rPr>
                <w:rFonts w:ascii="Arial" w:cs="Arial" w:eastAsia="Arial" w:hAnsi="Arial"/>
                <w:sz w:val="18"/>
                <w:szCs w:val="18"/>
                <w:color w:val="auto"/>
              </w:rPr>
              <w:t>30.2</w:t>
            </w:r>
          </w:p>
        </w:tc>
        <w:tc>
          <w:tcPr>
            <w:tcW w:w="980" w:type="dxa"/>
            <w:vAlign w:val="bottom"/>
          </w:tcPr>
          <w:p>
            <w:pPr>
              <w:jc w:val="right"/>
              <w:ind w:right="76"/>
              <w:spacing w:after="0"/>
              <w:rPr>
                <w:sz w:val="20"/>
                <w:szCs w:val="20"/>
                <w:color w:val="auto"/>
              </w:rPr>
            </w:pPr>
            <w:r>
              <w:rPr>
                <w:rFonts w:ascii="Arial" w:cs="Arial" w:eastAsia="Arial" w:hAnsi="Arial"/>
                <w:sz w:val="18"/>
                <w:szCs w:val="18"/>
                <w:color w:val="auto"/>
              </w:rPr>
              <w:t>30.2</w:t>
            </w:r>
          </w:p>
        </w:tc>
        <w:tc>
          <w:tcPr>
            <w:tcW w:w="980" w:type="dxa"/>
            <w:vAlign w:val="bottom"/>
          </w:tcPr>
          <w:p>
            <w:pPr>
              <w:jc w:val="right"/>
              <w:ind w:right="54"/>
              <w:spacing w:after="0"/>
              <w:rPr>
                <w:sz w:val="20"/>
                <w:szCs w:val="20"/>
                <w:color w:val="auto"/>
              </w:rPr>
            </w:pPr>
            <w:r>
              <w:rPr>
                <w:rFonts w:ascii="Arial" w:cs="Arial" w:eastAsia="Arial" w:hAnsi="Arial"/>
                <w:sz w:val="18"/>
                <w:szCs w:val="18"/>
                <w:color w:val="auto"/>
              </w:rPr>
              <w:t>30.2</w:t>
            </w:r>
          </w:p>
        </w:tc>
        <w:tc>
          <w:tcPr>
            <w:tcW w:w="980" w:type="dxa"/>
            <w:vAlign w:val="bottom"/>
          </w:tcPr>
          <w:p>
            <w:pPr>
              <w:jc w:val="right"/>
              <w:ind w:right="54"/>
              <w:spacing w:after="0"/>
              <w:rPr>
                <w:sz w:val="20"/>
                <w:szCs w:val="20"/>
                <w:color w:val="auto"/>
              </w:rPr>
            </w:pPr>
            <w:r>
              <w:rPr>
                <w:rFonts w:ascii="Arial" w:cs="Arial" w:eastAsia="Arial" w:hAnsi="Arial"/>
                <w:sz w:val="18"/>
                <w:szCs w:val="18"/>
                <w:color w:val="auto"/>
              </w:rPr>
              <w:t>38.7</w:t>
            </w:r>
          </w:p>
        </w:tc>
        <w:tc>
          <w:tcPr>
            <w:tcW w:w="820" w:type="dxa"/>
            <w:vAlign w:val="bottom"/>
          </w:tcPr>
          <w:p>
            <w:pPr>
              <w:jc w:val="right"/>
              <w:ind w:right="14"/>
              <w:spacing w:after="0"/>
              <w:rPr>
                <w:sz w:val="20"/>
                <w:szCs w:val="20"/>
                <w:color w:val="auto"/>
              </w:rPr>
            </w:pPr>
            <w:r>
              <w:rPr>
                <w:rFonts w:ascii="Arial" w:cs="Arial" w:eastAsia="Arial" w:hAnsi="Arial"/>
                <w:sz w:val="18"/>
                <w:szCs w:val="18"/>
                <w:color w:val="auto"/>
              </w:rPr>
              <w:t>38.7</w:t>
            </w:r>
          </w:p>
        </w:tc>
        <w:tc>
          <w:tcPr>
            <w:tcW w:w="0" w:type="dxa"/>
            <w:vAlign w:val="bottom"/>
          </w:tcPr>
          <w:p>
            <w:pPr>
              <w:spacing w:after="0"/>
              <w:rPr>
                <w:sz w:val="1"/>
                <w:szCs w:val="1"/>
                <w:color w:val="auto"/>
              </w:rPr>
            </w:pPr>
          </w:p>
        </w:tc>
      </w:tr>
      <w:tr>
        <w:trPr>
          <w:trHeight w:val="365"/>
        </w:trPr>
        <w:tc>
          <w:tcPr>
            <w:tcW w:w="20" w:type="dxa"/>
            <w:vAlign w:val="bottom"/>
          </w:tcPr>
          <w:p>
            <w:pPr>
              <w:spacing w:after="0"/>
              <w:rPr>
                <w:sz w:val="24"/>
                <w:szCs w:val="24"/>
                <w:color w:val="auto"/>
              </w:rPr>
            </w:pPr>
          </w:p>
        </w:tc>
        <w:tc>
          <w:tcPr>
            <w:tcW w:w="3580" w:type="dxa"/>
            <w:vAlign w:val="bottom"/>
          </w:tcPr>
          <w:p>
            <w:pPr>
              <w:spacing w:after="0"/>
              <w:rPr>
                <w:sz w:val="24"/>
                <w:szCs w:val="24"/>
                <w:color w:val="auto"/>
              </w:rPr>
            </w:pPr>
          </w:p>
        </w:tc>
        <w:tc>
          <w:tcPr>
            <w:tcW w:w="1900" w:type="dxa"/>
            <w:vAlign w:val="bottom"/>
          </w:tcPr>
          <w:p>
            <w:pPr>
              <w:spacing w:after="0"/>
              <w:rPr>
                <w:sz w:val="24"/>
                <w:szCs w:val="24"/>
                <w:color w:val="auto"/>
              </w:rPr>
            </w:pPr>
          </w:p>
        </w:tc>
        <w:tc>
          <w:tcPr>
            <w:tcW w:w="1120" w:type="dxa"/>
            <w:vAlign w:val="bottom"/>
          </w:tcPr>
          <w:p>
            <w:pPr>
              <w:jc w:val="right"/>
              <w:ind w:right="734"/>
              <w:spacing w:after="0"/>
              <w:rPr>
                <w:sz w:val="20"/>
                <w:szCs w:val="20"/>
                <w:color w:val="auto"/>
              </w:rPr>
            </w:pPr>
            <w:r>
              <w:rPr>
                <w:rFonts w:ascii="Arial" w:cs="Arial" w:eastAsia="Arial" w:hAnsi="Arial"/>
                <w:sz w:val="18"/>
                <w:szCs w:val="18"/>
                <w:color w:val="auto"/>
              </w:rPr>
              <w:t>26</w:t>
            </w:r>
          </w:p>
        </w:tc>
        <w:tc>
          <w:tcPr>
            <w:tcW w:w="104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459" w:right="239" w:bottom="1440" w:gutter="0" w:footer="0" w:header="0"/>
        </w:sectPr>
      </w:pPr>
    </w:p>
    <w:bookmarkStart w:id="35" w:name="page36"/>
    <w:bookmarkEnd w:id="3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UNAUDITED PRO FORMA CONSOLIDATED FINANCIAL DATA</w:t>
      </w:r>
    </w:p>
    <w:p>
      <w:pPr>
        <w:spacing w:after="0" w:line="270" w:lineRule="exact"/>
        <w:rPr>
          <w:sz w:val="20"/>
          <w:szCs w:val="20"/>
          <w:color w:val="auto"/>
        </w:rPr>
      </w:pPr>
    </w:p>
    <w:p>
      <w:pPr>
        <w:ind w:right="160" w:firstLine="913"/>
        <w:spacing w:after="0" w:line="297" w:lineRule="auto"/>
        <w:rPr>
          <w:sz w:val="20"/>
          <w:szCs w:val="20"/>
          <w:color w:val="auto"/>
        </w:rPr>
      </w:pPr>
      <w:r>
        <w:rPr>
          <w:rFonts w:ascii="Arial" w:cs="Arial" w:eastAsia="Arial" w:hAnsi="Arial"/>
          <w:sz w:val="16"/>
          <w:szCs w:val="16"/>
          <w:color w:val="auto"/>
        </w:rPr>
        <w:t>The Unaudited Pro Forma Consolidated Financial Data of TimkenSteel consists of an Unaudited Pro Forma Consolidated Statement of Income for the year ended December 31, 2013 and three months ended March 31, 2014 and an Unaudited Pro Forma Consolidated Balance Sheet as of March 31, 2014 prepared in accordance with U.S. generally accepted accounting principles, or U.S. GAAP. The Unaudited Pro Forma Consolidated Financial Data reported below should be read in conjunction with “Management’s Discussion and Analysis of Financial Condition and Results of Operations,” “Selected Historical Consolidated Financial Data” and the Audited Consolidated Financial Statements and corresponding notes included elsewhere in this prospectus.</w:t>
      </w:r>
    </w:p>
    <w:p>
      <w:pPr>
        <w:spacing w:after="0" w:line="199" w:lineRule="exact"/>
        <w:rPr>
          <w:sz w:val="20"/>
          <w:szCs w:val="20"/>
          <w:color w:val="auto"/>
        </w:rPr>
      </w:pPr>
    </w:p>
    <w:p>
      <w:pPr>
        <w:ind w:right="60" w:firstLine="913"/>
        <w:spacing w:after="0" w:line="273" w:lineRule="auto"/>
        <w:rPr>
          <w:sz w:val="20"/>
          <w:szCs w:val="20"/>
          <w:color w:val="auto"/>
        </w:rPr>
      </w:pPr>
      <w:r>
        <w:rPr>
          <w:rFonts w:ascii="Arial" w:cs="Arial" w:eastAsia="Arial" w:hAnsi="Arial"/>
          <w:sz w:val="17"/>
          <w:szCs w:val="17"/>
          <w:color w:val="auto"/>
        </w:rPr>
        <w:t>The following Unaudited Pro Forma Consolidated Financial Data is subject to assumptions and adjustments described in the accompanying notes. TimkenSteel’s management believes these assumptions and adjustments are reasonable under the circumstances and given the information available at this time. However, these adjustments are subject to change as Timken and TimkenSteel finalize the terms of the spinoff, including the separation and distribution agreement and related transaction agreements. The Unaudited Pro Forma Consolidated Financial Data does not purport to represent what TimkenSteel’s financial position and results of operations actually would have been had the spinoff occurred on the dates indicated, or to project TimkenSteel’s financial performance for any future period following the spinoff.</w:t>
      </w:r>
    </w:p>
    <w:p>
      <w:pPr>
        <w:spacing w:after="0" w:line="205" w:lineRule="exact"/>
        <w:rPr>
          <w:sz w:val="20"/>
          <w:szCs w:val="20"/>
          <w:color w:val="auto"/>
        </w:rPr>
      </w:pPr>
    </w:p>
    <w:p>
      <w:pPr>
        <w:jc w:val="both"/>
        <w:ind w:right="240" w:firstLine="913"/>
        <w:spacing w:after="0" w:line="264" w:lineRule="auto"/>
        <w:rPr>
          <w:sz w:val="20"/>
          <w:szCs w:val="20"/>
          <w:color w:val="auto"/>
        </w:rPr>
      </w:pPr>
      <w:r>
        <w:rPr>
          <w:rFonts w:ascii="Arial" w:cs="Arial" w:eastAsia="Arial" w:hAnsi="Arial"/>
          <w:sz w:val="18"/>
          <w:szCs w:val="18"/>
          <w:color w:val="auto"/>
        </w:rPr>
        <w:t>The Unaudited Pro Forma Consolidated Financial Data as of March 31, 2014 and for the year ended December 31, 2014 and the three months ended March 31, 2014 gives effect to the spinoff as if it had occurred on January 1, 2013. The Unaudited Pro Forma Consolidated Financial Data includes adjustments to reflect the following:</w:t>
      </w:r>
    </w:p>
    <w:p>
      <w:pPr>
        <w:spacing w:after="0" w:line="262" w:lineRule="exact"/>
        <w:rPr>
          <w:sz w:val="20"/>
          <w:szCs w:val="20"/>
          <w:color w:val="auto"/>
        </w:rPr>
      </w:pPr>
    </w:p>
    <w:p>
      <w:pPr>
        <w:ind w:left="1240" w:right="580" w:hanging="327"/>
        <w:spacing w:after="0" w:line="258" w:lineRule="auto"/>
        <w:tabs>
          <w:tab w:leader="none" w:pos="1240" w:val="left"/>
        </w:tabs>
        <w:numPr>
          <w:ilvl w:val="0"/>
          <w:numId w:val="13"/>
        </w:numPr>
        <w:rPr>
          <w:rFonts w:ascii="Arial" w:cs="Arial" w:eastAsia="Arial" w:hAnsi="Arial"/>
          <w:sz w:val="18"/>
          <w:szCs w:val="18"/>
          <w:color w:val="auto"/>
        </w:rPr>
      </w:pPr>
      <w:r>
        <w:rPr>
          <w:rFonts w:ascii="Arial" w:cs="Arial" w:eastAsia="Arial" w:hAnsi="Arial"/>
          <w:sz w:val="18"/>
          <w:szCs w:val="18"/>
          <w:color w:val="auto"/>
        </w:rPr>
        <w:t>the contribution by Timken to TimkenSteel, pursuant to the separation and distribution agreement, of all the assets and liabilities that comprise the TimkenSteel business;</w:t>
      </w:r>
    </w:p>
    <w:p>
      <w:pPr>
        <w:spacing w:after="0" w:line="1" w:lineRule="exact"/>
        <w:rPr>
          <w:rFonts w:ascii="Arial" w:cs="Arial" w:eastAsia="Arial" w:hAnsi="Arial"/>
          <w:sz w:val="18"/>
          <w:szCs w:val="18"/>
          <w:color w:val="auto"/>
        </w:rPr>
      </w:pPr>
    </w:p>
    <w:p>
      <w:pPr>
        <w:ind w:left="1240" w:right="60" w:hanging="327"/>
        <w:spacing w:after="0" w:line="250" w:lineRule="auto"/>
        <w:tabs>
          <w:tab w:leader="none" w:pos="1240" w:val="left"/>
        </w:tabs>
        <w:numPr>
          <w:ilvl w:val="0"/>
          <w:numId w:val="13"/>
        </w:numPr>
        <w:rPr>
          <w:rFonts w:ascii="Arial" w:cs="Arial" w:eastAsia="Arial" w:hAnsi="Arial"/>
          <w:sz w:val="18"/>
          <w:szCs w:val="18"/>
          <w:color w:val="auto"/>
        </w:rPr>
      </w:pPr>
      <w:r>
        <w:rPr>
          <w:rFonts w:ascii="Arial" w:cs="Arial" w:eastAsia="Arial" w:hAnsi="Arial"/>
          <w:sz w:val="18"/>
          <w:szCs w:val="18"/>
          <w:color w:val="auto"/>
        </w:rPr>
        <w:t>the expected transfer to TimkenSteel, upon completion of the spinoff of certain assets and liabilities that were not included in TimkenSteel’s historical consolidated financial statements;</w:t>
      </w:r>
    </w:p>
    <w:p>
      <w:pPr>
        <w:ind w:left="1240" w:right="120" w:hanging="327"/>
        <w:spacing w:after="0" w:line="250" w:lineRule="auto"/>
        <w:tabs>
          <w:tab w:leader="none" w:pos="1240" w:val="left"/>
        </w:tabs>
        <w:numPr>
          <w:ilvl w:val="0"/>
          <w:numId w:val="13"/>
        </w:numPr>
        <w:rPr>
          <w:rFonts w:ascii="Arial" w:cs="Arial" w:eastAsia="Arial" w:hAnsi="Arial"/>
          <w:sz w:val="18"/>
          <w:szCs w:val="18"/>
          <w:color w:val="auto"/>
        </w:rPr>
      </w:pPr>
      <w:r>
        <w:rPr>
          <w:rFonts w:ascii="Arial" w:cs="Arial" w:eastAsia="Arial" w:hAnsi="Arial"/>
          <w:sz w:val="18"/>
          <w:szCs w:val="18"/>
          <w:color w:val="auto"/>
        </w:rPr>
        <w:t>the assets and liabilities related to defined benefit pension and other postretirement plans that were not included in TimkenSteel’s historical consolidated financial statements;</w:t>
      </w:r>
    </w:p>
    <w:p>
      <w:pPr>
        <w:ind w:left="1240" w:hanging="327"/>
        <w:spacing w:after="0"/>
        <w:tabs>
          <w:tab w:leader="none" w:pos="1240" w:val="left"/>
        </w:tabs>
        <w:numPr>
          <w:ilvl w:val="0"/>
          <w:numId w:val="13"/>
        </w:numPr>
        <w:rPr>
          <w:rFonts w:ascii="Arial" w:cs="Arial" w:eastAsia="Arial" w:hAnsi="Arial"/>
          <w:sz w:val="18"/>
          <w:szCs w:val="18"/>
          <w:color w:val="auto"/>
        </w:rPr>
      </w:pPr>
      <w:r>
        <w:rPr>
          <w:rFonts w:ascii="Arial" w:cs="Arial" w:eastAsia="Arial" w:hAnsi="Arial"/>
          <w:sz w:val="18"/>
          <w:szCs w:val="18"/>
          <w:color w:val="auto"/>
        </w:rPr>
        <w:t>the inclusion of $100 million of debt at an interest rate of LIBOR plus 1.50%;</w:t>
      </w:r>
    </w:p>
    <w:p>
      <w:pPr>
        <w:spacing w:after="0" w:line="9" w:lineRule="exact"/>
        <w:rPr>
          <w:rFonts w:ascii="Arial" w:cs="Arial" w:eastAsia="Arial" w:hAnsi="Arial"/>
          <w:sz w:val="18"/>
          <w:szCs w:val="18"/>
          <w:color w:val="auto"/>
        </w:rPr>
      </w:pPr>
    </w:p>
    <w:p>
      <w:pPr>
        <w:ind w:left="1240" w:hanging="327"/>
        <w:spacing w:after="0"/>
        <w:tabs>
          <w:tab w:leader="none" w:pos="1240" w:val="left"/>
        </w:tabs>
        <w:numPr>
          <w:ilvl w:val="0"/>
          <w:numId w:val="13"/>
        </w:numPr>
        <w:rPr>
          <w:rFonts w:ascii="Arial" w:cs="Arial" w:eastAsia="Arial" w:hAnsi="Arial"/>
          <w:sz w:val="18"/>
          <w:szCs w:val="18"/>
          <w:color w:val="auto"/>
        </w:rPr>
      </w:pPr>
      <w:r>
        <w:rPr>
          <w:rFonts w:ascii="Arial" w:cs="Arial" w:eastAsia="Arial" w:hAnsi="Arial"/>
          <w:sz w:val="18"/>
          <w:szCs w:val="18"/>
          <w:color w:val="auto"/>
        </w:rPr>
        <w:t>the cash distribution of approximately $50 million to Timken;</w:t>
      </w:r>
    </w:p>
    <w:p>
      <w:pPr>
        <w:spacing w:after="0" w:line="9" w:lineRule="exact"/>
        <w:rPr>
          <w:rFonts w:ascii="Arial" w:cs="Arial" w:eastAsia="Arial" w:hAnsi="Arial"/>
          <w:sz w:val="18"/>
          <w:szCs w:val="18"/>
          <w:color w:val="auto"/>
        </w:rPr>
      </w:pPr>
    </w:p>
    <w:p>
      <w:pPr>
        <w:ind w:left="1240" w:hanging="327"/>
        <w:spacing w:after="0"/>
        <w:tabs>
          <w:tab w:leader="none" w:pos="1240" w:val="left"/>
        </w:tabs>
        <w:numPr>
          <w:ilvl w:val="0"/>
          <w:numId w:val="13"/>
        </w:numPr>
        <w:rPr>
          <w:rFonts w:ascii="Arial" w:cs="Arial" w:eastAsia="Arial" w:hAnsi="Arial"/>
          <w:sz w:val="18"/>
          <w:szCs w:val="18"/>
          <w:color w:val="auto"/>
        </w:rPr>
      </w:pPr>
      <w:r>
        <w:rPr>
          <w:rFonts w:ascii="Arial" w:cs="Arial" w:eastAsia="Arial" w:hAnsi="Arial"/>
          <w:sz w:val="18"/>
          <w:szCs w:val="18"/>
          <w:color w:val="auto"/>
        </w:rPr>
        <w:t>the pro-rata distribution of approximately 45.4 million common shares of TimkenSteel to Timken shareholders; and</w:t>
      </w:r>
    </w:p>
    <w:p>
      <w:pPr>
        <w:spacing w:after="0" w:line="9" w:lineRule="exact"/>
        <w:rPr>
          <w:rFonts w:ascii="Arial" w:cs="Arial" w:eastAsia="Arial" w:hAnsi="Arial"/>
          <w:sz w:val="18"/>
          <w:szCs w:val="18"/>
          <w:color w:val="auto"/>
        </w:rPr>
      </w:pPr>
    </w:p>
    <w:p>
      <w:pPr>
        <w:ind w:left="1240" w:right="720" w:hanging="327"/>
        <w:spacing w:after="0" w:line="261" w:lineRule="auto"/>
        <w:tabs>
          <w:tab w:leader="none" w:pos="1240" w:val="left"/>
        </w:tabs>
        <w:numPr>
          <w:ilvl w:val="0"/>
          <w:numId w:val="13"/>
        </w:numPr>
        <w:rPr>
          <w:rFonts w:ascii="Arial" w:cs="Arial" w:eastAsia="Arial" w:hAnsi="Arial"/>
          <w:sz w:val="18"/>
          <w:szCs w:val="18"/>
          <w:color w:val="auto"/>
        </w:rPr>
      </w:pPr>
      <w:r>
        <w:rPr>
          <w:rFonts w:ascii="Arial" w:cs="Arial" w:eastAsia="Arial" w:hAnsi="Arial"/>
          <w:sz w:val="18"/>
          <w:szCs w:val="18"/>
          <w:color w:val="auto"/>
        </w:rPr>
        <w:t>the impact of the separation and distribution agreement, tax sharing agreement, employee matters agreement and other commercial agreements between TimkenSteel and Timken.</w:t>
      </w:r>
    </w:p>
    <w:p>
      <w:pPr>
        <w:spacing w:after="0" w:line="224" w:lineRule="exact"/>
        <w:rPr>
          <w:sz w:val="20"/>
          <w:szCs w:val="20"/>
          <w:color w:val="auto"/>
        </w:rPr>
      </w:pPr>
    </w:p>
    <w:p>
      <w:pPr>
        <w:ind w:firstLine="913"/>
        <w:spacing w:after="0" w:line="273" w:lineRule="auto"/>
        <w:rPr>
          <w:sz w:val="20"/>
          <w:szCs w:val="20"/>
          <w:color w:val="auto"/>
        </w:rPr>
      </w:pPr>
      <w:r>
        <w:rPr>
          <w:rFonts w:ascii="Arial" w:cs="Arial" w:eastAsia="Arial" w:hAnsi="Arial"/>
          <w:sz w:val="17"/>
          <w:szCs w:val="17"/>
          <w:color w:val="auto"/>
        </w:rPr>
        <w:t>TimkenSteel’s Audited Consolidated Financial Statements include allocations for certain expenses and support functions historically provided by Timken, such as business shared services, and other selling, general and administrative costs that benefit TimkenSteel. After the spinoff, TimkenSteel will incur incremental costs as an independent public company, including costs to replace services previously provided by Timken as well as other stand-alone costs. We estimate that these costs will range from $30 million to $35 million per year, over and above amounts currently included in the 2014 Unaudited Consolidated Financial Statements. Due to the scope and complexity of these activities, the amount and timing of these incremental costs could vary and, therefore, are not included within the Unaudited Pro Forma Consolidated Financial Data.</w:t>
      </w:r>
    </w:p>
    <w:p>
      <w:pPr>
        <w:spacing w:after="0" w:line="219" w:lineRule="exact"/>
        <w:rPr>
          <w:sz w:val="20"/>
          <w:szCs w:val="20"/>
          <w:color w:val="auto"/>
        </w:rPr>
      </w:pPr>
    </w:p>
    <w:p>
      <w:pPr>
        <w:ind w:right="220" w:firstLine="913"/>
        <w:spacing w:after="0" w:line="259" w:lineRule="auto"/>
        <w:rPr>
          <w:sz w:val="20"/>
          <w:szCs w:val="20"/>
          <w:color w:val="auto"/>
        </w:rPr>
      </w:pPr>
      <w:r>
        <w:rPr>
          <w:rFonts w:ascii="Arial" w:cs="Arial" w:eastAsia="Arial" w:hAnsi="Arial"/>
          <w:sz w:val="18"/>
          <w:szCs w:val="18"/>
          <w:color w:val="auto"/>
        </w:rPr>
        <w:t>Timken expects to incur approximately $95 million of one-time separation costs in connection with the spinoff, including consulting, legal, auditing and information technology. None of these costs are reflected in the TimkenSteel historical financial statements as the costs are non-recurring in nature and expected to be borne by Timken. TimkenSteel is expected to incur one-time transaction costs of approximately $10 million or less related to the spinoff after it is completed.</w:t>
      </w:r>
    </w:p>
    <w:p>
      <w:pPr>
        <w:spacing w:after="0" w:line="119"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27</w:t>
      </w:r>
    </w:p>
    <w:p>
      <w:pPr>
        <w:sectPr>
          <w:pgSz w:w="11900" w:h="16838" w:orient="portrait"/>
          <w:cols w:equalWidth="0" w:num="1">
            <w:col w:w="11380"/>
          </w:cols>
          <w:pgMar w:left="240" w:top="459" w:right="279" w:bottom="1440" w:gutter="0" w:footer="0" w:header="0"/>
        </w:sectPr>
      </w:pPr>
    </w:p>
    <w:bookmarkStart w:id="36" w:name="page37"/>
    <w:bookmarkEnd w:id="3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TimkenSteel Corporation</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Unaudited Pro Forma Consolidated Statement of Income</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Year Ended December 31, 2013</w:t>
      </w:r>
    </w:p>
    <w:p>
      <w:pPr>
        <w:spacing w:after="0" w:line="252"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466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540" w:type="dxa"/>
            <w:vAlign w:val="bottom"/>
          </w:tcPr>
          <w:p>
            <w:pPr>
              <w:jc w:val="right"/>
              <w:ind w:right="490"/>
              <w:spacing w:after="0"/>
              <w:rPr>
                <w:sz w:val="20"/>
                <w:szCs w:val="20"/>
                <w:color w:val="auto"/>
              </w:rPr>
            </w:pPr>
            <w:r>
              <w:rPr>
                <w:rFonts w:ascii="Arial" w:cs="Arial" w:eastAsia="Arial" w:hAnsi="Arial"/>
                <w:sz w:val="18"/>
                <w:szCs w:val="18"/>
                <w:b w:val="1"/>
                <w:bCs w:val="1"/>
                <w:color w:val="auto"/>
              </w:rPr>
              <w:t>Pro Forma</w:t>
            </w:r>
          </w:p>
        </w:tc>
        <w:tc>
          <w:tcPr>
            <w:tcW w:w="8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8"/>
        </w:trPr>
        <w:tc>
          <w:tcPr>
            <w:tcW w:w="4680" w:type="dxa"/>
            <w:vAlign w:val="bottom"/>
            <w:gridSpan w:val="2"/>
          </w:tcPr>
          <w:p>
            <w:pPr>
              <w:spacing w:after="0"/>
              <w:rPr>
                <w:sz w:val="20"/>
                <w:szCs w:val="20"/>
                <w:color w:val="auto"/>
              </w:rPr>
            </w:pPr>
            <w:r>
              <w:rPr>
                <w:rFonts w:ascii="Arial" w:cs="Arial" w:eastAsia="Arial" w:hAnsi="Arial"/>
                <w:sz w:val="14"/>
                <w:szCs w:val="14"/>
                <w:color w:val="auto"/>
              </w:rPr>
              <w:t>(Dollars and shares in millions, except per share data)</w:t>
            </w:r>
          </w:p>
        </w:tc>
        <w:tc>
          <w:tcPr>
            <w:tcW w:w="1060" w:type="dxa"/>
            <w:vAlign w:val="bottom"/>
          </w:tcPr>
          <w:p>
            <w:pPr>
              <w:spacing w:after="0"/>
              <w:rPr>
                <w:sz w:val="21"/>
                <w:szCs w:val="21"/>
                <w:color w:val="auto"/>
              </w:rPr>
            </w:pPr>
          </w:p>
        </w:tc>
        <w:tc>
          <w:tcPr>
            <w:tcW w:w="1380" w:type="dxa"/>
            <w:vAlign w:val="bottom"/>
          </w:tcPr>
          <w:p>
            <w:pPr>
              <w:jc w:val="right"/>
              <w:ind w:right="470"/>
              <w:spacing w:after="0"/>
              <w:rPr>
                <w:sz w:val="20"/>
                <w:szCs w:val="20"/>
                <w:color w:val="auto"/>
              </w:rPr>
            </w:pPr>
            <w:r>
              <w:rPr>
                <w:rFonts w:ascii="Arial" w:cs="Arial" w:eastAsia="Arial" w:hAnsi="Arial"/>
                <w:sz w:val="18"/>
                <w:szCs w:val="18"/>
                <w:b w:val="1"/>
                <w:bCs w:val="1"/>
                <w:color w:val="auto"/>
                <w:w w:val="97"/>
              </w:rPr>
              <w:t>Historical</w:t>
            </w:r>
          </w:p>
        </w:tc>
        <w:tc>
          <w:tcPr>
            <w:tcW w:w="320" w:type="dxa"/>
            <w:vAlign w:val="bottom"/>
          </w:tcPr>
          <w:p>
            <w:pPr>
              <w:spacing w:after="0"/>
              <w:rPr>
                <w:sz w:val="21"/>
                <w:szCs w:val="21"/>
                <w:color w:val="auto"/>
              </w:rPr>
            </w:pPr>
          </w:p>
        </w:tc>
        <w:tc>
          <w:tcPr>
            <w:tcW w:w="1540" w:type="dxa"/>
            <w:vAlign w:val="bottom"/>
          </w:tcPr>
          <w:p>
            <w:pPr>
              <w:jc w:val="right"/>
              <w:ind w:right="430"/>
              <w:spacing w:after="0"/>
              <w:rPr>
                <w:sz w:val="20"/>
                <w:szCs w:val="20"/>
                <w:color w:val="auto"/>
              </w:rPr>
            </w:pPr>
            <w:r>
              <w:rPr>
                <w:rFonts w:ascii="Arial" w:cs="Arial" w:eastAsia="Arial" w:hAnsi="Arial"/>
                <w:sz w:val="18"/>
                <w:szCs w:val="18"/>
                <w:b w:val="1"/>
                <w:bCs w:val="1"/>
                <w:color w:val="auto"/>
                <w:w w:val="91"/>
              </w:rPr>
              <w:t>Adjustments</w:t>
            </w:r>
          </w:p>
        </w:tc>
        <w:tc>
          <w:tcPr>
            <w:tcW w:w="80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260" w:type="dxa"/>
            <w:vAlign w:val="bottom"/>
          </w:tcPr>
          <w:p>
            <w:pPr>
              <w:jc w:val="right"/>
              <w:ind w:right="270"/>
              <w:spacing w:after="0"/>
              <w:rPr>
                <w:sz w:val="20"/>
                <w:szCs w:val="20"/>
                <w:color w:val="auto"/>
              </w:rPr>
            </w:pPr>
            <w:r>
              <w:rPr>
                <w:rFonts w:ascii="Arial" w:cs="Arial" w:eastAsia="Arial" w:hAnsi="Arial"/>
                <w:sz w:val="18"/>
                <w:szCs w:val="18"/>
                <w:b w:val="1"/>
                <w:bCs w:val="1"/>
                <w:color w:val="auto"/>
                <w:w w:val="97"/>
              </w:rPr>
              <w:t>Pro Forma</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66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Net sales</w:t>
            </w:r>
          </w:p>
        </w:tc>
        <w:tc>
          <w:tcPr>
            <w:tcW w:w="10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380" w:type="dxa"/>
            <w:vAlign w:val="bottom"/>
            <w:tcBorders>
              <w:top w:val="single" w:sz="8" w:color="auto"/>
            </w:tcBorders>
            <w:shd w:val="clear" w:color="auto" w:fill="CCEEFF"/>
          </w:tcPr>
          <w:p>
            <w:pPr>
              <w:jc w:val="right"/>
              <w:ind w:right="290"/>
              <w:spacing w:after="0"/>
              <w:rPr>
                <w:sz w:val="20"/>
                <w:szCs w:val="20"/>
                <w:color w:val="auto"/>
              </w:rPr>
            </w:pPr>
            <w:r>
              <w:rPr>
                <w:rFonts w:ascii="Arial" w:cs="Arial" w:eastAsia="Arial" w:hAnsi="Arial"/>
                <w:sz w:val="18"/>
                <w:szCs w:val="18"/>
                <w:color w:val="auto"/>
              </w:rPr>
              <w:t>1,380.9</w:t>
            </w:r>
          </w:p>
        </w:tc>
        <w:tc>
          <w:tcPr>
            <w:tcW w:w="3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540" w:type="dxa"/>
            <w:vAlign w:val="bottom"/>
            <w:tcBorders>
              <w:top w:val="single" w:sz="8" w:color="auto"/>
            </w:tcBorders>
            <w:shd w:val="clear" w:color="auto" w:fill="CCEEFF"/>
          </w:tcPr>
          <w:p>
            <w:pPr>
              <w:jc w:val="right"/>
              <w:ind w:right="250"/>
              <w:spacing w:after="0"/>
              <w:rPr>
                <w:sz w:val="20"/>
                <w:szCs w:val="20"/>
                <w:color w:val="auto"/>
              </w:rPr>
            </w:pPr>
            <w:r>
              <w:rPr>
                <w:rFonts w:ascii="Arial" w:cs="Arial" w:eastAsia="Arial" w:hAnsi="Arial"/>
                <w:sz w:val="18"/>
                <w:szCs w:val="18"/>
                <w:color w:val="auto"/>
              </w:rPr>
              <w:t>—</w:t>
            </w:r>
          </w:p>
        </w:tc>
        <w:tc>
          <w:tcPr>
            <w:tcW w:w="800" w:type="dxa"/>
            <w:vAlign w:val="bottom"/>
            <w:tcBorders>
              <w:top w:val="single" w:sz="8" w:color="auto"/>
            </w:tcBorders>
            <w:shd w:val="clear" w:color="auto" w:fill="CCEEFF"/>
          </w:tcPr>
          <w:p>
            <w:pPr>
              <w:spacing w:after="0"/>
              <w:rPr>
                <w:sz w:val="18"/>
                <w:szCs w:val="18"/>
                <w:color w:val="auto"/>
              </w:rPr>
            </w:pPr>
          </w:p>
        </w:tc>
        <w:tc>
          <w:tcPr>
            <w:tcW w:w="3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60" w:type="dxa"/>
            <w:vAlign w:val="bottom"/>
            <w:tcBorders>
              <w:top w:val="single" w:sz="8" w:color="auto"/>
            </w:tcBorders>
            <w:shd w:val="clear" w:color="auto" w:fill="CCEEFF"/>
          </w:tcPr>
          <w:p>
            <w:pPr>
              <w:jc w:val="right"/>
              <w:ind w:right="90"/>
              <w:spacing w:after="0"/>
              <w:rPr>
                <w:sz w:val="20"/>
                <w:szCs w:val="20"/>
                <w:color w:val="auto"/>
              </w:rPr>
            </w:pPr>
            <w:r>
              <w:rPr>
                <w:rFonts w:ascii="Arial" w:cs="Arial" w:eastAsia="Arial" w:hAnsi="Arial"/>
                <w:sz w:val="18"/>
                <w:szCs w:val="18"/>
                <w:color w:val="auto"/>
              </w:rPr>
              <w:t>1,380.9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6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Cost of products sold</w:t>
            </w:r>
          </w:p>
        </w:tc>
        <w:tc>
          <w:tcPr>
            <w:tcW w:w="1060" w:type="dxa"/>
            <w:vAlign w:val="bottom"/>
            <w:tcBorders>
              <w:bottom w:val="single" w:sz="8" w:color="auto"/>
            </w:tcBorders>
          </w:tcPr>
          <w:p>
            <w:pPr>
              <w:spacing w:after="0"/>
              <w:rPr>
                <w:sz w:val="18"/>
                <w:szCs w:val="18"/>
                <w:color w:val="auto"/>
              </w:rPr>
            </w:pPr>
          </w:p>
        </w:tc>
        <w:tc>
          <w:tcPr>
            <w:tcW w:w="1380" w:type="dxa"/>
            <w:vAlign w:val="bottom"/>
            <w:tcBorders>
              <w:bottom w:val="single" w:sz="8" w:color="auto"/>
            </w:tcBorders>
          </w:tcPr>
          <w:p>
            <w:pPr>
              <w:jc w:val="right"/>
              <w:ind w:right="290"/>
              <w:spacing w:after="0"/>
              <w:rPr>
                <w:sz w:val="20"/>
                <w:szCs w:val="20"/>
                <w:color w:val="auto"/>
              </w:rPr>
            </w:pPr>
            <w:r>
              <w:rPr>
                <w:rFonts w:ascii="Arial" w:cs="Arial" w:eastAsia="Arial" w:hAnsi="Arial"/>
                <w:sz w:val="18"/>
                <w:szCs w:val="18"/>
                <w:color w:val="auto"/>
              </w:rPr>
              <w:t>1,157.7</w:t>
            </w:r>
          </w:p>
        </w:tc>
        <w:tc>
          <w:tcPr>
            <w:tcW w:w="320" w:type="dxa"/>
            <w:vAlign w:val="bottom"/>
            <w:tcBorders>
              <w:bottom w:val="single" w:sz="8" w:color="auto"/>
            </w:tcBorders>
          </w:tcPr>
          <w:p>
            <w:pPr>
              <w:spacing w:after="0"/>
              <w:rPr>
                <w:sz w:val="18"/>
                <w:szCs w:val="18"/>
                <w:color w:val="auto"/>
              </w:rPr>
            </w:pPr>
          </w:p>
        </w:tc>
        <w:tc>
          <w:tcPr>
            <w:tcW w:w="1540" w:type="dxa"/>
            <w:vAlign w:val="bottom"/>
            <w:tcBorders>
              <w:bottom w:val="single" w:sz="8" w:color="auto"/>
            </w:tcBorders>
          </w:tcPr>
          <w:p>
            <w:pPr>
              <w:jc w:val="right"/>
              <w:ind w:right="250"/>
              <w:spacing w:after="0"/>
              <w:rPr>
                <w:sz w:val="20"/>
                <w:szCs w:val="20"/>
                <w:color w:val="auto"/>
              </w:rPr>
            </w:pPr>
            <w:r>
              <w:rPr>
                <w:rFonts w:ascii="Arial" w:cs="Arial" w:eastAsia="Arial" w:hAnsi="Arial"/>
                <w:sz w:val="18"/>
                <w:szCs w:val="18"/>
                <w:color w:val="auto"/>
              </w:rPr>
              <w:t>—</w:t>
            </w:r>
          </w:p>
        </w:tc>
        <w:tc>
          <w:tcPr>
            <w:tcW w:w="800" w:type="dxa"/>
            <w:vAlign w:val="bottom"/>
            <w:tcBorders>
              <w:bottom w:val="single" w:sz="8" w:color="auto"/>
            </w:tcBorders>
          </w:tcPr>
          <w:p>
            <w:pPr>
              <w:spacing w:after="0"/>
              <w:rPr>
                <w:sz w:val="18"/>
                <w:szCs w:val="18"/>
                <w:color w:val="auto"/>
              </w:rPr>
            </w:pPr>
          </w:p>
        </w:tc>
        <w:tc>
          <w:tcPr>
            <w:tcW w:w="380" w:type="dxa"/>
            <w:vAlign w:val="bottom"/>
            <w:tcBorders>
              <w:bottom w:val="single" w:sz="8" w:color="auto"/>
            </w:tcBorders>
          </w:tcPr>
          <w:p>
            <w:pPr>
              <w:spacing w:after="0"/>
              <w:rPr>
                <w:sz w:val="18"/>
                <w:szCs w:val="18"/>
                <w:color w:val="auto"/>
              </w:rPr>
            </w:pPr>
          </w:p>
        </w:tc>
        <w:tc>
          <w:tcPr>
            <w:tcW w:w="1260" w:type="dxa"/>
            <w:vAlign w:val="bottom"/>
            <w:tcBorders>
              <w:bottom w:val="single" w:sz="8" w:color="auto"/>
            </w:tcBorders>
          </w:tcPr>
          <w:p>
            <w:pPr>
              <w:jc w:val="right"/>
              <w:ind w:right="90"/>
              <w:spacing w:after="0"/>
              <w:rPr>
                <w:sz w:val="20"/>
                <w:szCs w:val="20"/>
                <w:color w:val="auto"/>
              </w:rPr>
            </w:pPr>
            <w:r>
              <w:rPr>
                <w:rFonts w:ascii="Arial" w:cs="Arial" w:eastAsia="Arial" w:hAnsi="Arial"/>
                <w:sz w:val="18"/>
                <w:szCs w:val="18"/>
                <w:color w:val="auto"/>
              </w:rPr>
              <w:t>1,157.7</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660" w:type="dxa"/>
            <w:vAlign w:val="bottom"/>
            <w:shd w:val="clear" w:color="auto" w:fill="CCEEFF"/>
          </w:tcPr>
          <w:p>
            <w:pPr>
              <w:ind w:left="340"/>
              <w:spacing w:after="0"/>
              <w:rPr>
                <w:sz w:val="20"/>
                <w:szCs w:val="20"/>
                <w:color w:val="auto"/>
              </w:rPr>
            </w:pPr>
            <w:r>
              <w:rPr>
                <w:rFonts w:ascii="Arial" w:cs="Arial" w:eastAsia="Arial" w:hAnsi="Arial"/>
                <w:sz w:val="18"/>
                <w:szCs w:val="18"/>
                <w:color w:val="auto"/>
              </w:rPr>
              <w:t>Gross Profit</w:t>
            </w:r>
          </w:p>
        </w:tc>
        <w:tc>
          <w:tcPr>
            <w:tcW w:w="1060" w:type="dxa"/>
            <w:vAlign w:val="bottom"/>
            <w:shd w:val="clear" w:color="auto" w:fill="CCEEFF"/>
          </w:tcPr>
          <w:p>
            <w:pPr>
              <w:spacing w:after="0"/>
              <w:rPr>
                <w:sz w:val="18"/>
                <w:szCs w:val="18"/>
                <w:color w:val="auto"/>
              </w:rPr>
            </w:pPr>
          </w:p>
        </w:tc>
        <w:tc>
          <w:tcPr>
            <w:tcW w:w="1380" w:type="dxa"/>
            <w:vAlign w:val="bottom"/>
            <w:shd w:val="clear" w:color="auto" w:fill="CCEEFF"/>
          </w:tcPr>
          <w:p>
            <w:pPr>
              <w:jc w:val="right"/>
              <w:ind w:right="290"/>
              <w:spacing w:after="0"/>
              <w:rPr>
                <w:sz w:val="20"/>
                <w:szCs w:val="20"/>
                <w:color w:val="auto"/>
              </w:rPr>
            </w:pPr>
            <w:r>
              <w:rPr>
                <w:rFonts w:ascii="Arial" w:cs="Arial" w:eastAsia="Arial" w:hAnsi="Arial"/>
                <w:sz w:val="18"/>
                <w:szCs w:val="18"/>
                <w:color w:val="auto"/>
              </w:rPr>
              <w:t>223.2</w:t>
            </w:r>
          </w:p>
        </w:tc>
        <w:tc>
          <w:tcPr>
            <w:tcW w:w="320" w:type="dxa"/>
            <w:vAlign w:val="bottom"/>
            <w:shd w:val="clear" w:color="auto" w:fill="CCEEFF"/>
          </w:tcPr>
          <w:p>
            <w:pPr>
              <w:spacing w:after="0"/>
              <w:rPr>
                <w:sz w:val="18"/>
                <w:szCs w:val="18"/>
                <w:color w:val="auto"/>
              </w:rPr>
            </w:pPr>
          </w:p>
        </w:tc>
        <w:tc>
          <w:tcPr>
            <w:tcW w:w="1540" w:type="dxa"/>
            <w:vAlign w:val="bottom"/>
            <w:shd w:val="clear" w:color="auto" w:fill="CCEEFF"/>
          </w:tcPr>
          <w:p>
            <w:pPr>
              <w:jc w:val="right"/>
              <w:ind w:right="250"/>
              <w:spacing w:after="0"/>
              <w:rPr>
                <w:sz w:val="20"/>
                <w:szCs w:val="20"/>
                <w:color w:val="auto"/>
              </w:rPr>
            </w:pPr>
            <w:r>
              <w:rPr>
                <w:rFonts w:ascii="Arial" w:cs="Arial" w:eastAsia="Arial" w:hAnsi="Arial"/>
                <w:sz w:val="18"/>
                <w:szCs w:val="18"/>
                <w:color w:val="auto"/>
              </w:rPr>
              <w:t>—</w:t>
            </w:r>
          </w:p>
        </w:tc>
        <w:tc>
          <w:tcPr>
            <w:tcW w:w="80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26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rPr>
              <w:t>223.2</w:t>
            </w:r>
          </w:p>
        </w:tc>
        <w:tc>
          <w:tcPr>
            <w:tcW w:w="0" w:type="dxa"/>
            <w:vAlign w:val="bottom"/>
          </w:tcPr>
          <w:p>
            <w:pPr>
              <w:spacing w:after="0"/>
              <w:rPr>
                <w:sz w:val="1"/>
                <w:szCs w:val="1"/>
                <w:color w:val="auto"/>
              </w:rPr>
            </w:pPr>
          </w:p>
        </w:tc>
      </w:tr>
      <w:tr>
        <w:trPr>
          <w:trHeight w:val="365"/>
        </w:trPr>
        <w:tc>
          <w:tcPr>
            <w:tcW w:w="4680" w:type="dxa"/>
            <w:vAlign w:val="bottom"/>
            <w:gridSpan w:val="2"/>
          </w:tcPr>
          <w:p>
            <w:pPr>
              <w:spacing w:after="0"/>
              <w:rPr>
                <w:sz w:val="20"/>
                <w:szCs w:val="20"/>
                <w:color w:val="auto"/>
              </w:rPr>
            </w:pPr>
            <w:r>
              <w:rPr>
                <w:rFonts w:ascii="Arial" w:cs="Arial" w:eastAsia="Arial" w:hAnsi="Arial"/>
                <w:sz w:val="18"/>
                <w:szCs w:val="18"/>
                <w:color w:val="auto"/>
              </w:rPr>
              <w:t>Selling, general and administrative expenses</w:t>
            </w:r>
          </w:p>
        </w:tc>
        <w:tc>
          <w:tcPr>
            <w:tcW w:w="1060" w:type="dxa"/>
            <w:vAlign w:val="bottom"/>
          </w:tcPr>
          <w:p>
            <w:pPr>
              <w:spacing w:after="0"/>
              <w:rPr>
                <w:sz w:val="24"/>
                <w:szCs w:val="24"/>
                <w:color w:val="auto"/>
              </w:rPr>
            </w:pPr>
          </w:p>
        </w:tc>
        <w:tc>
          <w:tcPr>
            <w:tcW w:w="1380" w:type="dxa"/>
            <w:vAlign w:val="bottom"/>
          </w:tcPr>
          <w:p>
            <w:pPr>
              <w:jc w:val="right"/>
              <w:ind w:right="290"/>
              <w:spacing w:after="0"/>
              <w:rPr>
                <w:sz w:val="20"/>
                <w:szCs w:val="20"/>
                <w:color w:val="auto"/>
              </w:rPr>
            </w:pPr>
            <w:r>
              <w:rPr>
                <w:rFonts w:ascii="Arial" w:cs="Arial" w:eastAsia="Arial" w:hAnsi="Arial"/>
                <w:sz w:val="18"/>
                <w:szCs w:val="18"/>
                <w:color w:val="auto"/>
              </w:rPr>
              <w:t>91.8</w:t>
            </w:r>
          </w:p>
        </w:tc>
        <w:tc>
          <w:tcPr>
            <w:tcW w:w="320" w:type="dxa"/>
            <w:vAlign w:val="bottom"/>
          </w:tcPr>
          <w:p>
            <w:pPr>
              <w:spacing w:after="0"/>
              <w:rPr>
                <w:sz w:val="24"/>
                <w:szCs w:val="24"/>
                <w:color w:val="auto"/>
              </w:rPr>
            </w:pPr>
          </w:p>
        </w:tc>
        <w:tc>
          <w:tcPr>
            <w:tcW w:w="1540" w:type="dxa"/>
            <w:vAlign w:val="bottom"/>
          </w:tcPr>
          <w:p>
            <w:pPr>
              <w:jc w:val="right"/>
              <w:ind w:right="250"/>
              <w:spacing w:after="0"/>
              <w:rPr>
                <w:sz w:val="20"/>
                <w:szCs w:val="20"/>
                <w:color w:val="auto"/>
              </w:rPr>
            </w:pPr>
            <w:r>
              <w:rPr>
                <w:rFonts w:ascii="Arial" w:cs="Arial" w:eastAsia="Arial" w:hAnsi="Arial"/>
                <w:sz w:val="18"/>
                <w:szCs w:val="18"/>
                <w:color w:val="auto"/>
              </w:rPr>
              <w:t>2.5</w:t>
            </w:r>
          </w:p>
        </w:tc>
        <w:tc>
          <w:tcPr>
            <w:tcW w:w="800" w:type="dxa"/>
            <w:vAlign w:val="bottom"/>
          </w:tcPr>
          <w:p>
            <w:pPr>
              <w:jc w:val="right"/>
              <w:ind w:right="170"/>
              <w:spacing w:after="0"/>
              <w:rPr>
                <w:sz w:val="20"/>
                <w:szCs w:val="20"/>
                <w:color w:val="auto"/>
              </w:rPr>
            </w:pPr>
            <w:r>
              <w:rPr>
                <w:rFonts w:ascii="Arial" w:cs="Arial" w:eastAsia="Arial" w:hAnsi="Arial"/>
                <w:sz w:val="18"/>
                <w:szCs w:val="18"/>
                <w:color w:val="auto"/>
              </w:rPr>
              <w:t>(A)</w:t>
            </w:r>
          </w:p>
        </w:tc>
        <w:tc>
          <w:tcPr>
            <w:tcW w:w="380" w:type="dxa"/>
            <w:vAlign w:val="bottom"/>
          </w:tcPr>
          <w:p>
            <w:pPr>
              <w:spacing w:after="0"/>
              <w:rPr>
                <w:sz w:val="24"/>
                <w:szCs w:val="24"/>
                <w:color w:val="auto"/>
              </w:rPr>
            </w:pPr>
          </w:p>
        </w:tc>
        <w:tc>
          <w:tcPr>
            <w:tcW w:w="1260" w:type="dxa"/>
            <w:vAlign w:val="bottom"/>
          </w:tcPr>
          <w:p>
            <w:pPr>
              <w:jc w:val="right"/>
              <w:ind w:right="90"/>
              <w:spacing w:after="0"/>
              <w:rPr>
                <w:sz w:val="20"/>
                <w:szCs w:val="20"/>
                <w:color w:val="auto"/>
              </w:rPr>
            </w:pPr>
            <w:r>
              <w:rPr>
                <w:rFonts w:ascii="Arial" w:cs="Arial" w:eastAsia="Arial" w:hAnsi="Arial"/>
                <w:sz w:val="18"/>
                <w:szCs w:val="18"/>
                <w:color w:val="auto"/>
              </w:rPr>
              <w:t>94.3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6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color w:val="auto"/>
              </w:rPr>
              <w:t>Impairment and restructuring charges</w:t>
            </w:r>
          </w:p>
        </w:tc>
        <w:tc>
          <w:tcPr>
            <w:tcW w:w="1060" w:type="dxa"/>
            <w:vAlign w:val="bottom"/>
            <w:tcBorders>
              <w:bottom w:val="single" w:sz="8" w:color="auto"/>
            </w:tcBorders>
            <w:shd w:val="clear" w:color="auto" w:fill="CCEEFF"/>
          </w:tcPr>
          <w:p>
            <w:pPr>
              <w:spacing w:after="0"/>
              <w:rPr>
                <w:sz w:val="18"/>
                <w:szCs w:val="18"/>
                <w:color w:val="auto"/>
              </w:rPr>
            </w:pPr>
          </w:p>
        </w:tc>
        <w:tc>
          <w:tcPr>
            <w:tcW w:w="1380" w:type="dxa"/>
            <w:vAlign w:val="bottom"/>
            <w:tcBorders>
              <w:bottom w:val="single" w:sz="8" w:color="auto"/>
            </w:tcBorders>
            <w:shd w:val="clear" w:color="auto" w:fill="CCEEFF"/>
          </w:tcPr>
          <w:p>
            <w:pPr>
              <w:jc w:val="right"/>
              <w:ind w:right="290"/>
              <w:spacing w:after="0"/>
              <w:rPr>
                <w:sz w:val="20"/>
                <w:szCs w:val="20"/>
                <w:color w:val="auto"/>
              </w:rPr>
            </w:pPr>
            <w:r>
              <w:rPr>
                <w:rFonts w:ascii="Arial" w:cs="Arial" w:eastAsia="Arial" w:hAnsi="Arial"/>
                <w:sz w:val="18"/>
                <w:szCs w:val="18"/>
                <w:color w:val="auto"/>
              </w:rPr>
              <w:t>0.6</w:t>
            </w:r>
          </w:p>
        </w:tc>
        <w:tc>
          <w:tcPr>
            <w:tcW w:w="320" w:type="dxa"/>
            <w:vAlign w:val="bottom"/>
            <w:tcBorders>
              <w:bottom w:val="single" w:sz="8" w:color="auto"/>
            </w:tcBorders>
            <w:shd w:val="clear" w:color="auto" w:fill="CCEEFF"/>
          </w:tcPr>
          <w:p>
            <w:pPr>
              <w:spacing w:after="0"/>
              <w:rPr>
                <w:sz w:val="18"/>
                <w:szCs w:val="18"/>
                <w:color w:val="auto"/>
              </w:rPr>
            </w:pPr>
          </w:p>
        </w:tc>
        <w:tc>
          <w:tcPr>
            <w:tcW w:w="1540" w:type="dxa"/>
            <w:vAlign w:val="bottom"/>
            <w:tcBorders>
              <w:bottom w:val="single" w:sz="8" w:color="auto"/>
            </w:tcBorders>
            <w:shd w:val="clear" w:color="auto" w:fill="CCEEFF"/>
          </w:tcPr>
          <w:p>
            <w:pPr>
              <w:jc w:val="right"/>
              <w:ind w:right="250"/>
              <w:spacing w:after="0"/>
              <w:rPr>
                <w:sz w:val="20"/>
                <w:szCs w:val="20"/>
                <w:color w:val="auto"/>
              </w:rPr>
            </w:pPr>
            <w:r>
              <w:rPr>
                <w:rFonts w:ascii="Arial" w:cs="Arial" w:eastAsia="Arial" w:hAnsi="Arial"/>
                <w:sz w:val="18"/>
                <w:szCs w:val="18"/>
                <w:color w:val="auto"/>
              </w:rPr>
              <w:t>—</w:t>
            </w:r>
          </w:p>
        </w:tc>
        <w:tc>
          <w:tcPr>
            <w:tcW w:w="800" w:type="dxa"/>
            <w:vAlign w:val="bottom"/>
            <w:tcBorders>
              <w:bottom w:val="single" w:sz="8" w:color="auto"/>
            </w:tcBorders>
            <w:shd w:val="clear" w:color="auto" w:fill="CCEEFF"/>
          </w:tcPr>
          <w:p>
            <w:pPr>
              <w:spacing w:after="0"/>
              <w:rPr>
                <w:sz w:val="18"/>
                <w:szCs w:val="18"/>
                <w:color w:val="auto"/>
              </w:rPr>
            </w:pPr>
          </w:p>
        </w:tc>
        <w:tc>
          <w:tcPr>
            <w:tcW w:w="380" w:type="dxa"/>
            <w:vAlign w:val="bottom"/>
            <w:tcBorders>
              <w:bottom w:val="single" w:sz="8" w:color="auto"/>
            </w:tcBorders>
            <w:shd w:val="clear" w:color="auto" w:fill="CCEEFF"/>
          </w:tcPr>
          <w:p>
            <w:pPr>
              <w:spacing w:after="0"/>
              <w:rPr>
                <w:sz w:val="18"/>
                <w:szCs w:val="18"/>
                <w:color w:val="auto"/>
              </w:rPr>
            </w:pPr>
          </w:p>
        </w:tc>
        <w:tc>
          <w:tcPr>
            <w:tcW w:w="1260" w:type="dxa"/>
            <w:vAlign w:val="bottom"/>
            <w:tcBorders>
              <w:bottom w:val="single" w:sz="8" w:color="auto"/>
            </w:tcBorders>
            <w:shd w:val="clear" w:color="auto" w:fill="CCEEFF"/>
          </w:tcPr>
          <w:p>
            <w:pPr>
              <w:jc w:val="right"/>
              <w:ind w:right="90"/>
              <w:spacing w:after="0"/>
              <w:rPr>
                <w:sz w:val="20"/>
                <w:szCs w:val="20"/>
                <w:color w:val="auto"/>
              </w:rPr>
            </w:pPr>
            <w:r>
              <w:rPr>
                <w:rFonts w:ascii="Arial" w:cs="Arial" w:eastAsia="Arial" w:hAnsi="Arial"/>
                <w:sz w:val="18"/>
                <w:szCs w:val="18"/>
                <w:color w:val="auto"/>
              </w:rPr>
              <w:t>0.6</w:t>
            </w: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4660" w:type="dxa"/>
            <w:vAlign w:val="bottom"/>
          </w:tcPr>
          <w:p>
            <w:pPr>
              <w:ind w:left="340"/>
              <w:spacing w:after="0"/>
              <w:rPr>
                <w:sz w:val="20"/>
                <w:szCs w:val="20"/>
                <w:color w:val="auto"/>
              </w:rPr>
            </w:pPr>
            <w:r>
              <w:rPr>
                <w:rFonts w:ascii="Arial" w:cs="Arial" w:eastAsia="Arial" w:hAnsi="Arial"/>
                <w:sz w:val="18"/>
                <w:szCs w:val="18"/>
                <w:color w:val="auto"/>
              </w:rPr>
              <w:t>Operating Income</w:t>
            </w:r>
          </w:p>
        </w:tc>
        <w:tc>
          <w:tcPr>
            <w:tcW w:w="1060" w:type="dxa"/>
            <w:vAlign w:val="bottom"/>
          </w:tcPr>
          <w:p>
            <w:pPr>
              <w:spacing w:after="0"/>
              <w:rPr>
                <w:sz w:val="19"/>
                <w:szCs w:val="19"/>
                <w:color w:val="auto"/>
              </w:rPr>
            </w:pPr>
          </w:p>
        </w:tc>
        <w:tc>
          <w:tcPr>
            <w:tcW w:w="1380" w:type="dxa"/>
            <w:vAlign w:val="bottom"/>
          </w:tcPr>
          <w:p>
            <w:pPr>
              <w:jc w:val="right"/>
              <w:ind w:right="290"/>
              <w:spacing w:after="0"/>
              <w:rPr>
                <w:sz w:val="20"/>
                <w:szCs w:val="20"/>
                <w:color w:val="auto"/>
              </w:rPr>
            </w:pPr>
            <w:r>
              <w:rPr>
                <w:rFonts w:ascii="Arial" w:cs="Arial" w:eastAsia="Arial" w:hAnsi="Arial"/>
                <w:sz w:val="18"/>
                <w:szCs w:val="18"/>
                <w:color w:val="auto"/>
              </w:rPr>
              <w:t>130.8</w:t>
            </w:r>
          </w:p>
        </w:tc>
        <w:tc>
          <w:tcPr>
            <w:tcW w:w="320" w:type="dxa"/>
            <w:vAlign w:val="bottom"/>
          </w:tcPr>
          <w:p>
            <w:pPr>
              <w:spacing w:after="0"/>
              <w:rPr>
                <w:sz w:val="19"/>
                <w:szCs w:val="19"/>
                <w:color w:val="auto"/>
              </w:rPr>
            </w:pPr>
          </w:p>
        </w:tc>
        <w:tc>
          <w:tcPr>
            <w:tcW w:w="1540" w:type="dxa"/>
            <w:vAlign w:val="bottom"/>
          </w:tcPr>
          <w:p>
            <w:pPr>
              <w:jc w:val="right"/>
              <w:ind w:right="190"/>
              <w:spacing w:after="0"/>
              <w:rPr>
                <w:sz w:val="20"/>
                <w:szCs w:val="20"/>
                <w:color w:val="auto"/>
              </w:rPr>
            </w:pPr>
            <w:r>
              <w:rPr>
                <w:rFonts w:ascii="Arial" w:cs="Arial" w:eastAsia="Arial" w:hAnsi="Arial"/>
                <w:sz w:val="18"/>
                <w:szCs w:val="18"/>
                <w:color w:val="auto"/>
              </w:rPr>
              <w:t>(2.5)</w:t>
            </w:r>
          </w:p>
        </w:tc>
        <w:tc>
          <w:tcPr>
            <w:tcW w:w="80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1260" w:type="dxa"/>
            <w:vAlign w:val="bottom"/>
          </w:tcPr>
          <w:p>
            <w:pPr>
              <w:jc w:val="right"/>
              <w:ind w:right="90"/>
              <w:spacing w:after="0"/>
              <w:rPr>
                <w:sz w:val="20"/>
                <w:szCs w:val="20"/>
                <w:color w:val="auto"/>
              </w:rPr>
            </w:pPr>
            <w:r>
              <w:rPr>
                <w:rFonts w:ascii="Arial" w:cs="Arial" w:eastAsia="Arial" w:hAnsi="Arial"/>
                <w:sz w:val="18"/>
                <w:szCs w:val="18"/>
                <w:color w:val="auto"/>
              </w:rPr>
              <w:t>128.3</w:t>
            </w:r>
          </w:p>
        </w:tc>
        <w:tc>
          <w:tcPr>
            <w:tcW w:w="0" w:type="dxa"/>
            <w:vAlign w:val="bottom"/>
          </w:tcPr>
          <w:p>
            <w:pPr>
              <w:spacing w:after="0"/>
              <w:rPr>
                <w:sz w:val="1"/>
                <w:szCs w:val="1"/>
                <w:color w:val="auto"/>
              </w:rPr>
            </w:pPr>
          </w:p>
        </w:tc>
      </w:tr>
      <w:tr>
        <w:trPr>
          <w:trHeight w:val="134"/>
        </w:trPr>
        <w:tc>
          <w:tcPr>
            <w:tcW w:w="20" w:type="dxa"/>
            <w:vAlign w:val="bottom"/>
            <w:vMerge w:val="restart"/>
          </w:tcPr>
          <w:p>
            <w:pPr>
              <w:spacing w:after="0"/>
              <w:rPr>
                <w:sz w:val="11"/>
                <w:szCs w:val="11"/>
                <w:color w:val="auto"/>
              </w:rPr>
            </w:pPr>
          </w:p>
        </w:tc>
        <w:tc>
          <w:tcPr>
            <w:tcW w:w="466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3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5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2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660" w:type="dxa"/>
            <w:vAlign w:val="bottom"/>
            <w:shd w:val="clear" w:color="auto" w:fill="CCEEFF"/>
          </w:tcPr>
          <w:p>
            <w:pPr>
              <w:spacing w:after="0"/>
              <w:rPr>
                <w:sz w:val="20"/>
                <w:szCs w:val="20"/>
                <w:color w:val="auto"/>
              </w:rPr>
            </w:pPr>
            <w:r>
              <w:rPr>
                <w:rFonts w:ascii="Arial" w:cs="Arial" w:eastAsia="Arial" w:hAnsi="Arial"/>
                <w:sz w:val="18"/>
                <w:szCs w:val="18"/>
                <w:color w:val="auto"/>
              </w:rPr>
              <w:t>Interest expense</w:t>
            </w:r>
          </w:p>
        </w:tc>
        <w:tc>
          <w:tcPr>
            <w:tcW w:w="1060" w:type="dxa"/>
            <w:vAlign w:val="bottom"/>
            <w:shd w:val="clear" w:color="auto" w:fill="CCEEFF"/>
          </w:tcPr>
          <w:p>
            <w:pPr>
              <w:spacing w:after="0"/>
              <w:rPr>
                <w:sz w:val="18"/>
                <w:szCs w:val="18"/>
                <w:color w:val="auto"/>
              </w:rPr>
            </w:pPr>
          </w:p>
        </w:tc>
        <w:tc>
          <w:tcPr>
            <w:tcW w:w="1380" w:type="dxa"/>
            <w:vAlign w:val="bottom"/>
            <w:shd w:val="clear" w:color="auto" w:fill="CCEEFF"/>
          </w:tcPr>
          <w:p>
            <w:pPr>
              <w:jc w:val="right"/>
              <w:ind w:right="230"/>
              <w:spacing w:after="0"/>
              <w:rPr>
                <w:sz w:val="20"/>
                <w:szCs w:val="20"/>
                <w:color w:val="auto"/>
              </w:rPr>
            </w:pPr>
            <w:r>
              <w:rPr>
                <w:rFonts w:ascii="Arial" w:cs="Arial" w:eastAsia="Arial" w:hAnsi="Arial"/>
                <w:sz w:val="18"/>
                <w:szCs w:val="18"/>
                <w:color w:val="auto"/>
              </w:rPr>
              <w:t>(0.2)</w:t>
            </w:r>
          </w:p>
        </w:tc>
        <w:tc>
          <w:tcPr>
            <w:tcW w:w="320" w:type="dxa"/>
            <w:vAlign w:val="bottom"/>
            <w:shd w:val="clear" w:color="auto" w:fill="CCEEFF"/>
          </w:tcPr>
          <w:p>
            <w:pPr>
              <w:spacing w:after="0"/>
              <w:rPr>
                <w:sz w:val="18"/>
                <w:szCs w:val="18"/>
                <w:color w:val="auto"/>
              </w:rPr>
            </w:pPr>
          </w:p>
        </w:tc>
        <w:tc>
          <w:tcPr>
            <w:tcW w:w="1540" w:type="dxa"/>
            <w:vAlign w:val="bottom"/>
            <w:shd w:val="clear" w:color="auto" w:fill="CCEEFF"/>
          </w:tcPr>
          <w:p>
            <w:pPr>
              <w:jc w:val="right"/>
              <w:ind w:right="190"/>
              <w:spacing w:after="0"/>
              <w:rPr>
                <w:sz w:val="20"/>
                <w:szCs w:val="20"/>
                <w:color w:val="auto"/>
              </w:rPr>
            </w:pPr>
            <w:r>
              <w:rPr>
                <w:rFonts w:ascii="Arial" w:cs="Arial" w:eastAsia="Arial" w:hAnsi="Arial"/>
                <w:sz w:val="18"/>
                <w:szCs w:val="18"/>
                <w:color w:val="auto"/>
              </w:rPr>
              <w:t>(2.5)</w:t>
            </w:r>
          </w:p>
        </w:tc>
        <w:tc>
          <w:tcPr>
            <w:tcW w:w="800" w:type="dxa"/>
            <w:vAlign w:val="bottom"/>
            <w:shd w:val="clear" w:color="auto" w:fill="CCEEFF"/>
          </w:tcPr>
          <w:p>
            <w:pPr>
              <w:jc w:val="right"/>
              <w:ind w:right="170"/>
              <w:spacing w:after="0"/>
              <w:rPr>
                <w:sz w:val="20"/>
                <w:szCs w:val="20"/>
                <w:color w:val="auto"/>
              </w:rPr>
            </w:pPr>
            <w:r>
              <w:rPr>
                <w:rFonts w:ascii="Arial" w:cs="Arial" w:eastAsia="Arial" w:hAnsi="Arial"/>
                <w:sz w:val="18"/>
                <w:szCs w:val="18"/>
                <w:color w:val="auto"/>
              </w:rPr>
              <w:t>(B)</w:t>
            </w:r>
          </w:p>
        </w:tc>
        <w:tc>
          <w:tcPr>
            <w:tcW w:w="380" w:type="dxa"/>
            <w:vAlign w:val="bottom"/>
            <w:shd w:val="clear" w:color="auto" w:fill="CCEEFF"/>
          </w:tcPr>
          <w:p>
            <w:pPr>
              <w:spacing w:after="0"/>
              <w:rPr>
                <w:sz w:val="18"/>
                <w:szCs w:val="18"/>
                <w:color w:val="auto"/>
              </w:rPr>
            </w:pPr>
          </w:p>
        </w:tc>
        <w:tc>
          <w:tcPr>
            <w:tcW w:w="126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(2.7)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6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Other expense, net</w:t>
            </w:r>
          </w:p>
        </w:tc>
        <w:tc>
          <w:tcPr>
            <w:tcW w:w="1060" w:type="dxa"/>
            <w:vAlign w:val="bottom"/>
            <w:tcBorders>
              <w:bottom w:val="single" w:sz="8" w:color="auto"/>
            </w:tcBorders>
          </w:tcPr>
          <w:p>
            <w:pPr>
              <w:spacing w:after="0"/>
              <w:rPr>
                <w:sz w:val="18"/>
                <w:szCs w:val="18"/>
                <w:color w:val="auto"/>
              </w:rPr>
            </w:pPr>
          </w:p>
        </w:tc>
        <w:tc>
          <w:tcPr>
            <w:tcW w:w="1380" w:type="dxa"/>
            <w:vAlign w:val="bottom"/>
            <w:tcBorders>
              <w:bottom w:val="single" w:sz="8" w:color="auto"/>
            </w:tcBorders>
          </w:tcPr>
          <w:p>
            <w:pPr>
              <w:jc w:val="right"/>
              <w:ind w:right="230"/>
              <w:spacing w:after="0"/>
              <w:rPr>
                <w:sz w:val="20"/>
                <w:szCs w:val="20"/>
                <w:color w:val="auto"/>
              </w:rPr>
            </w:pPr>
            <w:r>
              <w:rPr>
                <w:rFonts w:ascii="Arial" w:cs="Arial" w:eastAsia="Arial" w:hAnsi="Arial"/>
                <w:sz w:val="18"/>
                <w:szCs w:val="18"/>
                <w:color w:val="auto"/>
              </w:rPr>
              <w:t>(3.0)</w:t>
            </w:r>
          </w:p>
        </w:tc>
        <w:tc>
          <w:tcPr>
            <w:tcW w:w="320" w:type="dxa"/>
            <w:vAlign w:val="bottom"/>
            <w:tcBorders>
              <w:bottom w:val="single" w:sz="8" w:color="auto"/>
            </w:tcBorders>
          </w:tcPr>
          <w:p>
            <w:pPr>
              <w:spacing w:after="0"/>
              <w:rPr>
                <w:sz w:val="18"/>
                <w:szCs w:val="18"/>
                <w:color w:val="auto"/>
              </w:rPr>
            </w:pPr>
          </w:p>
        </w:tc>
        <w:tc>
          <w:tcPr>
            <w:tcW w:w="1540" w:type="dxa"/>
            <w:vAlign w:val="bottom"/>
            <w:tcBorders>
              <w:bottom w:val="single" w:sz="8" w:color="auto"/>
            </w:tcBorders>
          </w:tcPr>
          <w:p>
            <w:pPr>
              <w:jc w:val="right"/>
              <w:ind w:right="250"/>
              <w:spacing w:after="0"/>
              <w:rPr>
                <w:sz w:val="20"/>
                <w:szCs w:val="20"/>
                <w:color w:val="auto"/>
              </w:rPr>
            </w:pPr>
            <w:r>
              <w:rPr>
                <w:rFonts w:ascii="Arial" w:cs="Arial" w:eastAsia="Arial" w:hAnsi="Arial"/>
                <w:sz w:val="18"/>
                <w:szCs w:val="18"/>
                <w:color w:val="auto"/>
              </w:rPr>
              <w:t>—</w:t>
            </w:r>
          </w:p>
        </w:tc>
        <w:tc>
          <w:tcPr>
            <w:tcW w:w="800" w:type="dxa"/>
            <w:vAlign w:val="bottom"/>
            <w:tcBorders>
              <w:bottom w:val="single" w:sz="8" w:color="auto"/>
            </w:tcBorders>
          </w:tcPr>
          <w:p>
            <w:pPr>
              <w:spacing w:after="0"/>
              <w:rPr>
                <w:sz w:val="18"/>
                <w:szCs w:val="18"/>
                <w:color w:val="auto"/>
              </w:rPr>
            </w:pPr>
          </w:p>
        </w:tc>
        <w:tc>
          <w:tcPr>
            <w:tcW w:w="380" w:type="dxa"/>
            <w:vAlign w:val="bottom"/>
            <w:tcBorders>
              <w:bottom w:val="single" w:sz="8" w:color="auto"/>
            </w:tcBorders>
          </w:tcPr>
          <w:p>
            <w:pPr>
              <w:spacing w:after="0"/>
              <w:rPr>
                <w:sz w:val="18"/>
                <w:szCs w:val="18"/>
                <w:color w:val="auto"/>
              </w:rPr>
            </w:pPr>
          </w:p>
        </w:tc>
        <w:tc>
          <w:tcPr>
            <w:tcW w:w="126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(3.0)</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660" w:type="dxa"/>
            <w:vAlign w:val="bottom"/>
            <w:shd w:val="clear" w:color="auto" w:fill="CCEEFF"/>
          </w:tcPr>
          <w:p>
            <w:pPr>
              <w:ind w:left="340"/>
              <w:spacing w:after="0"/>
              <w:rPr>
                <w:sz w:val="20"/>
                <w:szCs w:val="20"/>
                <w:color w:val="auto"/>
              </w:rPr>
            </w:pPr>
            <w:r>
              <w:rPr>
                <w:rFonts w:ascii="Arial" w:cs="Arial" w:eastAsia="Arial" w:hAnsi="Arial"/>
                <w:sz w:val="18"/>
                <w:szCs w:val="18"/>
                <w:color w:val="auto"/>
              </w:rPr>
              <w:t>Income From Operations Before Income Taxes</w:t>
            </w:r>
          </w:p>
        </w:tc>
        <w:tc>
          <w:tcPr>
            <w:tcW w:w="1060" w:type="dxa"/>
            <w:vAlign w:val="bottom"/>
            <w:shd w:val="clear" w:color="auto" w:fill="CCEEFF"/>
          </w:tcPr>
          <w:p>
            <w:pPr>
              <w:spacing w:after="0"/>
              <w:rPr>
                <w:sz w:val="18"/>
                <w:szCs w:val="18"/>
                <w:color w:val="auto"/>
              </w:rPr>
            </w:pPr>
          </w:p>
        </w:tc>
        <w:tc>
          <w:tcPr>
            <w:tcW w:w="1380" w:type="dxa"/>
            <w:vAlign w:val="bottom"/>
            <w:shd w:val="clear" w:color="auto" w:fill="CCEEFF"/>
          </w:tcPr>
          <w:p>
            <w:pPr>
              <w:jc w:val="right"/>
              <w:ind w:right="290"/>
              <w:spacing w:after="0"/>
              <w:rPr>
                <w:sz w:val="20"/>
                <w:szCs w:val="20"/>
                <w:color w:val="auto"/>
              </w:rPr>
            </w:pPr>
            <w:r>
              <w:rPr>
                <w:rFonts w:ascii="Arial" w:cs="Arial" w:eastAsia="Arial" w:hAnsi="Arial"/>
                <w:sz w:val="18"/>
                <w:szCs w:val="18"/>
                <w:color w:val="auto"/>
              </w:rPr>
              <w:t>127.6</w:t>
            </w:r>
          </w:p>
        </w:tc>
        <w:tc>
          <w:tcPr>
            <w:tcW w:w="320" w:type="dxa"/>
            <w:vAlign w:val="bottom"/>
            <w:shd w:val="clear" w:color="auto" w:fill="CCEEFF"/>
          </w:tcPr>
          <w:p>
            <w:pPr>
              <w:spacing w:after="0"/>
              <w:rPr>
                <w:sz w:val="18"/>
                <w:szCs w:val="18"/>
                <w:color w:val="auto"/>
              </w:rPr>
            </w:pPr>
          </w:p>
        </w:tc>
        <w:tc>
          <w:tcPr>
            <w:tcW w:w="1540" w:type="dxa"/>
            <w:vAlign w:val="bottom"/>
            <w:shd w:val="clear" w:color="auto" w:fill="CCEEFF"/>
          </w:tcPr>
          <w:p>
            <w:pPr>
              <w:jc w:val="right"/>
              <w:ind w:right="190"/>
              <w:spacing w:after="0"/>
              <w:rPr>
                <w:sz w:val="20"/>
                <w:szCs w:val="20"/>
                <w:color w:val="auto"/>
              </w:rPr>
            </w:pPr>
            <w:r>
              <w:rPr>
                <w:rFonts w:ascii="Arial" w:cs="Arial" w:eastAsia="Arial" w:hAnsi="Arial"/>
                <w:sz w:val="18"/>
                <w:szCs w:val="18"/>
                <w:color w:val="auto"/>
              </w:rPr>
              <w:t>(5.0)</w:t>
            </w:r>
          </w:p>
        </w:tc>
        <w:tc>
          <w:tcPr>
            <w:tcW w:w="80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26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rPr>
              <w:t>122.6</w:t>
            </w:r>
          </w:p>
        </w:tc>
        <w:tc>
          <w:tcPr>
            <w:tcW w:w="0" w:type="dxa"/>
            <w:vAlign w:val="bottom"/>
          </w:tcPr>
          <w:p>
            <w:pPr>
              <w:spacing w:after="0"/>
              <w:rPr>
                <w:sz w:val="1"/>
                <w:szCs w:val="1"/>
                <w:color w:val="auto"/>
              </w:rPr>
            </w:pPr>
          </w:p>
        </w:tc>
      </w:tr>
      <w:tr>
        <w:trPr>
          <w:trHeight w:val="365"/>
        </w:trPr>
        <w:tc>
          <w:tcPr>
            <w:tcW w:w="4680" w:type="dxa"/>
            <w:vAlign w:val="bottom"/>
            <w:gridSpan w:val="2"/>
          </w:tcPr>
          <w:p>
            <w:pPr>
              <w:spacing w:after="0"/>
              <w:rPr>
                <w:sz w:val="20"/>
                <w:szCs w:val="20"/>
                <w:color w:val="auto"/>
              </w:rPr>
            </w:pPr>
            <w:r>
              <w:rPr>
                <w:rFonts w:ascii="Arial" w:cs="Arial" w:eastAsia="Arial" w:hAnsi="Arial"/>
                <w:sz w:val="18"/>
                <w:szCs w:val="18"/>
                <w:color w:val="auto"/>
              </w:rPr>
              <w:t>Provision for income taxes</w:t>
            </w:r>
          </w:p>
        </w:tc>
        <w:tc>
          <w:tcPr>
            <w:tcW w:w="1060" w:type="dxa"/>
            <w:vAlign w:val="bottom"/>
          </w:tcPr>
          <w:p>
            <w:pPr>
              <w:spacing w:after="0"/>
              <w:rPr>
                <w:sz w:val="24"/>
                <w:szCs w:val="24"/>
                <w:color w:val="auto"/>
              </w:rPr>
            </w:pPr>
          </w:p>
        </w:tc>
        <w:tc>
          <w:tcPr>
            <w:tcW w:w="1380" w:type="dxa"/>
            <w:vAlign w:val="bottom"/>
          </w:tcPr>
          <w:p>
            <w:pPr>
              <w:jc w:val="right"/>
              <w:ind w:right="290"/>
              <w:spacing w:after="0"/>
              <w:rPr>
                <w:sz w:val="20"/>
                <w:szCs w:val="20"/>
                <w:color w:val="auto"/>
              </w:rPr>
            </w:pPr>
            <w:r>
              <w:rPr>
                <w:rFonts w:ascii="Arial" w:cs="Arial" w:eastAsia="Arial" w:hAnsi="Arial"/>
                <w:sz w:val="18"/>
                <w:szCs w:val="18"/>
                <w:color w:val="auto"/>
              </w:rPr>
              <w:t>38.1</w:t>
            </w:r>
          </w:p>
        </w:tc>
        <w:tc>
          <w:tcPr>
            <w:tcW w:w="320" w:type="dxa"/>
            <w:vAlign w:val="bottom"/>
          </w:tcPr>
          <w:p>
            <w:pPr>
              <w:spacing w:after="0"/>
              <w:rPr>
                <w:sz w:val="24"/>
                <w:szCs w:val="24"/>
                <w:color w:val="auto"/>
              </w:rPr>
            </w:pPr>
          </w:p>
        </w:tc>
        <w:tc>
          <w:tcPr>
            <w:tcW w:w="1540" w:type="dxa"/>
            <w:vAlign w:val="bottom"/>
          </w:tcPr>
          <w:p>
            <w:pPr>
              <w:jc w:val="right"/>
              <w:ind w:right="190"/>
              <w:spacing w:after="0"/>
              <w:rPr>
                <w:sz w:val="20"/>
                <w:szCs w:val="20"/>
                <w:color w:val="auto"/>
              </w:rPr>
            </w:pPr>
            <w:r>
              <w:rPr>
                <w:rFonts w:ascii="Arial" w:cs="Arial" w:eastAsia="Arial" w:hAnsi="Arial"/>
                <w:sz w:val="18"/>
                <w:szCs w:val="18"/>
                <w:color w:val="auto"/>
              </w:rPr>
              <w:t>(1.7)</w:t>
            </w:r>
          </w:p>
        </w:tc>
        <w:tc>
          <w:tcPr>
            <w:tcW w:w="800" w:type="dxa"/>
            <w:vAlign w:val="bottom"/>
          </w:tcPr>
          <w:p>
            <w:pPr>
              <w:jc w:val="right"/>
              <w:ind w:right="170"/>
              <w:spacing w:after="0"/>
              <w:rPr>
                <w:sz w:val="20"/>
                <w:szCs w:val="20"/>
                <w:color w:val="auto"/>
              </w:rPr>
            </w:pPr>
            <w:r>
              <w:rPr>
                <w:rFonts w:ascii="Arial" w:cs="Arial" w:eastAsia="Arial" w:hAnsi="Arial"/>
                <w:sz w:val="18"/>
                <w:szCs w:val="18"/>
                <w:color w:val="auto"/>
              </w:rPr>
              <w:t>(C)</w:t>
            </w:r>
          </w:p>
        </w:tc>
        <w:tc>
          <w:tcPr>
            <w:tcW w:w="380" w:type="dxa"/>
            <w:vAlign w:val="bottom"/>
          </w:tcPr>
          <w:p>
            <w:pPr>
              <w:spacing w:after="0"/>
              <w:rPr>
                <w:sz w:val="24"/>
                <w:szCs w:val="24"/>
                <w:color w:val="auto"/>
              </w:rPr>
            </w:pPr>
          </w:p>
        </w:tc>
        <w:tc>
          <w:tcPr>
            <w:tcW w:w="1260" w:type="dxa"/>
            <w:vAlign w:val="bottom"/>
          </w:tcPr>
          <w:p>
            <w:pPr>
              <w:jc w:val="right"/>
              <w:ind w:right="90"/>
              <w:spacing w:after="0"/>
              <w:rPr>
                <w:sz w:val="20"/>
                <w:szCs w:val="20"/>
                <w:color w:val="auto"/>
              </w:rPr>
            </w:pPr>
            <w:r>
              <w:rPr>
                <w:rFonts w:ascii="Arial" w:cs="Arial" w:eastAsia="Arial" w:hAnsi="Arial"/>
                <w:sz w:val="18"/>
                <w:szCs w:val="18"/>
                <w:color w:val="auto"/>
              </w:rPr>
              <w:t>36.4</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660" w:type="dxa"/>
            <w:vAlign w:val="bottom"/>
            <w:tcBorders>
              <w:top w:val="single" w:sz="8" w:color="auto"/>
              <w:bottom w:val="single" w:sz="8" w:color="auto"/>
            </w:tcBorders>
            <w:shd w:val="clear" w:color="auto" w:fill="CCEEFF"/>
          </w:tcPr>
          <w:p>
            <w:pPr>
              <w:ind w:left="340"/>
              <w:spacing w:after="0"/>
              <w:rPr>
                <w:sz w:val="20"/>
                <w:szCs w:val="20"/>
                <w:color w:val="auto"/>
              </w:rPr>
            </w:pPr>
            <w:r>
              <w:rPr>
                <w:rFonts w:ascii="Arial" w:cs="Arial" w:eastAsia="Arial" w:hAnsi="Arial"/>
                <w:sz w:val="18"/>
                <w:szCs w:val="18"/>
                <w:color w:val="auto"/>
              </w:rPr>
              <w:t>Net Income</w:t>
            </w:r>
          </w:p>
        </w:tc>
        <w:tc>
          <w:tcPr>
            <w:tcW w:w="10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380" w:type="dxa"/>
            <w:vAlign w:val="bottom"/>
            <w:tcBorders>
              <w:top w:val="single" w:sz="8" w:color="auto"/>
              <w:bottom w:val="single" w:sz="8" w:color="auto"/>
            </w:tcBorders>
            <w:shd w:val="clear" w:color="auto" w:fill="CCEEFF"/>
          </w:tcPr>
          <w:p>
            <w:pPr>
              <w:jc w:val="right"/>
              <w:ind w:right="290"/>
              <w:spacing w:after="0"/>
              <w:rPr>
                <w:sz w:val="20"/>
                <w:szCs w:val="20"/>
                <w:color w:val="auto"/>
              </w:rPr>
            </w:pPr>
            <w:r>
              <w:rPr>
                <w:rFonts w:ascii="Arial" w:cs="Arial" w:eastAsia="Arial" w:hAnsi="Arial"/>
                <w:sz w:val="18"/>
                <w:szCs w:val="18"/>
                <w:color w:val="auto"/>
              </w:rPr>
              <w:t>89.5</w:t>
            </w:r>
          </w:p>
        </w:tc>
        <w:tc>
          <w:tcPr>
            <w:tcW w:w="3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540" w:type="dxa"/>
            <w:vAlign w:val="bottom"/>
            <w:tcBorders>
              <w:top w:val="single" w:sz="8" w:color="auto"/>
              <w:bottom w:val="single" w:sz="8" w:color="auto"/>
            </w:tcBorders>
            <w:shd w:val="clear" w:color="auto" w:fill="CCEEFF"/>
          </w:tcPr>
          <w:p>
            <w:pPr>
              <w:jc w:val="right"/>
              <w:ind w:right="190"/>
              <w:spacing w:after="0"/>
              <w:rPr>
                <w:sz w:val="20"/>
                <w:szCs w:val="20"/>
                <w:color w:val="auto"/>
              </w:rPr>
            </w:pPr>
            <w:r>
              <w:rPr>
                <w:rFonts w:ascii="Arial" w:cs="Arial" w:eastAsia="Arial" w:hAnsi="Arial"/>
                <w:sz w:val="18"/>
                <w:szCs w:val="18"/>
                <w:color w:val="auto"/>
              </w:rPr>
              <w:t>(3.3)</w:t>
            </w:r>
          </w:p>
        </w:tc>
        <w:tc>
          <w:tcPr>
            <w:tcW w:w="800" w:type="dxa"/>
            <w:vAlign w:val="bottom"/>
            <w:tcBorders>
              <w:top w:val="single" w:sz="8" w:color="auto"/>
              <w:bottom w:val="single" w:sz="8" w:color="auto"/>
            </w:tcBorders>
            <w:shd w:val="clear" w:color="auto" w:fill="CCEEFF"/>
          </w:tcPr>
          <w:p>
            <w:pPr>
              <w:spacing w:after="0"/>
              <w:rPr>
                <w:sz w:val="18"/>
                <w:szCs w:val="18"/>
                <w:color w:val="auto"/>
              </w:rPr>
            </w:pPr>
          </w:p>
        </w:tc>
        <w:tc>
          <w:tcPr>
            <w:tcW w:w="3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60" w:type="dxa"/>
            <w:vAlign w:val="bottom"/>
            <w:tcBorders>
              <w:top w:val="single" w:sz="8" w:color="auto"/>
              <w:bottom w:val="single" w:sz="8" w:color="auto"/>
            </w:tcBorders>
            <w:shd w:val="clear" w:color="auto" w:fill="CCEEFF"/>
          </w:tcPr>
          <w:p>
            <w:pPr>
              <w:jc w:val="right"/>
              <w:ind w:right="90"/>
              <w:spacing w:after="0"/>
              <w:rPr>
                <w:sz w:val="20"/>
                <w:szCs w:val="20"/>
                <w:color w:val="auto"/>
              </w:rPr>
            </w:pPr>
            <w:r>
              <w:rPr>
                <w:rFonts w:ascii="Arial" w:cs="Arial" w:eastAsia="Arial" w:hAnsi="Arial"/>
                <w:sz w:val="18"/>
                <w:szCs w:val="18"/>
                <w:color w:val="auto"/>
              </w:rPr>
              <w:t>86.2</w:t>
            </w:r>
          </w:p>
        </w:tc>
        <w:tc>
          <w:tcPr>
            <w:tcW w:w="0" w:type="dxa"/>
            <w:vAlign w:val="bottom"/>
          </w:tcPr>
          <w:p>
            <w:pPr>
              <w:spacing w:after="0"/>
              <w:rPr>
                <w:sz w:val="1"/>
                <w:szCs w:val="1"/>
                <w:color w:val="auto"/>
              </w:rPr>
            </w:pPr>
          </w:p>
        </w:tc>
      </w:tr>
      <w:tr>
        <w:trPr>
          <w:trHeight w:val="358"/>
        </w:trPr>
        <w:tc>
          <w:tcPr>
            <w:tcW w:w="4680" w:type="dxa"/>
            <w:vAlign w:val="bottom"/>
            <w:gridSpan w:val="2"/>
          </w:tcPr>
          <w:p>
            <w:pPr>
              <w:spacing w:after="0"/>
              <w:rPr>
                <w:sz w:val="20"/>
                <w:szCs w:val="20"/>
                <w:color w:val="auto"/>
              </w:rPr>
            </w:pPr>
            <w:r>
              <w:rPr>
                <w:rFonts w:ascii="Arial" w:cs="Arial" w:eastAsia="Arial" w:hAnsi="Arial"/>
                <w:sz w:val="18"/>
                <w:szCs w:val="18"/>
                <w:b w:val="1"/>
                <w:bCs w:val="1"/>
                <w:color w:val="auto"/>
              </w:rPr>
              <w:t>Unaudited Pro Forma Earnings Per Share</w:t>
            </w:r>
          </w:p>
        </w:tc>
        <w:tc>
          <w:tcPr>
            <w:tcW w:w="106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5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60" w:type="dxa"/>
            <w:vAlign w:val="bottom"/>
            <w:shd w:val="clear" w:color="auto" w:fill="CCEEFF"/>
          </w:tcPr>
          <w:p>
            <w:pPr>
              <w:ind w:left="340"/>
              <w:spacing w:after="0"/>
              <w:rPr>
                <w:sz w:val="20"/>
                <w:szCs w:val="20"/>
                <w:color w:val="auto"/>
              </w:rPr>
            </w:pPr>
            <w:r>
              <w:rPr>
                <w:rFonts w:ascii="Arial" w:cs="Arial" w:eastAsia="Arial" w:hAnsi="Arial"/>
                <w:sz w:val="18"/>
                <w:szCs w:val="18"/>
                <w:color w:val="auto"/>
              </w:rPr>
              <w:t>Basic</w:t>
            </w:r>
          </w:p>
        </w:tc>
        <w:tc>
          <w:tcPr>
            <w:tcW w:w="1060" w:type="dxa"/>
            <w:vAlign w:val="bottom"/>
            <w:shd w:val="clear" w:color="auto" w:fill="CCEEFF"/>
          </w:tcPr>
          <w:p>
            <w:pPr>
              <w:spacing w:after="0"/>
              <w:rPr>
                <w:sz w:val="18"/>
                <w:szCs w:val="18"/>
                <w:color w:val="auto"/>
              </w:rPr>
            </w:pPr>
          </w:p>
        </w:tc>
        <w:tc>
          <w:tcPr>
            <w:tcW w:w="13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540" w:type="dxa"/>
            <w:vAlign w:val="bottom"/>
            <w:shd w:val="clear" w:color="auto" w:fill="CCEEFF"/>
          </w:tcPr>
          <w:p>
            <w:pPr>
              <w:spacing w:after="0"/>
              <w:rPr>
                <w:sz w:val="18"/>
                <w:szCs w:val="18"/>
                <w:color w:val="auto"/>
              </w:rPr>
            </w:pPr>
          </w:p>
        </w:tc>
        <w:tc>
          <w:tcPr>
            <w:tcW w:w="800" w:type="dxa"/>
            <w:vAlign w:val="bottom"/>
            <w:shd w:val="clear" w:color="auto" w:fill="CCEEFF"/>
          </w:tcPr>
          <w:p>
            <w:pPr>
              <w:jc w:val="right"/>
              <w:ind w:right="170"/>
              <w:spacing w:after="0"/>
              <w:rPr>
                <w:sz w:val="20"/>
                <w:szCs w:val="20"/>
                <w:color w:val="auto"/>
              </w:rPr>
            </w:pPr>
            <w:r>
              <w:rPr>
                <w:rFonts w:ascii="Arial" w:cs="Arial" w:eastAsia="Arial" w:hAnsi="Arial"/>
                <w:sz w:val="18"/>
                <w:szCs w:val="18"/>
                <w:color w:val="auto"/>
              </w:rPr>
              <w:t>(D)</w:t>
            </w:r>
          </w:p>
        </w:tc>
        <w:tc>
          <w:tcPr>
            <w:tcW w:w="3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6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rPr>
              <w:t>1.81</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4660" w:type="dxa"/>
            <w:vAlign w:val="bottom"/>
          </w:tcPr>
          <w:p>
            <w:pPr>
              <w:ind w:left="340"/>
              <w:spacing w:after="0"/>
              <w:rPr>
                <w:sz w:val="20"/>
                <w:szCs w:val="20"/>
                <w:color w:val="auto"/>
              </w:rPr>
            </w:pPr>
            <w:r>
              <w:rPr>
                <w:rFonts w:ascii="Arial" w:cs="Arial" w:eastAsia="Arial" w:hAnsi="Arial"/>
                <w:sz w:val="18"/>
                <w:szCs w:val="18"/>
                <w:color w:val="auto"/>
              </w:rPr>
              <w:t>Diluted</w:t>
            </w:r>
          </w:p>
        </w:tc>
        <w:tc>
          <w:tcPr>
            <w:tcW w:w="1060" w:type="dxa"/>
            <w:vAlign w:val="bottom"/>
          </w:tcPr>
          <w:p>
            <w:pPr>
              <w:spacing w:after="0"/>
              <w:rPr>
                <w:sz w:val="20"/>
                <w:szCs w:val="20"/>
                <w:color w:val="auto"/>
              </w:rPr>
            </w:pPr>
          </w:p>
        </w:tc>
        <w:tc>
          <w:tcPr>
            <w:tcW w:w="138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540" w:type="dxa"/>
            <w:vAlign w:val="bottom"/>
          </w:tcPr>
          <w:p>
            <w:pPr>
              <w:spacing w:after="0"/>
              <w:rPr>
                <w:sz w:val="20"/>
                <w:szCs w:val="20"/>
                <w:color w:val="auto"/>
              </w:rPr>
            </w:pPr>
          </w:p>
        </w:tc>
        <w:tc>
          <w:tcPr>
            <w:tcW w:w="800" w:type="dxa"/>
            <w:vAlign w:val="bottom"/>
          </w:tcPr>
          <w:p>
            <w:pPr>
              <w:jc w:val="right"/>
              <w:ind w:right="170"/>
              <w:spacing w:after="0"/>
              <w:rPr>
                <w:sz w:val="20"/>
                <w:szCs w:val="20"/>
                <w:color w:val="auto"/>
              </w:rPr>
            </w:pPr>
            <w:r>
              <w:rPr>
                <w:rFonts w:ascii="Arial" w:cs="Arial" w:eastAsia="Arial" w:hAnsi="Arial"/>
                <w:sz w:val="18"/>
                <w:szCs w:val="18"/>
                <w:color w:val="auto"/>
              </w:rPr>
              <w:t>(E)</w:t>
            </w:r>
          </w:p>
        </w:tc>
        <w:tc>
          <w:tcPr>
            <w:tcW w:w="380" w:type="dxa"/>
            <w:vAlign w:val="bottom"/>
          </w:tcPr>
          <w:p>
            <w:pPr>
              <w:jc w:val="right"/>
              <w:spacing w:after="0"/>
              <w:rPr>
                <w:sz w:val="20"/>
                <w:szCs w:val="20"/>
                <w:color w:val="auto"/>
              </w:rPr>
            </w:pPr>
            <w:r>
              <w:rPr>
                <w:rFonts w:ascii="Arial" w:cs="Arial" w:eastAsia="Arial" w:hAnsi="Arial"/>
                <w:sz w:val="18"/>
                <w:szCs w:val="18"/>
                <w:color w:val="auto"/>
              </w:rPr>
              <w:t>$</w:t>
            </w:r>
          </w:p>
        </w:tc>
        <w:tc>
          <w:tcPr>
            <w:tcW w:w="1260" w:type="dxa"/>
            <w:vAlign w:val="bottom"/>
          </w:tcPr>
          <w:p>
            <w:pPr>
              <w:jc w:val="right"/>
              <w:ind w:right="90"/>
              <w:spacing w:after="0"/>
              <w:rPr>
                <w:sz w:val="20"/>
                <w:szCs w:val="20"/>
                <w:color w:val="auto"/>
              </w:rPr>
            </w:pPr>
            <w:r>
              <w:rPr>
                <w:rFonts w:ascii="Arial" w:cs="Arial" w:eastAsia="Arial" w:hAnsi="Arial"/>
                <w:sz w:val="18"/>
                <w:szCs w:val="18"/>
                <w:color w:val="auto"/>
              </w:rPr>
              <w:t>1.80</w:t>
            </w:r>
          </w:p>
        </w:tc>
        <w:tc>
          <w:tcPr>
            <w:tcW w:w="0" w:type="dxa"/>
            <w:vAlign w:val="bottom"/>
          </w:tcPr>
          <w:p>
            <w:pPr>
              <w:spacing w:after="0"/>
              <w:rPr>
                <w:sz w:val="1"/>
                <w:szCs w:val="1"/>
                <w:color w:val="auto"/>
              </w:rPr>
            </w:pPr>
          </w:p>
        </w:tc>
      </w:tr>
      <w:tr>
        <w:trPr>
          <w:trHeight w:val="134"/>
        </w:trPr>
        <w:tc>
          <w:tcPr>
            <w:tcW w:w="20" w:type="dxa"/>
            <w:vAlign w:val="bottom"/>
            <w:vMerge w:val="restart"/>
          </w:tcPr>
          <w:p>
            <w:pPr>
              <w:spacing w:after="0"/>
              <w:rPr>
                <w:sz w:val="11"/>
                <w:szCs w:val="11"/>
                <w:color w:val="auto"/>
              </w:rPr>
            </w:pPr>
          </w:p>
        </w:tc>
        <w:tc>
          <w:tcPr>
            <w:tcW w:w="7100" w:type="dxa"/>
            <w:vAlign w:val="bottom"/>
            <w:gridSpan w:val="3"/>
          </w:tcPr>
          <w:p>
            <w:pPr>
              <w:spacing w:after="0"/>
              <w:rPr>
                <w:sz w:val="11"/>
                <w:szCs w:val="11"/>
                <w:color w:val="auto"/>
              </w:rPr>
            </w:pPr>
          </w:p>
        </w:tc>
        <w:tc>
          <w:tcPr>
            <w:tcW w:w="320" w:type="dxa"/>
            <w:vAlign w:val="bottom"/>
          </w:tcPr>
          <w:p>
            <w:pPr>
              <w:spacing w:after="0"/>
              <w:rPr>
                <w:sz w:val="11"/>
                <w:szCs w:val="11"/>
                <w:color w:val="auto"/>
              </w:rPr>
            </w:pPr>
          </w:p>
        </w:tc>
        <w:tc>
          <w:tcPr>
            <w:tcW w:w="15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2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7100" w:type="dxa"/>
            <w:vAlign w:val="bottom"/>
            <w:gridSpan w:val="3"/>
            <w:shd w:val="clear" w:color="auto" w:fill="CCEEFF"/>
          </w:tcPr>
          <w:p>
            <w:pPr>
              <w:spacing w:after="0"/>
              <w:rPr>
                <w:sz w:val="20"/>
                <w:szCs w:val="20"/>
                <w:color w:val="auto"/>
              </w:rPr>
            </w:pPr>
            <w:r>
              <w:rPr>
                <w:rFonts w:ascii="Arial" w:cs="Arial" w:eastAsia="Arial" w:hAnsi="Arial"/>
                <w:sz w:val="18"/>
                <w:szCs w:val="18"/>
                <w:b w:val="1"/>
                <w:bCs w:val="1"/>
                <w:color w:val="auto"/>
                <w:w w:val="92"/>
              </w:rPr>
              <w:t>Average Number of Shares Used in Calculating Unaudited Pro Forma Earnings Per Share</w:t>
            </w:r>
          </w:p>
        </w:tc>
        <w:tc>
          <w:tcPr>
            <w:tcW w:w="320" w:type="dxa"/>
            <w:vAlign w:val="bottom"/>
            <w:shd w:val="clear" w:color="auto" w:fill="CCEEFF"/>
          </w:tcPr>
          <w:p>
            <w:pPr>
              <w:spacing w:after="0"/>
              <w:rPr>
                <w:sz w:val="18"/>
                <w:szCs w:val="18"/>
                <w:color w:val="auto"/>
              </w:rPr>
            </w:pPr>
          </w:p>
        </w:tc>
        <w:tc>
          <w:tcPr>
            <w:tcW w:w="154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2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60" w:type="dxa"/>
            <w:vAlign w:val="bottom"/>
          </w:tcPr>
          <w:p>
            <w:pPr>
              <w:ind w:left="340"/>
              <w:spacing w:after="0"/>
              <w:rPr>
                <w:sz w:val="20"/>
                <w:szCs w:val="20"/>
                <w:color w:val="auto"/>
              </w:rPr>
            </w:pPr>
            <w:r>
              <w:rPr>
                <w:rFonts w:ascii="Arial" w:cs="Arial" w:eastAsia="Arial" w:hAnsi="Arial"/>
                <w:sz w:val="18"/>
                <w:szCs w:val="18"/>
                <w:color w:val="auto"/>
              </w:rPr>
              <w:t>Basic</w:t>
            </w:r>
          </w:p>
        </w:tc>
        <w:tc>
          <w:tcPr>
            <w:tcW w:w="106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800" w:type="dxa"/>
            <w:vAlign w:val="bottom"/>
          </w:tcPr>
          <w:p>
            <w:pPr>
              <w:jc w:val="right"/>
              <w:ind w:right="170"/>
              <w:spacing w:after="0"/>
              <w:rPr>
                <w:sz w:val="20"/>
                <w:szCs w:val="20"/>
                <w:color w:val="auto"/>
              </w:rPr>
            </w:pPr>
            <w:r>
              <w:rPr>
                <w:rFonts w:ascii="Arial" w:cs="Arial" w:eastAsia="Arial" w:hAnsi="Arial"/>
                <w:sz w:val="18"/>
                <w:szCs w:val="18"/>
                <w:color w:val="auto"/>
              </w:rPr>
              <w:t>(D)</w:t>
            </w:r>
          </w:p>
        </w:tc>
        <w:tc>
          <w:tcPr>
            <w:tcW w:w="380" w:type="dxa"/>
            <w:vAlign w:val="bottom"/>
          </w:tcPr>
          <w:p>
            <w:pPr>
              <w:spacing w:after="0"/>
              <w:rPr>
                <w:sz w:val="18"/>
                <w:szCs w:val="18"/>
                <w:color w:val="auto"/>
              </w:rPr>
            </w:pPr>
          </w:p>
        </w:tc>
        <w:tc>
          <w:tcPr>
            <w:tcW w:w="1260" w:type="dxa"/>
            <w:vAlign w:val="bottom"/>
          </w:tcPr>
          <w:p>
            <w:pPr>
              <w:jc w:val="right"/>
              <w:ind w:right="90"/>
              <w:spacing w:after="0"/>
              <w:rPr>
                <w:sz w:val="20"/>
                <w:szCs w:val="20"/>
                <w:color w:val="auto"/>
              </w:rPr>
            </w:pPr>
            <w:r>
              <w:rPr>
                <w:rFonts w:ascii="Arial" w:cs="Arial" w:eastAsia="Arial" w:hAnsi="Arial"/>
                <w:sz w:val="18"/>
                <w:szCs w:val="18"/>
                <w:color w:val="auto"/>
              </w:rPr>
              <w:t>47.5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60" w:type="dxa"/>
            <w:vAlign w:val="bottom"/>
            <w:shd w:val="clear" w:color="auto" w:fill="CCEEFF"/>
          </w:tcPr>
          <w:p>
            <w:pPr>
              <w:ind w:left="340"/>
              <w:spacing w:after="0"/>
              <w:rPr>
                <w:sz w:val="20"/>
                <w:szCs w:val="20"/>
                <w:color w:val="auto"/>
              </w:rPr>
            </w:pPr>
            <w:r>
              <w:rPr>
                <w:rFonts w:ascii="Arial" w:cs="Arial" w:eastAsia="Arial" w:hAnsi="Arial"/>
                <w:sz w:val="18"/>
                <w:szCs w:val="18"/>
                <w:color w:val="auto"/>
              </w:rPr>
              <w:t>Diluted</w:t>
            </w:r>
          </w:p>
        </w:tc>
        <w:tc>
          <w:tcPr>
            <w:tcW w:w="1060" w:type="dxa"/>
            <w:vAlign w:val="bottom"/>
            <w:shd w:val="clear" w:color="auto" w:fill="CCEEFF"/>
          </w:tcPr>
          <w:p>
            <w:pPr>
              <w:spacing w:after="0"/>
              <w:rPr>
                <w:sz w:val="18"/>
                <w:szCs w:val="18"/>
                <w:color w:val="auto"/>
              </w:rPr>
            </w:pPr>
          </w:p>
        </w:tc>
        <w:tc>
          <w:tcPr>
            <w:tcW w:w="13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540" w:type="dxa"/>
            <w:vAlign w:val="bottom"/>
            <w:shd w:val="clear" w:color="auto" w:fill="CCEEFF"/>
          </w:tcPr>
          <w:p>
            <w:pPr>
              <w:spacing w:after="0"/>
              <w:rPr>
                <w:sz w:val="18"/>
                <w:szCs w:val="18"/>
                <w:color w:val="auto"/>
              </w:rPr>
            </w:pPr>
          </w:p>
        </w:tc>
        <w:tc>
          <w:tcPr>
            <w:tcW w:w="800" w:type="dxa"/>
            <w:vAlign w:val="bottom"/>
            <w:shd w:val="clear" w:color="auto" w:fill="CCEEFF"/>
          </w:tcPr>
          <w:p>
            <w:pPr>
              <w:jc w:val="right"/>
              <w:ind w:right="170"/>
              <w:spacing w:after="0"/>
              <w:rPr>
                <w:sz w:val="20"/>
                <w:szCs w:val="20"/>
                <w:color w:val="auto"/>
              </w:rPr>
            </w:pPr>
            <w:r>
              <w:rPr>
                <w:rFonts w:ascii="Arial" w:cs="Arial" w:eastAsia="Arial" w:hAnsi="Arial"/>
                <w:sz w:val="18"/>
                <w:szCs w:val="18"/>
                <w:color w:val="auto"/>
              </w:rPr>
              <w:t>(E)</w:t>
            </w:r>
          </w:p>
        </w:tc>
        <w:tc>
          <w:tcPr>
            <w:tcW w:w="380" w:type="dxa"/>
            <w:vAlign w:val="bottom"/>
            <w:shd w:val="clear" w:color="auto" w:fill="CCEEFF"/>
          </w:tcPr>
          <w:p>
            <w:pPr>
              <w:spacing w:after="0"/>
              <w:rPr>
                <w:sz w:val="18"/>
                <w:szCs w:val="18"/>
                <w:color w:val="auto"/>
              </w:rPr>
            </w:pPr>
          </w:p>
        </w:tc>
        <w:tc>
          <w:tcPr>
            <w:tcW w:w="126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rPr>
              <w:t>47.9</w:t>
            </w:r>
          </w:p>
        </w:tc>
        <w:tc>
          <w:tcPr>
            <w:tcW w:w="0" w:type="dxa"/>
            <w:vAlign w:val="bottom"/>
          </w:tcPr>
          <w:p>
            <w:pPr>
              <w:spacing w:after="0"/>
              <w:rPr>
                <w:sz w:val="1"/>
                <w:szCs w:val="1"/>
                <w:color w:val="auto"/>
              </w:rPr>
            </w:pPr>
          </w:p>
        </w:tc>
      </w:tr>
    </w:tbl>
    <w:p>
      <w:pPr>
        <w:spacing w:after="0" w:line="197" w:lineRule="exact"/>
        <w:rPr>
          <w:sz w:val="20"/>
          <w:szCs w:val="20"/>
          <w:color w:val="auto"/>
        </w:rPr>
      </w:pPr>
    </w:p>
    <w:p>
      <w:pPr>
        <w:spacing w:after="0"/>
        <w:rPr>
          <w:sz w:val="20"/>
          <w:szCs w:val="20"/>
          <w:color w:val="auto"/>
        </w:rPr>
      </w:pPr>
      <w:r>
        <w:rPr>
          <w:rFonts w:ascii="Arial" w:cs="Arial" w:eastAsia="Arial" w:hAnsi="Arial"/>
          <w:sz w:val="14"/>
          <w:szCs w:val="14"/>
          <w:color w:val="auto"/>
        </w:rPr>
        <w:t>See Notes to Unaudited Pro Forma Consolidated Financial Data.</w:t>
      </w:r>
    </w:p>
    <w:p>
      <w:pPr>
        <w:spacing w:after="0" w:line="14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28</w:t>
      </w:r>
    </w:p>
    <w:p>
      <w:pPr>
        <w:sectPr>
          <w:pgSz w:w="11900" w:h="16838" w:orient="portrait"/>
          <w:cols w:equalWidth="0" w:num="1">
            <w:col w:w="11420"/>
          </w:cols>
          <w:pgMar w:left="240" w:top="459" w:right="239" w:bottom="1440" w:gutter="0" w:footer="0" w:header="0"/>
        </w:sectPr>
      </w:pPr>
    </w:p>
    <w:bookmarkStart w:id="37" w:name="page38"/>
    <w:bookmarkEnd w:id="3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TimkenSteel Corporation</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Unaudited Pro Forma Consolidated Statement of Income</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Three Months Ended March 31, 2014</w:t>
      </w:r>
    </w:p>
    <w:p>
      <w:pPr>
        <w:spacing w:after="0" w:line="252"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458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4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80" w:type="dxa"/>
            <w:vAlign w:val="bottom"/>
          </w:tcPr>
          <w:p>
            <w:pPr>
              <w:jc w:val="right"/>
              <w:ind w:right="530"/>
              <w:spacing w:after="0"/>
              <w:rPr>
                <w:sz w:val="20"/>
                <w:szCs w:val="20"/>
                <w:color w:val="auto"/>
              </w:rPr>
            </w:pPr>
            <w:r>
              <w:rPr>
                <w:rFonts w:ascii="Arial" w:cs="Arial" w:eastAsia="Arial" w:hAnsi="Arial"/>
                <w:sz w:val="18"/>
                <w:szCs w:val="18"/>
                <w:b w:val="1"/>
                <w:bCs w:val="1"/>
                <w:color w:val="auto"/>
              </w:rPr>
              <w:t>Pro Forma</w:t>
            </w:r>
          </w:p>
        </w:tc>
        <w:tc>
          <w:tcPr>
            <w:tcW w:w="8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4600" w:type="dxa"/>
            <w:vAlign w:val="bottom"/>
            <w:gridSpan w:val="2"/>
          </w:tcPr>
          <w:p>
            <w:pPr>
              <w:spacing w:after="0"/>
              <w:rPr>
                <w:sz w:val="20"/>
                <w:szCs w:val="20"/>
                <w:color w:val="auto"/>
              </w:rPr>
            </w:pPr>
            <w:r>
              <w:rPr>
                <w:rFonts w:ascii="Arial" w:cs="Arial" w:eastAsia="Arial" w:hAnsi="Arial"/>
                <w:sz w:val="14"/>
                <w:szCs w:val="14"/>
                <w:color w:val="auto"/>
              </w:rPr>
              <w:t>(Dollars in millions, except per share data)</w:t>
            </w:r>
          </w:p>
        </w:tc>
        <w:tc>
          <w:tcPr>
            <w:tcW w:w="960" w:type="dxa"/>
            <w:vAlign w:val="bottom"/>
          </w:tcPr>
          <w:p>
            <w:pPr>
              <w:spacing w:after="0"/>
              <w:rPr>
                <w:sz w:val="20"/>
                <w:szCs w:val="20"/>
                <w:color w:val="auto"/>
              </w:rPr>
            </w:pPr>
          </w:p>
        </w:tc>
        <w:tc>
          <w:tcPr>
            <w:tcW w:w="1480" w:type="dxa"/>
            <w:vAlign w:val="bottom"/>
          </w:tcPr>
          <w:p>
            <w:pPr>
              <w:jc w:val="right"/>
              <w:ind w:right="590"/>
              <w:spacing w:after="0"/>
              <w:rPr>
                <w:sz w:val="20"/>
                <w:szCs w:val="20"/>
                <w:color w:val="auto"/>
              </w:rPr>
            </w:pPr>
            <w:r>
              <w:rPr>
                <w:rFonts w:ascii="Arial" w:cs="Arial" w:eastAsia="Arial" w:hAnsi="Arial"/>
                <w:sz w:val="18"/>
                <w:szCs w:val="18"/>
                <w:b w:val="1"/>
                <w:bCs w:val="1"/>
                <w:color w:val="auto"/>
                <w:w w:val="95"/>
              </w:rPr>
              <w:t>Historical</w:t>
            </w:r>
          </w:p>
        </w:tc>
        <w:tc>
          <w:tcPr>
            <w:tcW w:w="260" w:type="dxa"/>
            <w:vAlign w:val="bottom"/>
          </w:tcPr>
          <w:p>
            <w:pPr>
              <w:spacing w:after="0"/>
              <w:rPr>
                <w:sz w:val="20"/>
                <w:szCs w:val="20"/>
                <w:color w:val="auto"/>
              </w:rPr>
            </w:pPr>
          </w:p>
        </w:tc>
        <w:tc>
          <w:tcPr>
            <w:tcW w:w="1580" w:type="dxa"/>
            <w:vAlign w:val="bottom"/>
          </w:tcPr>
          <w:p>
            <w:pPr>
              <w:jc w:val="right"/>
              <w:ind w:right="470"/>
              <w:spacing w:after="0"/>
              <w:rPr>
                <w:sz w:val="20"/>
                <w:szCs w:val="20"/>
                <w:color w:val="auto"/>
              </w:rPr>
            </w:pPr>
            <w:r>
              <w:rPr>
                <w:rFonts w:ascii="Arial" w:cs="Arial" w:eastAsia="Arial" w:hAnsi="Arial"/>
                <w:sz w:val="18"/>
                <w:szCs w:val="18"/>
                <w:b w:val="1"/>
                <w:bCs w:val="1"/>
                <w:color w:val="auto"/>
                <w:w w:val="91"/>
              </w:rPr>
              <w:t>Adjustments</w:t>
            </w:r>
          </w:p>
        </w:tc>
        <w:tc>
          <w:tcPr>
            <w:tcW w:w="86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1260" w:type="dxa"/>
            <w:vAlign w:val="bottom"/>
          </w:tcPr>
          <w:p>
            <w:pPr>
              <w:jc w:val="right"/>
              <w:ind w:right="270"/>
              <w:spacing w:after="0"/>
              <w:rPr>
                <w:sz w:val="20"/>
                <w:szCs w:val="20"/>
                <w:color w:val="auto"/>
              </w:rPr>
            </w:pPr>
            <w:r>
              <w:rPr>
                <w:rFonts w:ascii="Arial" w:cs="Arial" w:eastAsia="Arial" w:hAnsi="Arial"/>
                <w:sz w:val="18"/>
                <w:szCs w:val="18"/>
                <w:b w:val="1"/>
                <w:bCs w:val="1"/>
                <w:color w:val="auto"/>
                <w:w w:val="97"/>
              </w:rPr>
              <w:t>Pro Forma</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58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Net sales</w:t>
            </w:r>
          </w:p>
        </w:tc>
        <w:tc>
          <w:tcPr>
            <w:tcW w:w="9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480" w:type="dxa"/>
            <w:vAlign w:val="bottom"/>
            <w:tcBorders>
              <w:top w:val="single" w:sz="8" w:color="auto"/>
            </w:tcBorders>
            <w:shd w:val="clear" w:color="auto" w:fill="CCEEFF"/>
          </w:tcPr>
          <w:p>
            <w:pPr>
              <w:jc w:val="right"/>
              <w:ind w:right="410"/>
              <w:spacing w:after="0"/>
              <w:rPr>
                <w:sz w:val="20"/>
                <w:szCs w:val="20"/>
                <w:color w:val="auto"/>
              </w:rPr>
            </w:pPr>
            <w:r>
              <w:rPr>
                <w:rFonts w:ascii="Arial" w:cs="Arial" w:eastAsia="Arial" w:hAnsi="Arial"/>
                <w:sz w:val="18"/>
                <w:szCs w:val="18"/>
                <w:color w:val="auto"/>
              </w:rPr>
              <w:t>389.5</w:t>
            </w:r>
          </w:p>
        </w:tc>
        <w:tc>
          <w:tcPr>
            <w:tcW w:w="2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580" w:type="dxa"/>
            <w:vAlign w:val="bottom"/>
            <w:tcBorders>
              <w:top w:val="single" w:sz="8" w:color="auto"/>
            </w:tcBorders>
            <w:shd w:val="clear" w:color="auto" w:fill="CCEEFF"/>
          </w:tcPr>
          <w:p>
            <w:pPr>
              <w:jc w:val="right"/>
              <w:ind w:right="290"/>
              <w:spacing w:after="0"/>
              <w:rPr>
                <w:sz w:val="20"/>
                <w:szCs w:val="20"/>
                <w:color w:val="auto"/>
              </w:rPr>
            </w:pPr>
            <w:r>
              <w:rPr>
                <w:rFonts w:ascii="Arial" w:cs="Arial" w:eastAsia="Arial" w:hAnsi="Arial"/>
                <w:sz w:val="18"/>
                <w:szCs w:val="18"/>
                <w:color w:val="auto"/>
              </w:rPr>
              <w:t>—</w:t>
            </w:r>
          </w:p>
        </w:tc>
        <w:tc>
          <w:tcPr>
            <w:tcW w:w="860" w:type="dxa"/>
            <w:vAlign w:val="bottom"/>
            <w:tcBorders>
              <w:top w:val="single" w:sz="8" w:color="auto"/>
            </w:tcBorders>
            <w:shd w:val="clear" w:color="auto" w:fill="CCEEFF"/>
          </w:tcPr>
          <w:p>
            <w:pPr>
              <w:spacing w:after="0"/>
              <w:rPr>
                <w:sz w:val="18"/>
                <w:szCs w:val="18"/>
                <w:color w:val="auto"/>
              </w:rPr>
            </w:pPr>
          </w:p>
        </w:tc>
        <w:tc>
          <w:tcPr>
            <w:tcW w:w="4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60" w:type="dxa"/>
            <w:vAlign w:val="bottom"/>
            <w:tcBorders>
              <w:top w:val="single" w:sz="8" w:color="auto"/>
            </w:tcBorders>
            <w:shd w:val="clear" w:color="auto" w:fill="CCEEFF"/>
          </w:tcPr>
          <w:p>
            <w:pPr>
              <w:jc w:val="right"/>
              <w:ind w:right="90"/>
              <w:spacing w:after="0"/>
              <w:rPr>
                <w:sz w:val="20"/>
                <w:szCs w:val="20"/>
                <w:color w:val="auto"/>
              </w:rPr>
            </w:pPr>
            <w:r>
              <w:rPr>
                <w:rFonts w:ascii="Arial" w:cs="Arial" w:eastAsia="Arial" w:hAnsi="Arial"/>
                <w:sz w:val="18"/>
                <w:szCs w:val="18"/>
                <w:color w:val="auto"/>
              </w:rPr>
              <w:t>389.5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8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Cost of products sold</w:t>
            </w:r>
          </w:p>
        </w:tc>
        <w:tc>
          <w:tcPr>
            <w:tcW w:w="960" w:type="dxa"/>
            <w:vAlign w:val="bottom"/>
            <w:tcBorders>
              <w:bottom w:val="single" w:sz="8" w:color="auto"/>
            </w:tcBorders>
          </w:tcPr>
          <w:p>
            <w:pPr>
              <w:spacing w:after="0"/>
              <w:rPr>
                <w:sz w:val="18"/>
                <w:szCs w:val="18"/>
                <w:color w:val="auto"/>
              </w:rPr>
            </w:pPr>
          </w:p>
        </w:tc>
        <w:tc>
          <w:tcPr>
            <w:tcW w:w="1480" w:type="dxa"/>
            <w:vAlign w:val="bottom"/>
            <w:tcBorders>
              <w:bottom w:val="single" w:sz="8" w:color="auto"/>
            </w:tcBorders>
          </w:tcPr>
          <w:p>
            <w:pPr>
              <w:jc w:val="right"/>
              <w:ind w:right="410"/>
              <w:spacing w:after="0"/>
              <w:rPr>
                <w:sz w:val="20"/>
                <w:szCs w:val="20"/>
                <w:color w:val="auto"/>
              </w:rPr>
            </w:pPr>
            <w:r>
              <w:rPr>
                <w:rFonts w:ascii="Arial" w:cs="Arial" w:eastAsia="Arial" w:hAnsi="Arial"/>
                <w:sz w:val="18"/>
                <w:szCs w:val="18"/>
                <w:color w:val="auto"/>
              </w:rPr>
              <w:t>316.0</w:t>
            </w:r>
          </w:p>
        </w:tc>
        <w:tc>
          <w:tcPr>
            <w:tcW w:w="260" w:type="dxa"/>
            <w:vAlign w:val="bottom"/>
            <w:tcBorders>
              <w:bottom w:val="single" w:sz="8" w:color="auto"/>
            </w:tcBorders>
          </w:tcPr>
          <w:p>
            <w:pPr>
              <w:spacing w:after="0"/>
              <w:rPr>
                <w:sz w:val="18"/>
                <w:szCs w:val="18"/>
                <w:color w:val="auto"/>
              </w:rPr>
            </w:pPr>
          </w:p>
        </w:tc>
        <w:tc>
          <w:tcPr>
            <w:tcW w:w="1580" w:type="dxa"/>
            <w:vAlign w:val="bottom"/>
            <w:tcBorders>
              <w:bottom w:val="single" w:sz="8" w:color="auto"/>
            </w:tcBorders>
          </w:tcPr>
          <w:p>
            <w:pPr>
              <w:jc w:val="right"/>
              <w:ind w:right="290"/>
              <w:spacing w:after="0"/>
              <w:rPr>
                <w:sz w:val="20"/>
                <w:szCs w:val="20"/>
                <w:color w:val="auto"/>
              </w:rPr>
            </w:pPr>
            <w:r>
              <w:rPr>
                <w:rFonts w:ascii="Arial" w:cs="Arial" w:eastAsia="Arial" w:hAnsi="Arial"/>
                <w:sz w:val="18"/>
                <w:szCs w:val="18"/>
                <w:color w:val="auto"/>
              </w:rPr>
              <w:t>—</w:t>
            </w:r>
          </w:p>
        </w:tc>
        <w:tc>
          <w:tcPr>
            <w:tcW w:w="860" w:type="dxa"/>
            <w:vAlign w:val="bottom"/>
            <w:tcBorders>
              <w:bottom w:val="single" w:sz="8" w:color="auto"/>
            </w:tcBorders>
          </w:tcPr>
          <w:p>
            <w:pPr>
              <w:spacing w:after="0"/>
              <w:rPr>
                <w:sz w:val="18"/>
                <w:szCs w:val="18"/>
                <w:color w:val="auto"/>
              </w:rPr>
            </w:pPr>
          </w:p>
        </w:tc>
        <w:tc>
          <w:tcPr>
            <w:tcW w:w="420" w:type="dxa"/>
            <w:vAlign w:val="bottom"/>
            <w:tcBorders>
              <w:bottom w:val="single" w:sz="8" w:color="auto"/>
            </w:tcBorders>
          </w:tcPr>
          <w:p>
            <w:pPr>
              <w:spacing w:after="0"/>
              <w:rPr>
                <w:sz w:val="18"/>
                <w:szCs w:val="18"/>
                <w:color w:val="auto"/>
              </w:rPr>
            </w:pPr>
          </w:p>
        </w:tc>
        <w:tc>
          <w:tcPr>
            <w:tcW w:w="1260" w:type="dxa"/>
            <w:vAlign w:val="bottom"/>
            <w:tcBorders>
              <w:bottom w:val="single" w:sz="8" w:color="auto"/>
            </w:tcBorders>
          </w:tcPr>
          <w:p>
            <w:pPr>
              <w:jc w:val="right"/>
              <w:ind w:right="90"/>
              <w:spacing w:after="0"/>
              <w:rPr>
                <w:sz w:val="20"/>
                <w:szCs w:val="20"/>
                <w:color w:val="auto"/>
              </w:rPr>
            </w:pPr>
            <w:r>
              <w:rPr>
                <w:rFonts w:ascii="Arial" w:cs="Arial" w:eastAsia="Arial" w:hAnsi="Arial"/>
                <w:sz w:val="18"/>
                <w:szCs w:val="18"/>
                <w:color w:val="auto"/>
              </w:rPr>
              <w:t>316.0</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580" w:type="dxa"/>
            <w:vAlign w:val="bottom"/>
            <w:shd w:val="clear" w:color="auto" w:fill="CCEEFF"/>
          </w:tcPr>
          <w:p>
            <w:pPr>
              <w:ind w:left="340"/>
              <w:spacing w:after="0"/>
              <w:rPr>
                <w:sz w:val="20"/>
                <w:szCs w:val="20"/>
                <w:color w:val="auto"/>
              </w:rPr>
            </w:pPr>
            <w:r>
              <w:rPr>
                <w:rFonts w:ascii="Arial" w:cs="Arial" w:eastAsia="Arial" w:hAnsi="Arial"/>
                <w:sz w:val="18"/>
                <w:szCs w:val="18"/>
                <w:color w:val="auto"/>
              </w:rPr>
              <w:t>Gross Profit</w:t>
            </w:r>
          </w:p>
        </w:tc>
        <w:tc>
          <w:tcPr>
            <w:tcW w:w="960" w:type="dxa"/>
            <w:vAlign w:val="bottom"/>
            <w:shd w:val="clear" w:color="auto" w:fill="CCEEFF"/>
          </w:tcPr>
          <w:p>
            <w:pPr>
              <w:spacing w:after="0"/>
              <w:rPr>
                <w:sz w:val="18"/>
                <w:szCs w:val="18"/>
                <w:color w:val="auto"/>
              </w:rPr>
            </w:pPr>
          </w:p>
        </w:tc>
        <w:tc>
          <w:tcPr>
            <w:tcW w:w="1480" w:type="dxa"/>
            <w:vAlign w:val="bottom"/>
            <w:shd w:val="clear" w:color="auto" w:fill="CCEEFF"/>
          </w:tcPr>
          <w:p>
            <w:pPr>
              <w:jc w:val="right"/>
              <w:ind w:right="410"/>
              <w:spacing w:after="0"/>
              <w:rPr>
                <w:sz w:val="20"/>
                <w:szCs w:val="20"/>
                <w:color w:val="auto"/>
              </w:rPr>
            </w:pPr>
            <w:r>
              <w:rPr>
                <w:rFonts w:ascii="Arial" w:cs="Arial" w:eastAsia="Arial" w:hAnsi="Arial"/>
                <w:sz w:val="18"/>
                <w:szCs w:val="18"/>
                <w:color w:val="auto"/>
              </w:rPr>
              <w:t>73.5</w:t>
            </w:r>
          </w:p>
        </w:tc>
        <w:tc>
          <w:tcPr>
            <w:tcW w:w="260" w:type="dxa"/>
            <w:vAlign w:val="bottom"/>
            <w:shd w:val="clear" w:color="auto" w:fill="CCEEFF"/>
          </w:tcPr>
          <w:p>
            <w:pPr>
              <w:spacing w:after="0"/>
              <w:rPr>
                <w:sz w:val="18"/>
                <w:szCs w:val="18"/>
                <w:color w:val="auto"/>
              </w:rPr>
            </w:pPr>
          </w:p>
        </w:tc>
        <w:tc>
          <w:tcPr>
            <w:tcW w:w="1580" w:type="dxa"/>
            <w:vAlign w:val="bottom"/>
            <w:shd w:val="clear" w:color="auto" w:fill="CCEEFF"/>
          </w:tcPr>
          <w:p>
            <w:pPr>
              <w:jc w:val="right"/>
              <w:ind w:right="290"/>
              <w:spacing w:after="0"/>
              <w:rPr>
                <w:sz w:val="20"/>
                <w:szCs w:val="20"/>
                <w:color w:val="auto"/>
              </w:rPr>
            </w:pPr>
            <w:r>
              <w:rPr>
                <w:rFonts w:ascii="Arial" w:cs="Arial" w:eastAsia="Arial" w:hAnsi="Arial"/>
                <w:sz w:val="18"/>
                <w:szCs w:val="18"/>
                <w:color w:val="auto"/>
              </w:rPr>
              <w:t>—</w:t>
            </w:r>
          </w:p>
        </w:tc>
        <w:tc>
          <w:tcPr>
            <w:tcW w:w="86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26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rPr>
              <w:t>73.5</w:t>
            </w:r>
          </w:p>
        </w:tc>
        <w:tc>
          <w:tcPr>
            <w:tcW w:w="0" w:type="dxa"/>
            <w:vAlign w:val="bottom"/>
          </w:tcPr>
          <w:p>
            <w:pPr>
              <w:spacing w:after="0"/>
              <w:rPr>
                <w:sz w:val="1"/>
                <w:szCs w:val="1"/>
                <w:color w:val="auto"/>
              </w:rPr>
            </w:pPr>
          </w:p>
        </w:tc>
      </w:tr>
      <w:tr>
        <w:trPr>
          <w:trHeight w:val="365"/>
        </w:trPr>
        <w:tc>
          <w:tcPr>
            <w:tcW w:w="4600" w:type="dxa"/>
            <w:vAlign w:val="bottom"/>
            <w:gridSpan w:val="2"/>
          </w:tcPr>
          <w:p>
            <w:pPr>
              <w:spacing w:after="0"/>
              <w:rPr>
                <w:sz w:val="20"/>
                <w:szCs w:val="20"/>
                <w:color w:val="auto"/>
              </w:rPr>
            </w:pPr>
            <w:r>
              <w:rPr>
                <w:rFonts w:ascii="Arial" w:cs="Arial" w:eastAsia="Arial" w:hAnsi="Arial"/>
                <w:sz w:val="18"/>
                <w:szCs w:val="18"/>
                <w:color w:val="auto"/>
              </w:rPr>
              <w:t>Selling, general and administrative expenses</w:t>
            </w:r>
          </w:p>
        </w:tc>
        <w:tc>
          <w:tcPr>
            <w:tcW w:w="960" w:type="dxa"/>
            <w:vAlign w:val="bottom"/>
          </w:tcPr>
          <w:p>
            <w:pPr>
              <w:spacing w:after="0"/>
              <w:rPr>
                <w:sz w:val="24"/>
                <w:szCs w:val="24"/>
                <w:color w:val="auto"/>
              </w:rPr>
            </w:pPr>
          </w:p>
        </w:tc>
        <w:tc>
          <w:tcPr>
            <w:tcW w:w="1480" w:type="dxa"/>
            <w:vAlign w:val="bottom"/>
          </w:tcPr>
          <w:p>
            <w:pPr>
              <w:jc w:val="right"/>
              <w:ind w:right="410"/>
              <w:spacing w:after="0"/>
              <w:rPr>
                <w:sz w:val="20"/>
                <w:szCs w:val="20"/>
                <w:color w:val="auto"/>
              </w:rPr>
            </w:pPr>
            <w:r>
              <w:rPr>
                <w:rFonts w:ascii="Arial" w:cs="Arial" w:eastAsia="Arial" w:hAnsi="Arial"/>
                <w:sz w:val="18"/>
                <w:szCs w:val="18"/>
                <w:color w:val="auto"/>
              </w:rPr>
              <w:t>24.3</w:t>
            </w:r>
          </w:p>
        </w:tc>
        <w:tc>
          <w:tcPr>
            <w:tcW w:w="260" w:type="dxa"/>
            <w:vAlign w:val="bottom"/>
          </w:tcPr>
          <w:p>
            <w:pPr>
              <w:spacing w:after="0"/>
              <w:rPr>
                <w:sz w:val="24"/>
                <w:szCs w:val="24"/>
                <w:color w:val="auto"/>
              </w:rPr>
            </w:pPr>
          </w:p>
        </w:tc>
        <w:tc>
          <w:tcPr>
            <w:tcW w:w="1580" w:type="dxa"/>
            <w:vAlign w:val="bottom"/>
          </w:tcPr>
          <w:p>
            <w:pPr>
              <w:jc w:val="right"/>
              <w:ind w:right="290"/>
              <w:spacing w:after="0"/>
              <w:rPr>
                <w:sz w:val="20"/>
                <w:szCs w:val="20"/>
                <w:color w:val="auto"/>
              </w:rPr>
            </w:pPr>
            <w:r>
              <w:rPr>
                <w:rFonts w:ascii="Arial" w:cs="Arial" w:eastAsia="Arial" w:hAnsi="Arial"/>
                <w:sz w:val="18"/>
                <w:szCs w:val="18"/>
                <w:color w:val="auto"/>
              </w:rPr>
              <w:t>0.6</w:t>
            </w:r>
          </w:p>
        </w:tc>
        <w:tc>
          <w:tcPr>
            <w:tcW w:w="860" w:type="dxa"/>
            <w:vAlign w:val="bottom"/>
          </w:tcPr>
          <w:p>
            <w:pPr>
              <w:jc w:val="right"/>
              <w:ind w:right="190"/>
              <w:spacing w:after="0"/>
              <w:rPr>
                <w:sz w:val="20"/>
                <w:szCs w:val="20"/>
                <w:color w:val="auto"/>
              </w:rPr>
            </w:pPr>
            <w:r>
              <w:rPr>
                <w:rFonts w:ascii="Arial" w:cs="Arial" w:eastAsia="Arial" w:hAnsi="Arial"/>
                <w:sz w:val="18"/>
                <w:szCs w:val="18"/>
                <w:color w:val="auto"/>
              </w:rPr>
              <w:t>(A)</w:t>
            </w:r>
          </w:p>
        </w:tc>
        <w:tc>
          <w:tcPr>
            <w:tcW w:w="420" w:type="dxa"/>
            <w:vAlign w:val="bottom"/>
          </w:tcPr>
          <w:p>
            <w:pPr>
              <w:spacing w:after="0"/>
              <w:rPr>
                <w:sz w:val="24"/>
                <w:szCs w:val="24"/>
                <w:color w:val="auto"/>
              </w:rPr>
            </w:pPr>
          </w:p>
        </w:tc>
        <w:tc>
          <w:tcPr>
            <w:tcW w:w="1260" w:type="dxa"/>
            <w:vAlign w:val="bottom"/>
          </w:tcPr>
          <w:p>
            <w:pPr>
              <w:jc w:val="right"/>
              <w:ind w:right="90"/>
              <w:spacing w:after="0"/>
              <w:rPr>
                <w:sz w:val="20"/>
                <w:szCs w:val="20"/>
                <w:color w:val="auto"/>
              </w:rPr>
            </w:pPr>
            <w:r>
              <w:rPr>
                <w:rFonts w:ascii="Arial" w:cs="Arial" w:eastAsia="Arial" w:hAnsi="Arial"/>
                <w:sz w:val="18"/>
                <w:szCs w:val="18"/>
                <w:color w:val="auto"/>
              </w:rPr>
              <w:t>24.9</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580" w:type="dxa"/>
            <w:vAlign w:val="bottom"/>
            <w:tcBorders>
              <w:top w:val="single" w:sz="8" w:color="auto"/>
            </w:tcBorders>
            <w:shd w:val="clear" w:color="auto" w:fill="CCEEFF"/>
          </w:tcPr>
          <w:p>
            <w:pPr>
              <w:ind w:left="340"/>
              <w:spacing w:after="0"/>
              <w:rPr>
                <w:sz w:val="20"/>
                <w:szCs w:val="20"/>
                <w:color w:val="auto"/>
              </w:rPr>
            </w:pPr>
            <w:r>
              <w:rPr>
                <w:rFonts w:ascii="Arial" w:cs="Arial" w:eastAsia="Arial" w:hAnsi="Arial"/>
                <w:sz w:val="18"/>
                <w:szCs w:val="18"/>
                <w:color w:val="auto"/>
              </w:rPr>
              <w:t>Operating Income</w:t>
            </w:r>
          </w:p>
        </w:tc>
        <w:tc>
          <w:tcPr>
            <w:tcW w:w="960" w:type="dxa"/>
            <w:vAlign w:val="bottom"/>
            <w:tcBorders>
              <w:top w:val="single" w:sz="8" w:color="auto"/>
            </w:tcBorders>
            <w:shd w:val="clear" w:color="auto" w:fill="CCEEFF"/>
          </w:tcPr>
          <w:p>
            <w:pPr>
              <w:spacing w:after="0"/>
              <w:rPr>
                <w:sz w:val="18"/>
                <w:szCs w:val="18"/>
                <w:color w:val="auto"/>
              </w:rPr>
            </w:pPr>
          </w:p>
        </w:tc>
        <w:tc>
          <w:tcPr>
            <w:tcW w:w="1480" w:type="dxa"/>
            <w:vAlign w:val="bottom"/>
            <w:tcBorders>
              <w:top w:val="single" w:sz="8" w:color="auto"/>
            </w:tcBorders>
            <w:shd w:val="clear" w:color="auto" w:fill="CCEEFF"/>
          </w:tcPr>
          <w:p>
            <w:pPr>
              <w:jc w:val="right"/>
              <w:ind w:right="410"/>
              <w:spacing w:after="0"/>
              <w:rPr>
                <w:sz w:val="20"/>
                <w:szCs w:val="20"/>
                <w:color w:val="auto"/>
              </w:rPr>
            </w:pPr>
            <w:r>
              <w:rPr>
                <w:rFonts w:ascii="Arial" w:cs="Arial" w:eastAsia="Arial" w:hAnsi="Arial"/>
                <w:sz w:val="18"/>
                <w:szCs w:val="18"/>
                <w:color w:val="auto"/>
              </w:rPr>
              <w:t>49.2</w:t>
            </w:r>
          </w:p>
        </w:tc>
        <w:tc>
          <w:tcPr>
            <w:tcW w:w="260" w:type="dxa"/>
            <w:vAlign w:val="bottom"/>
            <w:tcBorders>
              <w:top w:val="single" w:sz="8" w:color="auto"/>
            </w:tcBorders>
            <w:shd w:val="clear" w:color="auto" w:fill="CCEEFF"/>
          </w:tcPr>
          <w:p>
            <w:pPr>
              <w:spacing w:after="0"/>
              <w:rPr>
                <w:sz w:val="18"/>
                <w:szCs w:val="18"/>
                <w:color w:val="auto"/>
              </w:rPr>
            </w:pPr>
          </w:p>
        </w:tc>
        <w:tc>
          <w:tcPr>
            <w:tcW w:w="1580" w:type="dxa"/>
            <w:vAlign w:val="bottom"/>
            <w:tcBorders>
              <w:top w:val="single" w:sz="8" w:color="auto"/>
            </w:tcBorders>
            <w:shd w:val="clear" w:color="auto" w:fill="CCEEFF"/>
          </w:tcPr>
          <w:p>
            <w:pPr>
              <w:jc w:val="right"/>
              <w:ind w:right="230"/>
              <w:spacing w:after="0"/>
              <w:rPr>
                <w:sz w:val="20"/>
                <w:szCs w:val="20"/>
                <w:color w:val="auto"/>
              </w:rPr>
            </w:pPr>
            <w:r>
              <w:rPr>
                <w:rFonts w:ascii="Arial" w:cs="Arial" w:eastAsia="Arial" w:hAnsi="Arial"/>
                <w:sz w:val="18"/>
                <w:szCs w:val="18"/>
                <w:color w:val="auto"/>
              </w:rPr>
              <w:t>(0.6)</w:t>
            </w:r>
          </w:p>
        </w:tc>
        <w:tc>
          <w:tcPr>
            <w:tcW w:w="860" w:type="dxa"/>
            <w:vAlign w:val="bottom"/>
            <w:tcBorders>
              <w:top w:val="single" w:sz="8" w:color="auto"/>
            </w:tcBorders>
            <w:shd w:val="clear" w:color="auto" w:fill="CCEEFF"/>
          </w:tcPr>
          <w:p>
            <w:pPr>
              <w:spacing w:after="0"/>
              <w:rPr>
                <w:sz w:val="18"/>
                <w:szCs w:val="18"/>
                <w:color w:val="auto"/>
              </w:rPr>
            </w:pPr>
          </w:p>
        </w:tc>
        <w:tc>
          <w:tcPr>
            <w:tcW w:w="420" w:type="dxa"/>
            <w:vAlign w:val="bottom"/>
            <w:tcBorders>
              <w:top w:val="single" w:sz="8" w:color="auto"/>
            </w:tcBorders>
            <w:shd w:val="clear" w:color="auto" w:fill="CCEEFF"/>
          </w:tcPr>
          <w:p>
            <w:pPr>
              <w:spacing w:after="0"/>
              <w:rPr>
                <w:sz w:val="18"/>
                <w:szCs w:val="18"/>
                <w:color w:val="auto"/>
              </w:rPr>
            </w:pPr>
          </w:p>
        </w:tc>
        <w:tc>
          <w:tcPr>
            <w:tcW w:w="1260" w:type="dxa"/>
            <w:vAlign w:val="bottom"/>
            <w:tcBorders>
              <w:top w:val="single" w:sz="8" w:color="auto"/>
            </w:tcBorders>
            <w:shd w:val="clear" w:color="auto" w:fill="CCEEFF"/>
          </w:tcPr>
          <w:p>
            <w:pPr>
              <w:jc w:val="right"/>
              <w:ind w:right="90"/>
              <w:spacing w:after="0"/>
              <w:rPr>
                <w:sz w:val="20"/>
                <w:szCs w:val="20"/>
                <w:color w:val="auto"/>
              </w:rPr>
            </w:pPr>
            <w:r>
              <w:rPr>
                <w:rFonts w:ascii="Arial" w:cs="Arial" w:eastAsia="Arial" w:hAnsi="Arial"/>
                <w:sz w:val="18"/>
                <w:szCs w:val="18"/>
                <w:color w:val="auto"/>
              </w:rPr>
              <w:t>48.6</w:t>
            </w:r>
          </w:p>
        </w:tc>
        <w:tc>
          <w:tcPr>
            <w:tcW w:w="0" w:type="dxa"/>
            <w:vAlign w:val="bottom"/>
          </w:tcPr>
          <w:p>
            <w:pPr>
              <w:spacing w:after="0"/>
              <w:rPr>
                <w:sz w:val="1"/>
                <w:szCs w:val="1"/>
                <w:color w:val="auto"/>
              </w:rPr>
            </w:pPr>
          </w:p>
        </w:tc>
      </w:tr>
      <w:tr>
        <w:trPr>
          <w:trHeight w:val="365"/>
        </w:trPr>
        <w:tc>
          <w:tcPr>
            <w:tcW w:w="4600" w:type="dxa"/>
            <w:vAlign w:val="bottom"/>
            <w:gridSpan w:val="2"/>
          </w:tcPr>
          <w:p>
            <w:pPr>
              <w:spacing w:after="0"/>
              <w:rPr>
                <w:sz w:val="20"/>
                <w:szCs w:val="20"/>
                <w:color w:val="auto"/>
              </w:rPr>
            </w:pPr>
            <w:r>
              <w:rPr>
                <w:rFonts w:ascii="Arial" w:cs="Arial" w:eastAsia="Arial" w:hAnsi="Arial"/>
                <w:sz w:val="18"/>
                <w:szCs w:val="18"/>
                <w:color w:val="auto"/>
              </w:rPr>
              <w:t>Interest expense</w:t>
            </w:r>
          </w:p>
        </w:tc>
        <w:tc>
          <w:tcPr>
            <w:tcW w:w="960" w:type="dxa"/>
            <w:vAlign w:val="bottom"/>
          </w:tcPr>
          <w:p>
            <w:pPr>
              <w:spacing w:after="0"/>
              <w:rPr>
                <w:sz w:val="24"/>
                <w:szCs w:val="24"/>
                <w:color w:val="auto"/>
              </w:rPr>
            </w:pPr>
          </w:p>
        </w:tc>
        <w:tc>
          <w:tcPr>
            <w:tcW w:w="1480" w:type="dxa"/>
            <w:vAlign w:val="bottom"/>
          </w:tcPr>
          <w:p>
            <w:pPr>
              <w:jc w:val="right"/>
              <w:ind w:right="41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24"/>
                <w:szCs w:val="24"/>
                <w:color w:val="auto"/>
              </w:rPr>
            </w:pPr>
          </w:p>
        </w:tc>
        <w:tc>
          <w:tcPr>
            <w:tcW w:w="1580" w:type="dxa"/>
            <w:vAlign w:val="bottom"/>
          </w:tcPr>
          <w:p>
            <w:pPr>
              <w:jc w:val="right"/>
              <w:ind w:right="230"/>
              <w:spacing w:after="0"/>
              <w:rPr>
                <w:sz w:val="20"/>
                <w:szCs w:val="20"/>
                <w:color w:val="auto"/>
              </w:rPr>
            </w:pPr>
            <w:r>
              <w:rPr>
                <w:rFonts w:ascii="Arial" w:cs="Arial" w:eastAsia="Arial" w:hAnsi="Arial"/>
                <w:sz w:val="18"/>
                <w:szCs w:val="18"/>
                <w:color w:val="auto"/>
              </w:rPr>
              <w:t>(0.6)</w:t>
            </w:r>
          </w:p>
        </w:tc>
        <w:tc>
          <w:tcPr>
            <w:tcW w:w="860" w:type="dxa"/>
            <w:vAlign w:val="bottom"/>
          </w:tcPr>
          <w:p>
            <w:pPr>
              <w:jc w:val="right"/>
              <w:ind w:right="190"/>
              <w:spacing w:after="0"/>
              <w:rPr>
                <w:sz w:val="20"/>
                <w:szCs w:val="20"/>
                <w:color w:val="auto"/>
              </w:rPr>
            </w:pPr>
            <w:r>
              <w:rPr>
                <w:rFonts w:ascii="Arial" w:cs="Arial" w:eastAsia="Arial" w:hAnsi="Arial"/>
                <w:sz w:val="18"/>
                <w:szCs w:val="18"/>
                <w:color w:val="auto"/>
              </w:rPr>
              <w:t>(B)</w:t>
            </w:r>
          </w:p>
        </w:tc>
        <w:tc>
          <w:tcPr>
            <w:tcW w:w="420" w:type="dxa"/>
            <w:vAlign w:val="bottom"/>
          </w:tcPr>
          <w:p>
            <w:pPr>
              <w:spacing w:after="0"/>
              <w:rPr>
                <w:sz w:val="24"/>
                <w:szCs w:val="24"/>
                <w:color w:val="auto"/>
              </w:rPr>
            </w:pPr>
          </w:p>
        </w:tc>
        <w:tc>
          <w:tcPr>
            <w:tcW w:w="1260" w:type="dxa"/>
            <w:vAlign w:val="bottom"/>
          </w:tcPr>
          <w:p>
            <w:pPr>
              <w:jc w:val="right"/>
              <w:ind w:right="30"/>
              <w:spacing w:after="0"/>
              <w:rPr>
                <w:sz w:val="20"/>
                <w:szCs w:val="20"/>
                <w:color w:val="auto"/>
              </w:rPr>
            </w:pPr>
            <w:r>
              <w:rPr>
                <w:rFonts w:ascii="Arial" w:cs="Arial" w:eastAsia="Arial" w:hAnsi="Arial"/>
                <w:sz w:val="18"/>
                <w:szCs w:val="18"/>
                <w:color w:val="auto"/>
              </w:rPr>
              <w:t>(0.6)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8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color w:val="auto"/>
              </w:rPr>
              <w:t>Other income, net</w:t>
            </w:r>
          </w:p>
        </w:tc>
        <w:tc>
          <w:tcPr>
            <w:tcW w:w="960" w:type="dxa"/>
            <w:vAlign w:val="bottom"/>
            <w:tcBorders>
              <w:bottom w:val="single" w:sz="8" w:color="auto"/>
            </w:tcBorders>
            <w:shd w:val="clear" w:color="auto" w:fill="CCEEFF"/>
          </w:tcPr>
          <w:p>
            <w:pPr>
              <w:spacing w:after="0"/>
              <w:rPr>
                <w:sz w:val="18"/>
                <w:szCs w:val="18"/>
                <w:color w:val="auto"/>
              </w:rPr>
            </w:pPr>
          </w:p>
        </w:tc>
        <w:tc>
          <w:tcPr>
            <w:tcW w:w="1480" w:type="dxa"/>
            <w:vAlign w:val="bottom"/>
            <w:tcBorders>
              <w:bottom w:val="single" w:sz="8" w:color="auto"/>
            </w:tcBorders>
            <w:shd w:val="clear" w:color="auto" w:fill="CCEEFF"/>
          </w:tcPr>
          <w:p>
            <w:pPr>
              <w:jc w:val="right"/>
              <w:ind w:right="410"/>
              <w:spacing w:after="0"/>
              <w:rPr>
                <w:sz w:val="20"/>
                <w:szCs w:val="20"/>
                <w:color w:val="auto"/>
              </w:rPr>
            </w:pPr>
            <w:r>
              <w:rPr>
                <w:rFonts w:ascii="Arial" w:cs="Arial" w:eastAsia="Arial" w:hAnsi="Arial"/>
                <w:sz w:val="18"/>
                <w:szCs w:val="18"/>
                <w:color w:val="auto"/>
              </w:rPr>
              <w:t>1.6</w:t>
            </w:r>
          </w:p>
        </w:tc>
        <w:tc>
          <w:tcPr>
            <w:tcW w:w="260" w:type="dxa"/>
            <w:vAlign w:val="bottom"/>
            <w:tcBorders>
              <w:bottom w:val="single" w:sz="8" w:color="auto"/>
            </w:tcBorders>
            <w:shd w:val="clear" w:color="auto" w:fill="CCEEFF"/>
          </w:tcPr>
          <w:p>
            <w:pPr>
              <w:spacing w:after="0"/>
              <w:rPr>
                <w:sz w:val="18"/>
                <w:szCs w:val="18"/>
                <w:color w:val="auto"/>
              </w:rPr>
            </w:pPr>
          </w:p>
        </w:tc>
        <w:tc>
          <w:tcPr>
            <w:tcW w:w="1580" w:type="dxa"/>
            <w:vAlign w:val="bottom"/>
            <w:tcBorders>
              <w:bottom w:val="single" w:sz="8" w:color="auto"/>
            </w:tcBorders>
            <w:shd w:val="clear" w:color="auto" w:fill="CCEEFF"/>
          </w:tcPr>
          <w:p>
            <w:pPr>
              <w:jc w:val="right"/>
              <w:ind w:right="290"/>
              <w:spacing w:after="0"/>
              <w:rPr>
                <w:sz w:val="20"/>
                <w:szCs w:val="20"/>
                <w:color w:val="auto"/>
              </w:rPr>
            </w:pPr>
            <w:r>
              <w:rPr>
                <w:rFonts w:ascii="Arial" w:cs="Arial" w:eastAsia="Arial" w:hAnsi="Arial"/>
                <w:sz w:val="18"/>
                <w:szCs w:val="18"/>
                <w:color w:val="auto"/>
              </w:rPr>
              <w:t>—</w:t>
            </w:r>
          </w:p>
        </w:tc>
        <w:tc>
          <w:tcPr>
            <w:tcW w:w="860" w:type="dxa"/>
            <w:vAlign w:val="bottom"/>
            <w:tcBorders>
              <w:bottom w:val="single" w:sz="8" w:color="auto"/>
            </w:tcBorders>
            <w:shd w:val="clear" w:color="auto" w:fill="CCEEFF"/>
          </w:tcPr>
          <w:p>
            <w:pPr>
              <w:spacing w:after="0"/>
              <w:rPr>
                <w:sz w:val="18"/>
                <w:szCs w:val="18"/>
                <w:color w:val="auto"/>
              </w:rPr>
            </w:pPr>
          </w:p>
        </w:tc>
        <w:tc>
          <w:tcPr>
            <w:tcW w:w="420" w:type="dxa"/>
            <w:vAlign w:val="bottom"/>
            <w:tcBorders>
              <w:bottom w:val="single" w:sz="8" w:color="auto"/>
            </w:tcBorders>
            <w:shd w:val="clear" w:color="auto" w:fill="CCEEFF"/>
          </w:tcPr>
          <w:p>
            <w:pPr>
              <w:spacing w:after="0"/>
              <w:rPr>
                <w:sz w:val="18"/>
                <w:szCs w:val="18"/>
                <w:color w:val="auto"/>
              </w:rPr>
            </w:pPr>
          </w:p>
        </w:tc>
        <w:tc>
          <w:tcPr>
            <w:tcW w:w="1260" w:type="dxa"/>
            <w:vAlign w:val="bottom"/>
            <w:tcBorders>
              <w:bottom w:val="single" w:sz="8" w:color="auto"/>
            </w:tcBorders>
            <w:shd w:val="clear" w:color="auto" w:fill="CCEEFF"/>
          </w:tcPr>
          <w:p>
            <w:pPr>
              <w:jc w:val="right"/>
              <w:ind w:right="90"/>
              <w:spacing w:after="0"/>
              <w:rPr>
                <w:sz w:val="20"/>
                <w:szCs w:val="20"/>
                <w:color w:val="auto"/>
              </w:rPr>
            </w:pPr>
            <w:r>
              <w:rPr>
                <w:rFonts w:ascii="Arial" w:cs="Arial" w:eastAsia="Arial" w:hAnsi="Arial"/>
                <w:sz w:val="18"/>
                <w:szCs w:val="18"/>
                <w:color w:val="auto"/>
              </w:rPr>
              <w:t>1.6</w:t>
            </w: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4580" w:type="dxa"/>
            <w:vAlign w:val="bottom"/>
          </w:tcPr>
          <w:p>
            <w:pPr>
              <w:ind w:left="340"/>
              <w:spacing w:after="0"/>
              <w:rPr>
                <w:sz w:val="20"/>
                <w:szCs w:val="20"/>
                <w:color w:val="auto"/>
              </w:rPr>
            </w:pPr>
            <w:r>
              <w:rPr>
                <w:rFonts w:ascii="Arial" w:cs="Arial" w:eastAsia="Arial" w:hAnsi="Arial"/>
                <w:sz w:val="18"/>
                <w:szCs w:val="18"/>
                <w:color w:val="auto"/>
              </w:rPr>
              <w:t>Income From Operations Before Income Taxes</w:t>
            </w:r>
          </w:p>
        </w:tc>
        <w:tc>
          <w:tcPr>
            <w:tcW w:w="960" w:type="dxa"/>
            <w:vAlign w:val="bottom"/>
          </w:tcPr>
          <w:p>
            <w:pPr>
              <w:spacing w:after="0"/>
              <w:rPr>
                <w:sz w:val="19"/>
                <w:szCs w:val="19"/>
                <w:color w:val="auto"/>
              </w:rPr>
            </w:pPr>
          </w:p>
        </w:tc>
        <w:tc>
          <w:tcPr>
            <w:tcW w:w="1480" w:type="dxa"/>
            <w:vAlign w:val="bottom"/>
          </w:tcPr>
          <w:p>
            <w:pPr>
              <w:jc w:val="right"/>
              <w:ind w:right="410"/>
              <w:spacing w:after="0"/>
              <w:rPr>
                <w:sz w:val="20"/>
                <w:szCs w:val="20"/>
                <w:color w:val="auto"/>
              </w:rPr>
            </w:pPr>
            <w:r>
              <w:rPr>
                <w:rFonts w:ascii="Arial" w:cs="Arial" w:eastAsia="Arial" w:hAnsi="Arial"/>
                <w:sz w:val="18"/>
                <w:szCs w:val="18"/>
                <w:color w:val="auto"/>
              </w:rPr>
              <w:t>50.8</w:t>
            </w:r>
          </w:p>
        </w:tc>
        <w:tc>
          <w:tcPr>
            <w:tcW w:w="260" w:type="dxa"/>
            <w:vAlign w:val="bottom"/>
          </w:tcPr>
          <w:p>
            <w:pPr>
              <w:spacing w:after="0"/>
              <w:rPr>
                <w:sz w:val="19"/>
                <w:szCs w:val="19"/>
                <w:color w:val="auto"/>
              </w:rPr>
            </w:pPr>
          </w:p>
        </w:tc>
        <w:tc>
          <w:tcPr>
            <w:tcW w:w="1580" w:type="dxa"/>
            <w:vAlign w:val="bottom"/>
          </w:tcPr>
          <w:p>
            <w:pPr>
              <w:jc w:val="right"/>
              <w:ind w:right="230"/>
              <w:spacing w:after="0"/>
              <w:rPr>
                <w:sz w:val="20"/>
                <w:szCs w:val="20"/>
                <w:color w:val="auto"/>
              </w:rPr>
            </w:pPr>
            <w:r>
              <w:rPr>
                <w:rFonts w:ascii="Arial" w:cs="Arial" w:eastAsia="Arial" w:hAnsi="Arial"/>
                <w:sz w:val="18"/>
                <w:szCs w:val="18"/>
                <w:color w:val="auto"/>
              </w:rPr>
              <w:t>(1.2)</w:t>
            </w:r>
          </w:p>
        </w:tc>
        <w:tc>
          <w:tcPr>
            <w:tcW w:w="86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1260" w:type="dxa"/>
            <w:vAlign w:val="bottom"/>
          </w:tcPr>
          <w:p>
            <w:pPr>
              <w:jc w:val="right"/>
              <w:ind w:right="90"/>
              <w:spacing w:after="0"/>
              <w:rPr>
                <w:sz w:val="20"/>
                <w:szCs w:val="20"/>
                <w:color w:val="auto"/>
              </w:rPr>
            </w:pPr>
            <w:r>
              <w:rPr>
                <w:rFonts w:ascii="Arial" w:cs="Arial" w:eastAsia="Arial" w:hAnsi="Arial"/>
                <w:sz w:val="18"/>
                <w:szCs w:val="18"/>
                <w:color w:val="auto"/>
              </w:rPr>
              <w:t>49.6</w:t>
            </w:r>
          </w:p>
        </w:tc>
        <w:tc>
          <w:tcPr>
            <w:tcW w:w="0" w:type="dxa"/>
            <w:vAlign w:val="bottom"/>
          </w:tcPr>
          <w:p>
            <w:pPr>
              <w:spacing w:after="0"/>
              <w:rPr>
                <w:sz w:val="1"/>
                <w:szCs w:val="1"/>
                <w:color w:val="auto"/>
              </w:rPr>
            </w:pPr>
          </w:p>
        </w:tc>
      </w:tr>
      <w:tr>
        <w:trPr>
          <w:trHeight w:val="134"/>
        </w:trPr>
        <w:tc>
          <w:tcPr>
            <w:tcW w:w="20" w:type="dxa"/>
            <w:vAlign w:val="bottom"/>
            <w:vMerge w:val="restart"/>
          </w:tcPr>
          <w:p>
            <w:pPr>
              <w:spacing w:after="0"/>
              <w:rPr>
                <w:sz w:val="11"/>
                <w:szCs w:val="11"/>
                <w:color w:val="auto"/>
              </w:rPr>
            </w:pPr>
          </w:p>
        </w:tc>
        <w:tc>
          <w:tcPr>
            <w:tcW w:w="45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14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5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2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58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color w:val="auto"/>
              </w:rPr>
              <w:t>Provision for income taxes</w:t>
            </w:r>
          </w:p>
        </w:tc>
        <w:tc>
          <w:tcPr>
            <w:tcW w:w="960" w:type="dxa"/>
            <w:vAlign w:val="bottom"/>
            <w:tcBorders>
              <w:bottom w:val="single" w:sz="8" w:color="auto"/>
            </w:tcBorders>
            <w:shd w:val="clear" w:color="auto" w:fill="CCEEFF"/>
          </w:tcPr>
          <w:p>
            <w:pPr>
              <w:spacing w:after="0"/>
              <w:rPr>
                <w:sz w:val="18"/>
                <w:szCs w:val="18"/>
                <w:color w:val="auto"/>
              </w:rPr>
            </w:pPr>
          </w:p>
        </w:tc>
        <w:tc>
          <w:tcPr>
            <w:tcW w:w="1480" w:type="dxa"/>
            <w:vAlign w:val="bottom"/>
            <w:tcBorders>
              <w:bottom w:val="single" w:sz="8" w:color="auto"/>
            </w:tcBorders>
            <w:shd w:val="clear" w:color="auto" w:fill="CCEEFF"/>
          </w:tcPr>
          <w:p>
            <w:pPr>
              <w:jc w:val="right"/>
              <w:ind w:right="410"/>
              <w:spacing w:after="0"/>
              <w:rPr>
                <w:sz w:val="20"/>
                <w:szCs w:val="20"/>
                <w:color w:val="auto"/>
              </w:rPr>
            </w:pPr>
            <w:r>
              <w:rPr>
                <w:rFonts w:ascii="Arial" w:cs="Arial" w:eastAsia="Arial" w:hAnsi="Arial"/>
                <w:sz w:val="18"/>
                <w:szCs w:val="18"/>
                <w:color w:val="auto"/>
              </w:rPr>
              <w:t>17.2</w:t>
            </w:r>
          </w:p>
        </w:tc>
        <w:tc>
          <w:tcPr>
            <w:tcW w:w="260" w:type="dxa"/>
            <w:vAlign w:val="bottom"/>
            <w:tcBorders>
              <w:bottom w:val="single" w:sz="8" w:color="auto"/>
            </w:tcBorders>
            <w:shd w:val="clear" w:color="auto" w:fill="CCEEFF"/>
          </w:tcPr>
          <w:p>
            <w:pPr>
              <w:spacing w:after="0"/>
              <w:rPr>
                <w:sz w:val="18"/>
                <w:szCs w:val="18"/>
                <w:color w:val="auto"/>
              </w:rPr>
            </w:pPr>
          </w:p>
        </w:tc>
        <w:tc>
          <w:tcPr>
            <w:tcW w:w="1580" w:type="dxa"/>
            <w:vAlign w:val="bottom"/>
            <w:tcBorders>
              <w:bottom w:val="single" w:sz="8" w:color="auto"/>
            </w:tcBorders>
            <w:shd w:val="clear" w:color="auto" w:fill="CCEEFF"/>
          </w:tcPr>
          <w:p>
            <w:pPr>
              <w:jc w:val="right"/>
              <w:ind w:right="230"/>
              <w:spacing w:after="0"/>
              <w:rPr>
                <w:sz w:val="20"/>
                <w:szCs w:val="20"/>
                <w:color w:val="auto"/>
              </w:rPr>
            </w:pPr>
            <w:r>
              <w:rPr>
                <w:rFonts w:ascii="Arial" w:cs="Arial" w:eastAsia="Arial" w:hAnsi="Arial"/>
                <w:sz w:val="18"/>
                <w:szCs w:val="18"/>
                <w:color w:val="auto"/>
              </w:rPr>
              <w:t>(0.4)</w:t>
            </w:r>
          </w:p>
        </w:tc>
        <w:tc>
          <w:tcPr>
            <w:tcW w:w="860" w:type="dxa"/>
            <w:vAlign w:val="bottom"/>
            <w:tcBorders>
              <w:bottom w:val="single" w:sz="8" w:color="auto"/>
            </w:tcBorders>
            <w:shd w:val="clear" w:color="auto" w:fill="CCEEFF"/>
          </w:tcPr>
          <w:p>
            <w:pPr>
              <w:jc w:val="right"/>
              <w:ind w:right="190"/>
              <w:spacing w:after="0"/>
              <w:rPr>
                <w:sz w:val="20"/>
                <w:szCs w:val="20"/>
                <w:color w:val="auto"/>
              </w:rPr>
            </w:pPr>
            <w:r>
              <w:rPr>
                <w:rFonts w:ascii="Arial" w:cs="Arial" w:eastAsia="Arial" w:hAnsi="Arial"/>
                <w:sz w:val="18"/>
                <w:szCs w:val="18"/>
                <w:color w:val="auto"/>
              </w:rPr>
              <w:t>(C)</w:t>
            </w:r>
          </w:p>
        </w:tc>
        <w:tc>
          <w:tcPr>
            <w:tcW w:w="420" w:type="dxa"/>
            <w:vAlign w:val="bottom"/>
            <w:tcBorders>
              <w:bottom w:val="single" w:sz="8" w:color="auto"/>
            </w:tcBorders>
            <w:shd w:val="clear" w:color="auto" w:fill="CCEEFF"/>
          </w:tcPr>
          <w:p>
            <w:pPr>
              <w:spacing w:after="0"/>
              <w:rPr>
                <w:sz w:val="18"/>
                <w:szCs w:val="18"/>
                <w:color w:val="auto"/>
              </w:rPr>
            </w:pPr>
          </w:p>
        </w:tc>
        <w:tc>
          <w:tcPr>
            <w:tcW w:w="1260" w:type="dxa"/>
            <w:vAlign w:val="bottom"/>
            <w:tcBorders>
              <w:bottom w:val="single" w:sz="8" w:color="auto"/>
            </w:tcBorders>
            <w:shd w:val="clear" w:color="auto" w:fill="CCEEFF"/>
          </w:tcPr>
          <w:p>
            <w:pPr>
              <w:jc w:val="right"/>
              <w:ind w:right="90"/>
              <w:spacing w:after="0"/>
              <w:rPr>
                <w:sz w:val="20"/>
                <w:szCs w:val="20"/>
                <w:color w:val="auto"/>
              </w:rPr>
            </w:pPr>
            <w:r>
              <w:rPr>
                <w:rFonts w:ascii="Arial" w:cs="Arial" w:eastAsia="Arial" w:hAnsi="Arial"/>
                <w:sz w:val="18"/>
                <w:szCs w:val="18"/>
                <w:color w:val="auto"/>
              </w:rPr>
              <w:t>16.8</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580" w:type="dxa"/>
            <w:vAlign w:val="bottom"/>
            <w:tcBorders>
              <w:bottom w:val="single" w:sz="8" w:color="auto"/>
            </w:tcBorders>
          </w:tcPr>
          <w:p>
            <w:pPr>
              <w:ind w:left="340"/>
              <w:spacing w:after="0"/>
              <w:rPr>
                <w:sz w:val="20"/>
                <w:szCs w:val="20"/>
                <w:color w:val="auto"/>
              </w:rPr>
            </w:pPr>
            <w:r>
              <w:rPr>
                <w:rFonts w:ascii="Arial" w:cs="Arial" w:eastAsia="Arial" w:hAnsi="Arial"/>
                <w:sz w:val="18"/>
                <w:szCs w:val="18"/>
                <w:color w:val="auto"/>
              </w:rPr>
              <w:t>Net Income</w:t>
            </w: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480" w:type="dxa"/>
            <w:vAlign w:val="bottom"/>
            <w:tcBorders>
              <w:bottom w:val="single" w:sz="8" w:color="auto"/>
            </w:tcBorders>
          </w:tcPr>
          <w:p>
            <w:pPr>
              <w:jc w:val="right"/>
              <w:ind w:right="410"/>
              <w:spacing w:after="0"/>
              <w:rPr>
                <w:sz w:val="20"/>
                <w:szCs w:val="20"/>
                <w:color w:val="auto"/>
              </w:rPr>
            </w:pPr>
            <w:r>
              <w:rPr>
                <w:rFonts w:ascii="Arial" w:cs="Arial" w:eastAsia="Arial" w:hAnsi="Arial"/>
                <w:sz w:val="18"/>
                <w:szCs w:val="18"/>
                <w:color w:val="auto"/>
              </w:rPr>
              <w:t>33.6</w:t>
            </w:r>
          </w:p>
        </w:tc>
        <w:tc>
          <w:tcPr>
            <w:tcW w:w="2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580" w:type="dxa"/>
            <w:vAlign w:val="bottom"/>
            <w:tcBorders>
              <w:bottom w:val="single" w:sz="8" w:color="auto"/>
            </w:tcBorders>
          </w:tcPr>
          <w:p>
            <w:pPr>
              <w:jc w:val="right"/>
              <w:ind w:right="230"/>
              <w:spacing w:after="0"/>
              <w:rPr>
                <w:sz w:val="20"/>
                <w:szCs w:val="20"/>
                <w:color w:val="auto"/>
              </w:rPr>
            </w:pPr>
            <w:r>
              <w:rPr>
                <w:rFonts w:ascii="Arial" w:cs="Arial" w:eastAsia="Arial" w:hAnsi="Arial"/>
                <w:sz w:val="18"/>
                <w:szCs w:val="18"/>
                <w:color w:val="auto"/>
              </w:rPr>
              <w:t>(0.8)</w:t>
            </w:r>
          </w:p>
        </w:tc>
        <w:tc>
          <w:tcPr>
            <w:tcW w:w="860" w:type="dxa"/>
            <w:vAlign w:val="bottom"/>
            <w:tcBorders>
              <w:bottom w:val="single" w:sz="8" w:color="auto"/>
            </w:tcBorders>
          </w:tcPr>
          <w:p>
            <w:pPr>
              <w:spacing w:after="0"/>
              <w:rPr>
                <w:sz w:val="18"/>
                <w:szCs w:val="18"/>
                <w:color w:val="auto"/>
              </w:rPr>
            </w:pPr>
          </w:p>
        </w:tc>
        <w:tc>
          <w:tcPr>
            <w:tcW w:w="4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260" w:type="dxa"/>
            <w:vAlign w:val="bottom"/>
            <w:tcBorders>
              <w:bottom w:val="single" w:sz="8" w:color="auto"/>
            </w:tcBorders>
          </w:tcPr>
          <w:p>
            <w:pPr>
              <w:jc w:val="right"/>
              <w:ind w:right="90"/>
              <w:spacing w:after="0"/>
              <w:rPr>
                <w:sz w:val="20"/>
                <w:szCs w:val="20"/>
                <w:color w:val="auto"/>
              </w:rPr>
            </w:pPr>
            <w:r>
              <w:rPr>
                <w:rFonts w:ascii="Arial" w:cs="Arial" w:eastAsia="Arial" w:hAnsi="Arial"/>
                <w:sz w:val="18"/>
                <w:szCs w:val="18"/>
                <w:color w:val="auto"/>
              </w:rPr>
              <w:t>32.8</w:t>
            </w:r>
          </w:p>
        </w:tc>
        <w:tc>
          <w:tcPr>
            <w:tcW w:w="0" w:type="dxa"/>
            <w:vAlign w:val="bottom"/>
          </w:tcPr>
          <w:p>
            <w:pPr>
              <w:spacing w:after="0"/>
              <w:rPr>
                <w:sz w:val="1"/>
                <w:szCs w:val="1"/>
                <w:color w:val="auto"/>
              </w:rPr>
            </w:pPr>
          </w:p>
        </w:tc>
      </w:tr>
      <w:tr>
        <w:trPr>
          <w:trHeight w:val="142"/>
        </w:trPr>
        <w:tc>
          <w:tcPr>
            <w:tcW w:w="20" w:type="dxa"/>
            <w:vAlign w:val="bottom"/>
            <w:vMerge w:val="restart"/>
          </w:tcPr>
          <w:p>
            <w:pPr>
              <w:spacing w:after="0"/>
              <w:rPr>
                <w:sz w:val="12"/>
                <w:szCs w:val="12"/>
                <w:color w:val="auto"/>
              </w:rPr>
            </w:pPr>
          </w:p>
        </w:tc>
        <w:tc>
          <w:tcPr>
            <w:tcW w:w="458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14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58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12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5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Unaudited Pro Forma Earnings Per Share</w:t>
            </w:r>
          </w:p>
        </w:tc>
        <w:tc>
          <w:tcPr>
            <w:tcW w:w="960" w:type="dxa"/>
            <w:vAlign w:val="bottom"/>
            <w:shd w:val="clear" w:color="auto" w:fill="CCEEFF"/>
          </w:tcPr>
          <w:p>
            <w:pPr>
              <w:spacing w:after="0"/>
              <w:rPr>
                <w:sz w:val="18"/>
                <w:szCs w:val="18"/>
                <w:color w:val="auto"/>
              </w:rPr>
            </w:pPr>
          </w:p>
        </w:tc>
        <w:tc>
          <w:tcPr>
            <w:tcW w:w="14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58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2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80" w:type="dxa"/>
            <w:vAlign w:val="bottom"/>
          </w:tcPr>
          <w:p>
            <w:pPr>
              <w:ind w:left="340"/>
              <w:spacing w:after="0"/>
              <w:rPr>
                <w:sz w:val="20"/>
                <w:szCs w:val="20"/>
                <w:color w:val="auto"/>
              </w:rPr>
            </w:pPr>
            <w:r>
              <w:rPr>
                <w:rFonts w:ascii="Arial" w:cs="Arial" w:eastAsia="Arial" w:hAnsi="Arial"/>
                <w:sz w:val="18"/>
                <w:szCs w:val="18"/>
                <w:color w:val="auto"/>
              </w:rPr>
              <w:t>Basic</w:t>
            </w:r>
          </w:p>
        </w:tc>
        <w:tc>
          <w:tcPr>
            <w:tcW w:w="960" w:type="dxa"/>
            <w:vAlign w:val="bottom"/>
          </w:tcPr>
          <w:p>
            <w:pPr>
              <w:spacing w:after="0"/>
              <w:rPr>
                <w:sz w:val="18"/>
                <w:szCs w:val="18"/>
                <w:color w:val="auto"/>
              </w:rPr>
            </w:pPr>
          </w:p>
        </w:tc>
        <w:tc>
          <w:tcPr>
            <w:tcW w:w="14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860" w:type="dxa"/>
            <w:vAlign w:val="bottom"/>
          </w:tcPr>
          <w:p>
            <w:pPr>
              <w:jc w:val="right"/>
              <w:ind w:right="190"/>
              <w:spacing w:after="0"/>
              <w:rPr>
                <w:sz w:val="20"/>
                <w:szCs w:val="20"/>
                <w:color w:val="auto"/>
              </w:rPr>
            </w:pPr>
            <w:r>
              <w:rPr>
                <w:rFonts w:ascii="Arial" w:cs="Arial" w:eastAsia="Arial" w:hAnsi="Arial"/>
                <w:sz w:val="18"/>
                <w:szCs w:val="18"/>
                <w:color w:val="auto"/>
              </w:rPr>
              <w:t>(D)</w:t>
            </w:r>
          </w:p>
        </w:tc>
        <w:tc>
          <w:tcPr>
            <w:tcW w:w="420" w:type="dxa"/>
            <w:vAlign w:val="bottom"/>
          </w:tcPr>
          <w:p>
            <w:pPr>
              <w:jc w:val="right"/>
              <w:spacing w:after="0"/>
              <w:rPr>
                <w:sz w:val="20"/>
                <w:szCs w:val="20"/>
                <w:color w:val="auto"/>
              </w:rPr>
            </w:pPr>
            <w:r>
              <w:rPr>
                <w:rFonts w:ascii="Arial" w:cs="Arial" w:eastAsia="Arial" w:hAnsi="Arial"/>
                <w:sz w:val="18"/>
                <w:szCs w:val="18"/>
                <w:color w:val="auto"/>
              </w:rPr>
              <w:t>$</w:t>
            </w:r>
          </w:p>
        </w:tc>
        <w:tc>
          <w:tcPr>
            <w:tcW w:w="1260" w:type="dxa"/>
            <w:vAlign w:val="bottom"/>
          </w:tcPr>
          <w:p>
            <w:pPr>
              <w:jc w:val="right"/>
              <w:ind w:right="90"/>
              <w:spacing w:after="0"/>
              <w:rPr>
                <w:sz w:val="20"/>
                <w:szCs w:val="20"/>
                <w:color w:val="auto"/>
              </w:rPr>
            </w:pPr>
            <w:r>
              <w:rPr>
                <w:rFonts w:ascii="Arial" w:cs="Arial" w:eastAsia="Arial" w:hAnsi="Arial"/>
                <w:sz w:val="18"/>
                <w:szCs w:val="18"/>
                <w:color w:val="auto"/>
              </w:rPr>
              <w:t>0.71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80" w:type="dxa"/>
            <w:vAlign w:val="bottom"/>
            <w:shd w:val="clear" w:color="auto" w:fill="CCEEFF"/>
          </w:tcPr>
          <w:p>
            <w:pPr>
              <w:ind w:left="340"/>
              <w:spacing w:after="0"/>
              <w:rPr>
                <w:sz w:val="20"/>
                <w:szCs w:val="20"/>
                <w:color w:val="auto"/>
              </w:rPr>
            </w:pPr>
            <w:r>
              <w:rPr>
                <w:rFonts w:ascii="Arial" w:cs="Arial" w:eastAsia="Arial" w:hAnsi="Arial"/>
                <w:sz w:val="18"/>
                <w:szCs w:val="18"/>
                <w:color w:val="auto"/>
              </w:rPr>
              <w:t>Diluted</w:t>
            </w:r>
          </w:p>
        </w:tc>
        <w:tc>
          <w:tcPr>
            <w:tcW w:w="960" w:type="dxa"/>
            <w:vAlign w:val="bottom"/>
            <w:shd w:val="clear" w:color="auto" w:fill="CCEEFF"/>
          </w:tcPr>
          <w:p>
            <w:pPr>
              <w:spacing w:after="0"/>
              <w:rPr>
                <w:sz w:val="18"/>
                <w:szCs w:val="18"/>
                <w:color w:val="auto"/>
              </w:rPr>
            </w:pPr>
          </w:p>
        </w:tc>
        <w:tc>
          <w:tcPr>
            <w:tcW w:w="14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580" w:type="dxa"/>
            <w:vAlign w:val="bottom"/>
            <w:shd w:val="clear" w:color="auto" w:fill="CCEEFF"/>
          </w:tcPr>
          <w:p>
            <w:pPr>
              <w:spacing w:after="0"/>
              <w:rPr>
                <w:sz w:val="18"/>
                <w:szCs w:val="18"/>
                <w:color w:val="auto"/>
              </w:rPr>
            </w:pPr>
          </w:p>
        </w:tc>
        <w:tc>
          <w:tcPr>
            <w:tcW w:w="860" w:type="dxa"/>
            <w:vAlign w:val="bottom"/>
            <w:shd w:val="clear" w:color="auto" w:fill="CCEEFF"/>
          </w:tcPr>
          <w:p>
            <w:pPr>
              <w:jc w:val="right"/>
              <w:ind w:right="190"/>
              <w:spacing w:after="0"/>
              <w:rPr>
                <w:sz w:val="20"/>
                <w:szCs w:val="20"/>
                <w:color w:val="auto"/>
              </w:rPr>
            </w:pPr>
            <w:r>
              <w:rPr>
                <w:rFonts w:ascii="Arial" w:cs="Arial" w:eastAsia="Arial" w:hAnsi="Arial"/>
                <w:sz w:val="18"/>
                <w:szCs w:val="18"/>
                <w:color w:val="auto"/>
              </w:rPr>
              <w:t>(E)</w:t>
            </w: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6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rPr>
              <w:t>0.71</w:t>
            </w:r>
          </w:p>
        </w:tc>
        <w:tc>
          <w:tcPr>
            <w:tcW w:w="0" w:type="dxa"/>
            <w:vAlign w:val="bottom"/>
          </w:tcPr>
          <w:p>
            <w:pPr>
              <w:spacing w:after="0"/>
              <w:rPr>
                <w:sz w:val="1"/>
                <w:szCs w:val="1"/>
                <w:color w:val="auto"/>
              </w:rPr>
            </w:pPr>
          </w:p>
        </w:tc>
      </w:tr>
      <w:tr>
        <w:trPr>
          <w:trHeight w:val="365"/>
        </w:trPr>
        <w:tc>
          <w:tcPr>
            <w:tcW w:w="7040" w:type="dxa"/>
            <w:vAlign w:val="bottom"/>
            <w:gridSpan w:val="4"/>
          </w:tcPr>
          <w:p>
            <w:pPr>
              <w:spacing w:after="0"/>
              <w:rPr>
                <w:sz w:val="20"/>
                <w:szCs w:val="20"/>
                <w:color w:val="auto"/>
              </w:rPr>
            </w:pPr>
            <w:r>
              <w:rPr>
                <w:rFonts w:ascii="Arial" w:cs="Arial" w:eastAsia="Arial" w:hAnsi="Arial"/>
                <w:sz w:val="18"/>
                <w:szCs w:val="18"/>
                <w:b w:val="1"/>
                <w:bCs w:val="1"/>
                <w:color w:val="auto"/>
                <w:w w:val="92"/>
              </w:rPr>
              <w:t>Average Number of Shares Used in Calculating Unaudited Pro Forma Earnings Per Share</w:t>
            </w:r>
          </w:p>
        </w:tc>
        <w:tc>
          <w:tcPr>
            <w:tcW w:w="260" w:type="dxa"/>
            <w:vAlign w:val="bottom"/>
          </w:tcPr>
          <w:p>
            <w:pPr>
              <w:spacing w:after="0"/>
              <w:rPr>
                <w:sz w:val="24"/>
                <w:szCs w:val="24"/>
                <w:color w:val="auto"/>
              </w:rPr>
            </w:pPr>
          </w:p>
        </w:tc>
        <w:tc>
          <w:tcPr>
            <w:tcW w:w="158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80" w:type="dxa"/>
            <w:vAlign w:val="bottom"/>
            <w:shd w:val="clear" w:color="auto" w:fill="CCEEFF"/>
          </w:tcPr>
          <w:p>
            <w:pPr>
              <w:ind w:left="340"/>
              <w:spacing w:after="0"/>
              <w:rPr>
                <w:sz w:val="20"/>
                <w:szCs w:val="20"/>
                <w:color w:val="auto"/>
              </w:rPr>
            </w:pPr>
            <w:r>
              <w:rPr>
                <w:rFonts w:ascii="Arial" w:cs="Arial" w:eastAsia="Arial" w:hAnsi="Arial"/>
                <w:sz w:val="18"/>
                <w:szCs w:val="18"/>
                <w:color w:val="auto"/>
              </w:rPr>
              <w:t>Basic</w:t>
            </w:r>
          </w:p>
        </w:tc>
        <w:tc>
          <w:tcPr>
            <w:tcW w:w="960" w:type="dxa"/>
            <w:vAlign w:val="bottom"/>
            <w:shd w:val="clear" w:color="auto" w:fill="CCEEFF"/>
          </w:tcPr>
          <w:p>
            <w:pPr>
              <w:spacing w:after="0"/>
              <w:rPr>
                <w:sz w:val="18"/>
                <w:szCs w:val="18"/>
                <w:color w:val="auto"/>
              </w:rPr>
            </w:pPr>
          </w:p>
        </w:tc>
        <w:tc>
          <w:tcPr>
            <w:tcW w:w="14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580" w:type="dxa"/>
            <w:vAlign w:val="bottom"/>
            <w:shd w:val="clear" w:color="auto" w:fill="CCEEFF"/>
          </w:tcPr>
          <w:p>
            <w:pPr>
              <w:spacing w:after="0"/>
              <w:rPr>
                <w:sz w:val="18"/>
                <w:szCs w:val="18"/>
                <w:color w:val="auto"/>
              </w:rPr>
            </w:pPr>
          </w:p>
        </w:tc>
        <w:tc>
          <w:tcPr>
            <w:tcW w:w="860" w:type="dxa"/>
            <w:vAlign w:val="bottom"/>
            <w:shd w:val="clear" w:color="auto" w:fill="CCEEFF"/>
          </w:tcPr>
          <w:p>
            <w:pPr>
              <w:jc w:val="right"/>
              <w:ind w:right="190"/>
              <w:spacing w:after="0"/>
              <w:rPr>
                <w:sz w:val="20"/>
                <w:szCs w:val="20"/>
                <w:color w:val="auto"/>
              </w:rPr>
            </w:pPr>
            <w:r>
              <w:rPr>
                <w:rFonts w:ascii="Arial" w:cs="Arial" w:eastAsia="Arial" w:hAnsi="Arial"/>
                <w:sz w:val="18"/>
                <w:szCs w:val="18"/>
                <w:color w:val="auto"/>
              </w:rPr>
              <w:t>(D)</w:t>
            </w:r>
          </w:p>
        </w:tc>
        <w:tc>
          <w:tcPr>
            <w:tcW w:w="420" w:type="dxa"/>
            <w:vAlign w:val="bottom"/>
            <w:shd w:val="clear" w:color="auto" w:fill="CCEEFF"/>
          </w:tcPr>
          <w:p>
            <w:pPr>
              <w:spacing w:after="0"/>
              <w:rPr>
                <w:sz w:val="18"/>
                <w:szCs w:val="18"/>
                <w:color w:val="auto"/>
              </w:rPr>
            </w:pPr>
          </w:p>
        </w:tc>
        <w:tc>
          <w:tcPr>
            <w:tcW w:w="126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rPr>
              <w:t>46.1</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4580" w:type="dxa"/>
            <w:vAlign w:val="bottom"/>
          </w:tcPr>
          <w:p>
            <w:pPr>
              <w:ind w:left="340"/>
              <w:spacing w:after="0"/>
              <w:rPr>
                <w:sz w:val="20"/>
                <w:szCs w:val="20"/>
                <w:color w:val="auto"/>
              </w:rPr>
            </w:pPr>
            <w:r>
              <w:rPr>
                <w:rFonts w:ascii="Arial" w:cs="Arial" w:eastAsia="Arial" w:hAnsi="Arial"/>
                <w:sz w:val="18"/>
                <w:szCs w:val="18"/>
                <w:color w:val="auto"/>
              </w:rPr>
              <w:t>Diluted</w:t>
            </w:r>
          </w:p>
        </w:tc>
        <w:tc>
          <w:tcPr>
            <w:tcW w:w="960" w:type="dxa"/>
            <w:vAlign w:val="bottom"/>
          </w:tcPr>
          <w:p>
            <w:pPr>
              <w:spacing w:after="0"/>
              <w:rPr>
                <w:sz w:val="20"/>
                <w:szCs w:val="20"/>
                <w:color w:val="auto"/>
              </w:rPr>
            </w:pPr>
          </w:p>
        </w:tc>
        <w:tc>
          <w:tcPr>
            <w:tcW w:w="148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580" w:type="dxa"/>
            <w:vAlign w:val="bottom"/>
          </w:tcPr>
          <w:p>
            <w:pPr>
              <w:spacing w:after="0"/>
              <w:rPr>
                <w:sz w:val="20"/>
                <w:szCs w:val="20"/>
                <w:color w:val="auto"/>
              </w:rPr>
            </w:pPr>
          </w:p>
        </w:tc>
        <w:tc>
          <w:tcPr>
            <w:tcW w:w="860" w:type="dxa"/>
            <w:vAlign w:val="bottom"/>
          </w:tcPr>
          <w:p>
            <w:pPr>
              <w:jc w:val="right"/>
              <w:ind w:right="190"/>
              <w:spacing w:after="0"/>
              <w:rPr>
                <w:sz w:val="20"/>
                <w:szCs w:val="20"/>
                <w:color w:val="auto"/>
              </w:rPr>
            </w:pPr>
            <w:r>
              <w:rPr>
                <w:rFonts w:ascii="Arial" w:cs="Arial" w:eastAsia="Arial" w:hAnsi="Arial"/>
                <w:sz w:val="18"/>
                <w:szCs w:val="18"/>
                <w:color w:val="auto"/>
              </w:rPr>
              <w:t>(E)</w:t>
            </w:r>
          </w:p>
        </w:tc>
        <w:tc>
          <w:tcPr>
            <w:tcW w:w="420" w:type="dxa"/>
            <w:vAlign w:val="bottom"/>
          </w:tcPr>
          <w:p>
            <w:pPr>
              <w:spacing w:after="0"/>
              <w:rPr>
                <w:sz w:val="20"/>
                <w:szCs w:val="20"/>
                <w:color w:val="auto"/>
              </w:rPr>
            </w:pPr>
          </w:p>
        </w:tc>
        <w:tc>
          <w:tcPr>
            <w:tcW w:w="1260" w:type="dxa"/>
            <w:vAlign w:val="bottom"/>
          </w:tcPr>
          <w:p>
            <w:pPr>
              <w:jc w:val="right"/>
              <w:ind w:right="90"/>
              <w:spacing w:after="0"/>
              <w:rPr>
                <w:sz w:val="20"/>
                <w:szCs w:val="20"/>
                <w:color w:val="auto"/>
              </w:rPr>
            </w:pPr>
            <w:r>
              <w:rPr>
                <w:rFonts w:ascii="Arial" w:cs="Arial" w:eastAsia="Arial" w:hAnsi="Arial"/>
                <w:sz w:val="18"/>
                <w:szCs w:val="18"/>
                <w:color w:val="auto"/>
              </w:rPr>
              <w:t>46.5</w:t>
            </w:r>
          </w:p>
        </w:tc>
        <w:tc>
          <w:tcPr>
            <w:tcW w:w="0" w:type="dxa"/>
            <w:vAlign w:val="bottom"/>
          </w:tcPr>
          <w:p>
            <w:pPr>
              <w:spacing w:after="0"/>
              <w:rPr>
                <w:sz w:val="1"/>
                <w:szCs w:val="1"/>
                <w:color w:val="auto"/>
              </w:rPr>
            </w:pPr>
          </w:p>
        </w:tc>
      </w:tr>
    </w:tbl>
    <w:p>
      <w:pPr>
        <w:spacing w:after="0" w:line="183" w:lineRule="exact"/>
        <w:rPr>
          <w:sz w:val="20"/>
          <w:szCs w:val="20"/>
          <w:color w:val="auto"/>
        </w:rPr>
      </w:pPr>
    </w:p>
    <w:p>
      <w:pPr>
        <w:spacing w:after="0"/>
        <w:rPr>
          <w:sz w:val="20"/>
          <w:szCs w:val="20"/>
          <w:color w:val="auto"/>
        </w:rPr>
      </w:pPr>
      <w:r>
        <w:rPr>
          <w:rFonts w:ascii="Arial" w:cs="Arial" w:eastAsia="Arial" w:hAnsi="Arial"/>
          <w:sz w:val="14"/>
          <w:szCs w:val="14"/>
          <w:color w:val="auto"/>
        </w:rPr>
        <w:t>See Notes to Unaudited Pro Forma Consolidated Financial Data.</w:t>
      </w:r>
    </w:p>
    <w:p>
      <w:pPr>
        <w:spacing w:after="0" w:line="14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29</w:t>
      </w:r>
    </w:p>
    <w:p>
      <w:pPr>
        <w:sectPr>
          <w:pgSz w:w="11900" w:h="16838" w:orient="portrait"/>
          <w:cols w:equalWidth="0" w:num="1">
            <w:col w:w="11420"/>
          </w:cols>
          <w:pgMar w:left="240" w:top="459" w:right="239" w:bottom="1440" w:gutter="0" w:footer="0" w:header="0"/>
        </w:sectPr>
      </w:pPr>
    </w:p>
    <w:bookmarkStart w:id="38" w:name="page39"/>
    <w:bookmarkEnd w:id="38"/>
    <w:tbl>
      <w:tblPr>
        <w:tblLayout w:type="fixed"/>
        <w:tblInd w:w="0" w:type="dxa"/>
        <w:tblCellMar>
          <w:top w:w="0" w:type="dxa"/>
          <w:left w:w="0" w:type="dxa"/>
          <w:bottom w:w="0" w:type="dxa"/>
          <w:right w:w="0" w:type="dxa"/>
        </w:tblCellMar>
      </w:tblPr>
      <w:tr>
        <w:trPr>
          <w:trHeight w:val="207"/>
        </w:trPr>
        <w:tc>
          <w:tcPr>
            <w:tcW w:w="1360" w:type="dxa"/>
            <w:vAlign w:val="bottom"/>
            <w:tcBorders>
              <w:bottom w:val="single" w:sz="8" w:color="0000EE"/>
            </w:tcBorders>
          </w:tcPr>
          <w:p>
            <w:pPr>
              <w:spacing w:after="0"/>
              <w:rPr>
                <w:rFonts w:ascii="Arial" w:cs="Arial" w:eastAsia="Arial" w:hAnsi="Arial"/>
                <w:sz w:val="18"/>
                <w:szCs w:val="18"/>
                <w:b w:val="1"/>
                <w:bCs w:val="1"/>
                <w:color w:val="0000EE"/>
                <w:w w:val="88"/>
              </w:rPr>
            </w:pPr>
            <w:hyperlink w:anchor="page4">
              <w:r>
                <w:rPr>
                  <w:rFonts w:ascii="Arial" w:cs="Arial" w:eastAsia="Arial" w:hAnsi="Arial"/>
                  <w:sz w:val="18"/>
                  <w:szCs w:val="18"/>
                  <w:b w:val="1"/>
                  <w:bCs w:val="1"/>
                  <w:color w:val="0000EE"/>
                  <w:w w:val="88"/>
                </w:rPr>
                <w:t>Table of Contents</w:t>
              </w:r>
            </w:hyperlink>
          </w:p>
        </w:tc>
        <w:tc>
          <w:tcPr>
            <w:tcW w:w="328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136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160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1180" w:type="dxa"/>
            <w:vAlign w:val="bottom"/>
          </w:tcPr>
          <w:p>
            <w:pPr>
              <w:spacing w:after="0"/>
              <w:rPr>
                <w:sz w:val="17"/>
                <w:szCs w:val="17"/>
                <w:color w:val="auto"/>
              </w:rPr>
            </w:pPr>
          </w:p>
        </w:tc>
      </w:tr>
      <w:tr>
        <w:trPr>
          <w:trHeight w:val="534"/>
        </w:trPr>
        <w:tc>
          <w:tcPr>
            <w:tcW w:w="4640" w:type="dxa"/>
            <w:vAlign w:val="bottom"/>
            <w:gridSpan w:val="2"/>
          </w:tcPr>
          <w:p>
            <w:pPr>
              <w:spacing w:after="0"/>
              <w:rPr>
                <w:sz w:val="20"/>
                <w:szCs w:val="20"/>
                <w:color w:val="auto"/>
              </w:rPr>
            </w:pPr>
            <w:r>
              <w:rPr>
                <w:rFonts w:ascii="Arial" w:cs="Arial" w:eastAsia="Arial" w:hAnsi="Arial"/>
                <w:sz w:val="18"/>
                <w:szCs w:val="18"/>
                <w:b w:val="1"/>
                <w:bCs w:val="1"/>
                <w:color w:val="auto"/>
              </w:rPr>
              <w:t>TimkenSteel Corporation</w:t>
            </w:r>
          </w:p>
        </w:tc>
        <w:tc>
          <w:tcPr>
            <w:tcW w:w="90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60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180" w:type="dxa"/>
            <w:vAlign w:val="bottom"/>
          </w:tcPr>
          <w:p>
            <w:pPr>
              <w:spacing w:after="0"/>
              <w:rPr>
                <w:sz w:val="24"/>
                <w:szCs w:val="24"/>
                <w:color w:val="auto"/>
              </w:rPr>
            </w:pPr>
          </w:p>
        </w:tc>
      </w:tr>
      <w:tr>
        <w:trPr>
          <w:trHeight w:val="324"/>
        </w:trPr>
        <w:tc>
          <w:tcPr>
            <w:tcW w:w="4640" w:type="dxa"/>
            <w:vAlign w:val="bottom"/>
            <w:gridSpan w:val="2"/>
          </w:tcPr>
          <w:p>
            <w:pPr>
              <w:spacing w:after="0"/>
              <w:rPr>
                <w:sz w:val="20"/>
                <w:szCs w:val="20"/>
                <w:color w:val="auto"/>
              </w:rPr>
            </w:pPr>
            <w:r>
              <w:rPr>
                <w:rFonts w:ascii="Arial" w:cs="Arial" w:eastAsia="Arial" w:hAnsi="Arial"/>
                <w:sz w:val="18"/>
                <w:szCs w:val="18"/>
                <w:b w:val="1"/>
                <w:bCs w:val="1"/>
                <w:color w:val="auto"/>
              </w:rPr>
              <w:t>Unaudited Pro Forma Consolidated Balance Sheet</w:t>
            </w:r>
          </w:p>
        </w:tc>
        <w:tc>
          <w:tcPr>
            <w:tcW w:w="90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60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180" w:type="dxa"/>
            <w:vAlign w:val="bottom"/>
          </w:tcPr>
          <w:p>
            <w:pPr>
              <w:spacing w:after="0"/>
              <w:rPr>
                <w:sz w:val="24"/>
                <w:szCs w:val="24"/>
                <w:color w:val="auto"/>
              </w:rPr>
            </w:pPr>
          </w:p>
        </w:tc>
      </w:tr>
      <w:tr>
        <w:trPr>
          <w:trHeight w:val="324"/>
        </w:trPr>
        <w:tc>
          <w:tcPr>
            <w:tcW w:w="4640" w:type="dxa"/>
            <w:vAlign w:val="bottom"/>
            <w:gridSpan w:val="2"/>
          </w:tcPr>
          <w:p>
            <w:pPr>
              <w:spacing w:after="0"/>
              <w:rPr>
                <w:sz w:val="20"/>
                <w:szCs w:val="20"/>
                <w:color w:val="auto"/>
              </w:rPr>
            </w:pPr>
            <w:r>
              <w:rPr>
                <w:rFonts w:ascii="Arial" w:cs="Arial" w:eastAsia="Arial" w:hAnsi="Arial"/>
                <w:sz w:val="18"/>
                <w:szCs w:val="18"/>
                <w:b w:val="1"/>
                <w:bCs w:val="1"/>
                <w:color w:val="auto"/>
              </w:rPr>
              <w:t>As of March 31, 2014</w:t>
            </w:r>
          </w:p>
        </w:tc>
        <w:tc>
          <w:tcPr>
            <w:tcW w:w="90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60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180" w:type="dxa"/>
            <w:vAlign w:val="bottom"/>
          </w:tcPr>
          <w:p>
            <w:pPr>
              <w:spacing w:after="0"/>
              <w:rPr>
                <w:sz w:val="24"/>
                <w:szCs w:val="24"/>
                <w:color w:val="auto"/>
              </w:rPr>
            </w:pPr>
          </w:p>
        </w:tc>
      </w:tr>
      <w:tr>
        <w:trPr>
          <w:trHeight w:val="441"/>
        </w:trPr>
        <w:tc>
          <w:tcPr>
            <w:tcW w:w="1360" w:type="dxa"/>
            <w:vAlign w:val="bottom"/>
          </w:tcPr>
          <w:p>
            <w:pPr>
              <w:spacing w:after="0"/>
              <w:rPr>
                <w:sz w:val="24"/>
                <w:szCs w:val="24"/>
                <w:color w:val="auto"/>
              </w:rPr>
            </w:pPr>
          </w:p>
        </w:tc>
        <w:tc>
          <w:tcPr>
            <w:tcW w:w="328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600" w:type="dxa"/>
            <w:vAlign w:val="bottom"/>
          </w:tcPr>
          <w:p>
            <w:pPr>
              <w:jc w:val="right"/>
              <w:ind w:right="550"/>
              <w:spacing w:after="0"/>
              <w:rPr>
                <w:sz w:val="20"/>
                <w:szCs w:val="20"/>
                <w:color w:val="auto"/>
              </w:rPr>
            </w:pPr>
            <w:r>
              <w:rPr>
                <w:rFonts w:ascii="Arial" w:cs="Arial" w:eastAsia="Arial" w:hAnsi="Arial"/>
                <w:sz w:val="18"/>
                <w:szCs w:val="18"/>
                <w:b w:val="1"/>
                <w:bCs w:val="1"/>
                <w:color w:val="auto"/>
              </w:rPr>
              <w:t>Pro Forma</w:t>
            </w:r>
          </w:p>
        </w:tc>
        <w:tc>
          <w:tcPr>
            <w:tcW w:w="88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180" w:type="dxa"/>
            <w:vAlign w:val="bottom"/>
          </w:tcPr>
          <w:p>
            <w:pPr>
              <w:spacing w:after="0"/>
              <w:rPr>
                <w:sz w:val="24"/>
                <w:szCs w:val="24"/>
                <w:color w:val="auto"/>
              </w:rPr>
            </w:pPr>
          </w:p>
        </w:tc>
      </w:tr>
      <w:tr>
        <w:trPr>
          <w:trHeight w:val="248"/>
        </w:trPr>
        <w:tc>
          <w:tcPr>
            <w:tcW w:w="4640" w:type="dxa"/>
            <w:vAlign w:val="bottom"/>
            <w:tcBorders>
              <w:bottom w:val="single" w:sz="8" w:color="auto"/>
            </w:tcBorders>
            <w:gridSpan w:val="2"/>
          </w:tcPr>
          <w:p>
            <w:pPr>
              <w:spacing w:after="0"/>
              <w:rPr>
                <w:sz w:val="20"/>
                <w:szCs w:val="20"/>
                <w:color w:val="auto"/>
              </w:rPr>
            </w:pPr>
            <w:r>
              <w:rPr>
                <w:rFonts w:ascii="Arial" w:cs="Arial" w:eastAsia="Arial" w:hAnsi="Arial"/>
                <w:sz w:val="14"/>
                <w:szCs w:val="14"/>
                <w:color w:val="auto"/>
              </w:rPr>
              <w:t>(Dollars in millions)</w:t>
            </w:r>
          </w:p>
        </w:tc>
        <w:tc>
          <w:tcPr>
            <w:tcW w:w="900" w:type="dxa"/>
            <w:vAlign w:val="bottom"/>
            <w:tcBorders>
              <w:bottom w:val="single" w:sz="8" w:color="auto"/>
            </w:tcBorders>
          </w:tcPr>
          <w:p>
            <w:pPr>
              <w:spacing w:after="0"/>
              <w:rPr>
                <w:sz w:val="21"/>
                <w:szCs w:val="21"/>
                <w:color w:val="auto"/>
              </w:rPr>
            </w:pPr>
          </w:p>
        </w:tc>
        <w:tc>
          <w:tcPr>
            <w:tcW w:w="1360" w:type="dxa"/>
            <w:vAlign w:val="bottom"/>
            <w:tcBorders>
              <w:bottom w:val="single" w:sz="8" w:color="auto"/>
            </w:tcBorders>
          </w:tcPr>
          <w:p>
            <w:pPr>
              <w:jc w:val="right"/>
              <w:ind w:right="450"/>
              <w:spacing w:after="0"/>
              <w:rPr>
                <w:sz w:val="20"/>
                <w:szCs w:val="20"/>
                <w:color w:val="auto"/>
              </w:rPr>
            </w:pPr>
            <w:r>
              <w:rPr>
                <w:rFonts w:ascii="Arial" w:cs="Arial" w:eastAsia="Arial" w:hAnsi="Arial"/>
                <w:sz w:val="18"/>
                <w:szCs w:val="18"/>
                <w:b w:val="1"/>
                <w:bCs w:val="1"/>
                <w:color w:val="auto"/>
                <w:w w:val="97"/>
              </w:rPr>
              <w:t>Historical</w:t>
            </w:r>
          </w:p>
        </w:tc>
        <w:tc>
          <w:tcPr>
            <w:tcW w:w="420" w:type="dxa"/>
            <w:vAlign w:val="bottom"/>
            <w:tcBorders>
              <w:bottom w:val="single" w:sz="8" w:color="auto"/>
            </w:tcBorders>
          </w:tcPr>
          <w:p>
            <w:pPr>
              <w:spacing w:after="0"/>
              <w:rPr>
                <w:sz w:val="21"/>
                <w:szCs w:val="21"/>
                <w:color w:val="auto"/>
              </w:rPr>
            </w:pPr>
          </w:p>
        </w:tc>
        <w:tc>
          <w:tcPr>
            <w:tcW w:w="1600" w:type="dxa"/>
            <w:vAlign w:val="bottom"/>
            <w:tcBorders>
              <w:bottom w:val="single" w:sz="8" w:color="auto"/>
            </w:tcBorders>
          </w:tcPr>
          <w:p>
            <w:pPr>
              <w:jc w:val="right"/>
              <w:ind w:right="490"/>
              <w:spacing w:after="0"/>
              <w:rPr>
                <w:sz w:val="20"/>
                <w:szCs w:val="20"/>
                <w:color w:val="auto"/>
              </w:rPr>
            </w:pPr>
            <w:r>
              <w:rPr>
                <w:rFonts w:ascii="Arial" w:cs="Arial" w:eastAsia="Arial" w:hAnsi="Arial"/>
                <w:sz w:val="18"/>
                <w:szCs w:val="18"/>
                <w:b w:val="1"/>
                <w:bCs w:val="1"/>
                <w:color w:val="auto"/>
                <w:w w:val="91"/>
              </w:rPr>
              <w:t>Adjustments</w:t>
            </w:r>
          </w:p>
        </w:tc>
        <w:tc>
          <w:tcPr>
            <w:tcW w:w="880" w:type="dxa"/>
            <w:vAlign w:val="bottom"/>
            <w:tcBorders>
              <w:bottom w:val="single" w:sz="8" w:color="auto"/>
            </w:tcBorders>
          </w:tcPr>
          <w:p>
            <w:pPr>
              <w:spacing w:after="0"/>
              <w:rPr>
                <w:sz w:val="21"/>
                <w:szCs w:val="21"/>
                <w:color w:val="auto"/>
              </w:rPr>
            </w:pPr>
          </w:p>
        </w:tc>
        <w:tc>
          <w:tcPr>
            <w:tcW w:w="440" w:type="dxa"/>
            <w:vAlign w:val="bottom"/>
            <w:tcBorders>
              <w:bottom w:val="single" w:sz="8" w:color="auto"/>
            </w:tcBorders>
          </w:tcPr>
          <w:p>
            <w:pPr>
              <w:spacing w:after="0"/>
              <w:rPr>
                <w:sz w:val="21"/>
                <w:szCs w:val="21"/>
                <w:color w:val="auto"/>
              </w:rPr>
            </w:pPr>
          </w:p>
        </w:tc>
        <w:tc>
          <w:tcPr>
            <w:tcW w:w="1180" w:type="dxa"/>
            <w:vAlign w:val="bottom"/>
            <w:tcBorders>
              <w:bottom w:val="single" w:sz="8" w:color="auto"/>
            </w:tcBorders>
          </w:tcPr>
          <w:p>
            <w:pPr>
              <w:jc w:val="right"/>
              <w:ind w:right="190"/>
              <w:spacing w:after="0"/>
              <w:rPr>
                <w:sz w:val="20"/>
                <w:szCs w:val="20"/>
                <w:color w:val="auto"/>
              </w:rPr>
            </w:pPr>
            <w:r>
              <w:rPr>
                <w:rFonts w:ascii="Arial" w:cs="Arial" w:eastAsia="Arial" w:hAnsi="Arial"/>
                <w:sz w:val="18"/>
                <w:szCs w:val="18"/>
                <w:b w:val="1"/>
                <w:bCs w:val="1"/>
                <w:color w:val="auto"/>
                <w:w w:val="97"/>
              </w:rPr>
              <w:t>Pro Forma</w:t>
            </w:r>
          </w:p>
        </w:tc>
      </w:tr>
      <w:tr>
        <w:trPr>
          <w:trHeight w:val="210"/>
        </w:trPr>
        <w:tc>
          <w:tcPr>
            <w:tcW w:w="464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ASSETS</w:t>
            </w:r>
          </w:p>
        </w:tc>
        <w:tc>
          <w:tcPr>
            <w:tcW w:w="900" w:type="dxa"/>
            <w:vAlign w:val="bottom"/>
            <w:shd w:val="clear" w:color="auto" w:fill="CCEEFF"/>
          </w:tcPr>
          <w:p>
            <w:pPr>
              <w:spacing w:after="0"/>
              <w:rPr>
                <w:sz w:val="18"/>
                <w:szCs w:val="18"/>
                <w:color w:val="auto"/>
              </w:rPr>
            </w:pPr>
          </w:p>
        </w:tc>
        <w:tc>
          <w:tcPr>
            <w:tcW w:w="136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60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180" w:type="dxa"/>
            <w:vAlign w:val="bottom"/>
            <w:shd w:val="clear" w:color="auto" w:fill="CCEEFF"/>
          </w:tcPr>
          <w:p>
            <w:pPr>
              <w:spacing w:after="0"/>
              <w:rPr>
                <w:sz w:val="18"/>
                <w:szCs w:val="18"/>
                <w:color w:val="auto"/>
              </w:rPr>
            </w:pPr>
          </w:p>
        </w:tc>
      </w:tr>
      <w:tr>
        <w:trPr>
          <w:trHeight w:val="216"/>
        </w:trPr>
        <w:tc>
          <w:tcPr>
            <w:tcW w:w="4640" w:type="dxa"/>
            <w:vAlign w:val="bottom"/>
            <w:gridSpan w:val="2"/>
          </w:tcPr>
          <w:p>
            <w:pPr>
              <w:spacing w:after="0"/>
              <w:rPr>
                <w:sz w:val="20"/>
                <w:szCs w:val="20"/>
                <w:color w:val="auto"/>
              </w:rPr>
            </w:pPr>
            <w:r>
              <w:rPr>
                <w:rFonts w:ascii="Arial" w:cs="Arial" w:eastAsia="Arial" w:hAnsi="Arial"/>
                <w:sz w:val="18"/>
                <w:szCs w:val="18"/>
                <w:color w:val="auto"/>
              </w:rPr>
              <w:t>Current Assets</w:t>
            </w:r>
          </w:p>
        </w:tc>
        <w:tc>
          <w:tcPr>
            <w:tcW w:w="90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60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180" w:type="dxa"/>
            <w:vAlign w:val="bottom"/>
          </w:tcPr>
          <w:p>
            <w:pPr>
              <w:spacing w:after="0"/>
              <w:rPr>
                <w:sz w:val="18"/>
                <w:szCs w:val="18"/>
                <w:color w:val="auto"/>
              </w:rPr>
            </w:pPr>
          </w:p>
        </w:tc>
      </w:tr>
      <w:tr>
        <w:trPr>
          <w:trHeight w:val="216"/>
        </w:trPr>
        <w:tc>
          <w:tcPr>
            <w:tcW w:w="46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Cash and cash equivalents</w:t>
            </w: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360" w:type="dxa"/>
            <w:vAlign w:val="bottom"/>
            <w:shd w:val="clear" w:color="auto" w:fill="CCEEFF"/>
          </w:tcPr>
          <w:p>
            <w:pPr>
              <w:jc w:val="right"/>
              <w:ind w:right="270"/>
              <w:spacing w:after="0"/>
              <w:rPr>
                <w:sz w:val="20"/>
                <w:szCs w:val="20"/>
                <w:color w:val="auto"/>
              </w:rPr>
            </w:pPr>
            <w:r>
              <w:rPr>
                <w:rFonts w:ascii="Arial" w:cs="Arial" w:eastAsia="Arial" w:hAnsi="Arial"/>
                <w:sz w:val="18"/>
                <w:szCs w:val="18"/>
                <w:color w:val="auto"/>
              </w:rPr>
              <w:t>—</w:t>
            </w: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0" w:type="dxa"/>
            <w:vAlign w:val="bottom"/>
            <w:shd w:val="clear" w:color="auto" w:fill="CCEEFF"/>
          </w:tcPr>
          <w:p>
            <w:pPr>
              <w:jc w:val="right"/>
              <w:ind w:right="290"/>
              <w:spacing w:after="0"/>
              <w:rPr>
                <w:sz w:val="20"/>
                <w:szCs w:val="20"/>
                <w:color w:val="auto"/>
              </w:rPr>
            </w:pPr>
            <w:r>
              <w:rPr>
                <w:rFonts w:ascii="Arial" w:cs="Arial" w:eastAsia="Arial" w:hAnsi="Arial"/>
                <w:sz w:val="18"/>
                <w:szCs w:val="18"/>
                <w:color w:val="auto"/>
              </w:rPr>
              <w:t>50.0</w:t>
            </w:r>
          </w:p>
        </w:tc>
        <w:tc>
          <w:tcPr>
            <w:tcW w:w="880" w:type="dxa"/>
            <w:vAlign w:val="bottom"/>
            <w:shd w:val="clear" w:color="auto" w:fill="CCEEFF"/>
          </w:tcPr>
          <w:p>
            <w:pPr>
              <w:jc w:val="right"/>
              <w:ind w:right="210"/>
              <w:spacing w:after="0"/>
              <w:rPr>
                <w:sz w:val="20"/>
                <w:szCs w:val="20"/>
                <w:color w:val="auto"/>
              </w:rPr>
            </w:pPr>
            <w:r>
              <w:rPr>
                <w:rFonts w:ascii="Arial" w:cs="Arial" w:eastAsia="Arial" w:hAnsi="Arial"/>
                <w:sz w:val="18"/>
                <w:szCs w:val="18"/>
                <w:color w:val="auto"/>
              </w:rPr>
              <w:t>(F)</w:t>
            </w: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8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50.0</w:t>
            </w:r>
          </w:p>
        </w:tc>
      </w:tr>
      <w:tr>
        <w:trPr>
          <w:trHeight w:val="216"/>
        </w:trPr>
        <w:tc>
          <w:tcPr>
            <w:tcW w:w="4640" w:type="dxa"/>
            <w:vAlign w:val="bottom"/>
            <w:gridSpan w:val="2"/>
          </w:tcPr>
          <w:p>
            <w:pPr>
              <w:spacing w:after="0"/>
              <w:rPr>
                <w:sz w:val="20"/>
                <w:szCs w:val="20"/>
                <w:color w:val="auto"/>
              </w:rPr>
            </w:pPr>
            <w:r>
              <w:rPr>
                <w:rFonts w:ascii="Arial" w:cs="Arial" w:eastAsia="Arial" w:hAnsi="Arial"/>
                <w:sz w:val="18"/>
                <w:szCs w:val="18"/>
                <w:color w:val="auto"/>
              </w:rPr>
              <w:t>Accounts receivable, net</w:t>
            </w:r>
          </w:p>
        </w:tc>
        <w:tc>
          <w:tcPr>
            <w:tcW w:w="900" w:type="dxa"/>
            <w:vAlign w:val="bottom"/>
          </w:tcPr>
          <w:p>
            <w:pPr>
              <w:spacing w:after="0"/>
              <w:rPr>
                <w:sz w:val="18"/>
                <w:szCs w:val="18"/>
                <w:color w:val="auto"/>
              </w:rPr>
            </w:pPr>
          </w:p>
        </w:tc>
        <w:tc>
          <w:tcPr>
            <w:tcW w:w="1360" w:type="dxa"/>
            <w:vAlign w:val="bottom"/>
          </w:tcPr>
          <w:p>
            <w:pPr>
              <w:jc w:val="right"/>
              <w:ind w:right="270"/>
              <w:spacing w:after="0"/>
              <w:rPr>
                <w:sz w:val="20"/>
                <w:szCs w:val="20"/>
                <w:color w:val="auto"/>
              </w:rPr>
            </w:pPr>
            <w:r>
              <w:rPr>
                <w:rFonts w:ascii="Arial" w:cs="Arial" w:eastAsia="Arial" w:hAnsi="Arial"/>
                <w:sz w:val="18"/>
                <w:szCs w:val="18"/>
                <w:color w:val="auto"/>
              </w:rPr>
              <w:t>150.0</w:t>
            </w:r>
          </w:p>
        </w:tc>
        <w:tc>
          <w:tcPr>
            <w:tcW w:w="420" w:type="dxa"/>
            <w:vAlign w:val="bottom"/>
          </w:tcPr>
          <w:p>
            <w:pPr>
              <w:spacing w:after="0"/>
              <w:rPr>
                <w:sz w:val="18"/>
                <w:szCs w:val="18"/>
                <w:color w:val="auto"/>
              </w:rPr>
            </w:pPr>
          </w:p>
        </w:tc>
        <w:tc>
          <w:tcPr>
            <w:tcW w:w="1600" w:type="dxa"/>
            <w:vAlign w:val="bottom"/>
          </w:tcPr>
          <w:p>
            <w:pPr>
              <w:jc w:val="right"/>
              <w:ind w:right="310"/>
              <w:spacing w:after="0"/>
              <w:rPr>
                <w:sz w:val="20"/>
                <w:szCs w:val="20"/>
                <w:color w:val="auto"/>
              </w:rPr>
            </w:pPr>
            <w:r>
              <w:rPr>
                <w:rFonts w:ascii="Arial" w:cs="Arial" w:eastAsia="Arial" w:hAnsi="Arial"/>
                <w:sz w:val="18"/>
                <w:szCs w:val="18"/>
                <w:color w:val="auto"/>
              </w:rPr>
              <w:t>—</w:t>
            </w:r>
          </w:p>
        </w:tc>
        <w:tc>
          <w:tcPr>
            <w:tcW w:w="88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180" w:type="dxa"/>
            <w:vAlign w:val="bottom"/>
          </w:tcPr>
          <w:p>
            <w:pPr>
              <w:jc w:val="right"/>
              <w:ind w:right="10"/>
              <w:spacing w:after="0"/>
              <w:rPr>
                <w:sz w:val="20"/>
                <w:szCs w:val="20"/>
                <w:color w:val="auto"/>
              </w:rPr>
            </w:pPr>
            <w:r>
              <w:rPr>
                <w:rFonts w:ascii="Arial" w:cs="Arial" w:eastAsia="Arial" w:hAnsi="Arial"/>
                <w:sz w:val="18"/>
                <w:szCs w:val="18"/>
                <w:color w:val="auto"/>
              </w:rPr>
              <w:t>150.0</w:t>
            </w:r>
          </w:p>
        </w:tc>
      </w:tr>
      <w:tr>
        <w:trPr>
          <w:trHeight w:val="216"/>
        </w:trPr>
        <w:tc>
          <w:tcPr>
            <w:tcW w:w="46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Accounts receivable due from related party</w:t>
            </w:r>
          </w:p>
        </w:tc>
        <w:tc>
          <w:tcPr>
            <w:tcW w:w="900" w:type="dxa"/>
            <w:vAlign w:val="bottom"/>
            <w:shd w:val="clear" w:color="auto" w:fill="CCEEFF"/>
          </w:tcPr>
          <w:p>
            <w:pPr>
              <w:spacing w:after="0"/>
              <w:rPr>
                <w:sz w:val="18"/>
                <w:szCs w:val="18"/>
                <w:color w:val="auto"/>
              </w:rPr>
            </w:pPr>
          </w:p>
        </w:tc>
        <w:tc>
          <w:tcPr>
            <w:tcW w:w="1360" w:type="dxa"/>
            <w:vAlign w:val="bottom"/>
            <w:shd w:val="clear" w:color="auto" w:fill="CCEEFF"/>
          </w:tcPr>
          <w:p>
            <w:pPr>
              <w:jc w:val="right"/>
              <w:ind w:right="270"/>
              <w:spacing w:after="0"/>
              <w:rPr>
                <w:sz w:val="20"/>
                <w:szCs w:val="20"/>
                <w:color w:val="auto"/>
              </w:rPr>
            </w:pPr>
            <w:r>
              <w:rPr>
                <w:rFonts w:ascii="Arial" w:cs="Arial" w:eastAsia="Arial" w:hAnsi="Arial"/>
                <w:sz w:val="18"/>
                <w:szCs w:val="18"/>
                <w:color w:val="auto"/>
              </w:rPr>
              <w:t>28.5</w:t>
            </w:r>
          </w:p>
        </w:tc>
        <w:tc>
          <w:tcPr>
            <w:tcW w:w="420" w:type="dxa"/>
            <w:vAlign w:val="bottom"/>
            <w:shd w:val="clear" w:color="auto" w:fill="CCEEFF"/>
          </w:tcPr>
          <w:p>
            <w:pPr>
              <w:spacing w:after="0"/>
              <w:rPr>
                <w:sz w:val="18"/>
                <w:szCs w:val="18"/>
                <w:color w:val="auto"/>
              </w:rPr>
            </w:pPr>
          </w:p>
        </w:tc>
        <w:tc>
          <w:tcPr>
            <w:tcW w:w="1600" w:type="dxa"/>
            <w:vAlign w:val="bottom"/>
            <w:shd w:val="clear" w:color="auto" w:fill="CCEEFF"/>
          </w:tcPr>
          <w:p>
            <w:pPr>
              <w:jc w:val="right"/>
              <w:ind w:right="250"/>
              <w:spacing w:after="0"/>
              <w:rPr>
                <w:sz w:val="20"/>
                <w:szCs w:val="20"/>
                <w:color w:val="auto"/>
              </w:rPr>
            </w:pPr>
            <w:r>
              <w:rPr>
                <w:rFonts w:ascii="Arial" w:cs="Arial" w:eastAsia="Arial" w:hAnsi="Arial"/>
                <w:sz w:val="18"/>
                <w:szCs w:val="18"/>
                <w:color w:val="auto"/>
              </w:rPr>
              <w:t>(15.5)</w:t>
            </w:r>
          </w:p>
        </w:tc>
        <w:tc>
          <w:tcPr>
            <w:tcW w:w="880" w:type="dxa"/>
            <w:vAlign w:val="bottom"/>
            <w:shd w:val="clear" w:color="auto" w:fill="CCEEFF"/>
          </w:tcPr>
          <w:p>
            <w:pPr>
              <w:jc w:val="right"/>
              <w:ind w:right="210"/>
              <w:spacing w:after="0"/>
              <w:rPr>
                <w:sz w:val="20"/>
                <w:szCs w:val="20"/>
                <w:color w:val="auto"/>
              </w:rPr>
            </w:pPr>
            <w:r>
              <w:rPr>
                <w:rFonts w:ascii="Arial" w:cs="Arial" w:eastAsia="Arial" w:hAnsi="Arial"/>
                <w:sz w:val="18"/>
                <w:szCs w:val="18"/>
                <w:color w:val="auto"/>
              </w:rPr>
              <w:t>(G)</w:t>
            </w:r>
          </w:p>
        </w:tc>
        <w:tc>
          <w:tcPr>
            <w:tcW w:w="440" w:type="dxa"/>
            <w:vAlign w:val="bottom"/>
            <w:shd w:val="clear" w:color="auto" w:fill="CCEEFF"/>
          </w:tcPr>
          <w:p>
            <w:pPr>
              <w:spacing w:after="0"/>
              <w:rPr>
                <w:sz w:val="18"/>
                <w:szCs w:val="18"/>
                <w:color w:val="auto"/>
              </w:rPr>
            </w:pPr>
          </w:p>
        </w:tc>
        <w:tc>
          <w:tcPr>
            <w:tcW w:w="118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13.0</w:t>
            </w:r>
          </w:p>
        </w:tc>
      </w:tr>
      <w:tr>
        <w:trPr>
          <w:trHeight w:val="216"/>
        </w:trPr>
        <w:tc>
          <w:tcPr>
            <w:tcW w:w="4640" w:type="dxa"/>
            <w:vAlign w:val="bottom"/>
            <w:gridSpan w:val="2"/>
          </w:tcPr>
          <w:p>
            <w:pPr>
              <w:spacing w:after="0"/>
              <w:rPr>
                <w:sz w:val="20"/>
                <w:szCs w:val="20"/>
                <w:color w:val="auto"/>
              </w:rPr>
            </w:pPr>
            <w:r>
              <w:rPr>
                <w:rFonts w:ascii="Arial" w:cs="Arial" w:eastAsia="Arial" w:hAnsi="Arial"/>
                <w:sz w:val="18"/>
                <w:szCs w:val="18"/>
                <w:color w:val="auto"/>
              </w:rPr>
              <w:t>Inventories, net</w:t>
            </w:r>
          </w:p>
        </w:tc>
        <w:tc>
          <w:tcPr>
            <w:tcW w:w="900" w:type="dxa"/>
            <w:vAlign w:val="bottom"/>
          </w:tcPr>
          <w:p>
            <w:pPr>
              <w:spacing w:after="0"/>
              <w:rPr>
                <w:sz w:val="18"/>
                <w:szCs w:val="18"/>
                <w:color w:val="auto"/>
              </w:rPr>
            </w:pPr>
          </w:p>
        </w:tc>
        <w:tc>
          <w:tcPr>
            <w:tcW w:w="1360" w:type="dxa"/>
            <w:vAlign w:val="bottom"/>
          </w:tcPr>
          <w:p>
            <w:pPr>
              <w:jc w:val="right"/>
              <w:ind w:right="270"/>
              <w:spacing w:after="0"/>
              <w:rPr>
                <w:sz w:val="20"/>
                <w:szCs w:val="20"/>
                <w:color w:val="auto"/>
              </w:rPr>
            </w:pPr>
            <w:r>
              <w:rPr>
                <w:rFonts w:ascii="Arial" w:cs="Arial" w:eastAsia="Arial" w:hAnsi="Arial"/>
                <w:sz w:val="18"/>
                <w:szCs w:val="18"/>
                <w:color w:val="auto"/>
              </w:rPr>
              <w:t>229.3</w:t>
            </w:r>
          </w:p>
        </w:tc>
        <w:tc>
          <w:tcPr>
            <w:tcW w:w="420" w:type="dxa"/>
            <w:vAlign w:val="bottom"/>
          </w:tcPr>
          <w:p>
            <w:pPr>
              <w:spacing w:after="0"/>
              <w:rPr>
                <w:sz w:val="18"/>
                <w:szCs w:val="18"/>
                <w:color w:val="auto"/>
              </w:rPr>
            </w:pPr>
          </w:p>
        </w:tc>
        <w:tc>
          <w:tcPr>
            <w:tcW w:w="1600" w:type="dxa"/>
            <w:vAlign w:val="bottom"/>
          </w:tcPr>
          <w:p>
            <w:pPr>
              <w:jc w:val="right"/>
              <w:ind w:right="310"/>
              <w:spacing w:after="0"/>
              <w:rPr>
                <w:sz w:val="20"/>
                <w:szCs w:val="20"/>
                <w:color w:val="auto"/>
              </w:rPr>
            </w:pPr>
            <w:r>
              <w:rPr>
                <w:rFonts w:ascii="Arial" w:cs="Arial" w:eastAsia="Arial" w:hAnsi="Arial"/>
                <w:sz w:val="18"/>
                <w:szCs w:val="18"/>
                <w:color w:val="auto"/>
              </w:rPr>
              <w:t>—</w:t>
            </w:r>
          </w:p>
        </w:tc>
        <w:tc>
          <w:tcPr>
            <w:tcW w:w="88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180" w:type="dxa"/>
            <w:vAlign w:val="bottom"/>
          </w:tcPr>
          <w:p>
            <w:pPr>
              <w:jc w:val="right"/>
              <w:ind w:right="10"/>
              <w:spacing w:after="0"/>
              <w:rPr>
                <w:sz w:val="20"/>
                <w:szCs w:val="20"/>
                <w:color w:val="auto"/>
              </w:rPr>
            </w:pPr>
            <w:r>
              <w:rPr>
                <w:rFonts w:ascii="Arial" w:cs="Arial" w:eastAsia="Arial" w:hAnsi="Arial"/>
                <w:sz w:val="18"/>
                <w:szCs w:val="18"/>
                <w:color w:val="auto"/>
              </w:rPr>
              <w:t>229.3</w:t>
            </w:r>
          </w:p>
        </w:tc>
      </w:tr>
      <w:tr>
        <w:trPr>
          <w:trHeight w:val="216"/>
        </w:trPr>
        <w:tc>
          <w:tcPr>
            <w:tcW w:w="46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Deferred income taxes</w:t>
            </w:r>
          </w:p>
        </w:tc>
        <w:tc>
          <w:tcPr>
            <w:tcW w:w="900" w:type="dxa"/>
            <w:vAlign w:val="bottom"/>
            <w:shd w:val="clear" w:color="auto" w:fill="CCEEFF"/>
          </w:tcPr>
          <w:p>
            <w:pPr>
              <w:spacing w:after="0"/>
              <w:rPr>
                <w:sz w:val="18"/>
                <w:szCs w:val="18"/>
                <w:color w:val="auto"/>
              </w:rPr>
            </w:pPr>
          </w:p>
        </w:tc>
        <w:tc>
          <w:tcPr>
            <w:tcW w:w="1360" w:type="dxa"/>
            <w:vAlign w:val="bottom"/>
            <w:shd w:val="clear" w:color="auto" w:fill="CCEEFF"/>
          </w:tcPr>
          <w:p>
            <w:pPr>
              <w:jc w:val="right"/>
              <w:ind w:right="270"/>
              <w:spacing w:after="0"/>
              <w:rPr>
                <w:sz w:val="20"/>
                <w:szCs w:val="20"/>
                <w:color w:val="auto"/>
              </w:rPr>
            </w:pPr>
            <w:r>
              <w:rPr>
                <w:rFonts w:ascii="Arial" w:cs="Arial" w:eastAsia="Arial" w:hAnsi="Arial"/>
                <w:sz w:val="18"/>
                <w:szCs w:val="18"/>
                <w:color w:val="auto"/>
              </w:rPr>
              <w:t>1.7</w:t>
            </w:r>
          </w:p>
        </w:tc>
        <w:tc>
          <w:tcPr>
            <w:tcW w:w="420" w:type="dxa"/>
            <w:vAlign w:val="bottom"/>
            <w:shd w:val="clear" w:color="auto" w:fill="CCEEFF"/>
          </w:tcPr>
          <w:p>
            <w:pPr>
              <w:spacing w:after="0"/>
              <w:rPr>
                <w:sz w:val="18"/>
                <w:szCs w:val="18"/>
                <w:color w:val="auto"/>
              </w:rPr>
            </w:pPr>
          </w:p>
        </w:tc>
        <w:tc>
          <w:tcPr>
            <w:tcW w:w="1600" w:type="dxa"/>
            <w:vAlign w:val="bottom"/>
            <w:shd w:val="clear" w:color="auto" w:fill="CCEEFF"/>
          </w:tcPr>
          <w:p>
            <w:pPr>
              <w:jc w:val="right"/>
              <w:ind w:right="310"/>
              <w:spacing w:after="0"/>
              <w:rPr>
                <w:sz w:val="20"/>
                <w:szCs w:val="20"/>
                <w:color w:val="auto"/>
              </w:rPr>
            </w:pPr>
            <w:r>
              <w:rPr>
                <w:rFonts w:ascii="Arial" w:cs="Arial" w:eastAsia="Arial" w:hAnsi="Arial"/>
                <w:sz w:val="18"/>
                <w:szCs w:val="18"/>
                <w:color w:val="auto"/>
              </w:rPr>
              <w:t>—</w:t>
            </w:r>
          </w:p>
        </w:tc>
        <w:tc>
          <w:tcPr>
            <w:tcW w:w="88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18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1.7</w:t>
            </w:r>
          </w:p>
        </w:tc>
      </w:tr>
      <w:tr>
        <w:trPr>
          <w:trHeight w:val="216"/>
        </w:trPr>
        <w:tc>
          <w:tcPr>
            <w:tcW w:w="4640" w:type="dxa"/>
            <w:vAlign w:val="bottom"/>
            <w:gridSpan w:val="2"/>
          </w:tcPr>
          <w:p>
            <w:pPr>
              <w:spacing w:after="0"/>
              <w:rPr>
                <w:sz w:val="20"/>
                <w:szCs w:val="20"/>
                <w:color w:val="auto"/>
              </w:rPr>
            </w:pPr>
            <w:r>
              <w:rPr>
                <w:rFonts w:ascii="Arial" w:cs="Arial" w:eastAsia="Arial" w:hAnsi="Arial"/>
                <w:sz w:val="18"/>
                <w:szCs w:val="18"/>
                <w:color w:val="auto"/>
              </w:rPr>
              <w:t>Deferred charges and prepaid expenses</w:t>
            </w:r>
          </w:p>
        </w:tc>
        <w:tc>
          <w:tcPr>
            <w:tcW w:w="900" w:type="dxa"/>
            <w:vAlign w:val="bottom"/>
          </w:tcPr>
          <w:p>
            <w:pPr>
              <w:spacing w:after="0"/>
              <w:rPr>
                <w:sz w:val="18"/>
                <w:szCs w:val="18"/>
                <w:color w:val="auto"/>
              </w:rPr>
            </w:pPr>
          </w:p>
        </w:tc>
        <w:tc>
          <w:tcPr>
            <w:tcW w:w="1360" w:type="dxa"/>
            <w:vAlign w:val="bottom"/>
          </w:tcPr>
          <w:p>
            <w:pPr>
              <w:jc w:val="right"/>
              <w:ind w:right="270"/>
              <w:spacing w:after="0"/>
              <w:rPr>
                <w:sz w:val="20"/>
                <w:szCs w:val="20"/>
                <w:color w:val="auto"/>
              </w:rPr>
            </w:pPr>
            <w:r>
              <w:rPr>
                <w:rFonts w:ascii="Arial" w:cs="Arial" w:eastAsia="Arial" w:hAnsi="Arial"/>
                <w:sz w:val="18"/>
                <w:szCs w:val="18"/>
                <w:color w:val="auto"/>
              </w:rPr>
              <w:t>0.7</w:t>
            </w:r>
          </w:p>
        </w:tc>
        <w:tc>
          <w:tcPr>
            <w:tcW w:w="420" w:type="dxa"/>
            <w:vAlign w:val="bottom"/>
          </w:tcPr>
          <w:p>
            <w:pPr>
              <w:spacing w:after="0"/>
              <w:rPr>
                <w:sz w:val="18"/>
                <w:szCs w:val="18"/>
                <w:color w:val="auto"/>
              </w:rPr>
            </w:pPr>
          </w:p>
        </w:tc>
        <w:tc>
          <w:tcPr>
            <w:tcW w:w="1600" w:type="dxa"/>
            <w:vAlign w:val="bottom"/>
          </w:tcPr>
          <w:p>
            <w:pPr>
              <w:jc w:val="right"/>
              <w:ind w:right="310"/>
              <w:spacing w:after="0"/>
              <w:rPr>
                <w:sz w:val="20"/>
                <w:szCs w:val="20"/>
                <w:color w:val="auto"/>
              </w:rPr>
            </w:pPr>
            <w:r>
              <w:rPr>
                <w:rFonts w:ascii="Arial" w:cs="Arial" w:eastAsia="Arial" w:hAnsi="Arial"/>
                <w:sz w:val="18"/>
                <w:szCs w:val="18"/>
                <w:color w:val="auto"/>
              </w:rPr>
              <w:t>—</w:t>
            </w:r>
          </w:p>
        </w:tc>
        <w:tc>
          <w:tcPr>
            <w:tcW w:w="88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180" w:type="dxa"/>
            <w:vAlign w:val="bottom"/>
          </w:tcPr>
          <w:p>
            <w:pPr>
              <w:jc w:val="right"/>
              <w:ind w:right="10"/>
              <w:spacing w:after="0"/>
              <w:rPr>
                <w:sz w:val="20"/>
                <w:szCs w:val="20"/>
                <w:color w:val="auto"/>
              </w:rPr>
            </w:pPr>
            <w:r>
              <w:rPr>
                <w:rFonts w:ascii="Arial" w:cs="Arial" w:eastAsia="Arial" w:hAnsi="Arial"/>
                <w:sz w:val="18"/>
                <w:szCs w:val="18"/>
                <w:color w:val="auto"/>
              </w:rPr>
              <w:t>0.7</w:t>
            </w:r>
          </w:p>
        </w:tc>
      </w:tr>
      <w:tr>
        <w:trPr>
          <w:trHeight w:val="216"/>
        </w:trPr>
        <w:tc>
          <w:tcPr>
            <w:tcW w:w="4640" w:type="dxa"/>
            <w:vAlign w:val="bottom"/>
            <w:tcBorders>
              <w:bottom w:val="single" w:sz="8" w:color="auto"/>
            </w:tcBorders>
            <w:gridSpan w:val="2"/>
            <w:shd w:val="clear" w:color="auto" w:fill="CCEEFF"/>
          </w:tcPr>
          <w:p>
            <w:pPr>
              <w:spacing w:after="0"/>
              <w:rPr>
                <w:sz w:val="20"/>
                <w:szCs w:val="20"/>
                <w:color w:val="auto"/>
              </w:rPr>
            </w:pPr>
            <w:r>
              <w:rPr>
                <w:rFonts w:ascii="Arial" w:cs="Arial" w:eastAsia="Arial" w:hAnsi="Arial"/>
                <w:sz w:val="18"/>
                <w:szCs w:val="18"/>
                <w:color w:val="auto"/>
              </w:rPr>
              <w:t>Other current assets</w:t>
            </w:r>
          </w:p>
        </w:tc>
        <w:tc>
          <w:tcPr>
            <w:tcW w:w="900" w:type="dxa"/>
            <w:vAlign w:val="bottom"/>
            <w:tcBorders>
              <w:bottom w:val="single" w:sz="8" w:color="auto"/>
            </w:tcBorders>
            <w:shd w:val="clear" w:color="auto" w:fill="CCEEFF"/>
          </w:tcPr>
          <w:p>
            <w:pPr>
              <w:spacing w:after="0"/>
              <w:rPr>
                <w:sz w:val="18"/>
                <w:szCs w:val="18"/>
                <w:color w:val="auto"/>
              </w:rPr>
            </w:pPr>
          </w:p>
        </w:tc>
        <w:tc>
          <w:tcPr>
            <w:tcW w:w="1360" w:type="dxa"/>
            <w:vAlign w:val="bottom"/>
            <w:tcBorders>
              <w:bottom w:val="single" w:sz="8" w:color="auto"/>
            </w:tcBorders>
            <w:shd w:val="clear" w:color="auto" w:fill="CCEEFF"/>
          </w:tcPr>
          <w:p>
            <w:pPr>
              <w:jc w:val="right"/>
              <w:ind w:right="270"/>
              <w:spacing w:after="0"/>
              <w:rPr>
                <w:sz w:val="20"/>
                <w:szCs w:val="20"/>
                <w:color w:val="auto"/>
              </w:rPr>
            </w:pPr>
            <w:r>
              <w:rPr>
                <w:rFonts w:ascii="Arial" w:cs="Arial" w:eastAsia="Arial" w:hAnsi="Arial"/>
                <w:sz w:val="18"/>
                <w:szCs w:val="18"/>
                <w:color w:val="auto"/>
              </w:rPr>
              <w:t>3.0</w:t>
            </w:r>
          </w:p>
        </w:tc>
        <w:tc>
          <w:tcPr>
            <w:tcW w:w="420" w:type="dxa"/>
            <w:vAlign w:val="bottom"/>
            <w:tcBorders>
              <w:bottom w:val="single" w:sz="8" w:color="auto"/>
            </w:tcBorders>
            <w:shd w:val="clear" w:color="auto" w:fill="CCEEFF"/>
          </w:tcPr>
          <w:p>
            <w:pPr>
              <w:spacing w:after="0"/>
              <w:rPr>
                <w:sz w:val="18"/>
                <w:szCs w:val="18"/>
                <w:color w:val="auto"/>
              </w:rPr>
            </w:pPr>
          </w:p>
        </w:tc>
        <w:tc>
          <w:tcPr>
            <w:tcW w:w="1600" w:type="dxa"/>
            <w:vAlign w:val="bottom"/>
            <w:tcBorders>
              <w:bottom w:val="single" w:sz="8" w:color="auto"/>
            </w:tcBorders>
            <w:shd w:val="clear" w:color="auto" w:fill="CCEEFF"/>
          </w:tcPr>
          <w:p>
            <w:pPr>
              <w:jc w:val="right"/>
              <w:ind w:right="310"/>
              <w:spacing w:after="0"/>
              <w:rPr>
                <w:sz w:val="20"/>
                <w:szCs w:val="20"/>
                <w:color w:val="auto"/>
              </w:rPr>
            </w:pPr>
            <w:r>
              <w:rPr>
                <w:rFonts w:ascii="Arial" w:cs="Arial" w:eastAsia="Arial" w:hAnsi="Arial"/>
                <w:sz w:val="18"/>
                <w:szCs w:val="18"/>
                <w:color w:val="auto"/>
              </w:rPr>
              <w:t>—</w:t>
            </w:r>
          </w:p>
        </w:tc>
        <w:tc>
          <w:tcPr>
            <w:tcW w:w="880" w:type="dxa"/>
            <w:vAlign w:val="bottom"/>
            <w:tcBorders>
              <w:bottom w:val="single" w:sz="8" w:color="auto"/>
            </w:tcBorders>
            <w:shd w:val="clear" w:color="auto" w:fill="CCEEFF"/>
          </w:tcPr>
          <w:p>
            <w:pPr>
              <w:spacing w:after="0"/>
              <w:rPr>
                <w:sz w:val="18"/>
                <w:szCs w:val="18"/>
                <w:color w:val="auto"/>
              </w:rPr>
            </w:pPr>
          </w:p>
        </w:tc>
        <w:tc>
          <w:tcPr>
            <w:tcW w:w="440" w:type="dxa"/>
            <w:vAlign w:val="bottom"/>
            <w:tcBorders>
              <w:bottom w:val="single" w:sz="8" w:color="auto"/>
            </w:tcBorders>
            <w:shd w:val="clear" w:color="auto" w:fill="CCEEFF"/>
          </w:tcPr>
          <w:p>
            <w:pPr>
              <w:spacing w:after="0"/>
              <w:rPr>
                <w:sz w:val="18"/>
                <w:szCs w:val="18"/>
                <w:color w:val="auto"/>
              </w:rPr>
            </w:pPr>
          </w:p>
        </w:tc>
        <w:tc>
          <w:tcPr>
            <w:tcW w:w="118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3.0</w:t>
            </w:r>
          </w:p>
        </w:tc>
      </w:tr>
      <w:tr>
        <w:trPr>
          <w:trHeight w:val="210"/>
        </w:trPr>
        <w:tc>
          <w:tcPr>
            <w:tcW w:w="4640" w:type="dxa"/>
            <w:vAlign w:val="bottom"/>
            <w:gridSpan w:val="2"/>
          </w:tcPr>
          <w:p>
            <w:pPr>
              <w:ind w:left="360"/>
              <w:spacing w:after="0"/>
              <w:rPr>
                <w:sz w:val="20"/>
                <w:szCs w:val="20"/>
                <w:color w:val="auto"/>
              </w:rPr>
            </w:pPr>
            <w:r>
              <w:rPr>
                <w:rFonts w:ascii="Arial" w:cs="Arial" w:eastAsia="Arial" w:hAnsi="Arial"/>
                <w:sz w:val="18"/>
                <w:szCs w:val="18"/>
                <w:b w:val="1"/>
                <w:bCs w:val="1"/>
                <w:color w:val="auto"/>
              </w:rPr>
              <w:t>Total Current Assets</w:t>
            </w:r>
          </w:p>
        </w:tc>
        <w:tc>
          <w:tcPr>
            <w:tcW w:w="900" w:type="dxa"/>
            <w:vAlign w:val="bottom"/>
          </w:tcPr>
          <w:p>
            <w:pPr>
              <w:spacing w:after="0"/>
              <w:rPr>
                <w:sz w:val="18"/>
                <w:szCs w:val="18"/>
                <w:color w:val="auto"/>
              </w:rPr>
            </w:pPr>
          </w:p>
        </w:tc>
        <w:tc>
          <w:tcPr>
            <w:tcW w:w="1360" w:type="dxa"/>
            <w:vAlign w:val="bottom"/>
          </w:tcPr>
          <w:p>
            <w:pPr>
              <w:jc w:val="right"/>
              <w:ind w:right="270"/>
              <w:spacing w:after="0"/>
              <w:rPr>
                <w:sz w:val="20"/>
                <w:szCs w:val="20"/>
                <w:color w:val="auto"/>
              </w:rPr>
            </w:pPr>
            <w:r>
              <w:rPr>
                <w:rFonts w:ascii="Arial" w:cs="Arial" w:eastAsia="Arial" w:hAnsi="Arial"/>
                <w:sz w:val="18"/>
                <w:szCs w:val="18"/>
                <w:color w:val="auto"/>
              </w:rPr>
              <w:t>413.2</w:t>
            </w:r>
          </w:p>
        </w:tc>
        <w:tc>
          <w:tcPr>
            <w:tcW w:w="420" w:type="dxa"/>
            <w:vAlign w:val="bottom"/>
          </w:tcPr>
          <w:p>
            <w:pPr>
              <w:spacing w:after="0"/>
              <w:rPr>
                <w:sz w:val="18"/>
                <w:szCs w:val="18"/>
                <w:color w:val="auto"/>
              </w:rPr>
            </w:pPr>
          </w:p>
        </w:tc>
        <w:tc>
          <w:tcPr>
            <w:tcW w:w="1600" w:type="dxa"/>
            <w:vAlign w:val="bottom"/>
          </w:tcPr>
          <w:p>
            <w:pPr>
              <w:jc w:val="right"/>
              <w:ind w:right="290"/>
              <w:spacing w:after="0"/>
              <w:rPr>
                <w:sz w:val="20"/>
                <w:szCs w:val="20"/>
                <w:color w:val="auto"/>
              </w:rPr>
            </w:pPr>
            <w:r>
              <w:rPr>
                <w:rFonts w:ascii="Arial" w:cs="Arial" w:eastAsia="Arial" w:hAnsi="Arial"/>
                <w:sz w:val="18"/>
                <w:szCs w:val="18"/>
                <w:color w:val="auto"/>
              </w:rPr>
              <w:t>34.5</w:t>
            </w:r>
          </w:p>
        </w:tc>
        <w:tc>
          <w:tcPr>
            <w:tcW w:w="88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180" w:type="dxa"/>
            <w:vAlign w:val="bottom"/>
          </w:tcPr>
          <w:p>
            <w:pPr>
              <w:jc w:val="right"/>
              <w:ind w:right="10"/>
              <w:spacing w:after="0"/>
              <w:rPr>
                <w:sz w:val="20"/>
                <w:szCs w:val="20"/>
                <w:color w:val="auto"/>
              </w:rPr>
            </w:pPr>
            <w:r>
              <w:rPr>
                <w:rFonts w:ascii="Arial" w:cs="Arial" w:eastAsia="Arial" w:hAnsi="Arial"/>
                <w:sz w:val="18"/>
                <w:szCs w:val="18"/>
                <w:color w:val="auto"/>
              </w:rPr>
              <w:t>447.7</w:t>
            </w:r>
          </w:p>
        </w:tc>
      </w:tr>
      <w:tr>
        <w:trPr>
          <w:trHeight w:val="216"/>
        </w:trPr>
        <w:tc>
          <w:tcPr>
            <w:tcW w:w="464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Property, Plant and Equipment, Net</w:t>
            </w:r>
          </w:p>
        </w:tc>
        <w:tc>
          <w:tcPr>
            <w:tcW w:w="900" w:type="dxa"/>
            <w:vAlign w:val="bottom"/>
            <w:shd w:val="clear" w:color="auto" w:fill="CCEEFF"/>
          </w:tcPr>
          <w:p>
            <w:pPr>
              <w:spacing w:after="0"/>
              <w:rPr>
                <w:sz w:val="18"/>
                <w:szCs w:val="18"/>
                <w:color w:val="auto"/>
              </w:rPr>
            </w:pPr>
          </w:p>
        </w:tc>
        <w:tc>
          <w:tcPr>
            <w:tcW w:w="1360" w:type="dxa"/>
            <w:vAlign w:val="bottom"/>
            <w:shd w:val="clear" w:color="auto" w:fill="CCEEFF"/>
          </w:tcPr>
          <w:p>
            <w:pPr>
              <w:jc w:val="right"/>
              <w:ind w:right="270"/>
              <w:spacing w:after="0"/>
              <w:rPr>
                <w:sz w:val="20"/>
                <w:szCs w:val="20"/>
                <w:color w:val="auto"/>
              </w:rPr>
            </w:pPr>
            <w:r>
              <w:rPr>
                <w:rFonts w:ascii="Arial" w:cs="Arial" w:eastAsia="Arial" w:hAnsi="Arial"/>
                <w:sz w:val="18"/>
                <w:szCs w:val="18"/>
                <w:color w:val="auto"/>
              </w:rPr>
              <w:t>701.0</w:t>
            </w:r>
          </w:p>
        </w:tc>
        <w:tc>
          <w:tcPr>
            <w:tcW w:w="420" w:type="dxa"/>
            <w:vAlign w:val="bottom"/>
            <w:shd w:val="clear" w:color="auto" w:fill="CCEEFF"/>
          </w:tcPr>
          <w:p>
            <w:pPr>
              <w:spacing w:after="0"/>
              <w:rPr>
                <w:sz w:val="18"/>
                <w:szCs w:val="18"/>
                <w:color w:val="auto"/>
              </w:rPr>
            </w:pPr>
          </w:p>
        </w:tc>
        <w:tc>
          <w:tcPr>
            <w:tcW w:w="1600" w:type="dxa"/>
            <w:vAlign w:val="bottom"/>
            <w:shd w:val="clear" w:color="auto" w:fill="CCEEFF"/>
          </w:tcPr>
          <w:p>
            <w:pPr>
              <w:jc w:val="right"/>
              <w:ind w:right="290"/>
              <w:spacing w:after="0"/>
              <w:rPr>
                <w:sz w:val="20"/>
                <w:szCs w:val="20"/>
                <w:color w:val="auto"/>
              </w:rPr>
            </w:pPr>
            <w:r>
              <w:rPr>
                <w:rFonts w:ascii="Arial" w:cs="Arial" w:eastAsia="Arial" w:hAnsi="Arial"/>
                <w:sz w:val="18"/>
                <w:szCs w:val="18"/>
                <w:color w:val="auto"/>
              </w:rPr>
              <w:t>19.9</w:t>
            </w:r>
          </w:p>
        </w:tc>
        <w:tc>
          <w:tcPr>
            <w:tcW w:w="880" w:type="dxa"/>
            <w:vAlign w:val="bottom"/>
            <w:shd w:val="clear" w:color="auto" w:fill="CCEEFF"/>
          </w:tcPr>
          <w:p>
            <w:pPr>
              <w:jc w:val="right"/>
              <w:ind w:right="210"/>
              <w:spacing w:after="0"/>
              <w:rPr>
                <w:sz w:val="20"/>
                <w:szCs w:val="20"/>
                <w:color w:val="auto"/>
              </w:rPr>
            </w:pPr>
            <w:r>
              <w:rPr>
                <w:rFonts w:ascii="Arial" w:cs="Arial" w:eastAsia="Arial" w:hAnsi="Arial"/>
                <w:sz w:val="18"/>
                <w:szCs w:val="18"/>
                <w:color w:val="auto"/>
              </w:rPr>
              <w:t>(A)</w:t>
            </w:r>
          </w:p>
        </w:tc>
        <w:tc>
          <w:tcPr>
            <w:tcW w:w="440" w:type="dxa"/>
            <w:vAlign w:val="bottom"/>
            <w:shd w:val="clear" w:color="auto" w:fill="CCEEFF"/>
          </w:tcPr>
          <w:p>
            <w:pPr>
              <w:spacing w:after="0"/>
              <w:rPr>
                <w:sz w:val="18"/>
                <w:szCs w:val="18"/>
                <w:color w:val="auto"/>
              </w:rPr>
            </w:pPr>
          </w:p>
        </w:tc>
        <w:tc>
          <w:tcPr>
            <w:tcW w:w="118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720.9</w:t>
            </w:r>
          </w:p>
        </w:tc>
      </w:tr>
      <w:tr>
        <w:trPr>
          <w:trHeight w:val="216"/>
        </w:trPr>
        <w:tc>
          <w:tcPr>
            <w:tcW w:w="4640" w:type="dxa"/>
            <w:vAlign w:val="bottom"/>
            <w:gridSpan w:val="2"/>
          </w:tcPr>
          <w:p>
            <w:pPr>
              <w:spacing w:after="0"/>
              <w:rPr>
                <w:sz w:val="20"/>
                <w:szCs w:val="20"/>
                <w:color w:val="auto"/>
              </w:rPr>
            </w:pPr>
            <w:r>
              <w:rPr>
                <w:rFonts w:ascii="Arial" w:cs="Arial" w:eastAsia="Arial" w:hAnsi="Arial"/>
                <w:sz w:val="18"/>
                <w:szCs w:val="18"/>
                <w:b w:val="1"/>
                <w:bCs w:val="1"/>
                <w:color w:val="auto"/>
              </w:rPr>
              <w:t>Other Assets</w:t>
            </w:r>
          </w:p>
        </w:tc>
        <w:tc>
          <w:tcPr>
            <w:tcW w:w="90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60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180" w:type="dxa"/>
            <w:vAlign w:val="bottom"/>
          </w:tcPr>
          <w:p>
            <w:pPr>
              <w:spacing w:after="0"/>
              <w:rPr>
                <w:sz w:val="18"/>
                <w:szCs w:val="18"/>
                <w:color w:val="auto"/>
              </w:rPr>
            </w:pPr>
          </w:p>
        </w:tc>
      </w:tr>
      <w:tr>
        <w:trPr>
          <w:trHeight w:val="216"/>
        </w:trPr>
        <w:tc>
          <w:tcPr>
            <w:tcW w:w="46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Intangible assets</w:t>
            </w:r>
          </w:p>
        </w:tc>
        <w:tc>
          <w:tcPr>
            <w:tcW w:w="900" w:type="dxa"/>
            <w:vAlign w:val="bottom"/>
            <w:shd w:val="clear" w:color="auto" w:fill="CCEEFF"/>
          </w:tcPr>
          <w:p>
            <w:pPr>
              <w:spacing w:after="0"/>
              <w:rPr>
                <w:sz w:val="18"/>
                <w:szCs w:val="18"/>
                <w:color w:val="auto"/>
              </w:rPr>
            </w:pPr>
          </w:p>
        </w:tc>
        <w:tc>
          <w:tcPr>
            <w:tcW w:w="1360" w:type="dxa"/>
            <w:vAlign w:val="bottom"/>
            <w:shd w:val="clear" w:color="auto" w:fill="CCEEFF"/>
          </w:tcPr>
          <w:p>
            <w:pPr>
              <w:jc w:val="right"/>
              <w:ind w:right="270"/>
              <w:spacing w:after="0"/>
              <w:rPr>
                <w:sz w:val="20"/>
                <w:szCs w:val="20"/>
                <w:color w:val="auto"/>
              </w:rPr>
            </w:pPr>
            <w:r>
              <w:rPr>
                <w:rFonts w:ascii="Arial" w:cs="Arial" w:eastAsia="Arial" w:hAnsi="Arial"/>
                <w:sz w:val="18"/>
                <w:szCs w:val="18"/>
                <w:color w:val="auto"/>
              </w:rPr>
              <w:t>11.0</w:t>
            </w:r>
          </w:p>
        </w:tc>
        <w:tc>
          <w:tcPr>
            <w:tcW w:w="420" w:type="dxa"/>
            <w:vAlign w:val="bottom"/>
            <w:shd w:val="clear" w:color="auto" w:fill="CCEEFF"/>
          </w:tcPr>
          <w:p>
            <w:pPr>
              <w:spacing w:after="0"/>
              <w:rPr>
                <w:sz w:val="18"/>
                <w:szCs w:val="18"/>
                <w:color w:val="auto"/>
              </w:rPr>
            </w:pPr>
          </w:p>
        </w:tc>
        <w:tc>
          <w:tcPr>
            <w:tcW w:w="1600" w:type="dxa"/>
            <w:vAlign w:val="bottom"/>
            <w:shd w:val="clear" w:color="auto" w:fill="CCEEFF"/>
          </w:tcPr>
          <w:p>
            <w:pPr>
              <w:jc w:val="right"/>
              <w:ind w:right="310"/>
              <w:spacing w:after="0"/>
              <w:rPr>
                <w:sz w:val="20"/>
                <w:szCs w:val="20"/>
                <w:color w:val="auto"/>
              </w:rPr>
            </w:pPr>
            <w:r>
              <w:rPr>
                <w:rFonts w:ascii="Arial" w:cs="Arial" w:eastAsia="Arial" w:hAnsi="Arial"/>
                <w:sz w:val="18"/>
                <w:szCs w:val="18"/>
                <w:color w:val="auto"/>
              </w:rPr>
              <w:t>—</w:t>
            </w:r>
          </w:p>
        </w:tc>
        <w:tc>
          <w:tcPr>
            <w:tcW w:w="88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18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11.0</w:t>
            </w:r>
          </w:p>
        </w:tc>
      </w:tr>
      <w:tr>
        <w:trPr>
          <w:trHeight w:val="216"/>
        </w:trPr>
        <w:tc>
          <w:tcPr>
            <w:tcW w:w="4640" w:type="dxa"/>
            <w:vAlign w:val="bottom"/>
            <w:gridSpan w:val="2"/>
          </w:tcPr>
          <w:p>
            <w:pPr>
              <w:spacing w:after="0"/>
              <w:rPr>
                <w:sz w:val="20"/>
                <w:szCs w:val="20"/>
                <w:color w:val="auto"/>
              </w:rPr>
            </w:pPr>
            <w:r>
              <w:rPr>
                <w:rFonts w:ascii="Arial" w:cs="Arial" w:eastAsia="Arial" w:hAnsi="Arial"/>
                <w:sz w:val="18"/>
                <w:szCs w:val="18"/>
                <w:color w:val="auto"/>
              </w:rPr>
              <w:t>Non-current pension assets</w:t>
            </w:r>
          </w:p>
        </w:tc>
        <w:tc>
          <w:tcPr>
            <w:tcW w:w="900" w:type="dxa"/>
            <w:vAlign w:val="bottom"/>
          </w:tcPr>
          <w:p>
            <w:pPr>
              <w:spacing w:after="0"/>
              <w:rPr>
                <w:sz w:val="18"/>
                <w:szCs w:val="18"/>
                <w:color w:val="auto"/>
              </w:rPr>
            </w:pPr>
          </w:p>
        </w:tc>
        <w:tc>
          <w:tcPr>
            <w:tcW w:w="1360" w:type="dxa"/>
            <w:vAlign w:val="bottom"/>
          </w:tcPr>
          <w:p>
            <w:pPr>
              <w:jc w:val="right"/>
              <w:ind w:right="270"/>
              <w:spacing w:after="0"/>
              <w:rPr>
                <w:sz w:val="20"/>
                <w:szCs w:val="20"/>
                <w:color w:val="auto"/>
              </w:rPr>
            </w:pPr>
            <w:r>
              <w:rPr>
                <w:rFonts w:ascii="Arial" w:cs="Arial" w:eastAsia="Arial" w:hAnsi="Arial"/>
                <w:sz w:val="18"/>
                <w:szCs w:val="18"/>
                <w:color w:val="auto"/>
              </w:rPr>
              <w:t>—</w:t>
            </w:r>
          </w:p>
        </w:tc>
        <w:tc>
          <w:tcPr>
            <w:tcW w:w="420" w:type="dxa"/>
            <w:vAlign w:val="bottom"/>
          </w:tcPr>
          <w:p>
            <w:pPr>
              <w:spacing w:after="0"/>
              <w:rPr>
                <w:sz w:val="18"/>
                <w:szCs w:val="18"/>
                <w:color w:val="auto"/>
              </w:rPr>
            </w:pPr>
          </w:p>
        </w:tc>
        <w:tc>
          <w:tcPr>
            <w:tcW w:w="1600" w:type="dxa"/>
            <w:vAlign w:val="bottom"/>
          </w:tcPr>
          <w:p>
            <w:pPr>
              <w:jc w:val="right"/>
              <w:ind w:right="290"/>
              <w:spacing w:after="0"/>
              <w:rPr>
                <w:sz w:val="20"/>
                <w:szCs w:val="20"/>
                <w:color w:val="auto"/>
              </w:rPr>
            </w:pPr>
            <w:r>
              <w:rPr>
                <w:rFonts w:ascii="Arial" w:cs="Arial" w:eastAsia="Arial" w:hAnsi="Arial"/>
                <w:sz w:val="18"/>
                <w:szCs w:val="18"/>
                <w:color w:val="auto"/>
              </w:rPr>
              <w:t>72.4</w:t>
            </w:r>
          </w:p>
        </w:tc>
        <w:tc>
          <w:tcPr>
            <w:tcW w:w="880" w:type="dxa"/>
            <w:vAlign w:val="bottom"/>
          </w:tcPr>
          <w:p>
            <w:pPr>
              <w:jc w:val="right"/>
              <w:ind w:right="210"/>
              <w:spacing w:after="0"/>
              <w:rPr>
                <w:sz w:val="20"/>
                <w:szCs w:val="20"/>
                <w:color w:val="auto"/>
              </w:rPr>
            </w:pPr>
            <w:r>
              <w:rPr>
                <w:rFonts w:ascii="Arial" w:cs="Arial" w:eastAsia="Arial" w:hAnsi="Arial"/>
                <w:sz w:val="18"/>
                <w:szCs w:val="18"/>
                <w:color w:val="auto"/>
              </w:rPr>
              <w:t>(H)</w:t>
            </w:r>
          </w:p>
        </w:tc>
        <w:tc>
          <w:tcPr>
            <w:tcW w:w="440" w:type="dxa"/>
            <w:vAlign w:val="bottom"/>
          </w:tcPr>
          <w:p>
            <w:pPr>
              <w:spacing w:after="0"/>
              <w:rPr>
                <w:sz w:val="18"/>
                <w:szCs w:val="18"/>
                <w:color w:val="auto"/>
              </w:rPr>
            </w:pPr>
          </w:p>
        </w:tc>
        <w:tc>
          <w:tcPr>
            <w:tcW w:w="1180" w:type="dxa"/>
            <w:vAlign w:val="bottom"/>
          </w:tcPr>
          <w:p>
            <w:pPr>
              <w:jc w:val="right"/>
              <w:ind w:right="10"/>
              <w:spacing w:after="0"/>
              <w:rPr>
                <w:sz w:val="20"/>
                <w:szCs w:val="20"/>
                <w:color w:val="auto"/>
              </w:rPr>
            </w:pPr>
            <w:r>
              <w:rPr>
                <w:rFonts w:ascii="Arial" w:cs="Arial" w:eastAsia="Arial" w:hAnsi="Arial"/>
                <w:sz w:val="18"/>
                <w:szCs w:val="18"/>
                <w:color w:val="auto"/>
              </w:rPr>
              <w:t>72.4</w:t>
            </w:r>
          </w:p>
        </w:tc>
      </w:tr>
      <w:tr>
        <w:trPr>
          <w:trHeight w:val="216"/>
        </w:trPr>
        <w:tc>
          <w:tcPr>
            <w:tcW w:w="46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Deferred income taxes</w:t>
            </w:r>
          </w:p>
        </w:tc>
        <w:tc>
          <w:tcPr>
            <w:tcW w:w="900" w:type="dxa"/>
            <w:vAlign w:val="bottom"/>
            <w:shd w:val="clear" w:color="auto" w:fill="CCEEFF"/>
          </w:tcPr>
          <w:p>
            <w:pPr>
              <w:spacing w:after="0"/>
              <w:rPr>
                <w:sz w:val="18"/>
                <w:szCs w:val="18"/>
                <w:color w:val="auto"/>
              </w:rPr>
            </w:pPr>
          </w:p>
        </w:tc>
        <w:tc>
          <w:tcPr>
            <w:tcW w:w="1360" w:type="dxa"/>
            <w:vAlign w:val="bottom"/>
            <w:shd w:val="clear" w:color="auto" w:fill="CCEEFF"/>
          </w:tcPr>
          <w:p>
            <w:pPr>
              <w:jc w:val="right"/>
              <w:ind w:right="270"/>
              <w:spacing w:after="0"/>
              <w:rPr>
                <w:sz w:val="20"/>
                <w:szCs w:val="20"/>
                <w:color w:val="auto"/>
              </w:rPr>
            </w:pPr>
            <w:r>
              <w:rPr>
                <w:rFonts w:ascii="Arial" w:cs="Arial" w:eastAsia="Arial" w:hAnsi="Arial"/>
                <w:sz w:val="18"/>
                <w:szCs w:val="18"/>
                <w:color w:val="auto"/>
              </w:rPr>
              <w:t>—</w:t>
            </w:r>
          </w:p>
        </w:tc>
        <w:tc>
          <w:tcPr>
            <w:tcW w:w="420" w:type="dxa"/>
            <w:vAlign w:val="bottom"/>
            <w:shd w:val="clear" w:color="auto" w:fill="CCEEFF"/>
          </w:tcPr>
          <w:p>
            <w:pPr>
              <w:spacing w:after="0"/>
              <w:rPr>
                <w:sz w:val="18"/>
                <w:szCs w:val="18"/>
                <w:color w:val="auto"/>
              </w:rPr>
            </w:pPr>
          </w:p>
        </w:tc>
        <w:tc>
          <w:tcPr>
            <w:tcW w:w="1600" w:type="dxa"/>
            <w:vAlign w:val="bottom"/>
            <w:shd w:val="clear" w:color="auto" w:fill="CCEEFF"/>
          </w:tcPr>
          <w:p>
            <w:pPr>
              <w:jc w:val="right"/>
              <w:ind w:right="290"/>
              <w:spacing w:after="0"/>
              <w:rPr>
                <w:sz w:val="20"/>
                <w:szCs w:val="20"/>
                <w:color w:val="auto"/>
              </w:rPr>
            </w:pPr>
            <w:r>
              <w:rPr>
                <w:rFonts w:ascii="Arial" w:cs="Arial" w:eastAsia="Arial" w:hAnsi="Arial"/>
                <w:sz w:val="18"/>
                <w:szCs w:val="18"/>
                <w:color w:val="auto"/>
              </w:rPr>
              <w:t>20.8</w:t>
            </w:r>
          </w:p>
        </w:tc>
        <w:tc>
          <w:tcPr>
            <w:tcW w:w="880" w:type="dxa"/>
            <w:vAlign w:val="bottom"/>
            <w:shd w:val="clear" w:color="auto" w:fill="CCEEFF"/>
          </w:tcPr>
          <w:p>
            <w:pPr>
              <w:jc w:val="right"/>
              <w:ind w:right="210"/>
              <w:spacing w:after="0"/>
              <w:rPr>
                <w:sz w:val="20"/>
                <w:szCs w:val="20"/>
                <w:color w:val="auto"/>
              </w:rPr>
            </w:pPr>
            <w:r>
              <w:rPr>
                <w:rFonts w:ascii="Arial" w:cs="Arial" w:eastAsia="Arial" w:hAnsi="Arial"/>
                <w:sz w:val="18"/>
                <w:szCs w:val="18"/>
                <w:color w:val="auto"/>
              </w:rPr>
              <w:t>(H)</w:t>
            </w:r>
          </w:p>
        </w:tc>
        <w:tc>
          <w:tcPr>
            <w:tcW w:w="440" w:type="dxa"/>
            <w:vAlign w:val="bottom"/>
            <w:shd w:val="clear" w:color="auto" w:fill="CCEEFF"/>
          </w:tcPr>
          <w:p>
            <w:pPr>
              <w:spacing w:after="0"/>
              <w:rPr>
                <w:sz w:val="18"/>
                <w:szCs w:val="18"/>
                <w:color w:val="auto"/>
              </w:rPr>
            </w:pPr>
          </w:p>
        </w:tc>
        <w:tc>
          <w:tcPr>
            <w:tcW w:w="118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20.8</w:t>
            </w:r>
          </w:p>
        </w:tc>
      </w:tr>
      <w:tr>
        <w:trPr>
          <w:trHeight w:val="216"/>
        </w:trPr>
        <w:tc>
          <w:tcPr>
            <w:tcW w:w="464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auto"/>
              </w:rPr>
              <w:t>Other non-current assets</w:t>
            </w:r>
          </w:p>
        </w:tc>
        <w:tc>
          <w:tcPr>
            <w:tcW w:w="900" w:type="dxa"/>
            <w:vAlign w:val="bottom"/>
            <w:tcBorders>
              <w:bottom w:val="single" w:sz="8" w:color="auto"/>
            </w:tcBorders>
          </w:tcPr>
          <w:p>
            <w:pPr>
              <w:spacing w:after="0"/>
              <w:rPr>
                <w:sz w:val="18"/>
                <w:szCs w:val="18"/>
                <w:color w:val="auto"/>
              </w:rPr>
            </w:pPr>
          </w:p>
        </w:tc>
        <w:tc>
          <w:tcPr>
            <w:tcW w:w="1360" w:type="dxa"/>
            <w:vAlign w:val="bottom"/>
            <w:tcBorders>
              <w:bottom w:val="single" w:sz="8" w:color="auto"/>
            </w:tcBorders>
          </w:tcPr>
          <w:p>
            <w:pPr>
              <w:jc w:val="right"/>
              <w:ind w:right="270"/>
              <w:spacing w:after="0"/>
              <w:rPr>
                <w:sz w:val="20"/>
                <w:szCs w:val="20"/>
                <w:color w:val="auto"/>
              </w:rPr>
            </w:pPr>
            <w:r>
              <w:rPr>
                <w:rFonts w:ascii="Arial" w:cs="Arial" w:eastAsia="Arial" w:hAnsi="Arial"/>
                <w:sz w:val="18"/>
                <w:szCs w:val="18"/>
                <w:color w:val="auto"/>
              </w:rPr>
              <w:t>1.3</w:t>
            </w:r>
          </w:p>
        </w:tc>
        <w:tc>
          <w:tcPr>
            <w:tcW w:w="420" w:type="dxa"/>
            <w:vAlign w:val="bottom"/>
            <w:tcBorders>
              <w:bottom w:val="single" w:sz="8" w:color="auto"/>
            </w:tcBorders>
          </w:tcPr>
          <w:p>
            <w:pPr>
              <w:spacing w:after="0"/>
              <w:rPr>
                <w:sz w:val="18"/>
                <w:szCs w:val="18"/>
                <w:color w:val="auto"/>
              </w:rPr>
            </w:pPr>
          </w:p>
        </w:tc>
        <w:tc>
          <w:tcPr>
            <w:tcW w:w="1600" w:type="dxa"/>
            <w:vAlign w:val="bottom"/>
            <w:tcBorders>
              <w:bottom w:val="single" w:sz="8" w:color="auto"/>
            </w:tcBorders>
          </w:tcPr>
          <w:p>
            <w:pPr>
              <w:jc w:val="right"/>
              <w:ind w:right="310"/>
              <w:spacing w:after="0"/>
              <w:rPr>
                <w:sz w:val="20"/>
                <w:szCs w:val="20"/>
                <w:color w:val="auto"/>
              </w:rPr>
            </w:pPr>
            <w:r>
              <w:rPr>
                <w:rFonts w:ascii="Arial" w:cs="Arial" w:eastAsia="Arial" w:hAnsi="Arial"/>
                <w:sz w:val="18"/>
                <w:szCs w:val="18"/>
                <w:color w:val="auto"/>
              </w:rPr>
              <w:t>—</w:t>
            </w:r>
          </w:p>
        </w:tc>
        <w:tc>
          <w:tcPr>
            <w:tcW w:w="880" w:type="dxa"/>
            <w:vAlign w:val="bottom"/>
            <w:tcBorders>
              <w:bottom w:val="single" w:sz="8" w:color="auto"/>
            </w:tcBorders>
          </w:tcPr>
          <w:p>
            <w:pPr>
              <w:spacing w:after="0"/>
              <w:rPr>
                <w:sz w:val="18"/>
                <w:szCs w:val="18"/>
                <w:color w:val="auto"/>
              </w:rPr>
            </w:pPr>
          </w:p>
        </w:tc>
        <w:tc>
          <w:tcPr>
            <w:tcW w:w="440" w:type="dxa"/>
            <w:vAlign w:val="bottom"/>
            <w:tcBorders>
              <w:bottom w:val="single" w:sz="8" w:color="auto"/>
            </w:tcBorders>
          </w:tcPr>
          <w:p>
            <w:pPr>
              <w:spacing w:after="0"/>
              <w:rPr>
                <w:sz w:val="18"/>
                <w:szCs w:val="18"/>
                <w:color w:val="auto"/>
              </w:rPr>
            </w:pPr>
          </w:p>
        </w:tc>
        <w:tc>
          <w:tcPr>
            <w:tcW w:w="118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1.3</w:t>
            </w:r>
          </w:p>
        </w:tc>
      </w:tr>
      <w:tr>
        <w:trPr>
          <w:trHeight w:val="210"/>
        </w:trPr>
        <w:tc>
          <w:tcPr>
            <w:tcW w:w="4640" w:type="dxa"/>
            <w:vAlign w:val="bottom"/>
            <w:tcBorders>
              <w:bottom w:val="single" w:sz="8" w:color="auto"/>
            </w:tcBorders>
            <w:gridSpan w:val="2"/>
            <w:shd w:val="clear" w:color="auto" w:fill="CCEEFF"/>
          </w:tcPr>
          <w:p>
            <w:pPr>
              <w:ind w:left="360"/>
              <w:spacing w:after="0"/>
              <w:rPr>
                <w:sz w:val="20"/>
                <w:szCs w:val="20"/>
                <w:color w:val="auto"/>
              </w:rPr>
            </w:pPr>
            <w:r>
              <w:rPr>
                <w:rFonts w:ascii="Arial" w:cs="Arial" w:eastAsia="Arial" w:hAnsi="Arial"/>
                <w:sz w:val="18"/>
                <w:szCs w:val="18"/>
                <w:b w:val="1"/>
                <w:bCs w:val="1"/>
                <w:color w:val="auto"/>
              </w:rPr>
              <w:t>Total Other Assets</w:t>
            </w:r>
          </w:p>
        </w:tc>
        <w:tc>
          <w:tcPr>
            <w:tcW w:w="900" w:type="dxa"/>
            <w:vAlign w:val="bottom"/>
            <w:tcBorders>
              <w:bottom w:val="single" w:sz="8" w:color="auto"/>
            </w:tcBorders>
            <w:shd w:val="clear" w:color="auto" w:fill="CCEEFF"/>
          </w:tcPr>
          <w:p>
            <w:pPr>
              <w:spacing w:after="0"/>
              <w:rPr>
                <w:sz w:val="18"/>
                <w:szCs w:val="18"/>
                <w:color w:val="auto"/>
              </w:rPr>
            </w:pPr>
          </w:p>
        </w:tc>
        <w:tc>
          <w:tcPr>
            <w:tcW w:w="1360" w:type="dxa"/>
            <w:vAlign w:val="bottom"/>
            <w:tcBorders>
              <w:bottom w:val="single" w:sz="8" w:color="auto"/>
            </w:tcBorders>
            <w:shd w:val="clear" w:color="auto" w:fill="CCEEFF"/>
          </w:tcPr>
          <w:p>
            <w:pPr>
              <w:jc w:val="right"/>
              <w:ind w:right="270"/>
              <w:spacing w:after="0"/>
              <w:rPr>
                <w:sz w:val="20"/>
                <w:szCs w:val="20"/>
                <w:color w:val="auto"/>
              </w:rPr>
            </w:pPr>
            <w:r>
              <w:rPr>
                <w:rFonts w:ascii="Arial" w:cs="Arial" w:eastAsia="Arial" w:hAnsi="Arial"/>
                <w:sz w:val="18"/>
                <w:szCs w:val="18"/>
                <w:color w:val="auto"/>
              </w:rPr>
              <w:t>12.3</w:t>
            </w:r>
          </w:p>
        </w:tc>
        <w:tc>
          <w:tcPr>
            <w:tcW w:w="420" w:type="dxa"/>
            <w:vAlign w:val="bottom"/>
            <w:tcBorders>
              <w:bottom w:val="single" w:sz="8" w:color="auto"/>
            </w:tcBorders>
            <w:shd w:val="clear" w:color="auto" w:fill="CCEEFF"/>
          </w:tcPr>
          <w:p>
            <w:pPr>
              <w:spacing w:after="0"/>
              <w:rPr>
                <w:sz w:val="18"/>
                <w:szCs w:val="18"/>
                <w:color w:val="auto"/>
              </w:rPr>
            </w:pPr>
          </w:p>
        </w:tc>
        <w:tc>
          <w:tcPr>
            <w:tcW w:w="1600" w:type="dxa"/>
            <w:vAlign w:val="bottom"/>
            <w:tcBorders>
              <w:bottom w:val="single" w:sz="8" w:color="auto"/>
            </w:tcBorders>
            <w:shd w:val="clear" w:color="auto" w:fill="CCEEFF"/>
          </w:tcPr>
          <w:p>
            <w:pPr>
              <w:jc w:val="right"/>
              <w:ind w:right="290"/>
              <w:spacing w:after="0"/>
              <w:rPr>
                <w:sz w:val="20"/>
                <w:szCs w:val="20"/>
                <w:color w:val="auto"/>
              </w:rPr>
            </w:pPr>
            <w:r>
              <w:rPr>
                <w:rFonts w:ascii="Arial" w:cs="Arial" w:eastAsia="Arial" w:hAnsi="Arial"/>
                <w:sz w:val="18"/>
                <w:szCs w:val="18"/>
                <w:color w:val="auto"/>
              </w:rPr>
              <w:t>93.2</w:t>
            </w:r>
          </w:p>
        </w:tc>
        <w:tc>
          <w:tcPr>
            <w:tcW w:w="880" w:type="dxa"/>
            <w:vAlign w:val="bottom"/>
            <w:tcBorders>
              <w:bottom w:val="single" w:sz="8" w:color="auto"/>
            </w:tcBorders>
            <w:shd w:val="clear" w:color="auto" w:fill="CCEEFF"/>
          </w:tcPr>
          <w:p>
            <w:pPr>
              <w:spacing w:after="0"/>
              <w:rPr>
                <w:sz w:val="18"/>
                <w:szCs w:val="18"/>
                <w:color w:val="auto"/>
              </w:rPr>
            </w:pPr>
          </w:p>
        </w:tc>
        <w:tc>
          <w:tcPr>
            <w:tcW w:w="440" w:type="dxa"/>
            <w:vAlign w:val="bottom"/>
            <w:tcBorders>
              <w:bottom w:val="single" w:sz="8" w:color="auto"/>
            </w:tcBorders>
            <w:shd w:val="clear" w:color="auto" w:fill="CCEEFF"/>
          </w:tcPr>
          <w:p>
            <w:pPr>
              <w:spacing w:after="0"/>
              <w:rPr>
                <w:sz w:val="18"/>
                <w:szCs w:val="18"/>
                <w:color w:val="auto"/>
              </w:rPr>
            </w:pPr>
          </w:p>
        </w:tc>
        <w:tc>
          <w:tcPr>
            <w:tcW w:w="118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105.5</w:t>
            </w:r>
          </w:p>
        </w:tc>
      </w:tr>
      <w:tr>
        <w:trPr>
          <w:trHeight w:val="210"/>
        </w:trPr>
        <w:tc>
          <w:tcPr>
            <w:tcW w:w="4640" w:type="dxa"/>
            <w:vAlign w:val="bottom"/>
            <w:tcBorders>
              <w:bottom w:val="single" w:sz="8" w:color="auto"/>
            </w:tcBorders>
            <w:gridSpan w:val="2"/>
          </w:tcPr>
          <w:p>
            <w:pPr>
              <w:spacing w:after="0"/>
              <w:rPr>
                <w:sz w:val="20"/>
                <w:szCs w:val="20"/>
                <w:color w:val="auto"/>
              </w:rPr>
            </w:pPr>
            <w:r>
              <w:rPr>
                <w:rFonts w:ascii="Arial" w:cs="Arial" w:eastAsia="Arial" w:hAnsi="Arial"/>
                <w:sz w:val="18"/>
                <w:szCs w:val="18"/>
                <w:b w:val="1"/>
                <w:bCs w:val="1"/>
                <w:color w:val="auto"/>
              </w:rPr>
              <w:t>Total Assets</w:t>
            </w: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360" w:type="dxa"/>
            <w:vAlign w:val="bottom"/>
            <w:tcBorders>
              <w:bottom w:val="single" w:sz="8" w:color="auto"/>
            </w:tcBorders>
          </w:tcPr>
          <w:p>
            <w:pPr>
              <w:jc w:val="right"/>
              <w:ind w:right="270"/>
              <w:spacing w:after="0"/>
              <w:rPr>
                <w:sz w:val="20"/>
                <w:szCs w:val="20"/>
                <w:color w:val="auto"/>
              </w:rPr>
            </w:pPr>
            <w:r>
              <w:rPr>
                <w:rFonts w:ascii="Arial" w:cs="Arial" w:eastAsia="Arial" w:hAnsi="Arial"/>
                <w:sz w:val="18"/>
                <w:szCs w:val="18"/>
                <w:color w:val="auto"/>
              </w:rPr>
              <w:t>1,126.5</w:t>
            </w:r>
          </w:p>
        </w:tc>
        <w:tc>
          <w:tcPr>
            <w:tcW w:w="4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600" w:type="dxa"/>
            <w:vAlign w:val="bottom"/>
            <w:tcBorders>
              <w:bottom w:val="single" w:sz="8" w:color="auto"/>
            </w:tcBorders>
          </w:tcPr>
          <w:p>
            <w:pPr>
              <w:jc w:val="right"/>
              <w:ind w:right="290"/>
              <w:spacing w:after="0"/>
              <w:rPr>
                <w:sz w:val="20"/>
                <w:szCs w:val="20"/>
                <w:color w:val="auto"/>
              </w:rPr>
            </w:pPr>
            <w:r>
              <w:rPr>
                <w:rFonts w:ascii="Arial" w:cs="Arial" w:eastAsia="Arial" w:hAnsi="Arial"/>
                <w:sz w:val="18"/>
                <w:szCs w:val="18"/>
                <w:color w:val="auto"/>
              </w:rPr>
              <w:t>147.6</w:t>
            </w:r>
          </w:p>
        </w:tc>
        <w:tc>
          <w:tcPr>
            <w:tcW w:w="880" w:type="dxa"/>
            <w:vAlign w:val="bottom"/>
            <w:tcBorders>
              <w:bottom w:val="single" w:sz="8" w:color="auto"/>
            </w:tcBorders>
          </w:tcPr>
          <w:p>
            <w:pPr>
              <w:spacing w:after="0"/>
              <w:rPr>
                <w:sz w:val="18"/>
                <w:szCs w:val="18"/>
                <w:color w:val="auto"/>
              </w:rPr>
            </w:pPr>
          </w:p>
        </w:tc>
        <w:tc>
          <w:tcPr>
            <w:tcW w:w="4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18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1,274.1</w:t>
            </w:r>
          </w:p>
        </w:tc>
      </w:tr>
      <w:tr>
        <w:trPr>
          <w:trHeight w:val="210"/>
        </w:trPr>
        <w:tc>
          <w:tcPr>
            <w:tcW w:w="464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LIABILITIES AND EQUITY</w:t>
            </w:r>
          </w:p>
        </w:tc>
        <w:tc>
          <w:tcPr>
            <w:tcW w:w="900" w:type="dxa"/>
            <w:vAlign w:val="bottom"/>
            <w:shd w:val="clear" w:color="auto" w:fill="CCEEFF"/>
          </w:tcPr>
          <w:p>
            <w:pPr>
              <w:spacing w:after="0"/>
              <w:rPr>
                <w:sz w:val="18"/>
                <w:szCs w:val="18"/>
                <w:color w:val="auto"/>
              </w:rPr>
            </w:pPr>
          </w:p>
        </w:tc>
        <w:tc>
          <w:tcPr>
            <w:tcW w:w="136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60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180" w:type="dxa"/>
            <w:vAlign w:val="bottom"/>
            <w:shd w:val="clear" w:color="auto" w:fill="CCEEFF"/>
          </w:tcPr>
          <w:p>
            <w:pPr>
              <w:spacing w:after="0"/>
              <w:rPr>
                <w:sz w:val="18"/>
                <w:szCs w:val="18"/>
                <w:color w:val="auto"/>
              </w:rPr>
            </w:pPr>
          </w:p>
        </w:tc>
      </w:tr>
      <w:tr>
        <w:trPr>
          <w:trHeight w:val="216"/>
        </w:trPr>
        <w:tc>
          <w:tcPr>
            <w:tcW w:w="4640" w:type="dxa"/>
            <w:vAlign w:val="bottom"/>
            <w:gridSpan w:val="2"/>
          </w:tcPr>
          <w:p>
            <w:pPr>
              <w:spacing w:after="0"/>
              <w:rPr>
                <w:sz w:val="20"/>
                <w:szCs w:val="20"/>
                <w:color w:val="auto"/>
              </w:rPr>
            </w:pPr>
            <w:r>
              <w:rPr>
                <w:rFonts w:ascii="Arial" w:cs="Arial" w:eastAsia="Arial" w:hAnsi="Arial"/>
                <w:sz w:val="18"/>
                <w:szCs w:val="18"/>
                <w:b w:val="1"/>
                <w:bCs w:val="1"/>
                <w:color w:val="auto"/>
              </w:rPr>
              <w:t>Current Liabilities</w:t>
            </w:r>
          </w:p>
        </w:tc>
        <w:tc>
          <w:tcPr>
            <w:tcW w:w="90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60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180" w:type="dxa"/>
            <w:vAlign w:val="bottom"/>
          </w:tcPr>
          <w:p>
            <w:pPr>
              <w:spacing w:after="0"/>
              <w:rPr>
                <w:sz w:val="18"/>
                <w:szCs w:val="18"/>
                <w:color w:val="auto"/>
              </w:rPr>
            </w:pPr>
          </w:p>
        </w:tc>
      </w:tr>
      <w:tr>
        <w:trPr>
          <w:trHeight w:val="216"/>
        </w:trPr>
        <w:tc>
          <w:tcPr>
            <w:tcW w:w="46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Accounts payable, trade</w:t>
            </w: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360" w:type="dxa"/>
            <w:vAlign w:val="bottom"/>
            <w:shd w:val="clear" w:color="auto" w:fill="CCEEFF"/>
          </w:tcPr>
          <w:p>
            <w:pPr>
              <w:jc w:val="right"/>
              <w:ind w:right="270"/>
              <w:spacing w:after="0"/>
              <w:rPr>
                <w:sz w:val="20"/>
                <w:szCs w:val="20"/>
                <w:color w:val="auto"/>
              </w:rPr>
            </w:pPr>
            <w:r>
              <w:rPr>
                <w:rFonts w:ascii="Arial" w:cs="Arial" w:eastAsia="Arial" w:hAnsi="Arial"/>
                <w:sz w:val="18"/>
                <w:szCs w:val="18"/>
                <w:color w:val="auto"/>
              </w:rPr>
              <w:t>108.7</w:t>
            </w: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0" w:type="dxa"/>
            <w:vAlign w:val="bottom"/>
            <w:shd w:val="clear" w:color="auto" w:fill="CCEEFF"/>
          </w:tcPr>
          <w:p>
            <w:pPr>
              <w:jc w:val="right"/>
              <w:ind w:right="310"/>
              <w:spacing w:after="0"/>
              <w:rPr>
                <w:sz w:val="20"/>
                <w:szCs w:val="20"/>
                <w:color w:val="auto"/>
              </w:rPr>
            </w:pPr>
            <w:r>
              <w:rPr>
                <w:rFonts w:ascii="Arial" w:cs="Arial" w:eastAsia="Arial" w:hAnsi="Arial"/>
                <w:sz w:val="18"/>
                <w:szCs w:val="18"/>
                <w:color w:val="auto"/>
              </w:rPr>
              <w:t>—</w:t>
            </w:r>
          </w:p>
        </w:tc>
        <w:tc>
          <w:tcPr>
            <w:tcW w:w="880" w:type="dxa"/>
            <w:vAlign w:val="bottom"/>
            <w:shd w:val="clear" w:color="auto" w:fill="CCEEFF"/>
          </w:tcPr>
          <w:p>
            <w:pPr>
              <w:spacing w:after="0"/>
              <w:rPr>
                <w:sz w:val="18"/>
                <w:szCs w:val="18"/>
                <w:color w:val="auto"/>
              </w:rPr>
            </w:pP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8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108.7</w:t>
            </w:r>
          </w:p>
        </w:tc>
      </w:tr>
      <w:tr>
        <w:trPr>
          <w:trHeight w:val="216"/>
        </w:trPr>
        <w:tc>
          <w:tcPr>
            <w:tcW w:w="4640" w:type="dxa"/>
            <w:vAlign w:val="bottom"/>
            <w:gridSpan w:val="2"/>
          </w:tcPr>
          <w:p>
            <w:pPr>
              <w:spacing w:after="0"/>
              <w:rPr>
                <w:sz w:val="20"/>
                <w:szCs w:val="20"/>
                <w:color w:val="auto"/>
              </w:rPr>
            </w:pPr>
            <w:r>
              <w:rPr>
                <w:rFonts w:ascii="Arial" w:cs="Arial" w:eastAsia="Arial" w:hAnsi="Arial"/>
                <w:sz w:val="18"/>
                <w:szCs w:val="18"/>
                <w:color w:val="auto"/>
              </w:rPr>
              <w:t>Accounts payable due to related party</w:t>
            </w:r>
          </w:p>
        </w:tc>
        <w:tc>
          <w:tcPr>
            <w:tcW w:w="900" w:type="dxa"/>
            <w:vAlign w:val="bottom"/>
          </w:tcPr>
          <w:p>
            <w:pPr>
              <w:spacing w:after="0"/>
              <w:rPr>
                <w:sz w:val="18"/>
                <w:szCs w:val="18"/>
                <w:color w:val="auto"/>
              </w:rPr>
            </w:pPr>
          </w:p>
        </w:tc>
        <w:tc>
          <w:tcPr>
            <w:tcW w:w="1360" w:type="dxa"/>
            <w:vAlign w:val="bottom"/>
          </w:tcPr>
          <w:p>
            <w:pPr>
              <w:jc w:val="right"/>
              <w:ind w:right="270"/>
              <w:spacing w:after="0"/>
              <w:rPr>
                <w:sz w:val="20"/>
                <w:szCs w:val="20"/>
                <w:color w:val="auto"/>
              </w:rPr>
            </w:pPr>
            <w:r>
              <w:rPr>
                <w:rFonts w:ascii="Arial" w:cs="Arial" w:eastAsia="Arial" w:hAnsi="Arial"/>
                <w:sz w:val="18"/>
                <w:szCs w:val="18"/>
                <w:color w:val="auto"/>
              </w:rPr>
              <w:t>21.0</w:t>
            </w:r>
          </w:p>
        </w:tc>
        <w:tc>
          <w:tcPr>
            <w:tcW w:w="420" w:type="dxa"/>
            <w:vAlign w:val="bottom"/>
          </w:tcPr>
          <w:p>
            <w:pPr>
              <w:spacing w:after="0"/>
              <w:rPr>
                <w:sz w:val="18"/>
                <w:szCs w:val="18"/>
                <w:color w:val="auto"/>
              </w:rPr>
            </w:pPr>
          </w:p>
        </w:tc>
        <w:tc>
          <w:tcPr>
            <w:tcW w:w="1600" w:type="dxa"/>
            <w:vAlign w:val="bottom"/>
          </w:tcPr>
          <w:p>
            <w:pPr>
              <w:jc w:val="right"/>
              <w:ind w:right="310"/>
              <w:spacing w:after="0"/>
              <w:rPr>
                <w:sz w:val="20"/>
                <w:szCs w:val="20"/>
                <w:color w:val="auto"/>
              </w:rPr>
            </w:pPr>
            <w:r>
              <w:rPr>
                <w:rFonts w:ascii="Arial" w:cs="Arial" w:eastAsia="Arial" w:hAnsi="Arial"/>
                <w:sz w:val="18"/>
                <w:szCs w:val="18"/>
                <w:color w:val="auto"/>
              </w:rPr>
              <w:t>—</w:t>
            </w:r>
          </w:p>
        </w:tc>
        <w:tc>
          <w:tcPr>
            <w:tcW w:w="88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180" w:type="dxa"/>
            <w:vAlign w:val="bottom"/>
          </w:tcPr>
          <w:p>
            <w:pPr>
              <w:jc w:val="right"/>
              <w:ind w:right="10"/>
              <w:spacing w:after="0"/>
              <w:rPr>
                <w:sz w:val="20"/>
                <w:szCs w:val="20"/>
                <w:color w:val="auto"/>
              </w:rPr>
            </w:pPr>
            <w:r>
              <w:rPr>
                <w:rFonts w:ascii="Arial" w:cs="Arial" w:eastAsia="Arial" w:hAnsi="Arial"/>
                <w:sz w:val="18"/>
                <w:szCs w:val="18"/>
                <w:color w:val="auto"/>
              </w:rPr>
              <w:t>21.0</w:t>
            </w:r>
          </w:p>
        </w:tc>
      </w:tr>
      <w:tr>
        <w:trPr>
          <w:trHeight w:val="216"/>
        </w:trPr>
        <w:tc>
          <w:tcPr>
            <w:tcW w:w="46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Salaries, wages and benefits</w:t>
            </w:r>
          </w:p>
        </w:tc>
        <w:tc>
          <w:tcPr>
            <w:tcW w:w="900" w:type="dxa"/>
            <w:vAlign w:val="bottom"/>
            <w:shd w:val="clear" w:color="auto" w:fill="CCEEFF"/>
          </w:tcPr>
          <w:p>
            <w:pPr>
              <w:spacing w:after="0"/>
              <w:rPr>
                <w:sz w:val="18"/>
                <w:szCs w:val="18"/>
                <w:color w:val="auto"/>
              </w:rPr>
            </w:pPr>
          </w:p>
        </w:tc>
        <w:tc>
          <w:tcPr>
            <w:tcW w:w="1360" w:type="dxa"/>
            <w:vAlign w:val="bottom"/>
            <w:shd w:val="clear" w:color="auto" w:fill="CCEEFF"/>
          </w:tcPr>
          <w:p>
            <w:pPr>
              <w:jc w:val="right"/>
              <w:ind w:right="270"/>
              <w:spacing w:after="0"/>
              <w:rPr>
                <w:sz w:val="20"/>
                <w:szCs w:val="20"/>
                <w:color w:val="auto"/>
              </w:rPr>
            </w:pPr>
            <w:r>
              <w:rPr>
                <w:rFonts w:ascii="Arial" w:cs="Arial" w:eastAsia="Arial" w:hAnsi="Arial"/>
                <w:sz w:val="18"/>
                <w:szCs w:val="18"/>
                <w:color w:val="auto"/>
              </w:rPr>
              <w:t>37.0</w:t>
            </w:r>
          </w:p>
        </w:tc>
        <w:tc>
          <w:tcPr>
            <w:tcW w:w="420" w:type="dxa"/>
            <w:vAlign w:val="bottom"/>
            <w:shd w:val="clear" w:color="auto" w:fill="CCEEFF"/>
          </w:tcPr>
          <w:p>
            <w:pPr>
              <w:spacing w:after="0"/>
              <w:rPr>
                <w:sz w:val="18"/>
                <w:szCs w:val="18"/>
                <w:color w:val="auto"/>
              </w:rPr>
            </w:pPr>
          </w:p>
        </w:tc>
        <w:tc>
          <w:tcPr>
            <w:tcW w:w="1600" w:type="dxa"/>
            <w:vAlign w:val="bottom"/>
            <w:shd w:val="clear" w:color="auto" w:fill="CCEEFF"/>
          </w:tcPr>
          <w:p>
            <w:pPr>
              <w:jc w:val="right"/>
              <w:ind w:right="310"/>
              <w:spacing w:after="0"/>
              <w:rPr>
                <w:sz w:val="20"/>
                <w:szCs w:val="20"/>
                <w:color w:val="auto"/>
              </w:rPr>
            </w:pPr>
            <w:r>
              <w:rPr>
                <w:rFonts w:ascii="Arial" w:cs="Arial" w:eastAsia="Arial" w:hAnsi="Arial"/>
                <w:sz w:val="18"/>
                <w:szCs w:val="18"/>
                <w:color w:val="auto"/>
              </w:rPr>
              <w:t>—</w:t>
            </w:r>
          </w:p>
        </w:tc>
        <w:tc>
          <w:tcPr>
            <w:tcW w:w="88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18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37.0</w:t>
            </w:r>
          </w:p>
        </w:tc>
      </w:tr>
      <w:tr>
        <w:trPr>
          <w:trHeight w:val="216"/>
        </w:trPr>
        <w:tc>
          <w:tcPr>
            <w:tcW w:w="4640" w:type="dxa"/>
            <w:vAlign w:val="bottom"/>
            <w:gridSpan w:val="2"/>
          </w:tcPr>
          <w:p>
            <w:pPr>
              <w:spacing w:after="0"/>
              <w:rPr>
                <w:sz w:val="20"/>
                <w:szCs w:val="20"/>
                <w:color w:val="auto"/>
              </w:rPr>
            </w:pPr>
            <w:r>
              <w:rPr>
                <w:rFonts w:ascii="Arial" w:cs="Arial" w:eastAsia="Arial" w:hAnsi="Arial"/>
                <w:sz w:val="18"/>
                <w:szCs w:val="18"/>
                <w:color w:val="auto"/>
              </w:rPr>
              <w:t>Accrued pension cost</w:t>
            </w:r>
          </w:p>
        </w:tc>
        <w:tc>
          <w:tcPr>
            <w:tcW w:w="900" w:type="dxa"/>
            <w:vAlign w:val="bottom"/>
          </w:tcPr>
          <w:p>
            <w:pPr>
              <w:spacing w:after="0"/>
              <w:rPr>
                <w:sz w:val="18"/>
                <w:szCs w:val="18"/>
                <w:color w:val="auto"/>
              </w:rPr>
            </w:pPr>
          </w:p>
        </w:tc>
        <w:tc>
          <w:tcPr>
            <w:tcW w:w="1360" w:type="dxa"/>
            <w:vAlign w:val="bottom"/>
          </w:tcPr>
          <w:p>
            <w:pPr>
              <w:jc w:val="right"/>
              <w:ind w:right="270"/>
              <w:spacing w:after="0"/>
              <w:rPr>
                <w:sz w:val="20"/>
                <w:szCs w:val="20"/>
                <w:color w:val="auto"/>
              </w:rPr>
            </w:pPr>
            <w:r>
              <w:rPr>
                <w:rFonts w:ascii="Arial" w:cs="Arial" w:eastAsia="Arial" w:hAnsi="Arial"/>
                <w:sz w:val="18"/>
                <w:szCs w:val="18"/>
                <w:color w:val="auto"/>
              </w:rPr>
              <w:t>—</w:t>
            </w:r>
          </w:p>
        </w:tc>
        <w:tc>
          <w:tcPr>
            <w:tcW w:w="420" w:type="dxa"/>
            <w:vAlign w:val="bottom"/>
          </w:tcPr>
          <w:p>
            <w:pPr>
              <w:spacing w:after="0"/>
              <w:rPr>
                <w:sz w:val="18"/>
                <w:szCs w:val="18"/>
                <w:color w:val="auto"/>
              </w:rPr>
            </w:pPr>
          </w:p>
        </w:tc>
        <w:tc>
          <w:tcPr>
            <w:tcW w:w="1600" w:type="dxa"/>
            <w:vAlign w:val="bottom"/>
          </w:tcPr>
          <w:p>
            <w:pPr>
              <w:jc w:val="right"/>
              <w:ind w:right="290"/>
              <w:spacing w:after="0"/>
              <w:rPr>
                <w:sz w:val="20"/>
                <w:szCs w:val="20"/>
                <w:color w:val="auto"/>
              </w:rPr>
            </w:pPr>
            <w:r>
              <w:rPr>
                <w:rFonts w:ascii="Arial" w:cs="Arial" w:eastAsia="Arial" w:hAnsi="Arial"/>
                <w:sz w:val="18"/>
                <w:szCs w:val="18"/>
                <w:color w:val="auto"/>
              </w:rPr>
              <w:t>0.7</w:t>
            </w:r>
          </w:p>
        </w:tc>
        <w:tc>
          <w:tcPr>
            <w:tcW w:w="880" w:type="dxa"/>
            <w:vAlign w:val="bottom"/>
          </w:tcPr>
          <w:p>
            <w:pPr>
              <w:jc w:val="right"/>
              <w:ind w:right="210"/>
              <w:spacing w:after="0"/>
              <w:rPr>
                <w:sz w:val="20"/>
                <w:szCs w:val="20"/>
                <w:color w:val="auto"/>
              </w:rPr>
            </w:pPr>
            <w:r>
              <w:rPr>
                <w:rFonts w:ascii="Arial" w:cs="Arial" w:eastAsia="Arial" w:hAnsi="Arial"/>
                <w:sz w:val="18"/>
                <w:szCs w:val="18"/>
                <w:color w:val="auto"/>
              </w:rPr>
              <w:t>(H)</w:t>
            </w:r>
          </w:p>
        </w:tc>
        <w:tc>
          <w:tcPr>
            <w:tcW w:w="440" w:type="dxa"/>
            <w:vAlign w:val="bottom"/>
          </w:tcPr>
          <w:p>
            <w:pPr>
              <w:spacing w:after="0"/>
              <w:rPr>
                <w:sz w:val="18"/>
                <w:szCs w:val="18"/>
                <w:color w:val="auto"/>
              </w:rPr>
            </w:pPr>
          </w:p>
        </w:tc>
        <w:tc>
          <w:tcPr>
            <w:tcW w:w="1180" w:type="dxa"/>
            <w:vAlign w:val="bottom"/>
          </w:tcPr>
          <w:p>
            <w:pPr>
              <w:jc w:val="right"/>
              <w:ind w:right="10"/>
              <w:spacing w:after="0"/>
              <w:rPr>
                <w:sz w:val="20"/>
                <w:szCs w:val="20"/>
                <w:color w:val="auto"/>
              </w:rPr>
            </w:pPr>
            <w:r>
              <w:rPr>
                <w:rFonts w:ascii="Arial" w:cs="Arial" w:eastAsia="Arial" w:hAnsi="Arial"/>
                <w:sz w:val="18"/>
                <w:szCs w:val="18"/>
                <w:color w:val="auto"/>
              </w:rPr>
              <w:t>0.7</w:t>
            </w:r>
          </w:p>
        </w:tc>
      </w:tr>
      <w:tr>
        <w:trPr>
          <w:trHeight w:val="216"/>
        </w:trPr>
        <w:tc>
          <w:tcPr>
            <w:tcW w:w="46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Accrued postretirement benefits cost</w:t>
            </w:r>
          </w:p>
        </w:tc>
        <w:tc>
          <w:tcPr>
            <w:tcW w:w="900" w:type="dxa"/>
            <w:vAlign w:val="bottom"/>
            <w:shd w:val="clear" w:color="auto" w:fill="CCEEFF"/>
          </w:tcPr>
          <w:p>
            <w:pPr>
              <w:spacing w:after="0"/>
              <w:rPr>
                <w:sz w:val="18"/>
                <w:szCs w:val="18"/>
                <w:color w:val="auto"/>
              </w:rPr>
            </w:pPr>
          </w:p>
        </w:tc>
        <w:tc>
          <w:tcPr>
            <w:tcW w:w="1360" w:type="dxa"/>
            <w:vAlign w:val="bottom"/>
            <w:shd w:val="clear" w:color="auto" w:fill="CCEEFF"/>
          </w:tcPr>
          <w:p>
            <w:pPr>
              <w:jc w:val="right"/>
              <w:ind w:right="270"/>
              <w:spacing w:after="0"/>
              <w:rPr>
                <w:sz w:val="20"/>
                <w:szCs w:val="20"/>
                <w:color w:val="auto"/>
              </w:rPr>
            </w:pPr>
            <w:r>
              <w:rPr>
                <w:rFonts w:ascii="Arial" w:cs="Arial" w:eastAsia="Arial" w:hAnsi="Arial"/>
                <w:sz w:val="18"/>
                <w:szCs w:val="18"/>
                <w:color w:val="auto"/>
              </w:rPr>
              <w:t>—</w:t>
            </w:r>
          </w:p>
        </w:tc>
        <w:tc>
          <w:tcPr>
            <w:tcW w:w="420" w:type="dxa"/>
            <w:vAlign w:val="bottom"/>
            <w:shd w:val="clear" w:color="auto" w:fill="CCEEFF"/>
          </w:tcPr>
          <w:p>
            <w:pPr>
              <w:spacing w:after="0"/>
              <w:rPr>
                <w:sz w:val="18"/>
                <w:szCs w:val="18"/>
                <w:color w:val="auto"/>
              </w:rPr>
            </w:pPr>
          </w:p>
        </w:tc>
        <w:tc>
          <w:tcPr>
            <w:tcW w:w="1600" w:type="dxa"/>
            <w:vAlign w:val="bottom"/>
            <w:shd w:val="clear" w:color="auto" w:fill="CCEEFF"/>
          </w:tcPr>
          <w:p>
            <w:pPr>
              <w:jc w:val="right"/>
              <w:ind w:right="290"/>
              <w:spacing w:after="0"/>
              <w:rPr>
                <w:sz w:val="20"/>
                <w:szCs w:val="20"/>
                <w:color w:val="auto"/>
              </w:rPr>
            </w:pPr>
            <w:r>
              <w:rPr>
                <w:rFonts w:ascii="Arial" w:cs="Arial" w:eastAsia="Arial" w:hAnsi="Arial"/>
                <w:sz w:val="18"/>
                <w:szCs w:val="18"/>
                <w:color w:val="auto"/>
              </w:rPr>
              <w:t>16.2</w:t>
            </w:r>
          </w:p>
        </w:tc>
        <w:tc>
          <w:tcPr>
            <w:tcW w:w="880" w:type="dxa"/>
            <w:vAlign w:val="bottom"/>
            <w:shd w:val="clear" w:color="auto" w:fill="CCEEFF"/>
          </w:tcPr>
          <w:p>
            <w:pPr>
              <w:jc w:val="right"/>
              <w:ind w:right="210"/>
              <w:spacing w:after="0"/>
              <w:rPr>
                <w:sz w:val="20"/>
                <w:szCs w:val="20"/>
                <w:color w:val="auto"/>
              </w:rPr>
            </w:pPr>
            <w:r>
              <w:rPr>
                <w:rFonts w:ascii="Arial" w:cs="Arial" w:eastAsia="Arial" w:hAnsi="Arial"/>
                <w:sz w:val="18"/>
                <w:szCs w:val="18"/>
                <w:color w:val="auto"/>
              </w:rPr>
              <w:t>(H)</w:t>
            </w:r>
          </w:p>
        </w:tc>
        <w:tc>
          <w:tcPr>
            <w:tcW w:w="440" w:type="dxa"/>
            <w:vAlign w:val="bottom"/>
            <w:shd w:val="clear" w:color="auto" w:fill="CCEEFF"/>
          </w:tcPr>
          <w:p>
            <w:pPr>
              <w:spacing w:after="0"/>
              <w:rPr>
                <w:sz w:val="18"/>
                <w:szCs w:val="18"/>
                <w:color w:val="auto"/>
              </w:rPr>
            </w:pPr>
          </w:p>
        </w:tc>
        <w:tc>
          <w:tcPr>
            <w:tcW w:w="118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16.2</w:t>
            </w:r>
          </w:p>
        </w:tc>
      </w:tr>
      <w:tr>
        <w:trPr>
          <w:trHeight w:val="216"/>
        </w:trPr>
        <w:tc>
          <w:tcPr>
            <w:tcW w:w="464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auto"/>
              </w:rPr>
              <w:t>Other current liabilities</w:t>
            </w:r>
          </w:p>
        </w:tc>
        <w:tc>
          <w:tcPr>
            <w:tcW w:w="900" w:type="dxa"/>
            <w:vAlign w:val="bottom"/>
            <w:tcBorders>
              <w:bottom w:val="single" w:sz="8" w:color="auto"/>
            </w:tcBorders>
          </w:tcPr>
          <w:p>
            <w:pPr>
              <w:spacing w:after="0"/>
              <w:rPr>
                <w:sz w:val="18"/>
                <w:szCs w:val="18"/>
                <w:color w:val="auto"/>
              </w:rPr>
            </w:pPr>
          </w:p>
        </w:tc>
        <w:tc>
          <w:tcPr>
            <w:tcW w:w="1360" w:type="dxa"/>
            <w:vAlign w:val="bottom"/>
            <w:tcBorders>
              <w:bottom w:val="single" w:sz="8" w:color="auto"/>
            </w:tcBorders>
          </w:tcPr>
          <w:p>
            <w:pPr>
              <w:jc w:val="right"/>
              <w:ind w:right="270"/>
              <w:spacing w:after="0"/>
              <w:rPr>
                <w:sz w:val="20"/>
                <w:szCs w:val="20"/>
                <w:color w:val="auto"/>
              </w:rPr>
            </w:pPr>
            <w:r>
              <w:rPr>
                <w:rFonts w:ascii="Arial" w:cs="Arial" w:eastAsia="Arial" w:hAnsi="Arial"/>
                <w:sz w:val="18"/>
                <w:szCs w:val="18"/>
                <w:color w:val="auto"/>
              </w:rPr>
              <w:t>14.3</w:t>
            </w:r>
          </w:p>
        </w:tc>
        <w:tc>
          <w:tcPr>
            <w:tcW w:w="420" w:type="dxa"/>
            <w:vAlign w:val="bottom"/>
            <w:tcBorders>
              <w:bottom w:val="single" w:sz="8" w:color="auto"/>
            </w:tcBorders>
          </w:tcPr>
          <w:p>
            <w:pPr>
              <w:spacing w:after="0"/>
              <w:rPr>
                <w:sz w:val="18"/>
                <w:szCs w:val="18"/>
                <w:color w:val="auto"/>
              </w:rPr>
            </w:pPr>
          </w:p>
        </w:tc>
        <w:tc>
          <w:tcPr>
            <w:tcW w:w="1600" w:type="dxa"/>
            <w:vAlign w:val="bottom"/>
            <w:tcBorders>
              <w:bottom w:val="single" w:sz="8" w:color="auto"/>
            </w:tcBorders>
          </w:tcPr>
          <w:p>
            <w:pPr>
              <w:jc w:val="right"/>
              <w:ind w:right="290"/>
              <w:spacing w:after="0"/>
              <w:rPr>
                <w:sz w:val="20"/>
                <w:szCs w:val="20"/>
                <w:color w:val="auto"/>
              </w:rPr>
            </w:pPr>
            <w:r>
              <w:rPr>
                <w:rFonts w:ascii="Arial" w:cs="Arial" w:eastAsia="Arial" w:hAnsi="Arial"/>
                <w:sz w:val="18"/>
                <w:szCs w:val="18"/>
                <w:color w:val="auto"/>
              </w:rPr>
              <w:t>3.1</w:t>
            </w:r>
          </w:p>
        </w:tc>
        <w:tc>
          <w:tcPr>
            <w:tcW w:w="880" w:type="dxa"/>
            <w:vAlign w:val="bottom"/>
            <w:tcBorders>
              <w:bottom w:val="single" w:sz="8" w:color="auto"/>
            </w:tcBorders>
          </w:tcPr>
          <w:p>
            <w:pPr>
              <w:jc w:val="right"/>
              <w:ind w:right="210"/>
              <w:spacing w:after="0"/>
              <w:rPr>
                <w:sz w:val="20"/>
                <w:szCs w:val="20"/>
                <w:color w:val="auto"/>
              </w:rPr>
            </w:pPr>
            <w:r>
              <w:rPr>
                <w:rFonts w:ascii="Arial" w:cs="Arial" w:eastAsia="Arial" w:hAnsi="Arial"/>
                <w:sz w:val="18"/>
                <w:szCs w:val="18"/>
                <w:color w:val="auto"/>
              </w:rPr>
              <w:t>(B)</w:t>
            </w:r>
          </w:p>
        </w:tc>
        <w:tc>
          <w:tcPr>
            <w:tcW w:w="440" w:type="dxa"/>
            <w:vAlign w:val="bottom"/>
            <w:tcBorders>
              <w:bottom w:val="single" w:sz="8" w:color="auto"/>
            </w:tcBorders>
          </w:tcPr>
          <w:p>
            <w:pPr>
              <w:spacing w:after="0"/>
              <w:rPr>
                <w:sz w:val="18"/>
                <w:szCs w:val="18"/>
                <w:color w:val="auto"/>
              </w:rPr>
            </w:pPr>
          </w:p>
        </w:tc>
        <w:tc>
          <w:tcPr>
            <w:tcW w:w="118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17.4</w:t>
            </w:r>
          </w:p>
        </w:tc>
      </w:tr>
      <w:tr>
        <w:trPr>
          <w:trHeight w:val="210"/>
        </w:trPr>
        <w:tc>
          <w:tcPr>
            <w:tcW w:w="4640" w:type="dxa"/>
            <w:vAlign w:val="bottom"/>
            <w:gridSpan w:val="2"/>
            <w:shd w:val="clear" w:color="auto" w:fill="CCEEFF"/>
          </w:tcPr>
          <w:p>
            <w:pPr>
              <w:ind w:left="360"/>
              <w:spacing w:after="0"/>
              <w:rPr>
                <w:sz w:val="20"/>
                <w:szCs w:val="20"/>
                <w:color w:val="auto"/>
              </w:rPr>
            </w:pPr>
            <w:r>
              <w:rPr>
                <w:rFonts w:ascii="Arial" w:cs="Arial" w:eastAsia="Arial" w:hAnsi="Arial"/>
                <w:sz w:val="18"/>
                <w:szCs w:val="18"/>
                <w:b w:val="1"/>
                <w:bCs w:val="1"/>
                <w:color w:val="auto"/>
              </w:rPr>
              <w:t>Total Current Liabilities</w:t>
            </w:r>
          </w:p>
        </w:tc>
        <w:tc>
          <w:tcPr>
            <w:tcW w:w="900" w:type="dxa"/>
            <w:vAlign w:val="bottom"/>
            <w:shd w:val="clear" w:color="auto" w:fill="CCEEFF"/>
          </w:tcPr>
          <w:p>
            <w:pPr>
              <w:spacing w:after="0"/>
              <w:rPr>
                <w:sz w:val="18"/>
                <w:szCs w:val="18"/>
                <w:color w:val="auto"/>
              </w:rPr>
            </w:pPr>
          </w:p>
        </w:tc>
        <w:tc>
          <w:tcPr>
            <w:tcW w:w="1360" w:type="dxa"/>
            <w:vAlign w:val="bottom"/>
            <w:shd w:val="clear" w:color="auto" w:fill="CCEEFF"/>
          </w:tcPr>
          <w:p>
            <w:pPr>
              <w:jc w:val="right"/>
              <w:ind w:right="270"/>
              <w:spacing w:after="0"/>
              <w:rPr>
                <w:sz w:val="20"/>
                <w:szCs w:val="20"/>
                <w:color w:val="auto"/>
              </w:rPr>
            </w:pPr>
            <w:r>
              <w:rPr>
                <w:rFonts w:ascii="Arial" w:cs="Arial" w:eastAsia="Arial" w:hAnsi="Arial"/>
                <w:sz w:val="18"/>
                <w:szCs w:val="18"/>
                <w:color w:val="auto"/>
              </w:rPr>
              <w:t>181.0</w:t>
            </w:r>
          </w:p>
        </w:tc>
        <w:tc>
          <w:tcPr>
            <w:tcW w:w="420" w:type="dxa"/>
            <w:vAlign w:val="bottom"/>
            <w:shd w:val="clear" w:color="auto" w:fill="CCEEFF"/>
          </w:tcPr>
          <w:p>
            <w:pPr>
              <w:spacing w:after="0"/>
              <w:rPr>
                <w:sz w:val="18"/>
                <w:szCs w:val="18"/>
                <w:color w:val="auto"/>
              </w:rPr>
            </w:pPr>
          </w:p>
        </w:tc>
        <w:tc>
          <w:tcPr>
            <w:tcW w:w="1600" w:type="dxa"/>
            <w:vAlign w:val="bottom"/>
            <w:shd w:val="clear" w:color="auto" w:fill="CCEEFF"/>
          </w:tcPr>
          <w:p>
            <w:pPr>
              <w:jc w:val="right"/>
              <w:ind w:right="290"/>
              <w:spacing w:after="0"/>
              <w:rPr>
                <w:sz w:val="20"/>
                <w:szCs w:val="20"/>
                <w:color w:val="auto"/>
              </w:rPr>
            </w:pPr>
            <w:r>
              <w:rPr>
                <w:rFonts w:ascii="Arial" w:cs="Arial" w:eastAsia="Arial" w:hAnsi="Arial"/>
                <w:sz w:val="18"/>
                <w:szCs w:val="18"/>
                <w:color w:val="auto"/>
              </w:rPr>
              <w:t>20.0</w:t>
            </w:r>
          </w:p>
        </w:tc>
        <w:tc>
          <w:tcPr>
            <w:tcW w:w="88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18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201.0</w:t>
            </w:r>
          </w:p>
        </w:tc>
      </w:tr>
      <w:tr>
        <w:trPr>
          <w:trHeight w:val="216"/>
        </w:trPr>
        <w:tc>
          <w:tcPr>
            <w:tcW w:w="4640" w:type="dxa"/>
            <w:vAlign w:val="bottom"/>
            <w:gridSpan w:val="2"/>
          </w:tcPr>
          <w:p>
            <w:pPr>
              <w:spacing w:after="0"/>
              <w:rPr>
                <w:sz w:val="20"/>
                <w:szCs w:val="20"/>
                <w:color w:val="auto"/>
              </w:rPr>
            </w:pPr>
            <w:r>
              <w:rPr>
                <w:rFonts w:ascii="Arial" w:cs="Arial" w:eastAsia="Arial" w:hAnsi="Arial"/>
                <w:sz w:val="18"/>
                <w:szCs w:val="18"/>
                <w:b w:val="1"/>
                <w:bCs w:val="1"/>
                <w:color w:val="auto"/>
              </w:rPr>
              <w:t>Non-Current Liabilities</w:t>
            </w:r>
          </w:p>
        </w:tc>
        <w:tc>
          <w:tcPr>
            <w:tcW w:w="90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60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180" w:type="dxa"/>
            <w:vAlign w:val="bottom"/>
          </w:tcPr>
          <w:p>
            <w:pPr>
              <w:spacing w:after="0"/>
              <w:rPr>
                <w:sz w:val="18"/>
                <w:szCs w:val="18"/>
                <w:color w:val="auto"/>
              </w:rPr>
            </w:pPr>
          </w:p>
        </w:tc>
      </w:tr>
      <w:tr>
        <w:trPr>
          <w:trHeight w:val="216"/>
        </w:trPr>
        <w:tc>
          <w:tcPr>
            <w:tcW w:w="46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Long-term debt</w:t>
            </w:r>
          </w:p>
        </w:tc>
        <w:tc>
          <w:tcPr>
            <w:tcW w:w="900" w:type="dxa"/>
            <w:vAlign w:val="bottom"/>
            <w:shd w:val="clear" w:color="auto" w:fill="CCEEFF"/>
          </w:tcPr>
          <w:p>
            <w:pPr>
              <w:spacing w:after="0"/>
              <w:rPr>
                <w:sz w:val="18"/>
                <w:szCs w:val="18"/>
                <w:color w:val="auto"/>
              </w:rPr>
            </w:pPr>
          </w:p>
        </w:tc>
        <w:tc>
          <w:tcPr>
            <w:tcW w:w="1360" w:type="dxa"/>
            <w:vAlign w:val="bottom"/>
            <w:shd w:val="clear" w:color="auto" w:fill="CCEEFF"/>
          </w:tcPr>
          <w:p>
            <w:pPr>
              <w:jc w:val="right"/>
              <w:ind w:right="270"/>
              <w:spacing w:after="0"/>
              <w:rPr>
                <w:sz w:val="20"/>
                <w:szCs w:val="20"/>
                <w:color w:val="auto"/>
              </w:rPr>
            </w:pPr>
            <w:r>
              <w:rPr>
                <w:rFonts w:ascii="Arial" w:cs="Arial" w:eastAsia="Arial" w:hAnsi="Arial"/>
                <w:sz w:val="18"/>
                <w:szCs w:val="18"/>
                <w:color w:val="auto"/>
              </w:rPr>
              <w:t>30.2</w:t>
            </w:r>
          </w:p>
        </w:tc>
        <w:tc>
          <w:tcPr>
            <w:tcW w:w="420" w:type="dxa"/>
            <w:vAlign w:val="bottom"/>
            <w:shd w:val="clear" w:color="auto" w:fill="CCEEFF"/>
          </w:tcPr>
          <w:p>
            <w:pPr>
              <w:spacing w:after="0"/>
              <w:rPr>
                <w:sz w:val="18"/>
                <w:szCs w:val="18"/>
                <w:color w:val="auto"/>
              </w:rPr>
            </w:pPr>
          </w:p>
        </w:tc>
        <w:tc>
          <w:tcPr>
            <w:tcW w:w="1600" w:type="dxa"/>
            <w:vAlign w:val="bottom"/>
            <w:shd w:val="clear" w:color="auto" w:fill="CCEEFF"/>
          </w:tcPr>
          <w:p>
            <w:pPr>
              <w:jc w:val="right"/>
              <w:ind w:right="290"/>
              <w:spacing w:after="0"/>
              <w:rPr>
                <w:sz w:val="20"/>
                <w:szCs w:val="20"/>
                <w:color w:val="auto"/>
              </w:rPr>
            </w:pPr>
            <w:r>
              <w:rPr>
                <w:rFonts w:ascii="Arial" w:cs="Arial" w:eastAsia="Arial" w:hAnsi="Arial"/>
                <w:sz w:val="18"/>
                <w:szCs w:val="18"/>
                <w:color w:val="auto"/>
              </w:rPr>
              <w:t>100.0</w:t>
            </w:r>
          </w:p>
        </w:tc>
        <w:tc>
          <w:tcPr>
            <w:tcW w:w="880" w:type="dxa"/>
            <w:vAlign w:val="bottom"/>
            <w:shd w:val="clear" w:color="auto" w:fill="CCEEFF"/>
          </w:tcPr>
          <w:p>
            <w:pPr>
              <w:jc w:val="right"/>
              <w:ind w:right="210"/>
              <w:spacing w:after="0"/>
              <w:rPr>
                <w:sz w:val="20"/>
                <w:szCs w:val="20"/>
                <w:color w:val="auto"/>
              </w:rPr>
            </w:pPr>
            <w:r>
              <w:rPr>
                <w:rFonts w:ascii="Arial" w:cs="Arial" w:eastAsia="Arial" w:hAnsi="Arial"/>
                <w:sz w:val="18"/>
                <w:szCs w:val="18"/>
                <w:color w:val="auto"/>
              </w:rPr>
              <w:t>(I)</w:t>
            </w:r>
          </w:p>
        </w:tc>
        <w:tc>
          <w:tcPr>
            <w:tcW w:w="440" w:type="dxa"/>
            <w:vAlign w:val="bottom"/>
            <w:shd w:val="clear" w:color="auto" w:fill="CCEEFF"/>
          </w:tcPr>
          <w:p>
            <w:pPr>
              <w:spacing w:after="0"/>
              <w:rPr>
                <w:sz w:val="18"/>
                <w:szCs w:val="18"/>
                <w:color w:val="auto"/>
              </w:rPr>
            </w:pPr>
          </w:p>
        </w:tc>
        <w:tc>
          <w:tcPr>
            <w:tcW w:w="118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130.2</w:t>
            </w:r>
          </w:p>
        </w:tc>
      </w:tr>
      <w:tr>
        <w:trPr>
          <w:trHeight w:val="216"/>
        </w:trPr>
        <w:tc>
          <w:tcPr>
            <w:tcW w:w="4640" w:type="dxa"/>
            <w:vAlign w:val="bottom"/>
            <w:gridSpan w:val="2"/>
          </w:tcPr>
          <w:p>
            <w:pPr>
              <w:spacing w:after="0"/>
              <w:rPr>
                <w:sz w:val="20"/>
                <w:szCs w:val="20"/>
                <w:color w:val="auto"/>
              </w:rPr>
            </w:pPr>
            <w:r>
              <w:rPr>
                <w:rFonts w:ascii="Arial" w:cs="Arial" w:eastAsia="Arial" w:hAnsi="Arial"/>
                <w:sz w:val="18"/>
                <w:szCs w:val="18"/>
                <w:color w:val="auto"/>
              </w:rPr>
              <w:t>Accrued pension cost</w:t>
            </w:r>
          </w:p>
        </w:tc>
        <w:tc>
          <w:tcPr>
            <w:tcW w:w="900" w:type="dxa"/>
            <w:vAlign w:val="bottom"/>
          </w:tcPr>
          <w:p>
            <w:pPr>
              <w:spacing w:after="0"/>
              <w:rPr>
                <w:sz w:val="18"/>
                <w:szCs w:val="18"/>
                <w:color w:val="auto"/>
              </w:rPr>
            </w:pPr>
          </w:p>
        </w:tc>
        <w:tc>
          <w:tcPr>
            <w:tcW w:w="1360" w:type="dxa"/>
            <w:vAlign w:val="bottom"/>
          </w:tcPr>
          <w:p>
            <w:pPr>
              <w:jc w:val="right"/>
              <w:ind w:right="270"/>
              <w:spacing w:after="0"/>
              <w:rPr>
                <w:sz w:val="20"/>
                <w:szCs w:val="20"/>
                <w:color w:val="auto"/>
              </w:rPr>
            </w:pPr>
            <w:r>
              <w:rPr>
                <w:rFonts w:ascii="Arial" w:cs="Arial" w:eastAsia="Arial" w:hAnsi="Arial"/>
                <w:sz w:val="18"/>
                <w:szCs w:val="18"/>
                <w:color w:val="auto"/>
              </w:rPr>
              <w:t>—</w:t>
            </w:r>
          </w:p>
        </w:tc>
        <w:tc>
          <w:tcPr>
            <w:tcW w:w="420" w:type="dxa"/>
            <w:vAlign w:val="bottom"/>
          </w:tcPr>
          <w:p>
            <w:pPr>
              <w:spacing w:after="0"/>
              <w:rPr>
                <w:sz w:val="18"/>
                <w:szCs w:val="18"/>
                <w:color w:val="auto"/>
              </w:rPr>
            </w:pPr>
          </w:p>
        </w:tc>
        <w:tc>
          <w:tcPr>
            <w:tcW w:w="1600" w:type="dxa"/>
            <w:vAlign w:val="bottom"/>
          </w:tcPr>
          <w:p>
            <w:pPr>
              <w:jc w:val="right"/>
              <w:ind w:right="290"/>
              <w:spacing w:after="0"/>
              <w:rPr>
                <w:sz w:val="20"/>
                <w:szCs w:val="20"/>
                <w:color w:val="auto"/>
              </w:rPr>
            </w:pPr>
            <w:r>
              <w:rPr>
                <w:rFonts w:ascii="Arial" w:cs="Arial" w:eastAsia="Arial" w:hAnsi="Arial"/>
                <w:sz w:val="18"/>
                <w:szCs w:val="18"/>
                <w:color w:val="auto"/>
              </w:rPr>
              <w:t>26.0</w:t>
            </w:r>
          </w:p>
        </w:tc>
        <w:tc>
          <w:tcPr>
            <w:tcW w:w="880" w:type="dxa"/>
            <w:vAlign w:val="bottom"/>
          </w:tcPr>
          <w:p>
            <w:pPr>
              <w:jc w:val="right"/>
              <w:ind w:right="210"/>
              <w:spacing w:after="0"/>
              <w:rPr>
                <w:sz w:val="20"/>
                <w:szCs w:val="20"/>
                <w:color w:val="auto"/>
              </w:rPr>
            </w:pPr>
            <w:r>
              <w:rPr>
                <w:rFonts w:ascii="Arial" w:cs="Arial" w:eastAsia="Arial" w:hAnsi="Arial"/>
                <w:sz w:val="18"/>
                <w:szCs w:val="18"/>
                <w:color w:val="auto"/>
              </w:rPr>
              <w:t>(H)</w:t>
            </w:r>
          </w:p>
        </w:tc>
        <w:tc>
          <w:tcPr>
            <w:tcW w:w="440" w:type="dxa"/>
            <w:vAlign w:val="bottom"/>
          </w:tcPr>
          <w:p>
            <w:pPr>
              <w:spacing w:after="0"/>
              <w:rPr>
                <w:sz w:val="18"/>
                <w:szCs w:val="18"/>
                <w:color w:val="auto"/>
              </w:rPr>
            </w:pPr>
          </w:p>
        </w:tc>
        <w:tc>
          <w:tcPr>
            <w:tcW w:w="1180" w:type="dxa"/>
            <w:vAlign w:val="bottom"/>
          </w:tcPr>
          <w:p>
            <w:pPr>
              <w:jc w:val="right"/>
              <w:ind w:right="10"/>
              <w:spacing w:after="0"/>
              <w:rPr>
                <w:sz w:val="20"/>
                <w:szCs w:val="20"/>
                <w:color w:val="auto"/>
              </w:rPr>
            </w:pPr>
            <w:r>
              <w:rPr>
                <w:rFonts w:ascii="Arial" w:cs="Arial" w:eastAsia="Arial" w:hAnsi="Arial"/>
                <w:sz w:val="18"/>
                <w:szCs w:val="18"/>
                <w:color w:val="auto"/>
              </w:rPr>
              <w:t>26.0</w:t>
            </w:r>
          </w:p>
        </w:tc>
      </w:tr>
      <w:tr>
        <w:trPr>
          <w:trHeight w:val="216"/>
        </w:trPr>
        <w:tc>
          <w:tcPr>
            <w:tcW w:w="46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Accrued postretirement benefits cost</w:t>
            </w:r>
          </w:p>
        </w:tc>
        <w:tc>
          <w:tcPr>
            <w:tcW w:w="900" w:type="dxa"/>
            <w:vAlign w:val="bottom"/>
            <w:shd w:val="clear" w:color="auto" w:fill="CCEEFF"/>
          </w:tcPr>
          <w:p>
            <w:pPr>
              <w:spacing w:after="0"/>
              <w:rPr>
                <w:sz w:val="18"/>
                <w:szCs w:val="18"/>
                <w:color w:val="auto"/>
              </w:rPr>
            </w:pPr>
          </w:p>
        </w:tc>
        <w:tc>
          <w:tcPr>
            <w:tcW w:w="1360" w:type="dxa"/>
            <w:vAlign w:val="bottom"/>
            <w:shd w:val="clear" w:color="auto" w:fill="CCEEFF"/>
          </w:tcPr>
          <w:p>
            <w:pPr>
              <w:jc w:val="right"/>
              <w:ind w:right="270"/>
              <w:spacing w:after="0"/>
              <w:rPr>
                <w:sz w:val="20"/>
                <w:szCs w:val="20"/>
                <w:color w:val="auto"/>
              </w:rPr>
            </w:pPr>
            <w:r>
              <w:rPr>
                <w:rFonts w:ascii="Arial" w:cs="Arial" w:eastAsia="Arial" w:hAnsi="Arial"/>
                <w:sz w:val="18"/>
                <w:szCs w:val="18"/>
                <w:color w:val="auto"/>
              </w:rPr>
              <w:t>—</w:t>
            </w:r>
          </w:p>
        </w:tc>
        <w:tc>
          <w:tcPr>
            <w:tcW w:w="420" w:type="dxa"/>
            <w:vAlign w:val="bottom"/>
            <w:shd w:val="clear" w:color="auto" w:fill="CCEEFF"/>
          </w:tcPr>
          <w:p>
            <w:pPr>
              <w:spacing w:after="0"/>
              <w:rPr>
                <w:sz w:val="18"/>
                <w:szCs w:val="18"/>
                <w:color w:val="auto"/>
              </w:rPr>
            </w:pPr>
          </w:p>
        </w:tc>
        <w:tc>
          <w:tcPr>
            <w:tcW w:w="1600" w:type="dxa"/>
            <w:vAlign w:val="bottom"/>
            <w:shd w:val="clear" w:color="auto" w:fill="CCEEFF"/>
          </w:tcPr>
          <w:p>
            <w:pPr>
              <w:jc w:val="right"/>
              <w:ind w:right="290"/>
              <w:spacing w:after="0"/>
              <w:rPr>
                <w:sz w:val="20"/>
                <w:szCs w:val="20"/>
                <w:color w:val="auto"/>
              </w:rPr>
            </w:pPr>
            <w:r>
              <w:rPr>
                <w:rFonts w:ascii="Arial" w:cs="Arial" w:eastAsia="Arial" w:hAnsi="Arial"/>
                <w:sz w:val="18"/>
                <w:szCs w:val="18"/>
                <w:color w:val="auto"/>
              </w:rPr>
              <w:t>86.3</w:t>
            </w:r>
          </w:p>
        </w:tc>
        <w:tc>
          <w:tcPr>
            <w:tcW w:w="880" w:type="dxa"/>
            <w:vAlign w:val="bottom"/>
            <w:shd w:val="clear" w:color="auto" w:fill="CCEEFF"/>
          </w:tcPr>
          <w:p>
            <w:pPr>
              <w:jc w:val="right"/>
              <w:ind w:right="210"/>
              <w:spacing w:after="0"/>
              <w:rPr>
                <w:sz w:val="20"/>
                <w:szCs w:val="20"/>
                <w:color w:val="auto"/>
              </w:rPr>
            </w:pPr>
            <w:r>
              <w:rPr>
                <w:rFonts w:ascii="Arial" w:cs="Arial" w:eastAsia="Arial" w:hAnsi="Arial"/>
                <w:sz w:val="18"/>
                <w:szCs w:val="18"/>
                <w:color w:val="auto"/>
              </w:rPr>
              <w:t>(H)</w:t>
            </w:r>
          </w:p>
        </w:tc>
        <w:tc>
          <w:tcPr>
            <w:tcW w:w="440" w:type="dxa"/>
            <w:vAlign w:val="bottom"/>
            <w:shd w:val="clear" w:color="auto" w:fill="CCEEFF"/>
          </w:tcPr>
          <w:p>
            <w:pPr>
              <w:spacing w:after="0"/>
              <w:rPr>
                <w:sz w:val="18"/>
                <w:szCs w:val="18"/>
                <w:color w:val="auto"/>
              </w:rPr>
            </w:pPr>
          </w:p>
        </w:tc>
        <w:tc>
          <w:tcPr>
            <w:tcW w:w="118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86.3</w:t>
            </w:r>
          </w:p>
        </w:tc>
      </w:tr>
      <w:tr>
        <w:trPr>
          <w:trHeight w:val="216"/>
        </w:trPr>
        <w:tc>
          <w:tcPr>
            <w:tcW w:w="4640" w:type="dxa"/>
            <w:vAlign w:val="bottom"/>
            <w:gridSpan w:val="2"/>
          </w:tcPr>
          <w:p>
            <w:pPr>
              <w:spacing w:after="0"/>
              <w:rPr>
                <w:sz w:val="20"/>
                <w:szCs w:val="20"/>
                <w:color w:val="auto"/>
              </w:rPr>
            </w:pPr>
            <w:r>
              <w:rPr>
                <w:rFonts w:ascii="Arial" w:cs="Arial" w:eastAsia="Arial" w:hAnsi="Arial"/>
                <w:sz w:val="18"/>
                <w:szCs w:val="18"/>
                <w:color w:val="auto"/>
              </w:rPr>
              <w:t>Deferred income taxes</w:t>
            </w:r>
          </w:p>
        </w:tc>
        <w:tc>
          <w:tcPr>
            <w:tcW w:w="900" w:type="dxa"/>
            <w:vAlign w:val="bottom"/>
          </w:tcPr>
          <w:p>
            <w:pPr>
              <w:spacing w:after="0"/>
              <w:rPr>
                <w:sz w:val="18"/>
                <w:szCs w:val="18"/>
                <w:color w:val="auto"/>
              </w:rPr>
            </w:pPr>
          </w:p>
        </w:tc>
        <w:tc>
          <w:tcPr>
            <w:tcW w:w="1360" w:type="dxa"/>
            <w:vAlign w:val="bottom"/>
          </w:tcPr>
          <w:p>
            <w:pPr>
              <w:jc w:val="right"/>
              <w:ind w:right="270"/>
              <w:spacing w:after="0"/>
              <w:rPr>
                <w:sz w:val="20"/>
                <w:szCs w:val="20"/>
                <w:color w:val="auto"/>
              </w:rPr>
            </w:pPr>
            <w:r>
              <w:rPr>
                <w:rFonts w:ascii="Arial" w:cs="Arial" w:eastAsia="Arial" w:hAnsi="Arial"/>
                <w:sz w:val="18"/>
                <w:szCs w:val="18"/>
                <w:color w:val="auto"/>
              </w:rPr>
              <w:t>86.1</w:t>
            </w:r>
          </w:p>
        </w:tc>
        <w:tc>
          <w:tcPr>
            <w:tcW w:w="420" w:type="dxa"/>
            <w:vAlign w:val="bottom"/>
          </w:tcPr>
          <w:p>
            <w:pPr>
              <w:spacing w:after="0"/>
              <w:rPr>
                <w:sz w:val="18"/>
                <w:szCs w:val="18"/>
                <w:color w:val="auto"/>
              </w:rPr>
            </w:pPr>
          </w:p>
        </w:tc>
        <w:tc>
          <w:tcPr>
            <w:tcW w:w="1600" w:type="dxa"/>
            <w:vAlign w:val="bottom"/>
          </w:tcPr>
          <w:p>
            <w:pPr>
              <w:jc w:val="right"/>
              <w:ind w:right="290"/>
              <w:spacing w:after="0"/>
              <w:rPr>
                <w:sz w:val="20"/>
                <w:szCs w:val="20"/>
                <w:color w:val="auto"/>
              </w:rPr>
            </w:pPr>
            <w:r>
              <w:rPr>
                <w:rFonts w:ascii="Arial" w:cs="Arial" w:eastAsia="Arial" w:hAnsi="Arial"/>
                <w:sz w:val="18"/>
                <w:szCs w:val="18"/>
                <w:color w:val="auto"/>
              </w:rPr>
              <w:t>2.2</w:t>
            </w:r>
          </w:p>
        </w:tc>
        <w:tc>
          <w:tcPr>
            <w:tcW w:w="880" w:type="dxa"/>
            <w:vAlign w:val="bottom"/>
          </w:tcPr>
          <w:p>
            <w:pPr>
              <w:jc w:val="right"/>
              <w:ind w:right="210"/>
              <w:spacing w:after="0"/>
              <w:rPr>
                <w:sz w:val="20"/>
                <w:szCs w:val="20"/>
                <w:color w:val="auto"/>
              </w:rPr>
            </w:pPr>
            <w:r>
              <w:rPr>
                <w:rFonts w:ascii="Arial" w:cs="Arial" w:eastAsia="Arial" w:hAnsi="Arial"/>
                <w:sz w:val="18"/>
                <w:szCs w:val="18"/>
                <w:color w:val="auto"/>
              </w:rPr>
              <w:t>(A)</w:t>
            </w:r>
          </w:p>
        </w:tc>
        <w:tc>
          <w:tcPr>
            <w:tcW w:w="440" w:type="dxa"/>
            <w:vAlign w:val="bottom"/>
          </w:tcPr>
          <w:p>
            <w:pPr>
              <w:spacing w:after="0"/>
              <w:rPr>
                <w:sz w:val="18"/>
                <w:szCs w:val="18"/>
                <w:color w:val="auto"/>
              </w:rPr>
            </w:pPr>
          </w:p>
        </w:tc>
        <w:tc>
          <w:tcPr>
            <w:tcW w:w="1180" w:type="dxa"/>
            <w:vAlign w:val="bottom"/>
          </w:tcPr>
          <w:p>
            <w:pPr>
              <w:jc w:val="right"/>
              <w:ind w:right="10"/>
              <w:spacing w:after="0"/>
              <w:rPr>
                <w:sz w:val="20"/>
                <w:szCs w:val="20"/>
                <w:color w:val="auto"/>
              </w:rPr>
            </w:pPr>
            <w:r>
              <w:rPr>
                <w:rFonts w:ascii="Arial" w:cs="Arial" w:eastAsia="Arial" w:hAnsi="Arial"/>
                <w:sz w:val="18"/>
                <w:szCs w:val="18"/>
                <w:color w:val="auto"/>
              </w:rPr>
              <w:t>88.3</w:t>
            </w:r>
          </w:p>
        </w:tc>
      </w:tr>
      <w:tr>
        <w:trPr>
          <w:trHeight w:val="216"/>
        </w:trPr>
        <w:tc>
          <w:tcPr>
            <w:tcW w:w="4640" w:type="dxa"/>
            <w:vAlign w:val="bottom"/>
            <w:tcBorders>
              <w:bottom w:val="single" w:sz="8" w:color="auto"/>
            </w:tcBorders>
            <w:gridSpan w:val="2"/>
            <w:shd w:val="clear" w:color="auto" w:fill="CCEEFF"/>
          </w:tcPr>
          <w:p>
            <w:pPr>
              <w:spacing w:after="0"/>
              <w:rPr>
                <w:sz w:val="20"/>
                <w:szCs w:val="20"/>
                <w:color w:val="auto"/>
              </w:rPr>
            </w:pPr>
            <w:r>
              <w:rPr>
                <w:rFonts w:ascii="Arial" w:cs="Arial" w:eastAsia="Arial" w:hAnsi="Arial"/>
                <w:sz w:val="18"/>
                <w:szCs w:val="18"/>
                <w:color w:val="auto"/>
              </w:rPr>
              <w:t>Other non-current liabilities</w:t>
            </w:r>
          </w:p>
        </w:tc>
        <w:tc>
          <w:tcPr>
            <w:tcW w:w="900" w:type="dxa"/>
            <w:vAlign w:val="bottom"/>
            <w:tcBorders>
              <w:bottom w:val="single" w:sz="8" w:color="auto"/>
            </w:tcBorders>
            <w:shd w:val="clear" w:color="auto" w:fill="CCEEFF"/>
          </w:tcPr>
          <w:p>
            <w:pPr>
              <w:spacing w:after="0"/>
              <w:rPr>
                <w:sz w:val="18"/>
                <w:szCs w:val="18"/>
                <w:color w:val="auto"/>
              </w:rPr>
            </w:pPr>
          </w:p>
        </w:tc>
        <w:tc>
          <w:tcPr>
            <w:tcW w:w="1360" w:type="dxa"/>
            <w:vAlign w:val="bottom"/>
            <w:tcBorders>
              <w:bottom w:val="single" w:sz="8" w:color="auto"/>
            </w:tcBorders>
            <w:shd w:val="clear" w:color="auto" w:fill="CCEEFF"/>
          </w:tcPr>
          <w:p>
            <w:pPr>
              <w:jc w:val="right"/>
              <w:ind w:right="270"/>
              <w:spacing w:after="0"/>
              <w:rPr>
                <w:sz w:val="20"/>
                <w:szCs w:val="20"/>
                <w:color w:val="auto"/>
              </w:rPr>
            </w:pPr>
            <w:r>
              <w:rPr>
                <w:rFonts w:ascii="Arial" w:cs="Arial" w:eastAsia="Arial" w:hAnsi="Arial"/>
                <w:sz w:val="18"/>
                <w:szCs w:val="18"/>
                <w:color w:val="auto"/>
              </w:rPr>
              <w:t>6.5</w:t>
            </w:r>
          </w:p>
        </w:tc>
        <w:tc>
          <w:tcPr>
            <w:tcW w:w="420" w:type="dxa"/>
            <w:vAlign w:val="bottom"/>
            <w:tcBorders>
              <w:bottom w:val="single" w:sz="8" w:color="auto"/>
            </w:tcBorders>
            <w:shd w:val="clear" w:color="auto" w:fill="CCEEFF"/>
          </w:tcPr>
          <w:p>
            <w:pPr>
              <w:spacing w:after="0"/>
              <w:rPr>
                <w:sz w:val="18"/>
                <w:szCs w:val="18"/>
                <w:color w:val="auto"/>
              </w:rPr>
            </w:pPr>
          </w:p>
        </w:tc>
        <w:tc>
          <w:tcPr>
            <w:tcW w:w="1600" w:type="dxa"/>
            <w:vAlign w:val="bottom"/>
            <w:tcBorders>
              <w:bottom w:val="single" w:sz="8" w:color="auto"/>
            </w:tcBorders>
            <w:shd w:val="clear" w:color="auto" w:fill="CCEEFF"/>
          </w:tcPr>
          <w:p>
            <w:pPr>
              <w:jc w:val="right"/>
              <w:ind w:right="310"/>
              <w:spacing w:after="0"/>
              <w:rPr>
                <w:sz w:val="20"/>
                <w:szCs w:val="20"/>
                <w:color w:val="auto"/>
              </w:rPr>
            </w:pPr>
            <w:r>
              <w:rPr>
                <w:rFonts w:ascii="Arial" w:cs="Arial" w:eastAsia="Arial" w:hAnsi="Arial"/>
                <w:sz w:val="18"/>
                <w:szCs w:val="18"/>
                <w:color w:val="auto"/>
              </w:rPr>
              <w:t>—</w:t>
            </w:r>
          </w:p>
        </w:tc>
        <w:tc>
          <w:tcPr>
            <w:tcW w:w="880" w:type="dxa"/>
            <w:vAlign w:val="bottom"/>
            <w:tcBorders>
              <w:bottom w:val="single" w:sz="8" w:color="auto"/>
            </w:tcBorders>
            <w:shd w:val="clear" w:color="auto" w:fill="CCEEFF"/>
          </w:tcPr>
          <w:p>
            <w:pPr>
              <w:spacing w:after="0"/>
              <w:rPr>
                <w:sz w:val="18"/>
                <w:szCs w:val="18"/>
                <w:color w:val="auto"/>
              </w:rPr>
            </w:pPr>
          </w:p>
        </w:tc>
        <w:tc>
          <w:tcPr>
            <w:tcW w:w="440" w:type="dxa"/>
            <w:vAlign w:val="bottom"/>
            <w:tcBorders>
              <w:bottom w:val="single" w:sz="8" w:color="auto"/>
            </w:tcBorders>
            <w:shd w:val="clear" w:color="auto" w:fill="CCEEFF"/>
          </w:tcPr>
          <w:p>
            <w:pPr>
              <w:spacing w:after="0"/>
              <w:rPr>
                <w:sz w:val="18"/>
                <w:szCs w:val="18"/>
                <w:color w:val="auto"/>
              </w:rPr>
            </w:pPr>
          </w:p>
        </w:tc>
        <w:tc>
          <w:tcPr>
            <w:tcW w:w="118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6.5</w:t>
            </w:r>
          </w:p>
        </w:tc>
      </w:tr>
      <w:tr>
        <w:trPr>
          <w:trHeight w:val="210"/>
        </w:trPr>
        <w:tc>
          <w:tcPr>
            <w:tcW w:w="4640" w:type="dxa"/>
            <w:vAlign w:val="bottom"/>
            <w:gridSpan w:val="2"/>
          </w:tcPr>
          <w:p>
            <w:pPr>
              <w:ind w:left="360"/>
              <w:spacing w:after="0"/>
              <w:rPr>
                <w:sz w:val="20"/>
                <w:szCs w:val="20"/>
                <w:color w:val="auto"/>
              </w:rPr>
            </w:pPr>
            <w:r>
              <w:rPr>
                <w:rFonts w:ascii="Arial" w:cs="Arial" w:eastAsia="Arial" w:hAnsi="Arial"/>
                <w:sz w:val="18"/>
                <w:szCs w:val="18"/>
                <w:b w:val="1"/>
                <w:bCs w:val="1"/>
                <w:color w:val="auto"/>
              </w:rPr>
              <w:t>Total Non-Current Liabilities</w:t>
            </w:r>
          </w:p>
        </w:tc>
        <w:tc>
          <w:tcPr>
            <w:tcW w:w="900" w:type="dxa"/>
            <w:vAlign w:val="bottom"/>
          </w:tcPr>
          <w:p>
            <w:pPr>
              <w:spacing w:after="0"/>
              <w:rPr>
                <w:sz w:val="18"/>
                <w:szCs w:val="18"/>
                <w:color w:val="auto"/>
              </w:rPr>
            </w:pPr>
          </w:p>
        </w:tc>
        <w:tc>
          <w:tcPr>
            <w:tcW w:w="1360" w:type="dxa"/>
            <w:vAlign w:val="bottom"/>
          </w:tcPr>
          <w:p>
            <w:pPr>
              <w:jc w:val="right"/>
              <w:ind w:right="270"/>
              <w:spacing w:after="0"/>
              <w:rPr>
                <w:sz w:val="20"/>
                <w:szCs w:val="20"/>
                <w:color w:val="auto"/>
              </w:rPr>
            </w:pPr>
            <w:r>
              <w:rPr>
                <w:rFonts w:ascii="Arial" w:cs="Arial" w:eastAsia="Arial" w:hAnsi="Arial"/>
                <w:sz w:val="18"/>
                <w:szCs w:val="18"/>
                <w:color w:val="auto"/>
              </w:rPr>
              <w:t>122.8</w:t>
            </w:r>
          </w:p>
        </w:tc>
        <w:tc>
          <w:tcPr>
            <w:tcW w:w="420" w:type="dxa"/>
            <w:vAlign w:val="bottom"/>
          </w:tcPr>
          <w:p>
            <w:pPr>
              <w:spacing w:after="0"/>
              <w:rPr>
                <w:sz w:val="18"/>
                <w:szCs w:val="18"/>
                <w:color w:val="auto"/>
              </w:rPr>
            </w:pPr>
          </w:p>
        </w:tc>
        <w:tc>
          <w:tcPr>
            <w:tcW w:w="1600" w:type="dxa"/>
            <w:vAlign w:val="bottom"/>
          </w:tcPr>
          <w:p>
            <w:pPr>
              <w:jc w:val="right"/>
              <w:ind w:right="290"/>
              <w:spacing w:after="0"/>
              <w:rPr>
                <w:sz w:val="20"/>
                <w:szCs w:val="20"/>
                <w:color w:val="auto"/>
              </w:rPr>
            </w:pPr>
            <w:r>
              <w:rPr>
                <w:rFonts w:ascii="Arial" w:cs="Arial" w:eastAsia="Arial" w:hAnsi="Arial"/>
                <w:sz w:val="18"/>
                <w:szCs w:val="18"/>
                <w:color w:val="auto"/>
              </w:rPr>
              <w:t>214.5</w:t>
            </w:r>
          </w:p>
        </w:tc>
        <w:tc>
          <w:tcPr>
            <w:tcW w:w="88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180" w:type="dxa"/>
            <w:vAlign w:val="bottom"/>
          </w:tcPr>
          <w:p>
            <w:pPr>
              <w:jc w:val="right"/>
              <w:ind w:right="10"/>
              <w:spacing w:after="0"/>
              <w:rPr>
                <w:sz w:val="20"/>
                <w:szCs w:val="20"/>
                <w:color w:val="auto"/>
              </w:rPr>
            </w:pPr>
            <w:r>
              <w:rPr>
                <w:rFonts w:ascii="Arial" w:cs="Arial" w:eastAsia="Arial" w:hAnsi="Arial"/>
                <w:sz w:val="18"/>
                <w:szCs w:val="18"/>
                <w:color w:val="auto"/>
              </w:rPr>
              <w:t>337.3</w:t>
            </w:r>
          </w:p>
        </w:tc>
      </w:tr>
      <w:tr>
        <w:trPr>
          <w:trHeight w:val="216"/>
        </w:trPr>
        <w:tc>
          <w:tcPr>
            <w:tcW w:w="464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Shareholders’ Equity</w:t>
            </w:r>
          </w:p>
        </w:tc>
        <w:tc>
          <w:tcPr>
            <w:tcW w:w="900" w:type="dxa"/>
            <w:vAlign w:val="bottom"/>
            <w:shd w:val="clear" w:color="auto" w:fill="CCEEFF"/>
          </w:tcPr>
          <w:p>
            <w:pPr>
              <w:spacing w:after="0"/>
              <w:rPr>
                <w:sz w:val="18"/>
                <w:szCs w:val="18"/>
                <w:color w:val="auto"/>
              </w:rPr>
            </w:pPr>
          </w:p>
        </w:tc>
        <w:tc>
          <w:tcPr>
            <w:tcW w:w="136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60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180" w:type="dxa"/>
            <w:vAlign w:val="bottom"/>
            <w:shd w:val="clear" w:color="auto" w:fill="CCEEFF"/>
          </w:tcPr>
          <w:p>
            <w:pPr>
              <w:spacing w:after="0"/>
              <w:rPr>
                <w:sz w:val="18"/>
                <w:szCs w:val="18"/>
                <w:color w:val="auto"/>
              </w:rPr>
            </w:pPr>
          </w:p>
        </w:tc>
      </w:tr>
      <w:tr>
        <w:trPr>
          <w:trHeight w:val="216"/>
        </w:trPr>
        <w:tc>
          <w:tcPr>
            <w:tcW w:w="4640" w:type="dxa"/>
            <w:vAlign w:val="bottom"/>
            <w:gridSpan w:val="2"/>
          </w:tcPr>
          <w:p>
            <w:pPr>
              <w:spacing w:after="0"/>
              <w:rPr>
                <w:sz w:val="20"/>
                <w:szCs w:val="20"/>
                <w:color w:val="auto"/>
              </w:rPr>
            </w:pPr>
            <w:r>
              <w:rPr>
                <w:rFonts w:ascii="Arial" w:cs="Arial" w:eastAsia="Arial" w:hAnsi="Arial"/>
                <w:sz w:val="18"/>
                <w:szCs w:val="18"/>
                <w:color w:val="auto"/>
              </w:rPr>
              <w:t>Common stock</w:t>
            </w:r>
          </w:p>
        </w:tc>
        <w:tc>
          <w:tcPr>
            <w:tcW w:w="900" w:type="dxa"/>
            <w:vAlign w:val="bottom"/>
          </w:tcPr>
          <w:p>
            <w:pPr>
              <w:spacing w:after="0"/>
              <w:rPr>
                <w:sz w:val="18"/>
                <w:szCs w:val="18"/>
                <w:color w:val="auto"/>
              </w:rPr>
            </w:pPr>
          </w:p>
        </w:tc>
        <w:tc>
          <w:tcPr>
            <w:tcW w:w="1360" w:type="dxa"/>
            <w:vAlign w:val="bottom"/>
          </w:tcPr>
          <w:p>
            <w:pPr>
              <w:jc w:val="right"/>
              <w:ind w:right="270"/>
              <w:spacing w:after="0"/>
              <w:rPr>
                <w:sz w:val="20"/>
                <w:szCs w:val="20"/>
                <w:color w:val="auto"/>
              </w:rPr>
            </w:pPr>
            <w:r>
              <w:rPr>
                <w:rFonts w:ascii="Arial" w:cs="Arial" w:eastAsia="Arial" w:hAnsi="Arial"/>
                <w:sz w:val="18"/>
                <w:szCs w:val="18"/>
                <w:color w:val="auto"/>
              </w:rPr>
              <w:t>—</w:t>
            </w:r>
          </w:p>
        </w:tc>
        <w:tc>
          <w:tcPr>
            <w:tcW w:w="420" w:type="dxa"/>
            <w:vAlign w:val="bottom"/>
          </w:tcPr>
          <w:p>
            <w:pPr>
              <w:spacing w:after="0"/>
              <w:rPr>
                <w:sz w:val="18"/>
                <w:szCs w:val="18"/>
                <w:color w:val="auto"/>
              </w:rPr>
            </w:pPr>
          </w:p>
        </w:tc>
        <w:tc>
          <w:tcPr>
            <w:tcW w:w="1600" w:type="dxa"/>
            <w:vAlign w:val="bottom"/>
          </w:tcPr>
          <w:p>
            <w:pPr>
              <w:jc w:val="right"/>
              <w:ind w:right="310"/>
              <w:spacing w:after="0"/>
              <w:rPr>
                <w:sz w:val="20"/>
                <w:szCs w:val="20"/>
                <w:color w:val="auto"/>
              </w:rPr>
            </w:pPr>
            <w:r>
              <w:rPr>
                <w:rFonts w:ascii="Arial" w:cs="Arial" w:eastAsia="Arial" w:hAnsi="Arial"/>
                <w:sz w:val="18"/>
                <w:szCs w:val="18"/>
                <w:color w:val="auto"/>
              </w:rPr>
              <w:t>—</w:t>
            </w:r>
          </w:p>
        </w:tc>
        <w:tc>
          <w:tcPr>
            <w:tcW w:w="880" w:type="dxa"/>
            <w:vAlign w:val="bottom"/>
          </w:tcPr>
          <w:p>
            <w:pPr>
              <w:jc w:val="right"/>
              <w:ind w:right="210"/>
              <w:spacing w:after="0"/>
              <w:rPr>
                <w:sz w:val="20"/>
                <w:szCs w:val="20"/>
                <w:color w:val="auto"/>
              </w:rPr>
            </w:pPr>
            <w:r>
              <w:rPr>
                <w:rFonts w:ascii="Arial" w:cs="Arial" w:eastAsia="Arial" w:hAnsi="Arial"/>
                <w:sz w:val="18"/>
                <w:szCs w:val="18"/>
                <w:color w:val="auto"/>
              </w:rPr>
              <w:t>(J)</w:t>
            </w:r>
          </w:p>
        </w:tc>
        <w:tc>
          <w:tcPr>
            <w:tcW w:w="440" w:type="dxa"/>
            <w:vAlign w:val="bottom"/>
          </w:tcPr>
          <w:p>
            <w:pPr>
              <w:spacing w:after="0"/>
              <w:rPr>
                <w:sz w:val="18"/>
                <w:szCs w:val="18"/>
                <w:color w:val="auto"/>
              </w:rPr>
            </w:pPr>
          </w:p>
        </w:tc>
        <w:tc>
          <w:tcPr>
            <w:tcW w:w="1180" w:type="dxa"/>
            <w:vAlign w:val="bottom"/>
          </w:tcPr>
          <w:p>
            <w:pPr>
              <w:jc w:val="right"/>
              <w:ind w:right="10"/>
              <w:spacing w:after="0"/>
              <w:rPr>
                <w:sz w:val="20"/>
                <w:szCs w:val="20"/>
                <w:color w:val="auto"/>
              </w:rPr>
            </w:pPr>
            <w:r>
              <w:rPr>
                <w:rFonts w:ascii="Arial" w:cs="Arial" w:eastAsia="Arial" w:hAnsi="Arial"/>
                <w:sz w:val="18"/>
                <w:szCs w:val="18"/>
                <w:color w:val="auto"/>
              </w:rPr>
              <w:t>—</w:t>
            </w:r>
          </w:p>
        </w:tc>
      </w:tr>
      <w:tr>
        <w:trPr>
          <w:trHeight w:val="216"/>
        </w:trPr>
        <w:tc>
          <w:tcPr>
            <w:tcW w:w="46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Capital in excess or par value</w:t>
            </w:r>
          </w:p>
        </w:tc>
        <w:tc>
          <w:tcPr>
            <w:tcW w:w="900" w:type="dxa"/>
            <w:vAlign w:val="bottom"/>
            <w:shd w:val="clear" w:color="auto" w:fill="CCEEFF"/>
          </w:tcPr>
          <w:p>
            <w:pPr>
              <w:spacing w:after="0"/>
              <w:rPr>
                <w:sz w:val="18"/>
                <w:szCs w:val="18"/>
                <w:color w:val="auto"/>
              </w:rPr>
            </w:pPr>
          </w:p>
        </w:tc>
        <w:tc>
          <w:tcPr>
            <w:tcW w:w="1360" w:type="dxa"/>
            <w:vAlign w:val="bottom"/>
            <w:shd w:val="clear" w:color="auto" w:fill="CCEEFF"/>
          </w:tcPr>
          <w:p>
            <w:pPr>
              <w:jc w:val="right"/>
              <w:ind w:right="270"/>
              <w:spacing w:after="0"/>
              <w:rPr>
                <w:sz w:val="20"/>
                <w:szCs w:val="20"/>
                <w:color w:val="auto"/>
              </w:rPr>
            </w:pPr>
            <w:r>
              <w:rPr>
                <w:rFonts w:ascii="Arial" w:cs="Arial" w:eastAsia="Arial" w:hAnsi="Arial"/>
                <w:sz w:val="18"/>
                <w:szCs w:val="18"/>
                <w:color w:val="auto"/>
              </w:rPr>
              <w:t>—</w:t>
            </w:r>
          </w:p>
        </w:tc>
        <w:tc>
          <w:tcPr>
            <w:tcW w:w="420" w:type="dxa"/>
            <w:vAlign w:val="bottom"/>
            <w:shd w:val="clear" w:color="auto" w:fill="CCEEFF"/>
          </w:tcPr>
          <w:p>
            <w:pPr>
              <w:spacing w:after="0"/>
              <w:rPr>
                <w:sz w:val="18"/>
                <w:szCs w:val="18"/>
                <w:color w:val="auto"/>
              </w:rPr>
            </w:pPr>
          </w:p>
        </w:tc>
        <w:tc>
          <w:tcPr>
            <w:tcW w:w="1600" w:type="dxa"/>
            <w:vAlign w:val="bottom"/>
            <w:shd w:val="clear" w:color="auto" w:fill="CCEEFF"/>
          </w:tcPr>
          <w:p>
            <w:pPr>
              <w:jc w:val="right"/>
              <w:ind w:right="290"/>
              <w:spacing w:after="0"/>
              <w:rPr>
                <w:sz w:val="20"/>
                <w:szCs w:val="20"/>
                <w:color w:val="auto"/>
              </w:rPr>
            </w:pPr>
            <w:r>
              <w:rPr>
                <w:rFonts w:ascii="Arial" w:cs="Arial" w:eastAsia="Arial" w:hAnsi="Arial"/>
                <w:sz w:val="18"/>
                <w:szCs w:val="18"/>
                <w:color w:val="auto"/>
              </w:rPr>
              <w:t>952.5</w:t>
            </w:r>
          </w:p>
        </w:tc>
        <w:tc>
          <w:tcPr>
            <w:tcW w:w="880" w:type="dxa"/>
            <w:vAlign w:val="bottom"/>
            <w:shd w:val="clear" w:color="auto" w:fill="CCEEFF"/>
          </w:tcPr>
          <w:p>
            <w:pPr>
              <w:jc w:val="right"/>
              <w:ind w:right="210"/>
              <w:spacing w:after="0"/>
              <w:rPr>
                <w:sz w:val="20"/>
                <w:szCs w:val="20"/>
                <w:color w:val="auto"/>
              </w:rPr>
            </w:pPr>
            <w:r>
              <w:rPr>
                <w:rFonts w:ascii="Arial" w:cs="Arial" w:eastAsia="Arial" w:hAnsi="Arial"/>
                <w:sz w:val="18"/>
                <w:szCs w:val="18"/>
                <w:color w:val="auto"/>
              </w:rPr>
              <w:t>(K)</w:t>
            </w:r>
          </w:p>
        </w:tc>
        <w:tc>
          <w:tcPr>
            <w:tcW w:w="440" w:type="dxa"/>
            <w:vAlign w:val="bottom"/>
            <w:shd w:val="clear" w:color="auto" w:fill="CCEEFF"/>
          </w:tcPr>
          <w:p>
            <w:pPr>
              <w:spacing w:after="0"/>
              <w:rPr>
                <w:sz w:val="18"/>
                <w:szCs w:val="18"/>
                <w:color w:val="auto"/>
              </w:rPr>
            </w:pPr>
          </w:p>
        </w:tc>
        <w:tc>
          <w:tcPr>
            <w:tcW w:w="118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952.5</w:t>
            </w:r>
          </w:p>
        </w:tc>
      </w:tr>
      <w:tr>
        <w:trPr>
          <w:trHeight w:val="216"/>
        </w:trPr>
        <w:tc>
          <w:tcPr>
            <w:tcW w:w="4640" w:type="dxa"/>
            <w:vAlign w:val="bottom"/>
            <w:gridSpan w:val="2"/>
          </w:tcPr>
          <w:p>
            <w:pPr>
              <w:spacing w:after="0"/>
              <w:rPr>
                <w:sz w:val="20"/>
                <w:szCs w:val="20"/>
                <w:color w:val="auto"/>
              </w:rPr>
            </w:pPr>
            <w:r>
              <w:rPr>
                <w:rFonts w:ascii="Arial" w:cs="Arial" w:eastAsia="Arial" w:hAnsi="Arial"/>
                <w:sz w:val="18"/>
                <w:szCs w:val="18"/>
                <w:color w:val="auto"/>
              </w:rPr>
              <w:t>Net parent investment</w:t>
            </w:r>
          </w:p>
        </w:tc>
        <w:tc>
          <w:tcPr>
            <w:tcW w:w="900" w:type="dxa"/>
            <w:vAlign w:val="bottom"/>
          </w:tcPr>
          <w:p>
            <w:pPr>
              <w:spacing w:after="0"/>
              <w:rPr>
                <w:sz w:val="18"/>
                <w:szCs w:val="18"/>
                <w:color w:val="auto"/>
              </w:rPr>
            </w:pPr>
          </w:p>
        </w:tc>
        <w:tc>
          <w:tcPr>
            <w:tcW w:w="1360" w:type="dxa"/>
            <w:vAlign w:val="bottom"/>
          </w:tcPr>
          <w:p>
            <w:pPr>
              <w:jc w:val="right"/>
              <w:ind w:right="270"/>
              <w:spacing w:after="0"/>
              <w:rPr>
                <w:sz w:val="20"/>
                <w:szCs w:val="20"/>
                <w:color w:val="auto"/>
              </w:rPr>
            </w:pPr>
            <w:r>
              <w:rPr>
                <w:rFonts w:ascii="Arial" w:cs="Arial" w:eastAsia="Arial" w:hAnsi="Arial"/>
                <w:sz w:val="18"/>
                <w:szCs w:val="18"/>
                <w:color w:val="auto"/>
              </w:rPr>
              <w:t>823.3</w:t>
            </w:r>
          </w:p>
        </w:tc>
        <w:tc>
          <w:tcPr>
            <w:tcW w:w="420" w:type="dxa"/>
            <w:vAlign w:val="bottom"/>
          </w:tcPr>
          <w:p>
            <w:pPr>
              <w:spacing w:after="0"/>
              <w:rPr>
                <w:sz w:val="18"/>
                <w:szCs w:val="18"/>
                <w:color w:val="auto"/>
              </w:rPr>
            </w:pPr>
          </w:p>
        </w:tc>
        <w:tc>
          <w:tcPr>
            <w:tcW w:w="1600" w:type="dxa"/>
            <w:vAlign w:val="bottom"/>
          </w:tcPr>
          <w:p>
            <w:pPr>
              <w:jc w:val="right"/>
              <w:ind w:right="250"/>
              <w:spacing w:after="0"/>
              <w:rPr>
                <w:sz w:val="20"/>
                <w:szCs w:val="20"/>
                <w:color w:val="auto"/>
              </w:rPr>
            </w:pPr>
            <w:r>
              <w:rPr>
                <w:rFonts w:ascii="Arial" w:cs="Arial" w:eastAsia="Arial" w:hAnsi="Arial"/>
                <w:sz w:val="18"/>
                <w:szCs w:val="18"/>
                <w:color w:val="auto"/>
              </w:rPr>
              <w:t>(823.3)</w:t>
            </w:r>
          </w:p>
        </w:tc>
        <w:tc>
          <w:tcPr>
            <w:tcW w:w="880" w:type="dxa"/>
            <w:vAlign w:val="bottom"/>
          </w:tcPr>
          <w:p>
            <w:pPr>
              <w:jc w:val="right"/>
              <w:ind w:right="210"/>
              <w:spacing w:after="0"/>
              <w:rPr>
                <w:sz w:val="20"/>
                <w:szCs w:val="20"/>
                <w:color w:val="auto"/>
              </w:rPr>
            </w:pPr>
            <w:r>
              <w:rPr>
                <w:rFonts w:ascii="Arial" w:cs="Arial" w:eastAsia="Arial" w:hAnsi="Arial"/>
                <w:sz w:val="18"/>
                <w:szCs w:val="18"/>
                <w:color w:val="auto"/>
              </w:rPr>
              <w:t>(K)</w:t>
            </w:r>
          </w:p>
        </w:tc>
        <w:tc>
          <w:tcPr>
            <w:tcW w:w="440" w:type="dxa"/>
            <w:vAlign w:val="bottom"/>
          </w:tcPr>
          <w:p>
            <w:pPr>
              <w:spacing w:after="0"/>
              <w:rPr>
                <w:sz w:val="18"/>
                <w:szCs w:val="18"/>
                <w:color w:val="auto"/>
              </w:rPr>
            </w:pPr>
          </w:p>
        </w:tc>
        <w:tc>
          <w:tcPr>
            <w:tcW w:w="1180" w:type="dxa"/>
            <w:vAlign w:val="bottom"/>
          </w:tcPr>
          <w:p>
            <w:pPr>
              <w:jc w:val="right"/>
              <w:ind w:right="10"/>
              <w:spacing w:after="0"/>
              <w:rPr>
                <w:sz w:val="20"/>
                <w:szCs w:val="20"/>
                <w:color w:val="auto"/>
              </w:rPr>
            </w:pPr>
            <w:r>
              <w:rPr>
                <w:rFonts w:ascii="Arial" w:cs="Arial" w:eastAsia="Arial" w:hAnsi="Arial"/>
                <w:sz w:val="18"/>
                <w:szCs w:val="18"/>
                <w:color w:val="auto"/>
              </w:rPr>
              <w:t>—</w:t>
            </w:r>
          </w:p>
        </w:tc>
      </w:tr>
      <w:tr>
        <w:trPr>
          <w:trHeight w:val="216"/>
        </w:trPr>
        <w:tc>
          <w:tcPr>
            <w:tcW w:w="4640" w:type="dxa"/>
            <w:vAlign w:val="bottom"/>
            <w:tcBorders>
              <w:bottom w:val="single" w:sz="8" w:color="auto"/>
            </w:tcBorders>
            <w:gridSpan w:val="2"/>
            <w:shd w:val="clear" w:color="auto" w:fill="CCEEFF"/>
          </w:tcPr>
          <w:p>
            <w:pPr>
              <w:spacing w:after="0"/>
              <w:rPr>
                <w:sz w:val="20"/>
                <w:szCs w:val="20"/>
                <w:color w:val="auto"/>
              </w:rPr>
            </w:pPr>
            <w:r>
              <w:rPr>
                <w:rFonts w:ascii="Arial" w:cs="Arial" w:eastAsia="Arial" w:hAnsi="Arial"/>
                <w:sz w:val="18"/>
                <w:szCs w:val="18"/>
                <w:color w:val="auto"/>
              </w:rPr>
              <w:t>Accumulated other comprehensive loss</w:t>
            </w:r>
          </w:p>
        </w:tc>
        <w:tc>
          <w:tcPr>
            <w:tcW w:w="900" w:type="dxa"/>
            <w:vAlign w:val="bottom"/>
            <w:tcBorders>
              <w:bottom w:val="single" w:sz="8" w:color="auto"/>
            </w:tcBorders>
            <w:shd w:val="clear" w:color="auto" w:fill="CCEEFF"/>
          </w:tcPr>
          <w:p>
            <w:pPr>
              <w:spacing w:after="0"/>
              <w:rPr>
                <w:sz w:val="18"/>
                <w:szCs w:val="18"/>
                <w:color w:val="auto"/>
              </w:rPr>
            </w:pPr>
          </w:p>
        </w:tc>
        <w:tc>
          <w:tcPr>
            <w:tcW w:w="1360" w:type="dxa"/>
            <w:vAlign w:val="bottom"/>
            <w:tcBorders>
              <w:bottom w:val="single" w:sz="8" w:color="auto"/>
            </w:tcBorders>
            <w:shd w:val="clear" w:color="auto" w:fill="CCEEFF"/>
          </w:tcPr>
          <w:p>
            <w:pPr>
              <w:jc w:val="right"/>
              <w:ind w:right="210"/>
              <w:spacing w:after="0"/>
              <w:rPr>
                <w:sz w:val="20"/>
                <w:szCs w:val="20"/>
                <w:color w:val="auto"/>
              </w:rPr>
            </w:pPr>
            <w:r>
              <w:rPr>
                <w:rFonts w:ascii="Arial" w:cs="Arial" w:eastAsia="Arial" w:hAnsi="Arial"/>
                <w:sz w:val="18"/>
                <w:szCs w:val="18"/>
                <w:color w:val="auto"/>
              </w:rPr>
              <w:t>(0.6)</w:t>
            </w:r>
          </w:p>
        </w:tc>
        <w:tc>
          <w:tcPr>
            <w:tcW w:w="420" w:type="dxa"/>
            <w:vAlign w:val="bottom"/>
            <w:tcBorders>
              <w:bottom w:val="single" w:sz="8" w:color="auto"/>
            </w:tcBorders>
            <w:shd w:val="clear" w:color="auto" w:fill="CCEEFF"/>
          </w:tcPr>
          <w:p>
            <w:pPr>
              <w:spacing w:after="0"/>
              <w:rPr>
                <w:sz w:val="18"/>
                <w:szCs w:val="18"/>
                <w:color w:val="auto"/>
              </w:rPr>
            </w:pPr>
          </w:p>
        </w:tc>
        <w:tc>
          <w:tcPr>
            <w:tcW w:w="1600" w:type="dxa"/>
            <w:vAlign w:val="bottom"/>
            <w:tcBorders>
              <w:bottom w:val="single" w:sz="8" w:color="auto"/>
            </w:tcBorders>
            <w:shd w:val="clear" w:color="auto" w:fill="CCEEFF"/>
          </w:tcPr>
          <w:p>
            <w:pPr>
              <w:jc w:val="right"/>
              <w:ind w:right="250"/>
              <w:spacing w:after="0"/>
              <w:rPr>
                <w:sz w:val="20"/>
                <w:szCs w:val="20"/>
                <w:color w:val="auto"/>
              </w:rPr>
            </w:pPr>
            <w:r>
              <w:rPr>
                <w:rFonts w:ascii="Arial" w:cs="Arial" w:eastAsia="Arial" w:hAnsi="Arial"/>
                <w:sz w:val="18"/>
                <w:szCs w:val="18"/>
                <w:color w:val="auto"/>
              </w:rPr>
              <w:t>(216.1)</w:t>
            </w:r>
          </w:p>
        </w:tc>
        <w:tc>
          <w:tcPr>
            <w:tcW w:w="880" w:type="dxa"/>
            <w:vAlign w:val="bottom"/>
            <w:tcBorders>
              <w:bottom w:val="single" w:sz="8" w:color="auto"/>
            </w:tcBorders>
            <w:shd w:val="clear" w:color="auto" w:fill="CCEEFF"/>
          </w:tcPr>
          <w:p>
            <w:pPr>
              <w:jc w:val="right"/>
              <w:ind w:right="210"/>
              <w:spacing w:after="0"/>
              <w:rPr>
                <w:sz w:val="20"/>
                <w:szCs w:val="20"/>
                <w:color w:val="auto"/>
              </w:rPr>
            </w:pPr>
            <w:r>
              <w:rPr>
                <w:rFonts w:ascii="Arial" w:cs="Arial" w:eastAsia="Arial" w:hAnsi="Arial"/>
                <w:sz w:val="18"/>
                <w:szCs w:val="18"/>
                <w:color w:val="auto"/>
              </w:rPr>
              <w:t>(H)</w:t>
            </w:r>
          </w:p>
        </w:tc>
        <w:tc>
          <w:tcPr>
            <w:tcW w:w="440" w:type="dxa"/>
            <w:vAlign w:val="bottom"/>
            <w:tcBorders>
              <w:bottom w:val="single" w:sz="8" w:color="auto"/>
            </w:tcBorders>
            <w:shd w:val="clear" w:color="auto" w:fill="CCEEFF"/>
          </w:tcPr>
          <w:p>
            <w:pPr>
              <w:spacing w:after="0"/>
              <w:rPr>
                <w:sz w:val="18"/>
                <w:szCs w:val="18"/>
                <w:color w:val="auto"/>
              </w:rPr>
            </w:pPr>
          </w:p>
        </w:tc>
        <w:tc>
          <w:tcPr>
            <w:tcW w:w="1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(216.7)</w:t>
            </w:r>
          </w:p>
        </w:tc>
      </w:tr>
      <w:tr>
        <w:trPr>
          <w:trHeight w:val="210"/>
        </w:trPr>
        <w:tc>
          <w:tcPr>
            <w:tcW w:w="4640" w:type="dxa"/>
            <w:vAlign w:val="bottom"/>
            <w:tcBorders>
              <w:bottom w:val="single" w:sz="8" w:color="auto"/>
            </w:tcBorders>
            <w:gridSpan w:val="2"/>
          </w:tcPr>
          <w:p>
            <w:pPr>
              <w:ind w:left="360"/>
              <w:spacing w:after="0"/>
              <w:rPr>
                <w:sz w:val="20"/>
                <w:szCs w:val="20"/>
                <w:color w:val="auto"/>
              </w:rPr>
            </w:pPr>
            <w:r>
              <w:rPr>
                <w:rFonts w:ascii="Arial" w:cs="Arial" w:eastAsia="Arial" w:hAnsi="Arial"/>
                <w:sz w:val="18"/>
                <w:szCs w:val="18"/>
                <w:b w:val="1"/>
                <w:bCs w:val="1"/>
                <w:color w:val="auto"/>
              </w:rPr>
              <w:t>Total Shareholders’ Equity</w:t>
            </w:r>
          </w:p>
        </w:tc>
        <w:tc>
          <w:tcPr>
            <w:tcW w:w="900" w:type="dxa"/>
            <w:vAlign w:val="bottom"/>
            <w:tcBorders>
              <w:bottom w:val="single" w:sz="8" w:color="auto"/>
            </w:tcBorders>
          </w:tcPr>
          <w:p>
            <w:pPr>
              <w:spacing w:after="0"/>
              <w:rPr>
                <w:sz w:val="18"/>
                <w:szCs w:val="18"/>
                <w:color w:val="auto"/>
              </w:rPr>
            </w:pPr>
          </w:p>
        </w:tc>
        <w:tc>
          <w:tcPr>
            <w:tcW w:w="1360" w:type="dxa"/>
            <w:vAlign w:val="bottom"/>
            <w:tcBorders>
              <w:bottom w:val="single" w:sz="8" w:color="auto"/>
            </w:tcBorders>
          </w:tcPr>
          <w:p>
            <w:pPr>
              <w:jc w:val="right"/>
              <w:ind w:right="270"/>
              <w:spacing w:after="0"/>
              <w:rPr>
                <w:sz w:val="20"/>
                <w:szCs w:val="20"/>
                <w:color w:val="auto"/>
              </w:rPr>
            </w:pPr>
            <w:r>
              <w:rPr>
                <w:rFonts w:ascii="Arial" w:cs="Arial" w:eastAsia="Arial" w:hAnsi="Arial"/>
                <w:sz w:val="18"/>
                <w:szCs w:val="18"/>
                <w:color w:val="auto"/>
              </w:rPr>
              <w:t>822.7</w:t>
            </w:r>
          </w:p>
        </w:tc>
        <w:tc>
          <w:tcPr>
            <w:tcW w:w="420" w:type="dxa"/>
            <w:vAlign w:val="bottom"/>
            <w:tcBorders>
              <w:bottom w:val="single" w:sz="8" w:color="auto"/>
            </w:tcBorders>
          </w:tcPr>
          <w:p>
            <w:pPr>
              <w:spacing w:after="0"/>
              <w:rPr>
                <w:sz w:val="18"/>
                <w:szCs w:val="18"/>
                <w:color w:val="auto"/>
              </w:rPr>
            </w:pPr>
          </w:p>
        </w:tc>
        <w:tc>
          <w:tcPr>
            <w:tcW w:w="1600" w:type="dxa"/>
            <w:vAlign w:val="bottom"/>
            <w:tcBorders>
              <w:bottom w:val="single" w:sz="8" w:color="auto"/>
            </w:tcBorders>
          </w:tcPr>
          <w:p>
            <w:pPr>
              <w:jc w:val="right"/>
              <w:ind w:right="250"/>
              <w:spacing w:after="0"/>
              <w:rPr>
                <w:sz w:val="20"/>
                <w:szCs w:val="20"/>
                <w:color w:val="auto"/>
              </w:rPr>
            </w:pPr>
            <w:r>
              <w:rPr>
                <w:rFonts w:ascii="Arial" w:cs="Arial" w:eastAsia="Arial" w:hAnsi="Arial"/>
                <w:sz w:val="18"/>
                <w:szCs w:val="18"/>
                <w:color w:val="auto"/>
              </w:rPr>
              <w:t>(86.9)</w:t>
            </w:r>
          </w:p>
        </w:tc>
        <w:tc>
          <w:tcPr>
            <w:tcW w:w="880" w:type="dxa"/>
            <w:vAlign w:val="bottom"/>
            <w:tcBorders>
              <w:bottom w:val="single" w:sz="8" w:color="auto"/>
            </w:tcBorders>
          </w:tcPr>
          <w:p>
            <w:pPr>
              <w:spacing w:after="0"/>
              <w:rPr>
                <w:sz w:val="18"/>
                <w:szCs w:val="18"/>
                <w:color w:val="auto"/>
              </w:rPr>
            </w:pPr>
          </w:p>
        </w:tc>
        <w:tc>
          <w:tcPr>
            <w:tcW w:w="440" w:type="dxa"/>
            <w:vAlign w:val="bottom"/>
            <w:tcBorders>
              <w:bottom w:val="single" w:sz="8" w:color="auto"/>
            </w:tcBorders>
          </w:tcPr>
          <w:p>
            <w:pPr>
              <w:spacing w:after="0"/>
              <w:rPr>
                <w:sz w:val="18"/>
                <w:szCs w:val="18"/>
                <w:color w:val="auto"/>
              </w:rPr>
            </w:pPr>
          </w:p>
        </w:tc>
        <w:tc>
          <w:tcPr>
            <w:tcW w:w="118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735.8</w:t>
            </w:r>
          </w:p>
        </w:tc>
      </w:tr>
      <w:tr>
        <w:trPr>
          <w:trHeight w:val="210"/>
        </w:trPr>
        <w:tc>
          <w:tcPr>
            <w:tcW w:w="4640" w:type="dxa"/>
            <w:vAlign w:val="bottom"/>
            <w:tcBorders>
              <w:bottom w:val="single" w:sz="8" w:color="auto"/>
            </w:tcBorders>
            <w:gridSpan w:val="2"/>
            <w:shd w:val="clear" w:color="auto" w:fill="CCEEFF"/>
          </w:tcPr>
          <w:p>
            <w:pPr>
              <w:spacing w:after="0"/>
              <w:rPr>
                <w:sz w:val="20"/>
                <w:szCs w:val="20"/>
                <w:color w:val="auto"/>
              </w:rPr>
            </w:pPr>
            <w:r>
              <w:rPr>
                <w:rFonts w:ascii="Arial" w:cs="Arial" w:eastAsia="Arial" w:hAnsi="Arial"/>
                <w:sz w:val="18"/>
                <w:szCs w:val="18"/>
                <w:b w:val="1"/>
                <w:bCs w:val="1"/>
                <w:color w:val="auto"/>
              </w:rPr>
              <w:t>Total Liabilities and Shareholders’ Equity</w:t>
            </w: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360" w:type="dxa"/>
            <w:vAlign w:val="bottom"/>
            <w:tcBorders>
              <w:bottom w:val="single" w:sz="8" w:color="auto"/>
            </w:tcBorders>
            <w:shd w:val="clear" w:color="auto" w:fill="CCEEFF"/>
          </w:tcPr>
          <w:p>
            <w:pPr>
              <w:jc w:val="right"/>
              <w:ind w:right="270"/>
              <w:spacing w:after="0"/>
              <w:rPr>
                <w:sz w:val="20"/>
                <w:szCs w:val="20"/>
                <w:color w:val="auto"/>
              </w:rPr>
            </w:pPr>
            <w:r>
              <w:rPr>
                <w:rFonts w:ascii="Arial" w:cs="Arial" w:eastAsia="Arial" w:hAnsi="Arial"/>
                <w:sz w:val="18"/>
                <w:szCs w:val="18"/>
                <w:color w:val="auto"/>
              </w:rPr>
              <w:t>1,126.5</w:t>
            </w:r>
          </w:p>
        </w:tc>
        <w:tc>
          <w:tcPr>
            <w:tcW w:w="4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0" w:type="dxa"/>
            <w:vAlign w:val="bottom"/>
            <w:tcBorders>
              <w:bottom w:val="single" w:sz="8" w:color="auto"/>
            </w:tcBorders>
            <w:shd w:val="clear" w:color="auto" w:fill="CCEEFF"/>
          </w:tcPr>
          <w:p>
            <w:pPr>
              <w:jc w:val="right"/>
              <w:ind w:right="290"/>
              <w:spacing w:after="0"/>
              <w:rPr>
                <w:sz w:val="20"/>
                <w:szCs w:val="20"/>
                <w:color w:val="auto"/>
              </w:rPr>
            </w:pPr>
            <w:r>
              <w:rPr>
                <w:rFonts w:ascii="Arial" w:cs="Arial" w:eastAsia="Arial" w:hAnsi="Arial"/>
                <w:sz w:val="18"/>
                <w:szCs w:val="18"/>
                <w:color w:val="auto"/>
              </w:rPr>
              <w:t>147.6</w:t>
            </w:r>
          </w:p>
        </w:tc>
        <w:tc>
          <w:tcPr>
            <w:tcW w:w="880" w:type="dxa"/>
            <w:vAlign w:val="bottom"/>
            <w:tcBorders>
              <w:bottom w:val="single" w:sz="8" w:color="auto"/>
            </w:tcBorders>
            <w:shd w:val="clear" w:color="auto" w:fill="CCEEFF"/>
          </w:tcPr>
          <w:p>
            <w:pPr>
              <w:spacing w:after="0"/>
              <w:rPr>
                <w:sz w:val="18"/>
                <w:szCs w:val="18"/>
                <w:color w:val="auto"/>
              </w:rPr>
            </w:pPr>
          </w:p>
        </w:tc>
        <w:tc>
          <w:tcPr>
            <w:tcW w:w="4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8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1,274.1</w:t>
            </w:r>
          </w:p>
        </w:tc>
      </w:tr>
    </w:tbl>
    <w:p>
      <w:pPr>
        <w:spacing w:after="0" w:line="89"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p>
    <w:p>
      <w:pPr>
        <w:spacing w:after="0"/>
        <w:rPr>
          <w:sz w:val="20"/>
          <w:szCs w:val="20"/>
          <w:color w:val="auto"/>
        </w:rPr>
      </w:pPr>
      <w:r>
        <w:rPr>
          <w:rFonts w:ascii="Arial" w:cs="Arial" w:eastAsia="Arial" w:hAnsi="Arial"/>
          <w:sz w:val="14"/>
          <w:szCs w:val="14"/>
          <w:color w:val="auto"/>
        </w:rPr>
        <w:t>See Notes to Unaudited Pro Forma Consolidated Financial Data.</w:t>
      </w:r>
    </w:p>
    <w:p>
      <w:pPr>
        <w:spacing w:after="0" w:line="14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30</w:t>
      </w:r>
    </w:p>
    <w:p>
      <w:pPr>
        <w:sectPr>
          <w:pgSz w:w="11900" w:h="16838" w:orient="portrait"/>
          <w:cols w:equalWidth="0" w:num="1">
            <w:col w:w="11420"/>
          </w:cols>
          <w:pgMar w:left="240" w:top="446" w:right="239" w:bottom="1440" w:gutter="0" w:footer="0" w:header="0"/>
        </w:sectPr>
      </w:pPr>
    </w:p>
    <w:bookmarkStart w:id="39" w:name="page40"/>
    <w:bookmarkEnd w:id="3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TIMKENSTEEL CORPORATION</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UNAUDITED PRO FORMA CONSOLIDATED FINANCIAL DATA</w:t>
      </w:r>
    </w:p>
    <w:p>
      <w:pPr>
        <w:spacing w:after="0" w:line="292" w:lineRule="exact"/>
        <w:rPr>
          <w:sz w:val="20"/>
          <w:szCs w:val="20"/>
          <w:color w:val="auto"/>
        </w:rPr>
      </w:pPr>
    </w:p>
    <w:p>
      <w:pPr>
        <w:ind w:right="20" w:firstLine="8"/>
        <w:spacing w:after="0" w:line="255" w:lineRule="auto"/>
        <w:tabs>
          <w:tab w:leader="none" w:pos="295" w:val="left"/>
        </w:tabs>
        <w:numPr>
          <w:ilvl w:val="0"/>
          <w:numId w:val="14"/>
        </w:numPr>
        <w:rPr>
          <w:rFonts w:ascii="Arial" w:cs="Arial" w:eastAsia="Arial" w:hAnsi="Arial"/>
          <w:sz w:val="18"/>
          <w:szCs w:val="18"/>
          <w:color w:val="auto"/>
        </w:rPr>
      </w:pPr>
      <w:r>
        <w:rPr>
          <w:rFonts w:ascii="Arial" w:cs="Arial" w:eastAsia="Arial" w:hAnsi="Arial"/>
          <w:sz w:val="18"/>
          <w:szCs w:val="18"/>
          <w:color w:val="auto"/>
        </w:rPr>
        <w:t>Reflects the impact of assets, liabilities and related expenses that we expect to assume from Timken that were not included in our Unaudited Consolidated Financial Statements. We anticipate assuming approximately $19.9 million of property, plant and equipment, net, primarily related to the assumption of Timken’s former world headquarters and approximately $2.2 million of deferred tax liabilities, which resulted in a net increase in net parent investment. Depreciation expense associated with the transferred property, plant and equipment, net was $2.5 million for the year ended December 31, 2013 and $0.6 million for the three months ended March 31, 2014. There may be additional assets, liabilities or related expenses transferred to us in the spinoff for which the transfer has not been finalized.</w:t>
      </w:r>
    </w:p>
    <w:p>
      <w:pPr>
        <w:spacing w:after="0" w:line="220" w:lineRule="exact"/>
        <w:rPr>
          <w:rFonts w:ascii="Arial" w:cs="Arial" w:eastAsia="Arial" w:hAnsi="Arial"/>
          <w:sz w:val="18"/>
          <w:szCs w:val="18"/>
          <w:color w:val="auto"/>
        </w:rPr>
      </w:pPr>
    </w:p>
    <w:p>
      <w:pPr>
        <w:ind w:right="60" w:firstLine="8"/>
        <w:spacing w:after="0" w:line="264" w:lineRule="auto"/>
        <w:tabs>
          <w:tab w:leader="none" w:pos="285" w:val="left"/>
        </w:tabs>
        <w:numPr>
          <w:ilvl w:val="0"/>
          <w:numId w:val="14"/>
        </w:numPr>
        <w:rPr>
          <w:rFonts w:ascii="Arial" w:cs="Arial" w:eastAsia="Arial" w:hAnsi="Arial"/>
          <w:sz w:val="18"/>
          <w:szCs w:val="18"/>
          <w:color w:val="auto"/>
        </w:rPr>
      </w:pPr>
      <w:r>
        <w:rPr>
          <w:rFonts w:ascii="Arial" w:cs="Arial" w:eastAsia="Arial" w:hAnsi="Arial"/>
          <w:sz w:val="18"/>
          <w:szCs w:val="18"/>
          <w:color w:val="auto"/>
        </w:rPr>
        <w:t>Represents adjustments to interest expense related to approximately $100.0 million of debt that we expect to incur as described in Note (I). We expect the weighted-average interest rate on the debt to be approximately 1.7%. Interest expense may be higher or lower if our actual interest rate or credit ratings change.</w:t>
      </w:r>
    </w:p>
    <w:p>
      <w:pPr>
        <w:spacing w:after="0" w:line="221" w:lineRule="exact"/>
        <w:rPr>
          <w:rFonts w:ascii="Arial" w:cs="Arial" w:eastAsia="Arial" w:hAnsi="Arial"/>
          <w:sz w:val="18"/>
          <w:szCs w:val="18"/>
          <w:color w:val="auto"/>
        </w:rPr>
      </w:pPr>
    </w:p>
    <w:p>
      <w:pPr>
        <w:ind w:right="60" w:firstLine="8"/>
        <w:spacing w:after="0" w:line="279" w:lineRule="auto"/>
        <w:tabs>
          <w:tab w:leader="none" w:pos="285" w:val="left"/>
        </w:tabs>
        <w:numPr>
          <w:ilvl w:val="0"/>
          <w:numId w:val="14"/>
        </w:numPr>
        <w:rPr>
          <w:rFonts w:ascii="Arial" w:cs="Arial" w:eastAsia="Arial" w:hAnsi="Arial"/>
          <w:sz w:val="17"/>
          <w:szCs w:val="17"/>
          <w:color w:val="auto"/>
        </w:rPr>
      </w:pPr>
      <w:r>
        <w:rPr>
          <w:rFonts w:ascii="Arial" w:cs="Arial" w:eastAsia="Arial" w:hAnsi="Arial"/>
          <w:sz w:val="17"/>
          <w:szCs w:val="17"/>
          <w:color w:val="auto"/>
        </w:rPr>
        <w:t>Reflects the tax effects of the pro forma adjustments at the applicable structural income tax rate of 34.2% for the three months ended March 31, 2014 and 34.6% for the year ended December 31, 2013. The effective tax rate of TimkenSteel could be different (either higher or lower) depending on activities subsequent to the spinoff. The impact of pro forma adjustments on long-term deferred tax assets and liabilities were offset against existing long-term deferred tax assets and liabilities reflected in our historical consolidated balance sheet based on jurisdiction.</w:t>
      </w:r>
    </w:p>
    <w:p>
      <w:pPr>
        <w:spacing w:after="0" w:line="211" w:lineRule="exact"/>
        <w:rPr>
          <w:rFonts w:ascii="Arial" w:cs="Arial" w:eastAsia="Arial" w:hAnsi="Arial"/>
          <w:sz w:val="17"/>
          <w:szCs w:val="17"/>
          <w:color w:val="auto"/>
        </w:rPr>
      </w:pPr>
    </w:p>
    <w:p>
      <w:pPr>
        <w:ind w:right="120" w:firstLine="8"/>
        <w:spacing w:after="0" w:line="286" w:lineRule="auto"/>
        <w:tabs>
          <w:tab w:leader="none" w:pos="295" w:val="left"/>
        </w:tabs>
        <w:numPr>
          <w:ilvl w:val="0"/>
          <w:numId w:val="14"/>
        </w:numPr>
        <w:rPr>
          <w:rFonts w:ascii="Arial" w:cs="Arial" w:eastAsia="Arial" w:hAnsi="Arial"/>
          <w:sz w:val="17"/>
          <w:szCs w:val="17"/>
          <w:color w:val="auto"/>
        </w:rPr>
      </w:pPr>
      <w:r>
        <w:rPr>
          <w:rFonts w:ascii="Arial" w:cs="Arial" w:eastAsia="Arial" w:hAnsi="Arial"/>
          <w:sz w:val="17"/>
          <w:szCs w:val="17"/>
          <w:color w:val="auto"/>
        </w:rPr>
        <w:t>The number of TimkenSteel common shares used to compute basic earnings per share is based on: (a) the number of TimkenSteel common shares assumed to be outstanding on the distribution date and (b) the number of Timken common shares outstanding on December 31, 2013 and March 31, 2014, as applicable, assuming a distribution ratio of one TimkenSteel common share for every two Timken common shares.</w:t>
      </w:r>
    </w:p>
    <w:p>
      <w:pPr>
        <w:spacing w:after="0" w:line="192" w:lineRule="exact"/>
        <w:rPr>
          <w:rFonts w:ascii="Arial" w:cs="Arial" w:eastAsia="Arial" w:hAnsi="Arial"/>
          <w:sz w:val="17"/>
          <w:szCs w:val="17"/>
          <w:color w:val="auto"/>
        </w:rPr>
      </w:pPr>
    </w:p>
    <w:p>
      <w:pPr>
        <w:ind w:firstLine="8"/>
        <w:spacing w:after="0" w:line="297" w:lineRule="auto"/>
        <w:tabs>
          <w:tab w:leader="none" w:pos="275" w:val="left"/>
        </w:tabs>
        <w:numPr>
          <w:ilvl w:val="0"/>
          <w:numId w:val="14"/>
        </w:numPr>
        <w:rPr>
          <w:rFonts w:ascii="Arial" w:cs="Arial" w:eastAsia="Arial" w:hAnsi="Arial"/>
          <w:sz w:val="16"/>
          <w:szCs w:val="16"/>
          <w:color w:val="auto"/>
        </w:rPr>
      </w:pPr>
      <w:r>
        <w:rPr>
          <w:rFonts w:ascii="Arial" w:cs="Arial" w:eastAsia="Arial" w:hAnsi="Arial"/>
          <w:sz w:val="16"/>
          <w:szCs w:val="16"/>
          <w:color w:val="auto"/>
        </w:rPr>
        <w:t>The number of shares used to compute diluted earnings per share is based on the number of common shares of TimkenSteel as described in Note (D) above, plus incremental shares assuming exercise of dilutive outstanding options and restricted stock awards. This calculation may not be indicative of the dilutive effect that will actually result from TimkenSteel stock-based awards issued in connection with the adjustment of outstanding Timken stock-based awards or the grant of new stock-based awards. The number of dilutive common shares underlying TimkenSteel stock-based awards issued in connection with the adjustment of outstanding Timken stock-based awards will not be determined until the distribution date or shortly thereafter.</w:t>
      </w:r>
    </w:p>
    <w:p>
      <w:pPr>
        <w:spacing w:after="0" w:line="198" w:lineRule="exact"/>
        <w:rPr>
          <w:rFonts w:ascii="Arial" w:cs="Arial" w:eastAsia="Arial" w:hAnsi="Arial"/>
          <w:sz w:val="16"/>
          <w:szCs w:val="16"/>
          <w:color w:val="auto"/>
        </w:rPr>
      </w:pPr>
    </w:p>
    <w:p>
      <w:pPr>
        <w:ind w:right="120" w:firstLine="8"/>
        <w:spacing w:after="0" w:line="277" w:lineRule="auto"/>
        <w:tabs>
          <w:tab w:leader="none" w:pos="265" w:val="left"/>
        </w:tabs>
        <w:numPr>
          <w:ilvl w:val="0"/>
          <w:numId w:val="14"/>
        </w:numPr>
        <w:rPr>
          <w:rFonts w:ascii="Arial" w:cs="Arial" w:eastAsia="Arial" w:hAnsi="Arial"/>
          <w:sz w:val="18"/>
          <w:szCs w:val="18"/>
          <w:color w:val="auto"/>
        </w:rPr>
      </w:pPr>
      <w:r>
        <w:rPr>
          <w:rFonts w:ascii="Arial" w:cs="Arial" w:eastAsia="Arial" w:hAnsi="Arial"/>
          <w:sz w:val="18"/>
          <w:szCs w:val="18"/>
          <w:color w:val="auto"/>
        </w:rPr>
        <w:t>Amount reflects anticipated cash proceeds received from the credit facility described in Note (I) net of an expected $50.0 million dividend distribution to Timken prior to the distribution date.</w:t>
      </w:r>
    </w:p>
    <w:p>
      <w:pPr>
        <w:spacing w:after="0" w:line="210" w:lineRule="exact"/>
        <w:rPr>
          <w:rFonts w:ascii="Arial" w:cs="Arial" w:eastAsia="Arial" w:hAnsi="Arial"/>
          <w:sz w:val="18"/>
          <w:szCs w:val="18"/>
          <w:color w:val="auto"/>
        </w:rPr>
      </w:pPr>
    </w:p>
    <w:p>
      <w:pPr>
        <w:ind w:right="60" w:firstLine="8"/>
        <w:spacing w:after="0" w:line="286" w:lineRule="auto"/>
        <w:tabs>
          <w:tab w:leader="none" w:pos="295" w:val="left"/>
        </w:tabs>
        <w:numPr>
          <w:ilvl w:val="0"/>
          <w:numId w:val="14"/>
        </w:numPr>
        <w:rPr>
          <w:rFonts w:ascii="Arial" w:cs="Arial" w:eastAsia="Arial" w:hAnsi="Arial"/>
          <w:sz w:val="17"/>
          <w:szCs w:val="17"/>
          <w:color w:val="auto"/>
        </w:rPr>
      </w:pPr>
      <w:r>
        <w:rPr>
          <w:rFonts w:ascii="Arial" w:cs="Arial" w:eastAsia="Arial" w:hAnsi="Arial"/>
          <w:sz w:val="17"/>
          <w:szCs w:val="17"/>
          <w:color w:val="auto"/>
        </w:rPr>
        <w:t>Accounts receivable due from related parties includes $8.7 million of trade related party receivables. These receivables were adjusted by $4.3 million to reflect the commercial supply agreement between the parties that will be effective as of the completion of the spinoff. In addition, $19.8 million represents an intercompany balance related to past United Kingdom pension contributions. This amount will be settled prior to spinoff.</w:t>
      </w:r>
    </w:p>
    <w:p>
      <w:pPr>
        <w:spacing w:after="0" w:line="192" w:lineRule="exact"/>
        <w:rPr>
          <w:rFonts w:ascii="Arial" w:cs="Arial" w:eastAsia="Arial" w:hAnsi="Arial"/>
          <w:sz w:val="17"/>
          <w:szCs w:val="17"/>
          <w:color w:val="auto"/>
        </w:rPr>
      </w:pPr>
    </w:p>
    <w:p>
      <w:pPr>
        <w:ind w:right="140" w:firstLine="8"/>
        <w:spacing w:after="0" w:line="255" w:lineRule="auto"/>
        <w:tabs>
          <w:tab w:leader="none" w:pos="295" w:val="left"/>
        </w:tabs>
        <w:numPr>
          <w:ilvl w:val="0"/>
          <w:numId w:val="14"/>
        </w:numPr>
        <w:rPr>
          <w:rFonts w:ascii="Arial" w:cs="Arial" w:eastAsia="Arial" w:hAnsi="Arial"/>
          <w:sz w:val="18"/>
          <w:szCs w:val="18"/>
          <w:color w:val="auto"/>
        </w:rPr>
      </w:pPr>
      <w:r>
        <w:rPr>
          <w:rFonts w:ascii="Arial" w:cs="Arial" w:eastAsia="Arial" w:hAnsi="Arial"/>
          <w:sz w:val="18"/>
          <w:szCs w:val="18"/>
          <w:color w:val="auto"/>
        </w:rPr>
        <w:t>Eligible TimkenSteel employees participate in pension and postretirement benefit plans offered by Timken. As of the distribution date, TimkenSteel will assume estimated gross obligations of approximately $1.3 billion and provide the benefits directly. The current and long-term net benefit obligations to be assumed by TimkenSteel related to the net benefit plan liabilities are estimated to be approximately $56.8 million. Additionally, TimkenSteel will assume estimated accumulated other comprehensive losses, net of tax, of $216.1 million, and $20.8 million of estimated deferred tax assets related to these benefit plans as they are not included in the historical consolidated balance sheet. The benefit plan expenses associated with these net liabilities were allocated to TimkenSteel and are included in the historical consolidated statements of comprehensive income. The actual assumed net benefit plan obligations could change significantly from our estimates.</w:t>
      </w:r>
    </w:p>
    <w:p>
      <w:pPr>
        <w:spacing w:after="0" w:line="229" w:lineRule="exact"/>
        <w:rPr>
          <w:rFonts w:ascii="Arial" w:cs="Arial" w:eastAsia="Arial" w:hAnsi="Arial"/>
          <w:sz w:val="18"/>
          <w:szCs w:val="18"/>
          <w:color w:val="auto"/>
        </w:rPr>
      </w:pPr>
    </w:p>
    <w:p>
      <w:pPr>
        <w:ind w:right="120" w:firstLine="8"/>
        <w:spacing w:after="0" w:line="259" w:lineRule="auto"/>
        <w:tabs>
          <w:tab w:leader="none" w:pos="225" w:val="left"/>
        </w:tabs>
        <w:numPr>
          <w:ilvl w:val="0"/>
          <w:numId w:val="14"/>
        </w:numPr>
        <w:rPr>
          <w:rFonts w:ascii="Arial" w:cs="Arial" w:eastAsia="Arial" w:hAnsi="Arial"/>
          <w:sz w:val="18"/>
          <w:szCs w:val="18"/>
          <w:color w:val="auto"/>
        </w:rPr>
      </w:pPr>
      <w:r>
        <w:rPr>
          <w:rFonts w:ascii="Arial" w:cs="Arial" w:eastAsia="Arial" w:hAnsi="Arial"/>
          <w:sz w:val="18"/>
          <w:szCs w:val="18"/>
          <w:color w:val="auto"/>
        </w:rPr>
        <w:t>We have entered into a commitment letter with two lead arranger banks to secure a credit facility prior to the completion of the spinoff. The credit facility is anticipated to be for approximately $300 million and we are currently in the process of negotiating and initiating the syndication process with two lead arranger banks and several other banks. At the distribution date, we expect to have approximately $100 million of borrowings outstanding under the credit facility.</w:t>
      </w:r>
    </w:p>
    <w:p>
      <w:pPr>
        <w:spacing w:after="0" w:line="227" w:lineRule="exact"/>
        <w:rPr>
          <w:rFonts w:ascii="Arial" w:cs="Arial" w:eastAsia="Arial" w:hAnsi="Arial"/>
          <w:sz w:val="18"/>
          <w:szCs w:val="18"/>
          <w:color w:val="auto"/>
        </w:rPr>
      </w:pPr>
    </w:p>
    <w:p>
      <w:pPr>
        <w:ind w:right="140" w:firstLine="8"/>
        <w:spacing w:after="0" w:line="277" w:lineRule="auto"/>
        <w:tabs>
          <w:tab w:leader="none" w:pos="235" w:val="left"/>
        </w:tabs>
        <w:numPr>
          <w:ilvl w:val="0"/>
          <w:numId w:val="14"/>
        </w:numPr>
        <w:rPr>
          <w:rFonts w:ascii="Arial" w:cs="Arial" w:eastAsia="Arial" w:hAnsi="Arial"/>
          <w:sz w:val="18"/>
          <w:szCs w:val="18"/>
          <w:color w:val="auto"/>
        </w:rPr>
      </w:pPr>
      <w:r>
        <w:rPr>
          <w:rFonts w:ascii="Arial" w:cs="Arial" w:eastAsia="Arial" w:hAnsi="Arial"/>
          <w:sz w:val="18"/>
          <w:szCs w:val="18"/>
          <w:color w:val="auto"/>
        </w:rPr>
        <w:t>Reflects the distribution of approximately 45.4 million TimkenSteel common shares without par value to holders of Timken common shares based on the number of Timken common shares outstanding on April 30, 2014.</w:t>
      </w:r>
    </w:p>
    <w:p>
      <w:pPr>
        <w:spacing w:after="0" w:line="197" w:lineRule="exact"/>
        <w:rPr>
          <w:rFonts w:ascii="Arial" w:cs="Arial" w:eastAsia="Arial" w:hAnsi="Arial"/>
          <w:sz w:val="18"/>
          <w:szCs w:val="18"/>
          <w:color w:val="auto"/>
        </w:rPr>
      </w:pPr>
    </w:p>
    <w:p>
      <w:pPr>
        <w:ind w:left="300" w:hanging="292"/>
        <w:spacing w:after="0"/>
        <w:tabs>
          <w:tab w:leader="none" w:pos="300" w:val="left"/>
        </w:tabs>
        <w:numPr>
          <w:ilvl w:val="0"/>
          <w:numId w:val="14"/>
        </w:numPr>
        <w:rPr>
          <w:rFonts w:ascii="Arial" w:cs="Arial" w:eastAsia="Arial" w:hAnsi="Arial"/>
          <w:sz w:val="18"/>
          <w:szCs w:val="18"/>
          <w:color w:val="auto"/>
        </w:rPr>
      </w:pPr>
      <w:r>
        <w:rPr>
          <w:rFonts w:ascii="Arial" w:cs="Arial" w:eastAsia="Arial" w:hAnsi="Arial"/>
          <w:sz w:val="18"/>
          <w:szCs w:val="18"/>
          <w:color w:val="auto"/>
        </w:rPr>
        <w:t>Represents the elimination of Net Parent Investment and adjustments to capital in excess of par value to reflect the following:</w:t>
      </w:r>
    </w:p>
    <w:p>
      <w:pPr>
        <w:spacing w:after="0" w:line="306"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9840" w:type="dxa"/>
            <w:vAlign w:val="bottom"/>
          </w:tcPr>
          <w:p>
            <w:pPr>
              <w:spacing w:after="0"/>
              <w:rPr>
                <w:sz w:val="20"/>
                <w:szCs w:val="20"/>
                <w:color w:val="auto"/>
              </w:rPr>
            </w:pPr>
            <w:r>
              <w:rPr>
                <w:rFonts w:ascii="Arial" w:cs="Arial" w:eastAsia="Arial" w:hAnsi="Arial"/>
                <w:sz w:val="18"/>
                <w:szCs w:val="18"/>
                <w:color w:val="auto"/>
              </w:rPr>
              <w:t>Elimination of Net Parent Investment and adjustment to capital in excess of par value:</w:t>
            </w:r>
          </w:p>
        </w:tc>
        <w:tc>
          <w:tcPr>
            <w:tcW w:w="56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100" w:type="dxa"/>
            <w:vAlign w:val="bottom"/>
          </w:tcPr>
          <w:p>
            <w:pPr>
              <w:spacing w:after="0"/>
              <w:rPr>
                <w:sz w:val="20"/>
                <w:szCs w:val="20"/>
                <w:color w:val="auto"/>
              </w:rPr>
            </w:pPr>
          </w:p>
        </w:tc>
      </w:tr>
      <w:tr>
        <w:trPr>
          <w:trHeight w:val="216"/>
        </w:trPr>
        <w:tc>
          <w:tcPr>
            <w:tcW w:w="9840" w:type="dxa"/>
            <w:vAlign w:val="bottom"/>
            <w:shd w:val="clear" w:color="auto" w:fill="CCEEFF"/>
          </w:tcPr>
          <w:p>
            <w:pPr>
              <w:ind w:left="180"/>
              <w:spacing w:after="0"/>
              <w:rPr>
                <w:sz w:val="20"/>
                <w:szCs w:val="20"/>
                <w:color w:val="auto"/>
              </w:rPr>
            </w:pPr>
            <w:r>
              <w:rPr>
                <w:rFonts w:ascii="Arial" w:cs="Arial" w:eastAsia="Arial" w:hAnsi="Arial"/>
                <w:sz w:val="18"/>
                <w:szCs w:val="18"/>
                <w:color w:val="auto"/>
              </w:rPr>
              <w:t>Reclassification of Net Parent Investment</w:t>
            </w:r>
          </w:p>
        </w:tc>
        <w:tc>
          <w:tcPr>
            <w:tcW w:w="560" w:type="dxa"/>
            <w:vAlign w:val="bottom"/>
            <w:shd w:val="clear" w:color="auto" w:fill="CCEEFF"/>
          </w:tcPr>
          <w:p>
            <w:pPr>
              <w:jc w:val="right"/>
              <w:ind w:right="330"/>
              <w:spacing w:after="0"/>
              <w:rPr>
                <w:sz w:val="20"/>
                <w:szCs w:val="20"/>
                <w:color w:val="auto"/>
              </w:rPr>
            </w:pPr>
            <w:r>
              <w:rPr>
                <w:rFonts w:ascii="Arial" w:cs="Arial" w:eastAsia="Arial" w:hAnsi="Arial"/>
                <w:sz w:val="18"/>
                <w:szCs w:val="18"/>
                <w:color w:val="auto"/>
              </w:rPr>
              <w:t>$</w:t>
            </w: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823.3</w:t>
            </w:r>
          </w:p>
        </w:tc>
        <w:tc>
          <w:tcPr>
            <w:tcW w:w="100" w:type="dxa"/>
            <w:vAlign w:val="bottom"/>
            <w:shd w:val="clear" w:color="auto" w:fill="CCEEFF"/>
          </w:tcPr>
          <w:p>
            <w:pPr>
              <w:spacing w:after="0"/>
              <w:rPr>
                <w:sz w:val="18"/>
                <w:szCs w:val="18"/>
                <w:color w:val="auto"/>
              </w:rPr>
            </w:pPr>
          </w:p>
        </w:tc>
      </w:tr>
      <w:tr>
        <w:trPr>
          <w:trHeight w:val="216"/>
        </w:trPr>
        <w:tc>
          <w:tcPr>
            <w:tcW w:w="9840" w:type="dxa"/>
            <w:vAlign w:val="bottom"/>
          </w:tcPr>
          <w:p>
            <w:pPr>
              <w:ind w:left="180"/>
              <w:spacing w:after="0"/>
              <w:rPr>
                <w:sz w:val="20"/>
                <w:szCs w:val="20"/>
                <w:color w:val="auto"/>
              </w:rPr>
            </w:pPr>
            <w:r>
              <w:rPr>
                <w:rFonts w:ascii="Arial" w:cs="Arial" w:eastAsia="Arial" w:hAnsi="Arial"/>
                <w:sz w:val="18"/>
                <w:szCs w:val="18"/>
                <w:color w:val="auto"/>
              </w:rPr>
              <w:t>Assumption of net assets and liabilities described in Note (A)</w:t>
            </w:r>
          </w:p>
        </w:tc>
        <w:tc>
          <w:tcPr>
            <w:tcW w:w="56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17.7</w:t>
            </w:r>
          </w:p>
        </w:tc>
        <w:tc>
          <w:tcPr>
            <w:tcW w:w="100" w:type="dxa"/>
            <w:vAlign w:val="bottom"/>
          </w:tcPr>
          <w:p>
            <w:pPr>
              <w:spacing w:after="0"/>
              <w:rPr>
                <w:sz w:val="18"/>
                <w:szCs w:val="18"/>
                <w:color w:val="auto"/>
              </w:rPr>
            </w:pPr>
          </w:p>
        </w:tc>
      </w:tr>
      <w:tr>
        <w:trPr>
          <w:trHeight w:val="216"/>
        </w:trPr>
        <w:tc>
          <w:tcPr>
            <w:tcW w:w="9840" w:type="dxa"/>
            <w:vAlign w:val="bottom"/>
            <w:shd w:val="clear" w:color="auto" w:fill="CCEEFF"/>
          </w:tcPr>
          <w:p>
            <w:pPr>
              <w:ind w:left="180"/>
              <w:spacing w:after="0"/>
              <w:rPr>
                <w:sz w:val="20"/>
                <w:szCs w:val="20"/>
                <w:color w:val="auto"/>
              </w:rPr>
            </w:pPr>
            <w:r>
              <w:rPr>
                <w:rFonts w:ascii="Arial" w:cs="Arial" w:eastAsia="Arial" w:hAnsi="Arial"/>
                <w:sz w:val="18"/>
                <w:szCs w:val="18"/>
                <w:color w:val="auto"/>
              </w:rPr>
              <w:t>Accrual for interest expense as described in Note (B)</w:t>
            </w:r>
          </w:p>
        </w:tc>
        <w:tc>
          <w:tcPr>
            <w:tcW w:w="56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(3.1)</w:t>
            </w:r>
          </w:p>
        </w:tc>
      </w:tr>
      <w:tr>
        <w:trPr>
          <w:trHeight w:val="216"/>
        </w:trPr>
        <w:tc>
          <w:tcPr>
            <w:tcW w:w="9840" w:type="dxa"/>
            <w:vAlign w:val="bottom"/>
          </w:tcPr>
          <w:p>
            <w:pPr>
              <w:ind w:left="180"/>
              <w:spacing w:after="0"/>
              <w:rPr>
                <w:sz w:val="20"/>
                <w:szCs w:val="20"/>
                <w:color w:val="auto"/>
              </w:rPr>
            </w:pPr>
            <w:r>
              <w:rPr>
                <w:rFonts w:ascii="Arial" w:cs="Arial" w:eastAsia="Arial" w:hAnsi="Arial"/>
                <w:sz w:val="18"/>
                <w:szCs w:val="18"/>
                <w:color w:val="auto"/>
              </w:rPr>
              <w:t>Distribution of cash to Timken as described in Note (F)</w:t>
            </w:r>
          </w:p>
        </w:tc>
        <w:tc>
          <w:tcPr>
            <w:tcW w:w="560" w:type="dxa"/>
            <w:vAlign w:val="bottom"/>
          </w:tcPr>
          <w:p>
            <w:pPr>
              <w:spacing w:after="0"/>
              <w:rPr>
                <w:sz w:val="18"/>
                <w:szCs w:val="18"/>
                <w:color w:val="auto"/>
              </w:rPr>
            </w:pPr>
          </w:p>
        </w:tc>
        <w:tc>
          <w:tcPr>
            <w:tcW w:w="1020" w:type="dxa"/>
            <w:vAlign w:val="bottom"/>
            <w:gridSpan w:val="2"/>
          </w:tcPr>
          <w:p>
            <w:pPr>
              <w:jc w:val="right"/>
              <w:ind w:right="100"/>
              <w:spacing w:after="0"/>
              <w:rPr>
                <w:sz w:val="20"/>
                <w:szCs w:val="20"/>
                <w:color w:val="auto"/>
              </w:rPr>
            </w:pPr>
            <w:r>
              <w:rPr>
                <w:rFonts w:ascii="Arial" w:cs="Arial" w:eastAsia="Arial" w:hAnsi="Arial"/>
                <w:sz w:val="18"/>
                <w:szCs w:val="18"/>
                <w:color w:val="auto"/>
              </w:rPr>
              <w:t>(50.0)</w:t>
            </w:r>
          </w:p>
        </w:tc>
      </w:tr>
      <w:tr>
        <w:trPr>
          <w:trHeight w:val="216"/>
        </w:trPr>
        <w:tc>
          <w:tcPr>
            <w:tcW w:w="9840" w:type="dxa"/>
            <w:vAlign w:val="bottom"/>
            <w:shd w:val="clear" w:color="auto" w:fill="CCEEFF"/>
          </w:tcPr>
          <w:p>
            <w:pPr>
              <w:ind w:left="180"/>
              <w:spacing w:after="0"/>
              <w:rPr>
                <w:sz w:val="20"/>
                <w:szCs w:val="20"/>
                <w:color w:val="auto"/>
              </w:rPr>
            </w:pPr>
            <w:r>
              <w:rPr>
                <w:rFonts w:ascii="Arial" w:cs="Arial" w:eastAsia="Arial" w:hAnsi="Arial"/>
                <w:sz w:val="18"/>
                <w:szCs w:val="18"/>
                <w:color w:val="auto"/>
              </w:rPr>
              <w:t>Settlement of accounts receivable due from related party described in Note (G)</w:t>
            </w:r>
          </w:p>
        </w:tc>
        <w:tc>
          <w:tcPr>
            <w:tcW w:w="56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(19.8)</w:t>
            </w:r>
          </w:p>
        </w:tc>
      </w:tr>
      <w:tr>
        <w:trPr>
          <w:trHeight w:val="216"/>
        </w:trPr>
        <w:tc>
          <w:tcPr>
            <w:tcW w:w="9840" w:type="dxa"/>
            <w:vAlign w:val="bottom"/>
          </w:tcPr>
          <w:p>
            <w:pPr>
              <w:ind w:left="180"/>
              <w:spacing w:after="0"/>
              <w:rPr>
                <w:sz w:val="20"/>
                <w:szCs w:val="20"/>
                <w:color w:val="auto"/>
              </w:rPr>
            </w:pPr>
            <w:r>
              <w:rPr>
                <w:rFonts w:ascii="Arial" w:cs="Arial" w:eastAsia="Arial" w:hAnsi="Arial"/>
                <w:sz w:val="18"/>
                <w:szCs w:val="18"/>
                <w:color w:val="auto"/>
              </w:rPr>
              <w:t>Adjustment to reflect commercial supply agreement described in Note (G)</w:t>
            </w:r>
          </w:p>
        </w:tc>
        <w:tc>
          <w:tcPr>
            <w:tcW w:w="56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4.3</w:t>
            </w:r>
          </w:p>
        </w:tc>
        <w:tc>
          <w:tcPr>
            <w:tcW w:w="100" w:type="dxa"/>
            <w:vAlign w:val="bottom"/>
          </w:tcPr>
          <w:p>
            <w:pPr>
              <w:spacing w:after="0"/>
              <w:rPr>
                <w:sz w:val="18"/>
                <w:szCs w:val="18"/>
                <w:color w:val="auto"/>
              </w:rPr>
            </w:pPr>
          </w:p>
        </w:tc>
      </w:tr>
      <w:tr>
        <w:trPr>
          <w:trHeight w:val="216"/>
        </w:trPr>
        <w:tc>
          <w:tcPr>
            <w:tcW w:w="9840" w:type="dxa"/>
            <w:vAlign w:val="bottom"/>
            <w:shd w:val="clear" w:color="auto" w:fill="CCEEFF"/>
          </w:tcPr>
          <w:p>
            <w:pPr>
              <w:ind w:left="180"/>
              <w:spacing w:after="0"/>
              <w:rPr>
                <w:sz w:val="20"/>
                <w:szCs w:val="20"/>
                <w:color w:val="auto"/>
              </w:rPr>
            </w:pPr>
            <w:r>
              <w:rPr>
                <w:rFonts w:ascii="Arial" w:cs="Arial" w:eastAsia="Arial" w:hAnsi="Arial"/>
                <w:sz w:val="18"/>
                <w:szCs w:val="18"/>
                <w:color w:val="auto"/>
              </w:rPr>
              <w:t>Addition of net benefit plan assets and liabilities described in Note (H)</w:t>
            </w:r>
          </w:p>
        </w:tc>
        <w:tc>
          <w:tcPr>
            <w:tcW w:w="560" w:type="dxa"/>
            <w:vAlign w:val="bottom"/>
            <w:tcBorders>
              <w:bottom w:val="single" w:sz="8" w:color="auto"/>
            </w:tcBorders>
            <w:shd w:val="clear" w:color="auto" w:fill="CCEEFF"/>
          </w:tcPr>
          <w:p>
            <w:pPr>
              <w:spacing w:after="0"/>
              <w:rPr>
                <w:sz w:val="18"/>
                <w:szCs w:val="18"/>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180.1</w:t>
            </w:r>
          </w:p>
        </w:tc>
        <w:tc>
          <w:tcPr>
            <w:tcW w:w="100" w:type="dxa"/>
            <w:vAlign w:val="bottom"/>
            <w:shd w:val="clear" w:color="auto" w:fill="CCEEFF"/>
          </w:tcPr>
          <w:p>
            <w:pPr>
              <w:spacing w:after="0"/>
              <w:rPr>
                <w:sz w:val="18"/>
                <w:szCs w:val="18"/>
                <w:color w:val="auto"/>
              </w:rPr>
            </w:pPr>
          </w:p>
        </w:tc>
      </w:tr>
      <w:tr>
        <w:trPr>
          <w:trHeight w:val="223"/>
        </w:trPr>
        <w:tc>
          <w:tcPr>
            <w:tcW w:w="9840" w:type="dxa"/>
            <w:vAlign w:val="bottom"/>
          </w:tcPr>
          <w:p>
            <w:pPr>
              <w:ind w:left="360"/>
              <w:spacing w:after="0"/>
              <w:rPr>
                <w:sz w:val="20"/>
                <w:szCs w:val="20"/>
                <w:color w:val="auto"/>
              </w:rPr>
            </w:pPr>
            <w:r>
              <w:rPr>
                <w:rFonts w:ascii="Arial" w:cs="Arial" w:eastAsia="Arial" w:hAnsi="Arial"/>
                <w:sz w:val="18"/>
                <w:szCs w:val="18"/>
                <w:b w:val="1"/>
                <w:bCs w:val="1"/>
                <w:color w:val="auto"/>
              </w:rPr>
              <w:t>Total Net Parent Investment/Shareholders’ Equity</w:t>
            </w:r>
          </w:p>
        </w:tc>
        <w:tc>
          <w:tcPr>
            <w:tcW w:w="56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952.5</w:t>
            </w:r>
          </w:p>
        </w:tc>
        <w:tc>
          <w:tcPr>
            <w:tcW w:w="100" w:type="dxa"/>
            <w:vAlign w:val="bottom"/>
          </w:tcPr>
          <w:p>
            <w:pPr>
              <w:spacing w:after="0"/>
              <w:rPr>
                <w:sz w:val="19"/>
                <w:szCs w:val="19"/>
                <w:color w:val="auto"/>
              </w:rPr>
            </w:pPr>
          </w:p>
        </w:tc>
      </w:tr>
      <w:tr>
        <w:trPr>
          <w:trHeight w:val="216"/>
        </w:trPr>
        <w:tc>
          <w:tcPr>
            <w:tcW w:w="9840" w:type="dxa"/>
            <w:vAlign w:val="bottom"/>
            <w:shd w:val="clear" w:color="auto" w:fill="CCEEFF"/>
          </w:tcPr>
          <w:p>
            <w:pPr>
              <w:ind w:left="180"/>
              <w:spacing w:after="0"/>
              <w:rPr>
                <w:sz w:val="20"/>
                <w:szCs w:val="20"/>
                <w:color w:val="auto"/>
              </w:rPr>
            </w:pPr>
            <w:r>
              <w:rPr>
                <w:rFonts w:ascii="Arial" w:cs="Arial" w:eastAsia="Arial" w:hAnsi="Arial"/>
                <w:sz w:val="18"/>
                <w:szCs w:val="18"/>
                <w:color w:val="auto"/>
              </w:rPr>
              <w:t>TimkenSteel ordinary shares described in Note (D)</w:t>
            </w:r>
          </w:p>
        </w:tc>
        <w:tc>
          <w:tcPr>
            <w:tcW w:w="56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r>
      <w:tr>
        <w:trPr>
          <w:trHeight w:val="223"/>
        </w:trPr>
        <w:tc>
          <w:tcPr>
            <w:tcW w:w="9840" w:type="dxa"/>
            <w:vAlign w:val="bottom"/>
          </w:tcPr>
          <w:p>
            <w:pPr>
              <w:ind w:left="360"/>
              <w:spacing w:after="0"/>
              <w:rPr>
                <w:sz w:val="20"/>
                <w:szCs w:val="20"/>
                <w:color w:val="auto"/>
              </w:rPr>
            </w:pPr>
            <w:r>
              <w:rPr>
                <w:rFonts w:ascii="Arial" w:cs="Arial" w:eastAsia="Arial" w:hAnsi="Arial"/>
                <w:sz w:val="18"/>
                <w:szCs w:val="18"/>
                <w:b w:val="1"/>
                <w:bCs w:val="1"/>
                <w:color w:val="auto"/>
              </w:rPr>
              <w:t>Total capital in excess of par value</w:t>
            </w:r>
          </w:p>
        </w:tc>
        <w:tc>
          <w:tcPr>
            <w:tcW w:w="560" w:type="dxa"/>
            <w:vAlign w:val="bottom"/>
            <w:tcBorders>
              <w:top w:val="single" w:sz="8" w:color="auto"/>
              <w:bottom w:val="single" w:sz="8" w:color="auto"/>
            </w:tcBorders>
          </w:tcPr>
          <w:p>
            <w:pPr>
              <w:jc w:val="right"/>
              <w:ind w:right="330"/>
              <w:spacing w:after="0"/>
              <w:rPr>
                <w:sz w:val="20"/>
                <w:szCs w:val="20"/>
                <w:color w:val="auto"/>
              </w:rPr>
            </w:pPr>
            <w:r>
              <w:rPr>
                <w:rFonts w:ascii="Arial" w:cs="Arial" w:eastAsia="Arial" w:hAnsi="Arial"/>
                <w:sz w:val="18"/>
                <w:szCs w:val="18"/>
                <w:color w:val="auto"/>
              </w:rPr>
              <w:t>$</w:t>
            </w:r>
          </w:p>
        </w:tc>
        <w:tc>
          <w:tcPr>
            <w:tcW w:w="9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952.5</w:t>
            </w:r>
          </w:p>
        </w:tc>
        <w:tc>
          <w:tcPr>
            <w:tcW w:w="100" w:type="dxa"/>
            <w:vAlign w:val="bottom"/>
          </w:tcPr>
          <w:p>
            <w:pPr>
              <w:spacing w:after="0"/>
              <w:rPr>
                <w:sz w:val="19"/>
                <w:szCs w:val="19"/>
                <w:color w:val="auto"/>
              </w:rPr>
            </w:pPr>
          </w:p>
        </w:tc>
      </w:tr>
      <w:tr>
        <w:trPr>
          <w:trHeight w:val="20"/>
        </w:trPr>
        <w:tc>
          <w:tcPr>
            <w:tcW w:w="9840" w:type="dxa"/>
            <w:vAlign w:val="bottom"/>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148" w:lineRule="exact"/>
        <w:rPr>
          <w:sz w:val="20"/>
          <w:szCs w:val="20"/>
          <w:color w:val="auto"/>
        </w:rPr>
      </w:pPr>
    </w:p>
    <w:p>
      <w:pPr>
        <w:sectPr>
          <w:pgSz w:w="11900" w:h="16838" w:orient="portrait"/>
          <w:cols w:equalWidth="0" w:num="1">
            <w:col w:w="11420"/>
          </w:cols>
          <w:pgMar w:left="240" w:top="459" w:right="239" w:bottom="298" w:gutter="0" w:footer="0" w:header="0"/>
        </w:sectPr>
      </w:pPr>
    </w:p>
    <w:p>
      <w:pPr>
        <w:jc w:val="center"/>
        <w:spacing w:after="0"/>
        <w:rPr>
          <w:sz w:val="20"/>
          <w:szCs w:val="20"/>
          <w:color w:val="auto"/>
        </w:rPr>
      </w:pPr>
      <w:r>
        <w:rPr>
          <w:rFonts w:ascii="Arial" w:cs="Arial" w:eastAsia="Arial" w:hAnsi="Arial"/>
          <w:sz w:val="16"/>
          <w:szCs w:val="16"/>
          <w:color w:val="auto"/>
        </w:rPr>
        <w:t>31</w:t>
      </w:r>
    </w:p>
    <w:p>
      <w:pPr>
        <w:sectPr>
          <w:pgSz w:w="11900" w:h="16838" w:orient="portrait"/>
          <w:cols w:equalWidth="0" w:num="1">
            <w:col w:w="11420"/>
          </w:cols>
          <w:pgMar w:left="240" w:top="459" w:right="239" w:bottom="298" w:gutter="0" w:footer="0" w:header="0"/>
          <w:type w:val="continuous"/>
        </w:sectPr>
      </w:pPr>
    </w:p>
    <w:bookmarkStart w:id="40" w:name="page41"/>
    <w:bookmarkEnd w:id="4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MANAGEMENT’S DISCUSSION AND ANALYSIS OF</w:t>
      </w:r>
    </w:p>
    <w:p>
      <w:pPr>
        <w:spacing w:after="0" w:line="158"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FINANCIAL CONDITION AND RESULTS OF OPERATIONS</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20"/>
          <w:szCs w:val="20"/>
          <w:i w:val="1"/>
          <w:iCs w:val="1"/>
          <w:color w:val="auto"/>
        </w:rPr>
        <w:t>(Dollars in millions)</w:t>
      </w: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ind w:right="20"/>
        <w:spacing w:after="0" w:line="297" w:lineRule="auto"/>
        <w:rPr>
          <w:sz w:val="20"/>
          <w:szCs w:val="20"/>
          <w:color w:val="auto"/>
        </w:rPr>
      </w:pPr>
      <w:r>
        <w:rPr>
          <w:rFonts w:ascii="Arial" w:cs="Arial" w:eastAsia="Arial" w:hAnsi="Arial"/>
          <w:sz w:val="16"/>
          <w:szCs w:val="16"/>
          <w:i w:val="1"/>
          <w:iCs w:val="1"/>
          <w:color w:val="auto"/>
        </w:rPr>
        <w:t>You should read the following discussion in conjunction with “Unaudited Pro Forma Consolidated Financial Data” and the corresponding notes included elsewhere in this prospectus. This Management’s Discussion and Analysis of Financial Condition and Results of Operations contains forward-looking statements. The matters discussed in these forward-looking statements are subject to risks, uncertainties and other factors that could cause actual results to differ materially from those made, projected or implied in the forward-looking statements. Please see “Risk Factors” and “Cautionary Statement Concerning Forward-Looking Statements” in this prospectus for a discussion of some of the uncertainties, risks and assumptions associated with these statements.</w:t>
      </w:r>
    </w:p>
    <w:p>
      <w:pPr>
        <w:spacing w:after="0" w:line="19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Spinoff</w:t>
      </w:r>
    </w:p>
    <w:p>
      <w:pPr>
        <w:spacing w:after="0" w:line="256" w:lineRule="exact"/>
        <w:rPr>
          <w:sz w:val="20"/>
          <w:szCs w:val="20"/>
          <w:color w:val="auto"/>
        </w:rPr>
      </w:pPr>
    </w:p>
    <w:p>
      <w:pPr>
        <w:ind w:right="40" w:firstLine="913"/>
        <w:spacing w:after="0" w:line="259" w:lineRule="auto"/>
        <w:rPr>
          <w:sz w:val="20"/>
          <w:szCs w:val="20"/>
          <w:color w:val="auto"/>
        </w:rPr>
      </w:pPr>
      <w:r>
        <w:rPr>
          <w:rFonts w:ascii="Arial" w:cs="Arial" w:eastAsia="Arial" w:hAnsi="Arial"/>
          <w:sz w:val="18"/>
          <w:szCs w:val="18"/>
          <w:color w:val="auto"/>
        </w:rPr>
        <w:t>On September 5, 2013, Timken announced that its board of directors approved a plan to pursue a separation of its steel business from Timken, creating a new independent, publicly traded steel company. The spinoff is expected to be tax-free to both Timken and our shareholders. We expect the spinoff will be completed on June 30, 2014, provided that the conditions set forth under the caption “The Spinoff–Spinoff Conditions and Termination” have been satisfied in Timken’s sole and absolute discretion.</w:t>
      </w:r>
    </w:p>
    <w:p>
      <w:pPr>
        <w:spacing w:after="0" w:line="227" w:lineRule="exact"/>
        <w:rPr>
          <w:sz w:val="20"/>
          <w:szCs w:val="20"/>
          <w:color w:val="auto"/>
        </w:rPr>
      </w:pPr>
    </w:p>
    <w:p>
      <w:pPr>
        <w:ind w:right="240" w:firstLine="913"/>
        <w:spacing w:after="0" w:line="259" w:lineRule="auto"/>
        <w:rPr>
          <w:sz w:val="20"/>
          <w:szCs w:val="20"/>
          <w:color w:val="auto"/>
        </w:rPr>
      </w:pPr>
      <w:r>
        <w:rPr>
          <w:rFonts w:ascii="Arial" w:cs="Arial" w:eastAsia="Arial" w:hAnsi="Arial"/>
          <w:sz w:val="18"/>
          <w:szCs w:val="18"/>
          <w:color w:val="auto"/>
        </w:rPr>
        <w:t>We are currently a wholly owned subsidiary of Timken. We were incorporated in Ohio on October 24, 2013, in conjunction with the spinoff. Timken has transferred to us all the assets and generally all the liabilities relating to the Timken steel business. Timken shareholders will not be required to pay for our common shares received in the spinoff or to surrender or exchange common shares of Timken in order to receive our common shares or to take any other action in connection with the spinoff.</w:t>
      </w:r>
    </w:p>
    <w:p>
      <w:pPr>
        <w:spacing w:after="0" w:line="22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Business Overview</w:t>
      </w:r>
    </w:p>
    <w:p>
      <w:pPr>
        <w:spacing w:after="0" w:line="256" w:lineRule="exact"/>
        <w:rPr>
          <w:sz w:val="20"/>
          <w:szCs w:val="20"/>
          <w:color w:val="auto"/>
        </w:rPr>
      </w:pPr>
    </w:p>
    <w:p>
      <w:pPr>
        <w:jc w:val="both"/>
        <w:ind w:firstLine="913"/>
        <w:spacing w:after="0" w:line="312" w:lineRule="auto"/>
        <w:rPr>
          <w:sz w:val="20"/>
          <w:szCs w:val="20"/>
          <w:color w:val="auto"/>
        </w:rPr>
      </w:pPr>
      <w:r>
        <w:rPr>
          <w:rFonts w:ascii="Arial" w:cs="Arial" w:eastAsia="Arial" w:hAnsi="Arial"/>
          <w:sz w:val="16"/>
          <w:szCs w:val="16"/>
          <w:color w:val="auto"/>
        </w:rPr>
        <w:t>We believe, based on our knowledge of the steel industry, that we are the only focused SBQ steel producer in North America and have the largest SBQ steel large bar (6 inch diameter and greater) production capacity among the North American steel producers. In addition, based on our internal estimates, we believe we have historically supplied, on average, approximately 40% of the seamless mechanical tube demand in North America.</w:t>
      </w:r>
    </w:p>
    <w:p>
      <w:pPr>
        <w:spacing w:after="0" w:line="187" w:lineRule="exact"/>
        <w:rPr>
          <w:sz w:val="20"/>
          <w:szCs w:val="20"/>
          <w:color w:val="auto"/>
        </w:rPr>
      </w:pPr>
    </w:p>
    <w:p>
      <w:pPr>
        <w:ind w:right="20" w:firstLine="913"/>
        <w:spacing w:after="0" w:line="293" w:lineRule="auto"/>
        <w:rPr>
          <w:sz w:val="20"/>
          <w:szCs w:val="20"/>
          <w:color w:val="auto"/>
        </w:rPr>
      </w:pPr>
      <w:r>
        <w:rPr>
          <w:rFonts w:ascii="Arial" w:cs="Arial" w:eastAsia="Arial" w:hAnsi="Arial"/>
          <w:sz w:val="16"/>
          <w:szCs w:val="16"/>
          <w:color w:val="auto"/>
        </w:rPr>
        <w:t>We believe we are the leading manufacturer of SBQ steel large bars (6 inch in diameter and greater) and seamless mechanical tubing in North America and the only high volume steel manufacturer with capabilities of developing SBQ steel large bars up to sixteen inches in diameter. We believe the TimkenSteel business model is unique in our industry in that we have the flexibility to produce customized SBQ steel for our customers in high or low volume, as the situation dictates, whereas most producers of customized SBQ steel products generally produce in only either high or low volume, but not both. We focus on creating tailored products and services for our customers’ most demanding applications. Our engineers are experts in both materials and applications, so we can work closely with each customer to deliver flexible solutions related to our products as well as to their applications and supply chains.</w:t>
      </w:r>
    </w:p>
    <w:p>
      <w:pPr>
        <w:spacing w:after="0" w:line="205" w:lineRule="exact"/>
        <w:rPr>
          <w:sz w:val="20"/>
          <w:szCs w:val="20"/>
          <w:color w:val="auto"/>
        </w:rPr>
      </w:pPr>
    </w:p>
    <w:p>
      <w:pPr>
        <w:jc w:val="both"/>
        <w:ind w:right="100" w:firstLine="913"/>
        <w:spacing w:after="0" w:line="264" w:lineRule="auto"/>
        <w:rPr>
          <w:sz w:val="20"/>
          <w:szCs w:val="20"/>
          <w:color w:val="auto"/>
        </w:rPr>
      </w:pPr>
      <w:r>
        <w:rPr>
          <w:rFonts w:ascii="Arial" w:cs="Arial" w:eastAsia="Arial" w:hAnsi="Arial"/>
          <w:sz w:val="18"/>
          <w:szCs w:val="18"/>
          <w:color w:val="auto"/>
        </w:rPr>
        <w:t>We manufacture alloy steel, as well as carbon and micro-alloy steel, with an annual melt capacity of approximately 2 million tons. Our portfolio includes SBQ bars, seamless mechanical tubing and precision steel components. In addition, we supply machining and thermal treatment services, as well as manage raw material recycling programs, which are done as a feeder system for our operations.</w:t>
      </w:r>
    </w:p>
    <w:p>
      <w:pPr>
        <w:spacing w:after="0" w:line="208" w:lineRule="exact"/>
        <w:rPr>
          <w:sz w:val="20"/>
          <w:szCs w:val="20"/>
          <w:color w:val="auto"/>
        </w:rPr>
      </w:pPr>
    </w:p>
    <w:p>
      <w:pPr>
        <w:ind w:right="20" w:firstLine="762"/>
        <w:spacing w:after="0" w:line="270" w:lineRule="auto"/>
        <w:rPr>
          <w:sz w:val="20"/>
          <w:szCs w:val="20"/>
          <w:color w:val="auto"/>
        </w:rPr>
      </w:pPr>
      <w:r>
        <w:rPr>
          <w:rFonts w:ascii="Arial" w:cs="Arial" w:eastAsia="Arial" w:hAnsi="Arial"/>
          <w:sz w:val="17"/>
          <w:szCs w:val="17"/>
          <w:color w:val="auto"/>
        </w:rPr>
        <w:t>We are in the midst of completing the last phase of a multi-year investment program. Our recent investments are expected to significantly strengthen our position as a leader in providing differentiated solutions for the energy, industrial and automotive market sectors, while enhancing our operational performance and customer service capabilities. In April 2012, we began construction on a vertical continuous caster at our Faircrest Steel plant based in Canton, Ohio. The new caster, combined with a recent investment in a new ladle refiner, will improve productivity, increase capacity and expand our product range, which will provide large bar capabilities unique in the United States. This project aims to primarily serve the energy and industrial market sectors. The continuous caster is expected to improve yield productivity by approximately 10% annually. When the caster is complete, the result is expected to be an additional 125,000 tons of annual production capacity. The total cost of the vertical continuous caster is expected to reach approximately $200 million. As of March 31, 2014, approximately $159 million of costs had been incurred related to the new caster. The caster is expected to begin production in the third quarter of 2014. The new ladle refiner became fully operational in May 2013 and has nearly doubled the refining capacity of the Faircrest Steel plant and has added annual ship ton capacity of approximately 40,000 tons.</w:t>
      </w:r>
    </w:p>
    <w:p>
      <w:pPr>
        <w:spacing w:after="0" w:line="11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32</w:t>
      </w:r>
    </w:p>
    <w:p>
      <w:pPr>
        <w:sectPr>
          <w:pgSz w:w="11900" w:h="16838" w:orient="portrait"/>
          <w:cols w:equalWidth="0" w:num="1">
            <w:col w:w="11400"/>
          </w:cols>
          <w:pgMar w:left="240" w:top="459" w:right="259" w:bottom="1440" w:gutter="0" w:footer="0" w:header="0"/>
        </w:sectPr>
      </w:pPr>
    </w:p>
    <w:bookmarkStart w:id="41" w:name="page42"/>
    <w:bookmarkEnd w:id="4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20" w:firstLine="913"/>
        <w:spacing w:after="0" w:line="255" w:lineRule="auto"/>
        <w:rPr>
          <w:sz w:val="20"/>
          <w:szCs w:val="20"/>
          <w:color w:val="auto"/>
        </w:rPr>
      </w:pPr>
      <w:r>
        <w:rPr>
          <w:rFonts w:ascii="Arial" w:cs="Arial" w:eastAsia="Arial" w:hAnsi="Arial"/>
          <w:sz w:val="18"/>
          <w:szCs w:val="18"/>
          <w:color w:val="auto"/>
        </w:rPr>
        <w:t>A $50 million steel tube intermediate finishing line, or IFL, project was completed in February 2013. This investment was made to increase operational efficiency, quality and safety in our steel tube manufacturing operations. The new IFL incorporates the latest technology and employs lean processes, which have improved associate safety through reduced product handling and material movements and led to reduced in-process inventory. Customer service has been improved through a 65% reduction in steel tube finishing cycle time, while finishing labor productivity has increased by 40%. The IFL also incorporates an environmentally friendly water jet de-scaling spray system that replaces the former pickling process. As of March 31, 2014, we shipped over 80,000 tons since the IFL was placed in service.</w:t>
      </w:r>
    </w:p>
    <w:p>
      <w:pPr>
        <w:spacing w:after="0" w:line="234" w:lineRule="exact"/>
        <w:rPr>
          <w:sz w:val="20"/>
          <w:szCs w:val="20"/>
          <w:color w:val="auto"/>
        </w:rPr>
      </w:pPr>
    </w:p>
    <w:p>
      <w:pPr>
        <w:ind w:right="300" w:firstLine="895"/>
        <w:spacing w:after="0" w:line="297" w:lineRule="auto"/>
        <w:rPr>
          <w:sz w:val="20"/>
          <w:szCs w:val="20"/>
          <w:color w:val="auto"/>
        </w:rPr>
      </w:pPr>
      <w:r>
        <w:rPr>
          <w:rFonts w:ascii="Arial" w:cs="Arial" w:eastAsia="Arial" w:hAnsi="Arial"/>
          <w:sz w:val="16"/>
          <w:szCs w:val="16"/>
          <w:color w:val="auto"/>
        </w:rPr>
        <w:t>An in-line forge press was completed in December 2012 at a cost of approximately $35 million. The 3,300-ton forge press offers our customers sound-center engineered steel bars. The investment provides an opportunity to focus on new markets, adds additional capacity and operating efficiencies. The forge press uses an innovative large-bar forged-rolled process, which we developed and installed to enhance center soundness of a larger cross-section of our SBQ steel. Combined with our recent investment in an ultrasonic test large-bar inspection line, the new forging capabilities reinforces our position as a premier provider of sound-center large bars of up to 16 inches in diameter. As of March 31, 2014, we forged over 365,000 ingot tons.</w:t>
      </w:r>
    </w:p>
    <w:p>
      <w:pPr>
        <w:spacing w:after="0" w:line="199" w:lineRule="exact"/>
        <w:rPr>
          <w:sz w:val="20"/>
          <w:szCs w:val="20"/>
          <w:color w:val="auto"/>
        </w:rPr>
      </w:pPr>
    </w:p>
    <w:p>
      <w:pPr>
        <w:ind w:firstLine="913"/>
        <w:spacing w:after="0" w:line="277" w:lineRule="auto"/>
        <w:rPr>
          <w:sz w:val="20"/>
          <w:szCs w:val="20"/>
          <w:color w:val="auto"/>
        </w:rPr>
      </w:pPr>
      <w:r>
        <w:rPr>
          <w:rFonts w:ascii="Arial" w:cs="Arial" w:eastAsia="Arial" w:hAnsi="Arial"/>
          <w:sz w:val="18"/>
          <w:szCs w:val="18"/>
          <w:color w:val="auto"/>
        </w:rPr>
        <w:t>These investments reinforce our position of offering what we believe to be the broadest SBQ steel large bar and seamless mechanical tubing steel capabilities in North America.</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Operating Segments</w:t>
      </w:r>
    </w:p>
    <w:p>
      <w:pPr>
        <w:spacing w:after="0" w:line="270" w:lineRule="exact"/>
        <w:rPr>
          <w:sz w:val="20"/>
          <w:szCs w:val="20"/>
          <w:color w:val="auto"/>
        </w:rPr>
      </w:pPr>
    </w:p>
    <w:p>
      <w:pPr>
        <w:ind w:right="80" w:firstLine="913"/>
        <w:spacing w:after="0" w:line="293" w:lineRule="auto"/>
        <w:rPr>
          <w:sz w:val="20"/>
          <w:szCs w:val="20"/>
          <w:color w:val="auto"/>
        </w:rPr>
      </w:pPr>
      <w:r>
        <w:rPr>
          <w:rFonts w:ascii="Arial" w:cs="Arial" w:eastAsia="Arial" w:hAnsi="Arial"/>
          <w:sz w:val="16"/>
          <w:szCs w:val="16"/>
          <w:color w:val="auto"/>
        </w:rPr>
        <w:t>We will operate in and report financial results for two segments: 1) Industrial &amp; Mobile and 2) Energy &amp; Distribution. These segments represent the level at which we review our financial performance and make operating decisions. Segment earnings before interest and taxes, or EBIT, is the measure of profit and loss that our chief operating decision maker uses to evaluate the financial performance of our business and is the basis for resource allocation and performance reviews. For these reasons, we believe that segment EBIT represents the most relevant measure of segment profit and loss. We may exclude certain charges or gains, such as corporate charges and other special charges, from EBIT to arrive at a segment EBIT that is a more meaningful measure of profit and loss upon which to base our operating decisions. We define segment EBIT margin as segment EBIT as a percentage of segment net revenues.</w:t>
      </w:r>
    </w:p>
    <w:p>
      <w:pPr>
        <w:spacing w:after="0" w:line="205" w:lineRule="exact"/>
        <w:rPr>
          <w:sz w:val="20"/>
          <w:szCs w:val="20"/>
          <w:color w:val="auto"/>
        </w:rPr>
      </w:pPr>
    </w:p>
    <w:p>
      <w:pPr>
        <w:ind w:left="920"/>
        <w:spacing w:after="0"/>
        <w:rPr>
          <w:sz w:val="20"/>
          <w:szCs w:val="20"/>
          <w:color w:val="auto"/>
        </w:rPr>
      </w:pPr>
      <w:r>
        <w:rPr>
          <w:rFonts w:ascii="Arial" w:cs="Arial" w:eastAsia="Arial" w:hAnsi="Arial"/>
          <w:sz w:val="18"/>
          <w:szCs w:val="18"/>
          <w:b w:val="1"/>
          <w:bCs w:val="1"/>
          <w:i w:val="1"/>
          <w:iCs w:val="1"/>
          <w:color w:val="auto"/>
        </w:rPr>
        <w:t>Industrial &amp; Mobile</w:t>
      </w:r>
    </w:p>
    <w:p>
      <w:pPr>
        <w:spacing w:after="0" w:line="252" w:lineRule="exact"/>
        <w:rPr>
          <w:sz w:val="20"/>
          <w:szCs w:val="20"/>
          <w:color w:val="auto"/>
        </w:rPr>
      </w:pPr>
    </w:p>
    <w:p>
      <w:pPr>
        <w:ind w:right="160" w:firstLine="913"/>
        <w:spacing w:after="0" w:line="276" w:lineRule="auto"/>
        <w:rPr>
          <w:sz w:val="20"/>
          <w:szCs w:val="20"/>
          <w:color w:val="auto"/>
        </w:rPr>
      </w:pPr>
      <w:r>
        <w:rPr>
          <w:rFonts w:ascii="Arial" w:cs="Arial" w:eastAsia="Arial" w:hAnsi="Arial"/>
          <w:sz w:val="17"/>
          <w:szCs w:val="17"/>
          <w:color w:val="auto"/>
        </w:rPr>
        <w:t>Our Industrial &amp; Mobile segment is a leading provider of high quality air-melted alloy steel bars, tubes, precision components and value-added services. For the industrial market sector, we sell to original equipment, or OE, manufacturers including agriculture, construction, machinery, military, mining, power generation and rail. For the mobile market sector, we sell to automotive customers including light-vehicle, medium-truck and heavy-truck applications. Our products in this segment are in applications including engine, transmission and driveline components, large hydraulic system components, military ordnance, mining and construction drilling applications and other types of equipment.</w:t>
      </w:r>
    </w:p>
    <w:p>
      <w:pPr>
        <w:spacing w:after="0" w:line="213" w:lineRule="exact"/>
        <w:rPr>
          <w:sz w:val="20"/>
          <w:szCs w:val="20"/>
          <w:color w:val="auto"/>
        </w:rPr>
      </w:pPr>
    </w:p>
    <w:p>
      <w:pPr>
        <w:ind w:left="920"/>
        <w:spacing w:after="0"/>
        <w:rPr>
          <w:sz w:val="20"/>
          <w:szCs w:val="20"/>
          <w:color w:val="auto"/>
        </w:rPr>
      </w:pPr>
      <w:r>
        <w:rPr>
          <w:rFonts w:ascii="Arial" w:cs="Arial" w:eastAsia="Arial" w:hAnsi="Arial"/>
          <w:sz w:val="18"/>
          <w:szCs w:val="18"/>
          <w:b w:val="1"/>
          <w:bCs w:val="1"/>
          <w:i w:val="1"/>
          <w:iCs w:val="1"/>
          <w:color w:val="auto"/>
        </w:rPr>
        <w:t>Energy &amp; Distribution</w:t>
      </w:r>
    </w:p>
    <w:p>
      <w:pPr>
        <w:spacing w:after="0" w:line="266" w:lineRule="exact"/>
        <w:rPr>
          <w:sz w:val="20"/>
          <w:szCs w:val="20"/>
          <w:color w:val="auto"/>
        </w:rPr>
      </w:pPr>
    </w:p>
    <w:p>
      <w:pPr>
        <w:ind w:right="140" w:firstLine="913"/>
        <w:spacing w:after="0" w:line="291" w:lineRule="auto"/>
        <w:rPr>
          <w:sz w:val="20"/>
          <w:szCs w:val="20"/>
          <w:color w:val="auto"/>
        </w:rPr>
      </w:pPr>
      <w:r>
        <w:rPr>
          <w:rFonts w:ascii="Arial" w:cs="Arial" w:eastAsia="Arial" w:hAnsi="Arial"/>
          <w:sz w:val="16"/>
          <w:szCs w:val="16"/>
          <w:color w:val="auto"/>
        </w:rPr>
        <w:t>Our Energy &amp; Distribution segment is a leading provider of high quality air-melted alloy steel bars, seamless tubes and value-added services such as thermal treatment and machining. The Energy &amp; Distribution segment offers unique steel chemistries in various product configurations to improve our customers’ performance in demanding drilling, completion and production activities. Application of our engineered material solutions can be found in both offshore and land based drilling rig activities. Vertical and horizontal drilling and completion applications include high strength drill string components and specialized completion tools that enable hydraulic fracturing for shale gas and oil. Distribution channel activity is also conducted through this segment. Our distribution channel activity constitutes direct sales of steel bars and seamless mechanical tubes to our distributors. TimkenSteel authorized service centers enable us to collaborate with various independent service centers to deliver differentiated solutions for our end users.</w:t>
      </w:r>
    </w:p>
    <w:p>
      <w:pPr>
        <w:spacing w:after="0" w:line="19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Markets We Serve</w:t>
      </w:r>
    </w:p>
    <w:p>
      <w:pPr>
        <w:spacing w:after="0" w:line="270" w:lineRule="exact"/>
        <w:rPr>
          <w:sz w:val="20"/>
          <w:szCs w:val="20"/>
          <w:color w:val="auto"/>
        </w:rPr>
      </w:pPr>
    </w:p>
    <w:p>
      <w:pPr>
        <w:ind w:right="80" w:firstLine="913"/>
        <w:spacing w:after="0" w:line="257" w:lineRule="auto"/>
        <w:rPr>
          <w:sz w:val="20"/>
          <w:szCs w:val="20"/>
          <w:color w:val="auto"/>
        </w:rPr>
      </w:pPr>
      <w:r>
        <w:rPr>
          <w:rFonts w:ascii="Arial" w:cs="Arial" w:eastAsia="Arial" w:hAnsi="Arial"/>
          <w:sz w:val="18"/>
          <w:szCs w:val="18"/>
          <w:color w:val="auto"/>
        </w:rPr>
        <w:t>We sell products and services that are used in a diverse range of demanding applications around the world. Our customers include companies in the following market sectors: oil &amp; gas; automotive; industrial equipment; mining; construction; rail; aerospace and defense; heavy truck; agriculture; and power generation. Our customer base is diverse. We do not have direct sales to any single customer that account for 10% or more of our total sales. Our distribution sales for fiscal years 2013, 2012 and 2011 were 20%, 23% and 24%, respectively. The table below summarizes our sales to OE manufacturers by market sector for fiscal years 2013, 2012 and 2011.</w:t>
      </w:r>
    </w:p>
    <w:p>
      <w:pPr>
        <w:spacing w:after="0" w:line="121"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33</w:t>
      </w:r>
    </w:p>
    <w:p>
      <w:pPr>
        <w:sectPr>
          <w:pgSz w:w="11900" w:h="16838" w:orient="portrait"/>
          <w:cols w:equalWidth="0" w:num="1">
            <w:col w:w="11400"/>
          </w:cols>
          <w:pgMar w:left="240" w:top="459" w:right="259" w:bottom="1440" w:gutter="0" w:footer="0" w:header="0"/>
        </w:sectPr>
      </w:pPr>
    </w:p>
    <w:bookmarkStart w:id="42" w:name="page43"/>
    <w:bookmarkEnd w:id="4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205740</wp:posOffset>
            </wp:positionV>
            <wp:extent cx="7186295" cy="889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7186295" cy="8890"/>
                    </a:xfrm>
                    <a:prstGeom prst="rect">
                      <a:avLst/>
                    </a:prstGeom>
                    <a:noFill/>
                  </pic:spPr>
                </pic:pic>
              </a:graphicData>
            </a:graphic>
          </wp:anchor>
        </w:drawing>
      </w:r>
    </w:p>
    <w:p>
      <w:pPr>
        <w:spacing w:after="0" w:line="313" w:lineRule="exact"/>
        <w:rPr>
          <w:sz w:val="20"/>
          <w:szCs w:val="20"/>
          <w:color w:val="auto"/>
        </w:rPr>
      </w:pPr>
    </w:p>
    <w:p>
      <w:pPr>
        <w:ind w:left="8340"/>
        <w:spacing w:after="0"/>
        <w:rPr>
          <w:sz w:val="20"/>
          <w:szCs w:val="20"/>
          <w:color w:val="auto"/>
        </w:rPr>
      </w:pPr>
      <w:r>
        <w:rPr>
          <w:rFonts w:ascii="Arial" w:cs="Arial" w:eastAsia="Arial" w:hAnsi="Arial"/>
          <w:sz w:val="18"/>
          <w:szCs w:val="18"/>
          <w:b w:val="1"/>
          <w:bCs w:val="1"/>
          <w:color w:val="auto"/>
        </w:rPr>
        <w:t>Years Ended December 31,</w:t>
      </w:r>
    </w:p>
    <w:p>
      <w:pPr>
        <w:spacing w:after="0" w:line="27" w:lineRule="exact"/>
        <w:rPr>
          <w:sz w:val="20"/>
          <w:szCs w:val="20"/>
          <w:color w:val="auto"/>
        </w:rPr>
      </w:pPr>
    </w:p>
    <w:tbl>
      <w:tblPr>
        <w:tblLayout w:type="fixed"/>
        <w:tblInd w:w="0" w:type="dxa"/>
        <w:tblCellMar>
          <w:top w:w="0" w:type="dxa"/>
          <w:left w:w="0" w:type="dxa"/>
          <w:bottom w:w="0" w:type="dxa"/>
          <w:right w:w="0" w:type="dxa"/>
        </w:tblCellMar>
      </w:tblPr>
      <w:tr>
        <w:trPr>
          <w:trHeight w:val="223"/>
        </w:trPr>
        <w:tc>
          <w:tcPr>
            <w:tcW w:w="20" w:type="dxa"/>
            <w:vAlign w:val="bottom"/>
          </w:tcPr>
          <w:p>
            <w:pPr>
              <w:spacing w:after="0"/>
              <w:rPr>
                <w:sz w:val="19"/>
                <w:szCs w:val="19"/>
                <w:color w:val="auto"/>
              </w:rPr>
            </w:pPr>
          </w:p>
        </w:tc>
        <w:tc>
          <w:tcPr>
            <w:tcW w:w="4400" w:type="dxa"/>
            <w:vAlign w:val="bottom"/>
            <w:tcBorders>
              <w:top w:val="single" w:sz="8" w:color="auto"/>
              <w:bottom w:val="single" w:sz="8" w:color="auto"/>
            </w:tcBorders>
          </w:tcPr>
          <w:p>
            <w:pPr>
              <w:spacing w:after="0"/>
              <w:rPr>
                <w:sz w:val="19"/>
                <w:szCs w:val="19"/>
                <w:color w:val="auto"/>
              </w:rPr>
            </w:pPr>
          </w:p>
        </w:tc>
        <w:tc>
          <w:tcPr>
            <w:tcW w:w="4460" w:type="dxa"/>
            <w:vAlign w:val="bottom"/>
            <w:tcBorders>
              <w:top w:val="single" w:sz="8" w:color="auto"/>
              <w:bottom w:val="single" w:sz="8" w:color="auto"/>
            </w:tcBorders>
          </w:tcPr>
          <w:p>
            <w:pPr>
              <w:jc w:val="right"/>
              <w:ind w:right="630"/>
              <w:spacing w:after="0"/>
              <w:rPr>
                <w:sz w:val="20"/>
                <w:szCs w:val="20"/>
                <w:color w:val="auto"/>
              </w:rPr>
            </w:pPr>
            <w:r>
              <w:rPr>
                <w:rFonts w:ascii="Arial" w:cs="Arial" w:eastAsia="Arial" w:hAnsi="Arial"/>
                <w:sz w:val="18"/>
                <w:szCs w:val="18"/>
                <w:b w:val="1"/>
                <w:bCs w:val="1"/>
                <w:color w:val="auto"/>
              </w:rPr>
              <w:t>2013</w:t>
            </w:r>
          </w:p>
        </w:tc>
        <w:tc>
          <w:tcPr>
            <w:tcW w:w="1380" w:type="dxa"/>
            <w:vAlign w:val="bottom"/>
            <w:tcBorders>
              <w:top w:val="single" w:sz="8" w:color="auto"/>
              <w:bottom w:val="single" w:sz="8" w:color="auto"/>
            </w:tcBorders>
          </w:tcPr>
          <w:p>
            <w:pPr>
              <w:jc w:val="right"/>
              <w:ind w:right="630"/>
              <w:spacing w:after="0"/>
              <w:rPr>
                <w:sz w:val="20"/>
                <w:szCs w:val="20"/>
                <w:color w:val="auto"/>
              </w:rPr>
            </w:pPr>
            <w:r>
              <w:rPr>
                <w:rFonts w:ascii="Arial" w:cs="Arial" w:eastAsia="Arial" w:hAnsi="Arial"/>
                <w:sz w:val="18"/>
                <w:szCs w:val="18"/>
                <w:color w:val="auto"/>
              </w:rPr>
              <w:t>2012</w:t>
            </w:r>
          </w:p>
        </w:tc>
        <w:tc>
          <w:tcPr>
            <w:tcW w:w="1060" w:type="dxa"/>
            <w:vAlign w:val="bottom"/>
            <w:tcBorders>
              <w:top w:val="single" w:sz="8" w:color="auto"/>
              <w:bottom w:val="single" w:sz="8" w:color="auto"/>
            </w:tcBorders>
          </w:tcPr>
          <w:p>
            <w:pPr>
              <w:jc w:val="right"/>
              <w:ind w:right="310"/>
              <w:spacing w:after="0"/>
              <w:rPr>
                <w:sz w:val="20"/>
                <w:szCs w:val="20"/>
                <w:color w:val="auto"/>
              </w:rPr>
            </w:pPr>
            <w:r>
              <w:rPr>
                <w:rFonts w:ascii="Arial" w:cs="Arial" w:eastAsia="Arial" w:hAnsi="Arial"/>
                <w:sz w:val="18"/>
                <w:szCs w:val="18"/>
                <w:color w:val="auto"/>
              </w:rPr>
              <w:t>2011</w:t>
            </w:r>
          </w:p>
        </w:tc>
        <w:tc>
          <w:tcPr>
            <w:tcW w:w="100" w:type="dxa"/>
            <w:vAlign w:val="bottom"/>
          </w:tcPr>
          <w:p>
            <w:pPr>
              <w:spacing w:after="0"/>
              <w:rPr>
                <w:sz w:val="19"/>
                <w:szCs w:val="19"/>
                <w:color w:val="auto"/>
              </w:rPr>
            </w:pPr>
          </w:p>
        </w:tc>
      </w:tr>
      <w:tr>
        <w:trPr>
          <w:trHeight w:val="223"/>
        </w:trPr>
        <w:tc>
          <w:tcPr>
            <w:tcW w:w="20" w:type="dxa"/>
            <w:vAlign w:val="bottom"/>
          </w:tcPr>
          <w:p>
            <w:pPr>
              <w:spacing w:after="0"/>
              <w:rPr>
                <w:sz w:val="19"/>
                <w:szCs w:val="19"/>
                <w:color w:val="auto"/>
              </w:rPr>
            </w:pPr>
          </w:p>
        </w:tc>
        <w:tc>
          <w:tcPr>
            <w:tcW w:w="4400" w:type="dxa"/>
            <w:vAlign w:val="bottom"/>
          </w:tcPr>
          <w:p>
            <w:pPr>
              <w:spacing w:after="0"/>
              <w:rPr>
                <w:sz w:val="20"/>
                <w:szCs w:val="20"/>
                <w:color w:val="auto"/>
              </w:rPr>
            </w:pPr>
            <w:r>
              <w:rPr>
                <w:rFonts w:ascii="Arial" w:cs="Arial" w:eastAsia="Arial" w:hAnsi="Arial"/>
                <w:sz w:val="18"/>
                <w:szCs w:val="18"/>
                <w:color w:val="auto"/>
              </w:rPr>
              <w:t>Passenger Car</w:t>
            </w:r>
          </w:p>
        </w:tc>
        <w:tc>
          <w:tcPr>
            <w:tcW w:w="4460" w:type="dxa"/>
            <w:vAlign w:val="bottom"/>
          </w:tcPr>
          <w:p>
            <w:pPr>
              <w:jc w:val="right"/>
              <w:ind w:right="210"/>
              <w:spacing w:after="0"/>
              <w:rPr>
                <w:sz w:val="20"/>
                <w:szCs w:val="20"/>
                <w:color w:val="auto"/>
              </w:rPr>
            </w:pPr>
            <w:r>
              <w:rPr>
                <w:rFonts w:ascii="Arial" w:cs="Arial" w:eastAsia="Arial" w:hAnsi="Arial"/>
                <w:sz w:val="18"/>
                <w:szCs w:val="18"/>
                <w:b w:val="1"/>
                <w:bCs w:val="1"/>
                <w:color w:val="auto"/>
              </w:rPr>
              <w:t>26%</w:t>
            </w:r>
          </w:p>
        </w:tc>
        <w:tc>
          <w:tcPr>
            <w:tcW w:w="1380" w:type="dxa"/>
            <w:vAlign w:val="bottom"/>
          </w:tcPr>
          <w:p>
            <w:pPr>
              <w:jc w:val="right"/>
              <w:ind w:right="230"/>
              <w:spacing w:after="0"/>
              <w:rPr>
                <w:sz w:val="20"/>
                <w:szCs w:val="20"/>
                <w:color w:val="auto"/>
              </w:rPr>
            </w:pPr>
            <w:r>
              <w:rPr>
                <w:rFonts w:ascii="Arial" w:cs="Arial" w:eastAsia="Arial" w:hAnsi="Arial"/>
                <w:sz w:val="18"/>
                <w:szCs w:val="18"/>
                <w:color w:val="auto"/>
              </w:rPr>
              <w:t>20%</w:t>
            </w:r>
          </w:p>
        </w:tc>
        <w:tc>
          <w:tcPr>
            <w:tcW w:w="1060" w:type="dxa"/>
            <w:vAlign w:val="bottom"/>
          </w:tcPr>
          <w:p>
            <w:pPr>
              <w:jc w:val="right"/>
              <w:spacing w:after="0"/>
              <w:rPr>
                <w:sz w:val="20"/>
                <w:szCs w:val="20"/>
                <w:color w:val="auto"/>
              </w:rPr>
            </w:pPr>
            <w:r>
              <w:rPr>
                <w:rFonts w:ascii="Arial" w:cs="Arial" w:eastAsia="Arial" w:hAnsi="Arial"/>
                <w:sz w:val="18"/>
                <w:szCs w:val="18"/>
                <w:color w:val="auto"/>
              </w:rPr>
              <w:t>18%</w:t>
            </w:r>
          </w:p>
        </w:tc>
        <w:tc>
          <w:tcPr>
            <w:tcW w:w="100" w:type="dxa"/>
            <w:vAlign w:val="bottom"/>
          </w:tcPr>
          <w:p>
            <w:pPr>
              <w:spacing w:after="0"/>
              <w:rPr>
                <w:sz w:val="19"/>
                <w:szCs w:val="19"/>
                <w:color w:val="auto"/>
              </w:rPr>
            </w:pPr>
          </w:p>
        </w:tc>
      </w:tr>
      <w:tr>
        <w:trPr>
          <w:trHeight w:val="216"/>
        </w:trPr>
        <w:tc>
          <w:tcPr>
            <w:tcW w:w="20" w:type="dxa"/>
            <w:vAlign w:val="bottom"/>
          </w:tcPr>
          <w:p>
            <w:pPr>
              <w:spacing w:after="0"/>
              <w:rPr>
                <w:sz w:val="18"/>
                <w:szCs w:val="18"/>
                <w:color w:val="auto"/>
              </w:rPr>
            </w:pPr>
          </w:p>
        </w:tc>
        <w:tc>
          <w:tcPr>
            <w:tcW w:w="4400" w:type="dxa"/>
            <w:vAlign w:val="bottom"/>
            <w:shd w:val="clear" w:color="auto" w:fill="CCEEFF"/>
          </w:tcPr>
          <w:p>
            <w:pPr>
              <w:spacing w:after="0"/>
              <w:rPr>
                <w:sz w:val="20"/>
                <w:szCs w:val="20"/>
                <w:color w:val="auto"/>
              </w:rPr>
            </w:pPr>
            <w:r>
              <w:rPr>
                <w:rFonts w:ascii="Arial" w:cs="Arial" w:eastAsia="Arial" w:hAnsi="Arial"/>
                <w:sz w:val="18"/>
                <w:szCs w:val="18"/>
                <w:color w:val="auto"/>
              </w:rPr>
              <w:t>Light Truck</w:t>
            </w:r>
          </w:p>
        </w:tc>
        <w:tc>
          <w:tcPr>
            <w:tcW w:w="4460" w:type="dxa"/>
            <w:vAlign w:val="bottom"/>
            <w:shd w:val="clear" w:color="auto" w:fill="CCEEFF"/>
          </w:tcPr>
          <w:p>
            <w:pPr>
              <w:jc w:val="right"/>
              <w:ind w:right="210"/>
              <w:spacing w:after="0"/>
              <w:rPr>
                <w:sz w:val="20"/>
                <w:szCs w:val="20"/>
                <w:color w:val="auto"/>
              </w:rPr>
            </w:pPr>
            <w:r>
              <w:rPr>
                <w:rFonts w:ascii="Arial" w:cs="Arial" w:eastAsia="Arial" w:hAnsi="Arial"/>
                <w:sz w:val="18"/>
                <w:szCs w:val="18"/>
                <w:b w:val="1"/>
                <w:bCs w:val="1"/>
                <w:color w:val="auto"/>
              </w:rPr>
              <w:t>22%</w:t>
            </w:r>
          </w:p>
        </w:tc>
        <w:tc>
          <w:tcPr>
            <w:tcW w:w="1380" w:type="dxa"/>
            <w:vAlign w:val="bottom"/>
            <w:shd w:val="clear" w:color="auto" w:fill="CCEEFF"/>
          </w:tcPr>
          <w:p>
            <w:pPr>
              <w:jc w:val="right"/>
              <w:ind w:right="230"/>
              <w:spacing w:after="0"/>
              <w:rPr>
                <w:sz w:val="20"/>
                <w:szCs w:val="20"/>
                <w:color w:val="auto"/>
              </w:rPr>
            </w:pPr>
            <w:r>
              <w:rPr>
                <w:rFonts w:ascii="Arial" w:cs="Arial" w:eastAsia="Arial" w:hAnsi="Arial"/>
                <w:sz w:val="18"/>
                <w:szCs w:val="18"/>
                <w:color w:val="auto"/>
              </w:rPr>
              <w:t>17%</w:t>
            </w:r>
          </w:p>
        </w:tc>
        <w:tc>
          <w:tcPr>
            <w:tcW w:w="11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16%</w:t>
            </w:r>
          </w:p>
        </w:tc>
      </w:tr>
      <w:tr>
        <w:trPr>
          <w:trHeight w:val="216"/>
        </w:trPr>
        <w:tc>
          <w:tcPr>
            <w:tcW w:w="20" w:type="dxa"/>
            <w:vAlign w:val="bottom"/>
          </w:tcPr>
          <w:p>
            <w:pPr>
              <w:spacing w:after="0"/>
              <w:rPr>
                <w:sz w:val="18"/>
                <w:szCs w:val="18"/>
                <w:color w:val="auto"/>
              </w:rPr>
            </w:pPr>
          </w:p>
        </w:tc>
        <w:tc>
          <w:tcPr>
            <w:tcW w:w="4400" w:type="dxa"/>
            <w:vAlign w:val="bottom"/>
          </w:tcPr>
          <w:p>
            <w:pPr>
              <w:spacing w:after="0"/>
              <w:rPr>
                <w:sz w:val="20"/>
                <w:szCs w:val="20"/>
                <w:color w:val="auto"/>
              </w:rPr>
            </w:pPr>
            <w:r>
              <w:rPr>
                <w:rFonts w:ascii="Arial" w:cs="Arial" w:eastAsia="Arial" w:hAnsi="Arial"/>
                <w:sz w:val="18"/>
                <w:szCs w:val="18"/>
                <w:color w:val="auto"/>
              </w:rPr>
              <w:t>Oil &amp; Gas</w:t>
            </w:r>
          </w:p>
        </w:tc>
        <w:tc>
          <w:tcPr>
            <w:tcW w:w="4460" w:type="dxa"/>
            <w:vAlign w:val="bottom"/>
          </w:tcPr>
          <w:p>
            <w:pPr>
              <w:jc w:val="right"/>
              <w:ind w:right="210"/>
              <w:spacing w:after="0"/>
              <w:rPr>
                <w:sz w:val="20"/>
                <w:szCs w:val="20"/>
                <w:color w:val="auto"/>
              </w:rPr>
            </w:pPr>
            <w:r>
              <w:rPr>
                <w:rFonts w:ascii="Arial" w:cs="Arial" w:eastAsia="Arial" w:hAnsi="Arial"/>
                <w:sz w:val="18"/>
                <w:szCs w:val="18"/>
                <w:b w:val="1"/>
                <w:bCs w:val="1"/>
                <w:color w:val="auto"/>
              </w:rPr>
              <w:t>20%</w:t>
            </w:r>
          </w:p>
        </w:tc>
        <w:tc>
          <w:tcPr>
            <w:tcW w:w="1380" w:type="dxa"/>
            <w:vAlign w:val="bottom"/>
          </w:tcPr>
          <w:p>
            <w:pPr>
              <w:jc w:val="right"/>
              <w:ind w:right="230"/>
              <w:spacing w:after="0"/>
              <w:rPr>
                <w:sz w:val="20"/>
                <w:szCs w:val="20"/>
                <w:color w:val="auto"/>
              </w:rPr>
            </w:pPr>
            <w:r>
              <w:rPr>
                <w:rFonts w:ascii="Arial" w:cs="Arial" w:eastAsia="Arial" w:hAnsi="Arial"/>
                <w:sz w:val="18"/>
                <w:szCs w:val="18"/>
                <w:color w:val="auto"/>
              </w:rPr>
              <w:t>22%</w:t>
            </w:r>
          </w:p>
        </w:tc>
        <w:tc>
          <w:tcPr>
            <w:tcW w:w="1160" w:type="dxa"/>
            <w:vAlign w:val="bottom"/>
            <w:gridSpan w:val="2"/>
          </w:tcPr>
          <w:p>
            <w:pPr>
              <w:jc w:val="right"/>
              <w:ind w:right="100"/>
              <w:spacing w:after="0"/>
              <w:rPr>
                <w:sz w:val="20"/>
                <w:szCs w:val="20"/>
                <w:color w:val="auto"/>
              </w:rPr>
            </w:pPr>
            <w:r>
              <w:rPr>
                <w:rFonts w:ascii="Arial" w:cs="Arial" w:eastAsia="Arial" w:hAnsi="Arial"/>
                <w:sz w:val="18"/>
                <w:szCs w:val="18"/>
                <w:color w:val="auto"/>
              </w:rPr>
              <w:t>22%</w:t>
            </w:r>
          </w:p>
        </w:tc>
      </w:tr>
      <w:tr>
        <w:trPr>
          <w:trHeight w:val="216"/>
        </w:trPr>
        <w:tc>
          <w:tcPr>
            <w:tcW w:w="20" w:type="dxa"/>
            <w:vAlign w:val="bottom"/>
          </w:tcPr>
          <w:p>
            <w:pPr>
              <w:spacing w:after="0"/>
              <w:rPr>
                <w:sz w:val="18"/>
                <w:szCs w:val="18"/>
                <w:color w:val="auto"/>
              </w:rPr>
            </w:pPr>
          </w:p>
        </w:tc>
        <w:tc>
          <w:tcPr>
            <w:tcW w:w="4400" w:type="dxa"/>
            <w:vAlign w:val="bottom"/>
            <w:shd w:val="clear" w:color="auto" w:fill="CCEEFF"/>
          </w:tcPr>
          <w:p>
            <w:pPr>
              <w:spacing w:after="0"/>
              <w:rPr>
                <w:sz w:val="20"/>
                <w:szCs w:val="20"/>
                <w:color w:val="auto"/>
              </w:rPr>
            </w:pPr>
            <w:r>
              <w:rPr>
                <w:rFonts w:ascii="Arial" w:cs="Arial" w:eastAsia="Arial" w:hAnsi="Arial"/>
                <w:sz w:val="18"/>
                <w:szCs w:val="18"/>
                <w:color w:val="auto"/>
              </w:rPr>
              <w:t>Machinery</w:t>
            </w:r>
            <w:r>
              <w:rPr>
                <w:rFonts w:ascii="Arial" w:cs="Arial" w:eastAsia="Arial" w:hAnsi="Arial"/>
                <w:sz w:val="15"/>
                <w:szCs w:val="15"/>
                <w:color w:val="auto"/>
              </w:rPr>
              <w:t>1</w:t>
            </w:r>
          </w:p>
        </w:tc>
        <w:tc>
          <w:tcPr>
            <w:tcW w:w="4460" w:type="dxa"/>
            <w:vAlign w:val="bottom"/>
            <w:shd w:val="clear" w:color="auto" w:fill="CCEEFF"/>
          </w:tcPr>
          <w:p>
            <w:pPr>
              <w:jc w:val="right"/>
              <w:ind w:right="210"/>
              <w:spacing w:after="0"/>
              <w:rPr>
                <w:sz w:val="20"/>
                <w:szCs w:val="20"/>
                <w:color w:val="auto"/>
              </w:rPr>
            </w:pPr>
            <w:r>
              <w:rPr>
                <w:rFonts w:ascii="Arial" w:cs="Arial" w:eastAsia="Arial" w:hAnsi="Arial"/>
                <w:sz w:val="18"/>
                <w:szCs w:val="18"/>
                <w:b w:val="1"/>
                <w:bCs w:val="1"/>
                <w:color w:val="auto"/>
              </w:rPr>
              <w:t>12%</w:t>
            </w:r>
          </w:p>
        </w:tc>
        <w:tc>
          <w:tcPr>
            <w:tcW w:w="1380" w:type="dxa"/>
            <w:vAlign w:val="bottom"/>
            <w:shd w:val="clear" w:color="auto" w:fill="CCEEFF"/>
          </w:tcPr>
          <w:p>
            <w:pPr>
              <w:jc w:val="right"/>
              <w:ind w:right="230"/>
              <w:spacing w:after="0"/>
              <w:rPr>
                <w:sz w:val="20"/>
                <w:szCs w:val="20"/>
                <w:color w:val="auto"/>
              </w:rPr>
            </w:pPr>
            <w:r>
              <w:rPr>
                <w:rFonts w:ascii="Arial" w:cs="Arial" w:eastAsia="Arial" w:hAnsi="Arial"/>
                <w:sz w:val="18"/>
                <w:szCs w:val="18"/>
                <w:color w:val="auto"/>
              </w:rPr>
              <w:t>18%</w:t>
            </w:r>
          </w:p>
        </w:tc>
        <w:tc>
          <w:tcPr>
            <w:tcW w:w="11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22%</w:t>
            </w:r>
          </w:p>
        </w:tc>
      </w:tr>
      <w:tr>
        <w:trPr>
          <w:trHeight w:val="216"/>
        </w:trPr>
        <w:tc>
          <w:tcPr>
            <w:tcW w:w="20" w:type="dxa"/>
            <w:vAlign w:val="bottom"/>
          </w:tcPr>
          <w:p>
            <w:pPr>
              <w:spacing w:after="0"/>
              <w:rPr>
                <w:sz w:val="18"/>
                <w:szCs w:val="18"/>
                <w:color w:val="auto"/>
              </w:rPr>
            </w:pPr>
          </w:p>
        </w:tc>
        <w:tc>
          <w:tcPr>
            <w:tcW w:w="4400" w:type="dxa"/>
            <w:vAlign w:val="bottom"/>
          </w:tcPr>
          <w:p>
            <w:pPr>
              <w:spacing w:after="0"/>
              <w:rPr>
                <w:sz w:val="20"/>
                <w:szCs w:val="20"/>
                <w:color w:val="auto"/>
              </w:rPr>
            </w:pPr>
            <w:r>
              <w:rPr>
                <w:rFonts w:ascii="Arial" w:cs="Arial" w:eastAsia="Arial" w:hAnsi="Arial"/>
                <w:sz w:val="18"/>
                <w:szCs w:val="18"/>
                <w:color w:val="auto"/>
              </w:rPr>
              <w:t>Industrial</w:t>
            </w:r>
          </w:p>
        </w:tc>
        <w:tc>
          <w:tcPr>
            <w:tcW w:w="4460" w:type="dxa"/>
            <w:vAlign w:val="bottom"/>
          </w:tcPr>
          <w:p>
            <w:pPr>
              <w:jc w:val="right"/>
              <w:ind w:right="210"/>
              <w:spacing w:after="0"/>
              <w:rPr>
                <w:sz w:val="20"/>
                <w:szCs w:val="20"/>
                <w:color w:val="auto"/>
              </w:rPr>
            </w:pPr>
            <w:r>
              <w:rPr>
                <w:rFonts w:ascii="Arial" w:cs="Arial" w:eastAsia="Arial" w:hAnsi="Arial"/>
                <w:sz w:val="18"/>
                <w:szCs w:val="18"/>
                <w:b w:val="1"/>
                <w:bCs w:val="1"/>
                <w:color w:val="auto"/>
              </w:rPr>
              <w:t>5%</w:t>
            </w:r>
          </w:p>
        </w:tc>
        <w:tc>
          <w:tcPr>
            <w:tcW w:w="1380" w:type="dxa"/>
            <w:vAlign w:val="bottom"/>
          </w:tcPr>
          <w:p>
            <w:pPr>
              <w:jc w:val="right"/>
              <w:ind w:right="230"/>
              <w:spacing w:after="0"/>
              <w:rPr>
                <w:sz w:val="20"/>
                <w:szCs w:val="20"/>
                <w:color w:val="auto"/>
              </w:rPr>
            </w:pPr>
            <w:r>
              <w:rPr>
                <w:rFonts w:ascii="Arial" w:cs="Arial" w:eastAsia="Arial" w:hAnsi="Arial"/>
                <w:sz w:val="18"/>
                <w:szCs w:val="18"/>
                <w:color w:val="auto"/>
              </w:rPr>
              <w:t>9%</w:t>
            </w:r>
          </w:p>
        </w:tc>
        <w:tc>
          <w:tcPr>
            <w:tcW w:w="1060" w:type="dxa"/>
            <w:vAlign w:val="bottom"/>
          </w:tcPr>
          <w:p>
            <w:pPr>
              <w:jc w:val="right"/>
              <w:spacing w:after="0"/>
              <w:rPr>
                <w:sz w:val="20"/>
                <w:szCs w:val="20"/>
                <w:color w:val="auto"/>
              </w:rPr>
            </w:pPr>
            <w:r>
              <w:rPr>
                <w:rFonts w:ascii="Arial" w:cs="Arial" w:eastAsia="Arial" w:hAnsi="Arial"/>
                <w:sz w:val="18"/>
                <w:szCs w:val="18"/>
                <w:color w:val="auto"/>
              </w:rPr>
              <w:t>5%</w:t>
            </w:r>
          </w:p>
        </w:tc>
        <w:tc>
          <w:tcPr>
            <w:tcW w:w="10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4400" w:type="dxa"/>
            <w:vAlign w:val="bottom"/>
            <w:shd w:val="clear" w:color="auto" w:fill="CCEEFF"/>
          </w:tcPr>
          <w:p>
            <w:pPr>
              <w:spacing w:after="0"/>
              <w:rPr>
                <w:sz w:val="20"/>
                <w:szCs w:val="20"/>
                <w:color w:val="auto"/>
              </w:rPr>
            </w:pPr>
            <w:r>
              <w:rPr>
                <w:rFonts w:ascii="Arial" w:cs="Arial" w:eastAsia="Arial" w:hAnsi="Arial"/>
                <w:sz w:val="18"/>
                <w:szCs w:val="18"/>
                <w:color w:val="auto"/>
              </w:rPr>
              <w:t>Mining</w:t>
            </w:r>
          </w:p>
        </w:tc>
        <w:tc>
          <w:tcPr>
            <w:tcW w:w="4460" w:type="dxa"/>
            <w:vAlign w:val="bottom"/>
            <w:shd w:val="clear" w:color="auto" w:fill="CCEEFF"/>
          </w:tcPr>
          <w:p>
            <w:pPr>
              <w:jc w:val="right"/>
              <w:ind w:right="210"/>
              <w:spacing w:after="0"/>
              <w:rPr>
                <w:sz w:val="20"/>
                <w:szCs w:val="20"/>
                <w:color w:val="auto"/>
              </w:rPr>
            </w:pPr>
            <w:r>
              <w:rPr>
                <w:rFonts w:ascii="Arial" w:cs="Arial" w:eastAsia="Arial" w:hAnsi="Arial"/>
                <w:sz w:val="18"/>
                <w:szCs w:val="18"/>
                <w:b w:val="1"/>
                <w:bCs w:val="1"/>
                <w:color w:val="auto"/>
              </w:rPr>
              <w:t>3%</w:t>
            </w:r>
          </w:p>
        </w:tc>
        <w:tc>
          <w:tcPr>
            <w:tcW w:w="1380" w:type="dxa"/>
            <w:vAlign w:val="bottom"/>
            <w:shd w:val="clear" w:color="auto" w:fill="CCEEFF"/>
          </w:tcPr>
          <w:p>
            <w:pPr>
              <w:jc w:val="right"/>
              <w:ind w:right="230"/>
              <w:spacing w:after="0"/>
              <w:rPr>
                <w:sz w:val="20"/>
                <w:szCs w:val="20"/>
                <w:color w:val="auto"/>
              </w:rPr>
            </w:pPr>
            <w:r>
              <w:rPr>
                <w:rFonts w:ascii="Arial" w:cs="Arial" w:eastAsia="Arial" w:hAnsi="Arial"/>
                <w:sz w:val="18"/>
                <w:szCs w:val="18"/>
                <w:color w:val="auto"/>
              </w:rPr>
              <w:t>4%</w:t>
            </w: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w:t>
            </w:r>
          </w:p>
        </w:tc>
        <w:tc>
          <w:tcPr>
            <w:tcW w:w="10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4400" w:type="dxa"/>
            <w:vAlign w:val="bottom"/>
          </w:tcPr>
          <w:p>
            <w:pPr>
              <w:spacing w:after="0"/>
              <w:rPr>
                <w:sz w:val="20"/>
                <w:szCs w:val="20"/>
                <w:color w:val="auto"/>
              </w:rPr>
            </w:pPr>
            <w:r>
              <w:rPr>
                <w:rFonts w:ascii="Arial" w:cs="Arial" w:eastAsia="Arial" w:hAnsi="Arial"/>
                <w:sz w:val="18"/>
                <w:szCs w:val="18"/>
                <w:color w:val="auto"/>
              </w:rPr>
              <w:t>Construction</w:t>
            </w:r>
          </w:p>
        </w:tc>
        <w:tc>
          <w:tcPr>
            <w:tcW w:w="4460" w:type="dxa"/>
            <w:vAlign w:val="bottom"/>
          </w:tcPr>
          <w:p>
            <w:pPr>
              <w:jc w:val="right"/>
              <w:ind w:right="210"/>
              <w:spacing w:after="0"/>
              <w:rPr>
                <w:sz w:val="20"/>
                <w:szCs w:val="20"/>
                <w:color w:val="auto"/>
              </w:rPr>
            </w:pPr>
            <w:r>
              <w:rPr>
                <w:rFonts w:ascii="Arial" w:cs="Arial" w:eastAsia="Arial" w:hAnsi="Arial"/>
                <w:sz w:val="18"/>
                <w:szCs w:val="18"/>
                <w:b w:val="1"/>
                <w:bCs w:val="1"/>
                <w:color w:val="auto"/>
              </w:rPr>
              <w:t>2%</w:t>
            </w:r>
          </w:p>
        </w:tc>
        <w:tc>
          <w:tcPr>
            <w:tcW w:w="1380" w:type="dxa"/>
            <w:vAlign w:val="bottom"/>
          </w:tcPr>
          <w:p>
            <w:pPr>
              <w:jc w:val="right"/>
              <w:ind w:right="230"/>
              <w:spacing w:after="0"/>
              <w:rPr>
                <w:sz w:val="20"/>
                <w:szCs w:val="20"/>
                <w:color w:val="auto"/>
              </w:rPr>
            </w:pPr>
            <w:r>
              <w:rPr>
                <w:rFonts w:ascii="Arial" w:cs="Arial" w:eastAsia="Arial" w:hAnsi="Arial"/>
                <w:sz w:val="18"/>
                <w:szCs w:val="18"/>
                <w:color w:val="auto"/>
              </w:rPr>
              <w:t>3%</w:t>
            </w:r>
          </w:p>
        </w:tc>
        <w:tc>
          <w:tcPr>
            <w:tcW w:w="1060" w:type="dxa"/>
            <w:vAlign w:val="bottom"/>
          </w:tcPr>
          <w:p>
            <w:pPr>
              <w:jc w:val="right"/>
              <w:spacing w:after="0"/>
              <w:rPr>
                <w:sz w:val="20"/>
                <w:szCs w:val="20"/>
                <w:color w:val="auto"/>
              </w:rPr>
            </w:pPr>
            <w:r>
              <w:rPr>
                <w:rFonts w:ascii="Arial" w:cs="Arial" w:eastAsia="Arial" w:hAnsi="Arial"/>
                <w:sz w:val="18"/>
                <w:szCs w:val="18"/>
                <w:color w:val="auto"/>
              </w:rPr>
              <w:t>2%</w:t>
            </w:r>
          </w:p>
        </w:tc>
        <w:tc>
          <w:tcPr>
            <w:tcW w:w="10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4400" w:type="dxa"/>
            <w:vAlign w:val="bottom"/>
            <w:shd w:val="clear" w:color="auto" w:fill="CCEEFF"/>
          </w:tcPr>
          <w:p>
            <w:pPr>
              <w:spacing w:after="0"/>
              <w:rPr>
                <w:sz w:val="20"/>
                <w:szCs w:val="20"/>
                <w:color w:val="auto"/>
              </w:rPr>
            </w:pPr>
            <w:r>
              <w:rPr>
                <w:rFonts w:ascii="Arial" w:cs="Arial" w:eastAsia="Arial" w:hAnsi="Arial"/>
                <w:sz w:val="18"/>
                <w:szCs w:val="18"/>
                <w:color w:val="auto"/>
              </w:rPr>
              <w:t>Rail</w:t>
            </w:r>
          </w:p>
        </w:tc>
        <w:tc>
          <w:tcPr>
            <w:tcW w:w="4460" w:type="dxa"/>
            <w:vAlign w:val="bottom"/>
            <w:shd w:val="clear" w:color="auto" w:fill="CCEEFF"/>
          </w:tcPr>
          <w:p>
            <w:pPr>
              <w:jc w:val="right"/>
              <w:ind w:right="210"/>
              <w:spacing w:after="0"/>
              <w:rPr>
                <w:sz w:val="20"/>
                <w:szCs w:val="20"/>
                <w:color w:val="auto"/>
              </w:rPr>
            </w:pPr>
            <w:r>
              <w:rPr>
                <w:rFonts w:ascii="Arial" w:cs="Arial" w:eastAsia="Arial" w:hAnsi="Arial"/>
                <w:sz w:val="18"/>
                <w:szCs w:val="18"/>
                <w:b w:val="1"/>
                <w:bCs w:val="1"/>
                <w:color w:val="auto"/>
              </w:rPr>
              <w:t>2%</w:t>
            </w:r>
          </w:p>
        </w:tc>
        <w:tc>
          <w:tcPr>
            <w:tcW w:w="1380" w:type="dxa"/>
            <w:vAlign w:val="bottom"/>
            <w:shd w:val="clear" w:color="auto" w:fill="CCEEFF"/>
          </w:tcPr>
          <w:p>
            <w:pPr>
              <w:jc w:val="right"/>
              <w:ind w:right="230"/>
              <w:spacing w:after="0"/>
              <w:rPr>
                <w:sz w:val="20"/>
                <w:szCs w:val="20"/>
                <w:color w:val="auto"/>
              </w:rPr>
            </w:pPr>
            <w:r>
              <w:rPr>
                <w:rFonts w:ascii="Arial" w:cs="Arial" w:eastAsia="Arial" w:hAnsi="Arial"/>
                <w:sz w:val="18"/>
                <w:szCs w:val="18"/>
                <w:color w:val="auto"/>
              </w:rPr>
              <w:t>2%</w:t>
            </w: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w:t>
            </w:r>
          </w:p>
        </w:tc>
        <w:tc>
          <w:tcPr>
            <w:tcW w:w="100" w:type="dxa"/>
            <w:vAlign w:val="bottom"/>
            <w:shd w:val="clear" w:color="auto" w:fill="CCEEFF"/>
          </w:tcPr>
          <w:p>
            <w:pPr>
              <w:spacing w:after="0"/>
              <w:rPr>
                <w:sz w:val="18"/>
                <w:szCs w:val="18"/>
                <w:color w:val="auto"/>
              </w:rPr>
            </w:pPr>
          </w:p>
        </w:tc>
      </w:tr>
      <w:tr>
        <w:trPr>
          <w:trHeight w:val="223"/>
        </w:trPr>
        <w:tc>
          <w:tcPr>
            <w:tcW w:w="20" w:type="dxa"/>
            <w:vAlign w:val="bottom"/>
          </w:tcPr>
          <w:p>
            <w:pPr>
              <w:spacing w:after="0"/>
              <w:rPr>
                <w:sz w:val="19"/>
                <w:szCs w:val="19"/>
                <w:color w:val="auto"/>
              </w:rPr>
            </w:pPr>
          </w:p>
        </w:tc>
        <w:tc>
          <w:tcPr>
            <w:tcW w:w="440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Other</w:t>
            </w:r>
            <w:r>
              <w:rPr>
                <w:rFonts w:ascii="Arial" w:cs="Arial" w:eastAsia="Arial" w:hAnsi="Arial"/>
                <w:sz w:val="15"/>
                <w:szCs w:val="15"/>
                <w:color w:val="auto"/>
              </w:rPr>
              <w:t>2</w:t>
            </w:r>
          </w:p>
        </w:tc>
        <w:tc>
          <w:tcPr>
            <w:tcW w:w="4460" w:type="dxa"/>
            <w:vAlign w:val="bottom"/>
            <w:tcBorders>
              <w:bottom w:val="single" w:sz="8" w:color="auto"/>
            </w:tcBorders>
          </w:tcPr>
          <w:p>
            <w:pPr>
              <w:jc w:val="right"/>
              <w:ind w:right="210"/>
              <w:spacing w:after="0"/>
              <w:rPr>
                <w:sz w:val="20"/>
                <w:szCs w:val="20"/>
                <w:color w:val="auto"/>
              </w:rPr>
            </w:pPr>
            <w:r>
              <w:rPr>
                <w:rFonts w:ascii="Arial" w:cs="Arial" w:eastAsia="Arial" w:hAnsi="Arial"/>
                <w:sz w:val="18"/>
                <w:szCs w:val="18"/>
                <w:b w:val="1"/>
                <w:bCs w:val="1"/>
                <w:color w:val="auto"/>
              </w:rPr>
              <w:t>8%</w:t>
            </w:r>
          </w:p>
        </w:tc>
        <w:tc>
          <w:tcPr>
            <w:tcW w:w="1380" w:type="dxa"/>
            <w:vAlign w:val="bottom"/>
            <w:tcBorders>
              <w:bottom w:val="single" w:sz="8" w:color="auto"/>
            </w:tcBorders>
          </w:tcPr>
          <w:p>
            <w:pPr>
              <w:jc w:val="right"/>
              <w:ind w:right="230"/>
              <w:spacing w:after="0"/>
              <w:rPr>
                <w:sz w:val="20"/>
                <w:szCs w:val="20"/>
                <w:color w:val="auto"/>
              </w:rPr>
            </w:pPr>
            <w:r>
              <w:rPr>
                <w:rFonts w:ascii="Arial" w:cs="Arial" w:eastAsia="Arial" w:hAnsi="Arial"/>
                <w:sz w:val="18"/>
                <w:szCs w:val="18"/>
                <w:color w:val="auto"/>
              </w:rPr>
              <w:t>5%</w:t>
            </w: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w:t>
            </w:r>
          </w:p>
        </w:tc>
        <w:tc>
          <w:tcPr>
            <w:tcW w:w="100" w:type="dxa"/>
            <w:vAlign w:val="bottom"/>
          </w:tcPr>
          <w:p>
            <w:pPr>
              <w:spacing w:after="0"/>
              <w:rPr>
                <w:sz w:val="19"/>
                <w:szCs w:val="19"/>
                <w:color w:val="auto"/>
              </w:rPr>
            </w:pPr>
          </w:p>
        </w:tc>
      </w:tr>
      <w:tr>
        <w:trPr>
          <w:trHeight w:val="250"/>
        </w:trPr>
        <w:tc>
          <w:tcPr>
            <w:tcW w:w="20" w:type="dxa"/>
            <w:vAlign w:val="bottom"/>
          </w:tcPr>
          <w:p>
            <w:pPr>
              <w:spacing w:after="0"/>
              <w:rPr>
                <w:sz w:val="21"/>
                <w:szCs w:val="21"/>
                <w:color w:val="auto"/>
              </w:rPr>
            </w:pPr>
          </w:p>
        </w:tc>
        <w:tc>
          <w:tcPr>
            <w:tcW w:w="440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color w:val="auto"/>
              </w:rPr>
              <w:t>Total</w:t>
            </w:r>
          </w:p>
        </w:tc>
        <w:tc>
          <w:tcPr>
            <w:tcW w:w="4460" w:type="dxa"/>
            <w:vAlign w:val="bottom"/>
            <w:tcBorders>
              <w:bottom w:val="single" w:sz="8" w:color="auto"/>
            </w:tcBorders>
            <w:shd w:val="clear" w:color="auto" w:fill="CCEEFF"/>
          </w:tcPr>
          <w:p>
            <w:pPr>
              <w:jc w:val="right"/>
              <w:ind w:right="210"/>
              <w:spacing w:after="0"/>
              <w:rPr>
                <w:sz w:val="20"/>
                <w:szCs w:val="20"/>
                <w:color w:val="auto"/>
              </w:rPr>
            </w:pPr>
            <w:r>
              <w:rPr>
                <w:rFonts w:ascii="Arial" w:cs="Arial" w:eastAsia="Arial" w:hAnsi="Arial"/>
                <w:sz w:val="18"/>
                <w:szCs w:val="18"/>
                <w:b w:val="1"/>
                <w:bCs w:val="1"/>
                <w:color w:val="auto"/>
              </w:rPr>
              <w:t>100%</w:t>
            </w:r>
          </w:p>
        </w:tc>
        <w:tc>
          <w:tcPr>
            <w:tcW w:w="1380" w:type="dxa"/>
            <w:vAlign w:val="bottom"/>
            <w:tcBorders>
              <w:bottom w:val="single" w:sz="8" w:color="auto"/>
            </w:tcBorders>
            <w:shd w:val="clear" w:color="auto" w:fill="CCEEFF"/>
          </w:tcPr>
          <w:p>
            <w:pPr>
              <w:jc w:val="right"/>
              <w:ind w:right="230"/>
              <w:spacing w:after="0"/>
              <w:rPr>
                <w:sz w:val="20"/>
                <w:szCs w:val="20"/>
                <w:color w:val="auto"/>
              </w:rPr>
            </w:pPr>
            <w:r>
              <w:rPr>
                <w:rFonts w:ascii="Arial" w:cs="Arial" w:eastAsia="Arial" w:hAnsi="Arial"/>
                <w:sz w:val="18"/>
                <w:szCs w:val="18"/>
                <w:color w:val="auto"/>
              </w:rPr>
              <w:t>100%</w:t>
            </w:r>
          </w:p>
        </w:tc>
        <w:tc>
          <w:tcPr>
            <w:tcW w:w="1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100%</w:t>
            </w:r>
          </w:p>
        </w:tc>
        <w:tc>
          <w:tcPr>
            <w:tcW w:w="100" w:type="dxa"/>
            <w:vAlign w:val="bottom"/>
            <w:shd w:val="clear" w:color="auto" w:fill="CCEEFF"/>
          </w:tcPr>
          <w:p>
            <w:pPr>
              <w:spacing w:after="0"/>
              <w:rPr>
                <w:sz w:val="21"/>
                <w:szCs w:val="21"/>
                <w:color w:val="auto"/>
              </w:rPr>
            </w:pPr>
          </w:p>
        </w:tc>
      </w:tr>
    </w:tbl>
    <w:p>
      <w:pPr>
        <w:spacing w:after="0" w:line="116" w:lineRule="exact"/>
        <w:rPr>
          <w:sz w:val="20"/>
          <w:szCs w:val="20"/>
          <w:color w:val="auto"/>
        </w:rPr>
      </w:pPr>
    </w:p>
    <w:p>
      <w:pPr>
        <w:ind w:left="920" w:hanging="345"/>
        <w:spacing w:after="0"/>
        <w:tabs>
          <w:tab w:leader="none" w:pos="920" w:val="left"/>
        </w:tabs>
        <w:numPr>
          <w:ilvl w:val="0"/>
          <w:numId w:val="15"/>
        </w:numPr>
        <w:rPr>
          <w:rFonts w:ascii="Arial" w:cs="Arial" w:eastAsia="Arial" w:hAnsi="Arial"/>
          <w:sz w:val="14"/>
          <w:szCs w:val="14"/>
          <w:color w:val="auto"/>
        </w:rPr>
      </w:pPr>
      <w:r>
        <w:rPr>
          <w:rFonts w:ascii="Arial" w:cs="Arial" w:eastAsia="Arial" w:hAnsi="Arial"/>
          <w:sz w:val="14"/>
          <w:szCs w:val="14"/>
          <w:color w:val="auto"/>
        </w:rPr>
        <w:t>Machinery includes historic intercompany sales to Timken.</w:t>
      </w:r>
    </w:p>
    <w:p>
      <w:pPr>
        <w:ind w:left="920" w:right="260" w:hanging="345"/>
        <w:spacing w:after="0" w:line="237" w:lineRule="auto"/>
        <w:tabs>
          <w:tab w:leader="none" w:pos="920" w:val="left"/>
        </w:tabs>
        <w:numPr>
          <w:ilvl w:val="0"/>
          <w:numId w:val="15"/>
        </w:numPr>
        <w:rPr>
          <w:rFonts w:ascii="Arial" w:cs="Arial" w:eastAsia="Arial" w:hAnsi="Arial"/>
          <w:sz w:val="14"/>
          <w:szCs w:val="14"/>
          <w:color w:val="auto"/>
        </w:rPr>
      </w:pPr>
      <w:r>
        <w:rPr>
          <w:rFonts w:ascii="Arial" w:cs="Arial" w:eastAsia="Arial" w:hAnsi="Arial"/>
          <w:sz w:val="14"/>
          <w:szCs w:val="14"/>
          <w:color w:val="auto"/>
        </w:rPr>
        <w:t>Other represents end-market sectors that comprise less than 2% of total net sales and include the following market sectors: military/defense, heavy and medium truck, agriculture, metals recycling, power generation, marine and aerospace.</w:t>
      </w:r>
    </w:p>
    <w:p>
      <w:pPr>
        <w:spacing w:after="0" w:line="228" w:lineRule="exact"/>
        <w:rPr>
          <w:sz w:val="20"/>
          <w:szCs w:val="20"/>
          <w:color w:val="auto"/>
        </w:rPr>
      </w:pPr>
    </w:p>
    <w:p>
      <w:pPr>
        <w:jc w:val="both"/>
        <w:ind w:right="140" w:firstLine="913"/>
        <w:spacing w:after="0" w:line="264" w:lineRule="auto"/>
        <w:rPr>
          <w:sz w:val="20"/>
          <w:szCs w:val="20"/>
          <w:color w:val="auto"/>
        </w:rPr>
      </w:pPr>
      <w:r>
        <w:rPr>
          <w:rFonts w:ascii="Arial" w:cs="Arial" w:eastAsia="Arial" w:hAnsi="Arial"/>
          <w:sz w:val="18"/>
          <w:szCs w:val="18"/>
          <w:color w:val="auto"/>
        </w:rPr>
        <w:t>Key indicators for our market include U.S. light vehicle production Seasonally Adjusted Annual Rate, oil &amp; gas rig count activity and industrial production for agriculture and construction markets, distribution and mining &amp; oil field machinery products. In addition, we closely monitor the Purchasing Managers’ Index, which is a leading indicator for our overall business.</w:t>
      </w:r>
    </w:p>
    <w:p>
      <w:pPr>
        <w:spacing w:after="0" w:line="21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Impact of Raw Material Prices and LIFO</w:t>
      </w:r>
    </w:p>
    <w:p>
      <w:pPr>
        <w:spacing w:after="0" w:line="256" w:lineRule="exact"/>
        <w:rPr>
          <w:sz w:val="20"/>
          <w:szCs w:val="20"/>
          <w:color w:val="auto"/>
        </w:rPr>
      </w:pPr>
    </w:p>
    <w:p>
      <w:pPr>
        <w:ind w:firstLine="913"/>
        <w:spacing w:after="0" w:line="276" w:lineRule="auto"/>
        <w:rPr>
          <w:sz w:val="20"/>
          <w:szCs w:val="20"/>
          <w:color w:val="auto"/>
        </w:rPr>
      </w:pPr>
      <w:r>
        <w:rPr>
          <w:rFonts w:ascii="Arial" w:cs="Arial" w:eastAsia="Arial" w:hAnsi="Arial"/>
          <w:sz w:val="17"/>
          <w:szCs w:val="17"/>
          <w:color w:val="auto"/>
        </w:rPr>
        <w:t>In the ordinary course of business, we are exposed to the volatility of the costs of our raw materials. Whenever possible, we manage our exposure to commodity risks primarily through the use of supplier pricing agreements that enable us to establish the purchase prices for certain inputs that are used in our manufacturing process. We utilize a raw material surcharge mechanism that is designed to mitigate the impact of increases or decreases in raw material costs, although generally with a lag effect. This timing effect can result in raw material costs being over- or under-recovered in certain periods. While the surcharge generally protects gross profit, it has the effect of diluting gross margin as a percent of sales.</w:t>
      </w:r>
    </w:p>
    <w:p>
      <w:pPr>
        <w:spacing w:after="0" w:line="213" w:lineRule="exact"/>
        <w:rPr>
          <w:sz w:val="20"/>
          <w:szCs w:val="20"/>
          <w:color w:val="auto"/>
        </w:rPr>
      </w:pPr>
    </w:p>
    <w:p>
      <w:pPr>
        <w:ind w:right="20" w:firstLine="913"/>
        <w:spacing w:after="0" w:line="255" w:lineRule="auto"/>
        <w:rPr>
          <w:sz w:val="20"/>
          <w:szCs w:val="20"/>
          <w:color w:val="auto"/>
        </w:rPr>
      </w:pPr>
      <w:r>
        <w:rPr>
          <w:rFonts w:ascii="Arial" w:cs="Arial" w:eastAsia="Arial" w:hAnsi="Arial"/>
          <w:sz w:val="18"/>
          <w:szCs w:val="18"/>
          <w:color w:val="auto"/>
        </w:rPr>
        <w:t>We value our inventory utilizing the LIFO inventory valuation method. Changes in the cost of raw materials and production activities are recognized in cost of products sold in the current period even though these materials and other costs may have been incurred at significantly different values due to the length of time of our production cycle. In a period of rising raw material prices, cost of products sold expense recognized under LIFO is generally higher than the cash costs incurred to acquire the inventory sold. Conversely, in a period of declining raw material prices, cost of sales recognized under LIFO is generally lower than cash costs incurred to acquire the inventory sold. In periods of rising inventories and deflating raw material prices, the likely result will be a positive impact to net income. Conversely, in periods of rising inventories and increasing raw materials prices, the likely result will be a negative impact to net income.</w:t>
      </w:r>
    </w:p>
    <w:p>
      <w:pPr>
        <w:spacing w:after="0" w:line="12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34</w:t>
      </w:r>
    </w:p>
    <w:p>
      <w:pPr>
        <w:sectPr>
          <w:pgSz w:w="11900" w:h="16838" w:orient="portrait"/>
          <w:cols w:equalWidth="0" w:num="1">
            <w:col w:w="11420"/>
          </w:cols>
          <w:pgMar w:left="240" w:top="459" w:right="239" w:bottom="1440" w:gutter="0" w:footer="0" w:header="0"/>
        </w:sectPr>
      </w:pPr>
    </w:p>
    <w:bookmarkStart w:id="43" w:name="page44"/>
    <w:bookmarkEnd w:id="4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Results of Operations</w:t>
      </w:r>
    </w:p>
    <w:p>
      <w:pPr>
        <w:spacing w:after="0" w:line="262"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Three Months Ended March 31, 2014 compared to Three Months Ended March 31, 2013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206375</wp:posOffset>
            </wp:positionV>
            <wp:extent cx="7186295" cy="889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7186295" cy="8890"/>
                    </a:xfrm>
                    <a:prstGeom prst="rect">
                      <a:avLst/>
                    </a:prstGeom>
                    <a:noFill/>
                  </pic:spPr>
                </pic:pic>
              </a:graphicData>
            </a:graphic>
          </wp:anchor>
        </w:drawing>
      </w:r>
    </w:p>
    <w:p>
      <w:pPr>
        <w:spacing w:after="0" w:line="313" w:lineRule="exact"/>
        <w:rPr>
          <w:sz w:val="20"/>
          <w:szCs w:val="20"/>
          <w:color w:val="auto"/>
        </w:rPr>
      </w:pPr>
    </w:p>
    <w:p>
      <w:pPr>
        <w:ind w:left="7840"/>
        <w:spacing w:after="0"/>
        <w:rPr>
          <w:sz w:val="20"/>
          <w:szCs w:val="20"/>
          <w:color w:val="auto"/>
        </w:rPr>
      </w:pPr>
      <w:r>
        <w:rPr>
          <w:rFonts w:ascii="Arial" w:cs="Arial" w:eastAsia="Arial" w:hAnsi="Arial"/>
          <w:sz w:val="18"/>
          <w:szCs w:val="18"/>
          <w:b w:val="1"/>
          <w:bCs w:val="1"/>
          <w:color w:val="auto"/>
        </w:rPr>
        <w:t>Three Months Ended March 31,</w:t>
      </w:r>
    </w:p>
    <w:p>
      <w:pPr>
        <w:spacing w:after="0" w:line="27" w:lineRule="exact"/>
        <w:rPr>
          <w:sz w:val="20"/>
          <w:szCs w:val="20"/>
          <w:color w:val="auto"/>
        </w:rPr>
      </w:pPr>
    </w:p>
    <w:tbl>
      <w:tblPr>
        <w:tblLayout w:type="fixed"/>
        <w:tblInd w:w="0" w:type="dxa"/>
        <w:tblCellMar>
          <w:top w:w="0" w:type="dxa"/>
          <w:left w:w="0" w:type="dxa"/>
          <w:bottom w:w="0" w:type="dxa"/>
          <w:right w:w="0" w:type="dxa"/>
        </w:tblCellMar>
      </w:tblPr>
      <w:tr>
        <w:trPr>
          <w:trHeight w:val="223"/>
        </w:trPr>
        <w:tc>
          <w:tcPr>
            <w:tcW w:w="5280" w:type="dxa"/>
            <w:vAlign w:val="bottom"/>
            <w:tcBorders>
              <w:top w:val="single" w:sz="8" w:color="auto"/>
            </w:tcBorders>
          </w:tcPr>
          <w:p>
            <w:pPr>
              <w:spacing w:after="0"/>
              <w:rPr>
                <w:sz w:val="19"/>
                <w:szCs w:val="19"/>
                <w:color w:val="auto"/>
              </w:rPr>
            </w:pPr>
          </w:p>
        </w:tc>
        <w:tc>
          <w:tcPr>
            <w:tcW w:w="2580" w:type="dxa"/>
            <w:vAlign w:val="bottom"/>
            <w:tcBorders>
              <w:top w:val="single" w:sz="8" w:color="auto"/>
            </w:tcBorders>
          </w:tcPr>
          <w:p>
            <w:pPr>
              <w:jc w:val="right"/>
              <w:ind w:right="470"/>
              <w:spacing w:after="0"/>
              <w:rPr>
                <w:sz w:val="20"/>
                <w:szCs w:val="20"/>
                <w:color w:val="auto"/>
              </w:rPr>
            </w:pPr>
            <w:r>
              <w:rPr>
                <w:rFonts w:ascii="Arial" w:cs="Arial" w:eastAsia="Arial" w:hAnsi="Arial"/>
                <w:sz w:val="18"/>
                <w:szCs w:val="18"/>
                <w:b w:val="1"/>
                <w:bCs w:val="1"/>
                <w:color w:val="auto"/>
              </w:rPr>
              <w:t>2014</w:t>
            </w:r>
          </w:p>
        </w:tc>
        <w:tc>
          <w:tcPr>
            <w:tcW w:w="1100" w:type="dxa"/>
            <w:vAlign w:val="bottom"/>
            <w:tcBorders>
              <w:top w:val="single" w:sz="8" w:color="auto"/>
            </w:tcBorders>
          </w:tcPr>
          <w:p>
            <w:pPr>
              <w:jc w:val="right"/>
              <w:ind w:right="430"/>
              <w:spacing w:after="0"/>
              <w:rPr>
                <w:sz w:val="20"/>
                <w:szCs w:val="20"/>
                <w:color w:val="auto"/>
              </w:rPr>
            </w:pPr>
            <w:r>
              <w:rPr>
                <w:rFonts w:ascii="Arial" w:cs="Arial" w:eastAsia="Arial" w:hAnsi="Arial"/>
                <w:sz w:val="18"/>
                <w:szCs w:val="18"/>
                <w:color w:val="auto"/>
              </w:rPr>
              <w:t>2013</w:t>
            </w:r>
          </w:p>
        </w:tc>
        <w:tc>
          <w:tcPr>
            <w:tcW w:w="1240" w:type="dxa"/>
            <w:vAlign w:val="bottom"/>
            <w:tcBorders>
              <w:top w:val="single" w:sz="8" w:color="auto"/>
            </w:tcBorders>
          </w:tcPr>
          <w:p>
            <w:pPr>
              <w:jc w:val="right"/>
              <w:ind w:right="290"/>
              <w:spacing w:after="0"/>
              <w:rPr>
                <w:sz w:val="20"/>
                <w:szCs w:val="20"/>
                <w:color w:val="auto"/>
              </w:rPr>
            </w:pPr>
            <w:r>
              <w:rPr>
                <w:rFonts w:ascii="Arial" w:cs="Arial" w:eastAsia="Arial" w:hAnsi="Arial"/>
                <w:sz w:val="18"/>
                <w:szCs w:val="18"/>
                <w:color w:val="auto"/>
              </w:rPr>
              <w:t>$ Change</w:t>
            </w:r>
          </w:p>
        </w:tc>
        <w:tc>
          <w:tcPr>
            <w:tcW w:w="1120" w:type="dxa"/>
            <w:vAlign w:val="bottom"/>
            <w:tcBorders>
              <w:top w:val="single" w:sz="8" w:color="auto"/>
            </w:tcBorders>
          </w:tcPr>
          <w:p>
            <w:pPr>
              <w:jc w:val="right"/>
              <w:ind w:right="90"/>
              <w:spacing w:after="0"/>
              <w:rPr>
                <w:sz w:val="20"/>
                <w:szCs w:val="20"/>
                <w:color w:val="auto"/>
              </w:rPr>
            </w:pPr>
            <w:r>
              <w:rPr>
                <w:rFonts w:ascii="Arial" w:cs="Arial" w:eastAsia="Arial" w:hAnsi="Arial"/>
                <w:sz w:val="18"/>
                <w:szCs w:val="18"/>
                <w:color w:val="auto"/>
              </w:rPr>
              <w:t>% Change</w:t>
            </w:r>
          </w:p>
        </w:tc>
        <w:tc>
          <w:tcPr>
            <w:tcW w:w="100" w:type="dxa"/>
            <w:vAlign w:val="bottom"/>
          </w:tcPr>
          <w:p>
            <w:pPr>
              <w:spacing w:after="0"/>
              <w:rPr>
                <w:sz w:val="19"/>
                <w:szCs w:val="19"/>
                <w:color w:val="auto"/>
              </w:rPr>
            </w:pPr>
          </w:p>
        </w:tc>
      </w:tr>
      <w:tr>
        <w:trPr>
          <w:trHeight w:val="216"/>
        </w:trPr>
        <w:tc>
          <w:tcPr>
            <w:tcW w:w="5280" w:type="dxa"/>
            <w:vAlign w:val="bottom"/>
            <w:shd w:val="clear" w:color="auto" w:fill="CCEEFF"/>
          </w:tcPr>
          <w:p>
            <w:pPr>
              <w:spacing w:after="0"/>
              <w:rPr>
                <w:sz w:val="20"/>
                <w:szCs w:val="20"/>
                <w:color w:val="auto"/>
              </w:rPr>
            </w:pPr>
            <w:r>
              <w:rPr>
                <w:rFonts w:ascii="Arial" w:cs="Arial" w:eastAsia="Arial" w:hAnsi="Arial"/>
                <w:sz w:val="18"/>
                <w:szCs w:val="18"/>
                <w:color w:val="auto"/>
              </w:rPr>
              <w:t>Net sales</w:t>
            </w:r>
          </w:p>
        </w:tc>
        <w:tc>
          <w:tcPr>
            <w:tcW w:w="2580" w:type="dxa"/>
            <w:vAlign w:val="bottom"/>
            <w:shd w:val="clear" w:color="auto" w:fill="CCEEFF"/>
          </w:tcPr>
          <w:p>
            <w:pPr>
              <w:jc w:val="right"/>
              <w:ind w:right="290"/>
              <w:spacing w:after="0"/>
              <w:rPr>
                <w:sz w:val="20"/>
                <w:szCs w:val="20"/>
                <w:color w:val="auto"/>
              </w:rPr>
            </w:pPr>
            <w:r>
              <w:rPr>
                <w:rFonts w:ascii="Arial" w:cs="Arial" w:eastAsia="Arial" w:hAnsi="Arial"/>
                <w:sz w:val="18"/>
                <w:szCs w:val="18"/>
                <w:b w:val="1"/>
                <w:bCs w:val="1"/>
                <w:color w:val="auto"/>
              </w:rPr>
              <w:t>$389.5</w:t>
            </w:r>
          </w:p>
        </w:tc>
        <w:tc>
          <w:tcPr>
            <w:tcW w:w="1100" w:type="dxa"/>
            <w:vAlign w:val="bottom"/>
            <w:shd w:val="clear" w:color="auto" w:fill="CCEEFF"/>
          </w:tcPr>
          <w:p>
            <w:pPr>
              <w:jc w:val="right"/>
              <w:ind w:right="230"/>
              <w:spacing w:after="0"/>
              <w:rPr>
                <w:sz w:val="20"/>
                <w:szCs w:val="20"/>
                <w:color w:val="auto"/>
              </w:rPr>
            </w:pPr>
            <w:r>
              <w:rPr>
                <w:rFonts w:ascii="Arial" w:cs="Arial" w:eastAsia="Arial" w:hAnsi="Arial"/>
                <w:sz w:val="18"/>
                <w:szCs w:val="18"/>
                <w:color w:val="auto"/>
              </w:rPr>
              <w:t>$346.3</w:t>
            </w:r>
          </w:p>
        </w:tc>
        <w:tc>
          <w:tcPr>
            <w:tcW w:w="1240" w:type="dxa"/>
            <w:vAlign w:val="bottom"/>
            <w:shd w:val="clear" w:color="auto" w:fill="CCEEFF"/>
          </w:tcPr>
          <w:p>
            <w:pPr>
              <w:jc w:val="right"/>
              <w:ind w:right="110"/>
              <w:spacing w:after="0"/>
              <w:rPr>
                <w:sz w:val="20"/>
                <w:szCs w:val="20"/>
                <w:color w:val="auto"/>
              </w:rPr>
            </w:pPr>
            <w:r>
              <w:rPr>
                <w:rFonts w:ascii="Arial" w:cs="Arial" w:eastAsia="Arial" w:hAnsi="Arial"/>
                <w:sz w:val="18"/>
                <w:szCs w:val="18"/>
                <w:color w:val="auto"/>
              </w:rPr>
              <w:t>$43.2</w:t>
            </w:r>
          </w:p>
        </w:tc>
        <w:tc>
          <w:tcPr>
            <w:tcW w:w="12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12%</w:t>
            </w:r>
          </w:p>
        </w:tc>
      </w:tr>
      <w:tr>
        <w:trPr>
          <w:trHeight w:val="216"/>
        </w:trPr>
        <w:tc>
          <w:tcPr>
            <w:tcW w:w="5280" w:type="dxa"/>
            <w:vAlign w:val="bottom"/>
          </w:tcPr>
          <w:p>
            <w:pPr>
              <w:spacing w:after="0"/>
              <w:rPr>
                <w:sz w:val="20"/>
                <w:szCs w:val="20"/>
                <w:color w:val="auto"/>
              </w:rPr>
            </w:pPr>
            <w:r>
              <w:rPr>
                <w:rFonts w:ascii="Arial" w:cs="Arial" w:eastAsia="Arial" w:hAnsi="Arial"/>
                <w:sz w:val="18"/>
                <w:szCs w:val="18"/>
                <w:color w:val="auto"/>
              </w:rPr>
              <w:t>Net sales, excluding surcharges</w:t>
            </w:r>
          </w:p>
        </w:tc>
        <w:tc>
          <w:tcPr>
            <w:tcW w:w="2580" w:type="dxa"/>
            <w:vAlign w:val="bottom"/>
          </w:tcPr>
          <w:p>
            <w:pPr>
              <w:jc w:val="right"/>
              <w:ind w:right="290"/>
              <w:spacing w:after="0"/>
              <w:rPr>
                <w:sz w:val="20"/>
                <w:szCs w:val="20"/>
                <w:color w:val="auto"/>
              </w:rPr>
            </w:pPr>
            <w:r>
              <w:rPr>
                <w:rFonts w:ascii="Arial" w:cs="Arial" w:eastAsia="Arial" w:hAnsi="Arial"/>
                <w:sz w:val="18"/>
                <w:szCs w:val="18"/>
                <w:b w:val="1"/>
                <w:bCs w:val="1"/>
                <w:color w:val="auto"/>
              </w:rPr>
              <w:t>300.0</w:t>
            </w:r>
          </w:p>
        </w:tc>
        <w:tc>
          <w:tcPr>
            <w:tcW w:w="1100" w:type="dxa"/>
            <w:vAlign w:val="bottom"/>
          </w:tcPr>
          <w:p>
            <w:pPr>
              <w:jc w:val="right"/>
              <w:ind w:right="230"/>
              <w:spacing w:after="0"/>
              <w:rPr>
                <w:sz w:val="20"/>
                <w:szCs w:val="20"/>
                <w:color w:val="auto"/>
              </w:rPr>
            </w:pPr>
            <w:r>
              <w:rPr>
                <w:rFonts w:ascii="Arial" w:cs="Arial" w:eastAsia="Arial" w:hAnsi="Arial"/>
                <w:sz w:val="18"/>
                <w:szCs w:val="18"/>
                <w:color w:val="auto"/>
              </w:rPr>
              <w:t>273.6</w:t>
            </w:r>
          </w:p>
        </w:tc>
        <w:tc>
          <w:tcPr>
            <w:tcW w:w="1240" w:type="dxa"/>
            <w:vAlign w:val="bottom"/>
          </w:tcPr>
          <w:p>
            <w:pPr>
              <w:jc w:val="right"/>
              <w:ind w:right="110"/>
              <w:spacing w:after="0"/>
              <w:rPr>
                <w:sz w:val="20"/>
                <w:szCs w:val="20"/>
                <w:color w:val="auto"/>
              </w:rPr>
            </w:pPr>
            <w:r>
              <w:rPr>
                <w:rFonts w:ascii="Arial" w:cs="Arial" w:eastAsia="Arial" w:hAnsi="Arial"/>
                <w:sz w:val="18"/>
                <w:szCs w:val="18"/>
                <w:color w:val="auto"/>
              </w:rPr>
              <w:t>26.4</w:t>
            </w:r>
          </w:p>
        </w:tc>
        <w:tc>
          <w:tcPr>
            <w:tcW w:w="1220" w:type="dxa"/>
            <w:vAlign w:val="bottom"/>
            <w:gridSpan w:val="2"/>
          </w:tcPr>
          <w:p>
            <w:pPr>
              <w:jc w:val="right"/>
              <w:ind w:right="100"/>
              <w:spacing w:after="0"/>
              <w:rPr>
                <w:sz w:val="20"/>
                <w:szCs w:val="20"/>
                <w:color w:val="auto"/>
              </w:rPr>
            </w:pPr>
            <w:r>
              <w:rPr>
                <w:rFonts w:ascii="Arial" w:cs="Arial" w:eastAsia="Arial" w:hAnsi="Arial"/>
                <w:sz w:val="18"/>
                <w:szCs w:val="18"/>
                <w:color w:val="auto"/>
              </w:rPr>
              <w:t>10%</w:t>
            </w:r>
          </w:p>
        </w:tc>
      </w:tr>
      <w:tr>
        <w:trPr>
          <w:trHeight w:val="216"/>
        </w:trPr>
        <w:tc>
          <w:tcPr>
            <w:tcW w:w="5280" w:type="dxa"/>
            <w:vAlign w:val="bottom"/>
            <w:shd w:val="clear" w:color="auto" w:fill="CCEEFF"/>
          </w:tcPr>
          <w:p>
            <w:pPr>
              <w:spacing w:after="0"/>
              <w:rPr>
                <w:sz w:val="20"/>
                <w:szCs w:val="20"/>
                <w:color w:val="auto"/>
              </w:rPr>
            </w:pPr>
            <w:r>
              <w:rPr>
                <w:rFonts w:ascii="Arial" w:cs="Arial" w:eastAsia="Arial" w:hAnsi="Arial"/>
                <w:sz w:val="18"/>
                <w:szCs w:val="18"/>
                <w:color w:val="auto"/>
              </w:rPr>
              <w:t>Gross profit</w:t>
            </w:r>
          </w:p>
        </w:tc>
        <w:tc>
          <w:tcPr>
            <w:tcW w:w="2580" w:type="dxa"/>
            <w:vAlign w:val="bottom"/>
            <w:shd w:val="clear" w:color="auto" w:fill="CCEEFF"/>
          </w:tcPr>
          <w:p>
            <w:pPr>
              <w:jc w:val="right"/>
              <w:ind w:right="290"/>
              <w:spacing w:after="0"/>
              <w:rPr>
                <w:sz w:val="20"/>
                <w:szCs w:val="20"/>
                <w:color w:val="auto"/>
              </w:rPr>
            </w:pPr>
            <w:r>
              <w:rPr>
                <w:rFonts w:ascii="Arial" w:cs="Arial" w:eastAsia="Arial" w:hAnsi="Arial"/>
                <w:sz w:val="18"/>
                <w:szCs w:val="18"/>
                <w:b w:val="1"/>
                <w:bCs w:val="1"/>
                <w:color w:val="auto"/>
              </w:rPr>
              <w:t>73.5</w:t>
            </w:r>
          </w:p>
        </w:tc>
        <w:tc>
          <w:tcPr>
            <w:tcW w:w="1100" w:type="dxa"/>
            <w:vAlign w:val="bottom"/>
            <w:shd w:val="clear" w:color="auto" w:fill="CCEEFF"/>
          </w:tcPr>
          <w:p>
            <w:pPr>
              <w:jc w:val="right"/>
              <w:ind w:right="230"/>
              <w:spacing w:after="0"/>
              <w:rPr>
                <w:sz w:val="20"/>
                <w:szCs w:val="20"/>
                <w:color w:val="auto"/>
              </w:rPr>
            </w:pPr>
            <w:r>
              <w:rPr>
                <w:rFonts w:ascii="Arial" w:cs="Arial" w:eastAsia="Arial" w:hAnsi="Arial"/>
                <w:sz w:val="18"/>
                <w:szCs w:val="18"/>
                <w:color w:val="auto"/>
              </w:rPr>
              <w:t>54.7</w:t>
            </w:r>
          </w:p>
        </w:tc>
        <w:tc>
          <w:tcPr>
            <w:tcW w:w="1240" w:type="dxa"/>
            <w:vAlign w:val="bottom"/>
            <w:shd w:val="clear" w:color="auto" w:fill="CCEEFF"/>
          </w:tcPr>
          <w:p>
            <w:pPr>
              <w:jc w:val="right"/>
              <w:ind w:right="110"/>
              <w:spacing w:after="0"/>
              <w:rPr>
                <w:sz w:val="20"/>
                <w:szCs w:val="20"/>
                <w:color w:val="auto"/>
              </w:rPr>
            </w:pPr>
            <w:r>
              <w:rPr>
                <w:rFonts w:ascii="Arial" w:cs="Arial" w:eastAsia="Arial" w:hAnsi="Arial"/>
                <w:sz w:val="18"/>
                <w:szCs w:val="18"/>
                <w:color w:val="auto"/>
              </w:rPr>
              <w:t>18.8</w:t>
            </w:r>
          </w:p>
        </w:tc>
        <w:tc>
          <w:tcPr>
            <w:tcW w:w="12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34%</w:t>
            </w:r>
          </w:p>
        </w:tc>
      </w:tr>
      <w:tr>
        <w:trPr>
          <w:trHeight w:val="216"/>
        </w:trPr>
        <w:tc>
          <w:tcPr>
            <w:tcW w:w="5280" w:type="dxa"/>
            <w:vAlign w:val="bottom"/>
          </w:tcPr>
          <w:p>
            <w:pPr>
              <w:spacing w:after="0"/>
              <w:rPr>
                <w:sz w:val="20"/>
                <w:szCs w:val="20"/>
                <w:color w:val="auto"/>
              </w:rPr>
            </w:pPr>
            <w:r>
              <w:rPr>
                <w:rFonts w:ascii="Arial" w:cs="Arial" w:eastAsia="Arial" w:hAnsi="Arial"/>
                <w:sz w:val="18"/>
                <w:szCs w:val="18"/>
                <w:color w:val="auto"/>
              </w:rPr>
              <w:t>Gross margin</w:t>
            </w:r>
          </w:p>
        </w:tc>
        <w:tc>
          <w:tcPr>
            <w:tcW w:w="2580" w:type="dxa"/>
            <w:vAlign w:val="bottom"/>
          </w:tcPr>
          <w:p>
            <w:pPr>
              <w:jc w:val="right"/>
              <w:ind w:right="110"/>
              <w:spacing w:after="0"/>
              <w:rPr>
                <w:sz w:val="20"/>
                <w:szCs w:val="20"/>
                <w:color w:val="auto"/>
              </w:rPr>
            </w:pPr>
            <w:r>
              <w:rPr>
                <w:rFonts w:ascii="Arial" w:cs="Arial" w:eastAsia="Arial" w:hAnsi="Arial"/>
                <w:sz w:val="18"/>
                <w:szCs w:val="18"/>
                <w:b w:val="1"/>
                <w:bCs w:val="1"/>
                <w:color w:val="auto"/>
              </w:rPr>
              <w:t>18.9%</w:t>
            </w:r>
          </w:p>
        </w:tc>
        <w:tc>
          <w:tcPr>
            <w:tcW w:w="1100" w:type="dxa"/>
            <w:vAlign w:val="bottom"/>
          </w:tcPr>
          <w:p>
            <w:pPr>
              <w:jc w:val="right"/>
              <w:ind w:right="90"/>
              <w:spacing w:after="0"/>
              <w:rPr>
                <w:sz w:val="20"/>
                <w:szCs w:val="20"/>
                <w:color w:val="auto"/>
              </w:rPr>
            </w:pPr>
            <w:r>
              <w:rPr>
                <w:rFonts w:ascii="Arial" w:cs="Arial" w:eastAsia="Arial" w:hAnsi="Arial"/>
                <w:sz w:val="18"/>
                <w:szCs w:val="18"/>
                <w:color w:val="auto"/>
              </w:rPr>
              <w:t>15.8%</w:t>
            </w:r>
          </w:p>
        </w:tc>
        <w:tc>
          <w:tcPr>
            <w:tcW w:w="1240" w:type="dxa"/>
            <w:vAlign w:val="bottom"/>
          </w:tcPr>
          <w:p>
            <w:pPr>
              <w:jc w:val="right"/>
              <w:ind w:right="110"/>
              <w:spacing w:after="0"/>
              <w:rPr>
                <w:sz w:val="20"/>
                <w:szCs w:val="20"/>
                <w:color w:val="auto"/>
              </w:rPr>
            </w:pPr>
            <w:r>
              <w:rPr>
                <w:rFonts w:ascii="Arial" w:cs="Arial" w:eastAsia="Arial" w:hAnsi="Arial"/>
                <w:sz w:val="18"/>
                <w:szCs w:val="18"/>
                <w:color w:val="auto"/>
              </w:rPr>
              <w:t>NM</w:t>
            </w:r>
          </w:p>
        </w:tc>
        <w:tc>
          <w:tcPr>
            <w:tcW w:w="1220" w:type="dxa"/>
            <w:vAlign w:val="bottom"/>
            <w:gridSpan w:val="2"/>
          </w:tcPr>
          <w:p>
            <w:pPr>
              <w:jc w:val="right"/>
              <w:ind w:right="140"/>
              <w:spacing w:after="0"/>
              <w:rPr>
                <w:sz w:val="20"/>
                <w:szCs w:val="20"/>
                <w:color w:val="auto"/>
              </w:rPr>
            </w:pPr>
            <w:r>
              <w:rPr>
                <w:rFonts w:ascii="Arial" w:cs="Arial" w:eastAsia="Arial" w:hAnsi="Arial"/>
                <w:sz w:val="18"/>
                <w:szCs w:val="18"/>
                <w:color w:val="auto"/>
              </w:rPr>
              <w:t>310 bps</w:t>
            </w:r>
          </w:p>
        </w:tc>
      </w:tr>
      <w:tr>
        <w:trPr>
          <w:trHeight w:val="216"/>
        </w:trPr>
        <w:tc>
          <w:tcPr>
            <w:tcW w:w="5280" w:type="dxa"/>
            <w:vAlign w:val="bottom"/>
            <w:shd w:val="clear" w:color="auto" w:fill="CCEEFF"/>
          </w:tcPr>
          <w:p>
            <w:pPr>
              <w:spacing w:after="0"/>
              <w:rPr>
                <w:sz w:val="20"/>
                <w:szCs w:val="20"/>
                <w:color w:val="auto"/>
              </w:rPr>
            </w:pPr>
            <w:r>
              <w:rPr>
                <w:rFonts w:ascii="Arial" w:cs="Arial" w:eastAsia="Arial" w:hAnsi="Arial"/>
                <w:sz w:val="18"/>
                <w:szCs w:val="18"/>
                <w:color w:val="auto"/>
              </w:rPr>
              <w:t>Selling, general and administrative expenses</w:t>
            </w:r>
          </w:p>
        </w:tc>
        <w:tc>
          <w:tcPr>
            <w:tcW w:w="2580" w:type="dxa"/>
            <w:vAlign w:val="bottom"/>
            <w:shd w:val="clear" w:color="auto" w:fill="CCEEFF"/>
          </w:tcPr>
          <w:p>
            <w:pPr>
              <w:jc w:val="right"/>
              <w:ind w:right="290"/>
              <w:spacing w:after="0"/>
              <w:rPr>
                <w:sz w:val="20"/>
                <w:szCs w:val="20"/>
                <w:color w:val="auto"/>
              </w:rPr>
            </w:pPr>
            <w:r>
              <w:rPr>
                <w:rFonts w:ascii="Arial" w:cs="Arial" w:eastAsia="Arial" w:hAnsi="Arial"/>
                <w:sz w:val="18"/>
                <w:szCs w:val="18"/>
                <w:b w:val="1"/>
                <w:bCs w:val="1"/>
                <w:color w:val="auto"/>
              </w:rPr>
              <w:t>24.3</w:t>
            </w:r>
          </w:p>
        </w:tc>
        <w:tc>
          <w:tcPr>
            <w:tcW w:w="1100" w:type="dxa"/>
            <w:vAlign w:val="bottom"/>
            <w:shd w:val="clear" w:color="auto" w:fill="CCEEFF"/>
          </w:tcPr>
          <w:p>
            <w:pPr>
              <w:jc w:val="right"/>
              <w:ind w:right="230"/>
              <w:spacing w:after="0"/>
              <w:rPr>
                <w:sz w:val="20"/>
                <w:szCs w:val="20"/>
                <w:color w:val="auto"/>
              </w:rPr>
            </w:pPr>
            <w:r>
              <w:rPr>
                <w:rFonts w:ascii="Arial" w:cs="Arial" w:eastAsia="Arial" w:hAnsi="Arial"/>
                <w:sz w:val="18"/>
                <w:szCs w:val="18"/>
                <w:color w:val="auto"/>
              </w:rPr>
              <w:t>22.4</w:t>
            </w:r>
          </w:p>
        </w:tc>
        <w:tc>
          <w:tcPr>
            <w:tcW w:w="1240" w:type="dxa"/>
            <w:vAlign w:val="bottom"/>
            <w:shd w:val="clear" w:color="auto" w:fill="CCEEFF"/>
          </w:tcPr>
          <w:p>
            <w:pPr>
              <w:jc w:val="right"/>
              <w:ind w:right="110"/>
              <w:spacing w:after="0"/>
              <w:rPr>
                <w:sz w:val="20"/>
                <w:szCs w:val="20"/>
                <w:color w:val="auto"/>
              </w:rPr>
            </w:pPr>
            <w:r>
              <w:rPr>
                <w:rFonts w:ascii="Arial" w:cs="Arial" w:eastAsia="Arial" w:hAnsi="Arial"/>
                <w:sz w:val="18"/>
                <w:szCs w:val="18"/>
                <w:color w:val="auto"/>
              </w:rPr>
              <w:t>1.9</w:t>
            </w: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w:t>
            </w:r>
          </w:p>
        </w:tc>
        <w:tc>
          <w:tcPr>
            <w:tcW w:w="100" w:type="dxa"/>
            <w:vAlign w:val="bottom"/>
            <w:shd w:val="clear" w:color="auto" w:fill="CCEEFF"/>
          </w:tcPr>
          <w:p>
            <w:pPr>
              <w:spacing w:after="0"/>
              <w:rPr>
                <w:sz w:val="18"/>
                <w:szCs w:val="18"/>
                <w:color w:val="auto"/>
              </w:rPr>
            </w:pPr>
          </w:p>
        </w:tc>
      </w:tr>
      <w:tr>
        <w:trPr>
          <w:trHeight w:val="216"/>
        </w:trPr>
        <w:tc>
          <w:tcPr>
            <w:tcW w:w="5280" w:type="dxa"/>
            <w:vAlign w:val="bottom"/>
          </w:tcPr>
          <w:p>
            <w:pPr>
              <w:spacing w:after="0"/>
              <w:rPr>
                <w:sz w:val="20"/>
                <w:szCs w:val="20"/>
                <w:color w:val="auto"/>
              </w:rPr>
            </w:pPr>
            <w:r>
              <w:rPr>
                <w:rFonts w:ascii="Arial" w:cs="Arial" w:eastAsia="Arial" w:hAnsi="Arial"/>
                <w:sz w:val="18"/>
                <w:szCs w:val="18"/>
                <w:color w:val="auto"/>
              </w:rPr>
              <w:t>Net income</w:t>
            </w:r>
          </w:p>
        </w:tc>
        <w:tc>
          <w:tcPr>
            <w:tcW w:w="2580" w:type="dxa"/>
            <w:vAlign w:val="bottom"/>
          </w:tcPr>
          <w:p>
            <w:pPr>
              <w:jc w:val="right"/>
              <w:ind w:right="290"/>
              <w:spacing w:after="0"/>
              <w:rPr>
                <w:sz w:val="20"/>
                <w:szCs w:val="20"/>
                <w:color w:val="auto"/>
              </w:rPr>
            </w:pPr>
            <w:r>
              <w:rPr>
                <w:rFonts w:ascii="Arial" w:cs="Arial" w:eastAsia="Arial" w:hAnsi="Arial"/>
                <w:sz w:val="18"/>
                <w:szCs w:val="18"/>
                <w:b w:val="1"/>
                <w:bCs w:val="1"/>
                <w:color w:val="auto"/>
              </w:rPr>
              <w:t>33.6</w:t>
            </w:r>
          </w:p>
        </w:tc>
        <w:tc>
          <w:tcPr>
            <w:tcW w:w="1100" w:type="dxa"/>
            <w:vAlign w:val="bottom"/>
          </w:tcPr>
          <w:p>
            <w:pPr>
              <w:jc w:val="right"/>
              <w:ind w:right="230"/>
              <w:spacing w:after="0"/>
              <w:rPr>
                <w:sz w:val="20"/>
                <w:szCs w:val="20"/>
                <w:color w:val="auto"/>
              </w:rPr>
            </w:pPr>
            <w:r>
              <w:rPr>
                <w:rFonts w:ascii="Arial" w:cs="Arial" w:eastAsia="Arial" w:hAnsi="Arial"/>
                <w:sz w:val="18"/>
                <w:szCs w:val="18"/>
                <w:color w:val="auto"/>
              </w:rPr>
              <w:t>21.0</w:t>
            </w:r>
          </w:p>
        </w:tc>
        <w:tc>
          <w:tcPr>
            <w:tcW w:w="1240" w:type="dxa"/>
            <w:vAlign w:val="bottom"/>
          </w:tcPr>
          <w:p>
            <w:pPr>
              <w:jc w:val="right"/>
              <w:ind w:right="110"/>
              <w:spacing w:after="0"/>
              <w:rPr>
                <w:sz w:val="20"/>
                <w:szCs w:val="20"/>
                <w:color w:val="auto"/>
              </w:rPr>
            </w:pPr>
            <w:r>
              <w:rPr>
                <w:rFonts w:ascii="Arial" w:cs="Arial" w:eastAsia="Arial" w:hAnsi="Arial"/>
                <w:sz w:val="18"/>
                <w:szCs w:val="18"/>
                <w:color w:val="auto"/>
              </w:rPr>
              <w:t>12.6</w:t>
            </w:r>
          </w:p>
        </w:tc>
        <w:tc>
          <w:tcPr>
            <w:tcW w:w="1220" w:type="dxa"/>
            <w:vAlign w:val="bottom"/>
            <w:gridSpan w:val="2"/>
          </w:tcPr>
          <w:p>
            <w:pPr>
              <w:jc w:val="right"/>
              <w:ind w:right="100"/>
              <w:spacing w:after="0"/>
              <w:rPr>
                <w:sz w:val="20"/>
                <w:szCs w:val="20"/>
                <w:color w:val="auto"/>
              </w:rPr>
            </w:pPr>
            <w:r>
              <w:rPr>
                <w:rFonts w:ascii="Arial" w:cs="Arial" w:eastAsia="Arial" w:hAnsi="Arial"/>
                <w:sz w:val="18"/>
                <w:szCs w:val="18"/>
                <w:color w:val="auto"/>
              </w:rPr>
              <w:t>60%</w:t>
            </w:r>
          </w:p>
        </w:tc>
      </w:tr>
      <w:tr>
        <w:trPr>
          <w:trHeight w:val="216"/>
        </w:trPr>
        <w:tc>
          <w:tcPr>
            <w:tcW w:w="5280" w:type="dxa"/>
            <w:vAlign w:val="bottom"/>
            <w:shd w:val="clear" w:color="auto" w:fill="CCEEFF"/>
          </w:tcPr>
          <w:p>
            <w:pPr>
              <w:spacing w:after="0"/>
              <w:rPr>
                <w:sz w:val="20"/>
                <w:szCs w:val="20"/>
                <w:color w:val="auto"/>
              </w:rPr>
            </w:pPr>
            <w:r>
              <w:rPr>
                <w:rFonts w:ascii="Arial" w:cs="Arial" w:eastAsia="Arial" w:hAnsi="Arial"/>
                <w:sz w:val="18"/>
                <w:szCs w:val="18"/>
                <w:color w:val="auto"/>
              </w:rPr>
              <w:t>Scrap index per ton</w:t>
            </w:r>
          </w:p>
        </w:tc>
        <w:tc>
          <w:tcPr>
            <w:tcW w:w="2580" w:type="dxa"/>
            <w:vAlign w:val="bottom"/>
            <w:shd w:val="clear" w:color="auto" w:fill="CCEEFF"/>
          </w:tcPr>
          <w:p>
            <w:pPr>
              <w:jc w:val="right"/>
              <w:ind w:right="290"/>
              <w:spacing w:after="0"/>
              <w:rPr>
                <w:sz w:val="20"/>
                <w:szCs w:val="20"/>
                <w:color w:val="auto"/>
              </w:rPr>
            </w:pPr>
            <w:r>
              <w:rPr>
                <w:rFonts w:ascii="Arial" w:cs="Arial" w:eastAsia="Arial" w:hAnsi="Arial"/>
                <w:sz w:val="18"/>
                <w:szCs w:val="18"/>
                <w:b w:val="1"/>
                <w:bCs w:val="1"/>
                <w:color w:val="auto"/>
              </w:rPr>
              <w:t>440</w:t>
            </w:r>
          </w:p>
        </w:tc>
        <w:tc>
          <w:tcPr>
            <w:tcW w:w="1100" w:type="dxa"/>
            <w:vAlign w:val="bottom"/>
            <w:shd w:val="clear" w:color="auto" w:fill="CCEEFF"/>
          </w:tcPr>
          <w:p>
            <w:pPr>
              <w:jc w:val="right"/>
              <w:ind w:right="230"/>
              <w:spacing w:after="0"/>
              <w:rPr>
                <w:sz w:val="20"/>
                <w:szCs w:val="20"/>
                <w:color w:val="auto"/>
              </w:rPr>
            </w:pPr>
            <w:r>
              <w:rPr>
                <w:rFonts w:ascii="Arial" w:cs="Arial" w:eastAsia="Arial" w:hAnsi="Arial"/>
                <w:sz w:val="18"/>
                <w:szCs w:val="18"/>
                <w:color w:val="auto"/>
              </w:rPr>
              <w:t>388</w:t>
            </w:r>
          </w:p>
        </w:tc>
        <w:tc>
          <w:tcPr>
            <w:tcW w:w="1240" w:type="dxa"/>
            <w:vAlign w:val="bottom"/>
            <w:shd w:val="clear" w:color="auto" w:fill="CCEEFF"/>
          </w:tcPr>
          <w:p>
            <w:pPr>
              <w:jc w:val="right"/>
              <w:ind w:right="110"/>
              <w:spacing w:after="0"/>
              <w:rPr>
                <w:sz w:val="20"/>
                <w:szCs w:val="20"/>
                <w:color w:val="auto"/>
              </w:rPr>
            </w:pPr>
            <w:r>
              <w:rPr>
                <w:rFonts w:ascii="Arial" w:cs="Arial" w:eastAsia="Arial" w:hAnsi="Arial"/>
                <w:sz w:val="18"/>
                <w:szCs w:val="18"/>
                <w:color w:val="auto"/>
              </w:rPr>
              <w:t>52</w:t>
            </w:r>
          </w:p>
        </w:tc>
        <w:tc>
          <w:tcPr>
            <w:tcW w:w="12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13%</w:t>
            </w:r>
          </w:p>
        </w:tc>
      </w:tr>
      <w:tr>
        <w:trPr>
          <w:trHeight w:val="216"/>
        </w:trPr>
        <w:tc>
          <w:tcPr>
            <w:tcW w:w="5280" w:type="dxa"/>
            <w:vAlign w:val="bottom"/>
          </w:tcPr>
          <w:p>
            <w:pPr>
              <w:spacing w:after="0"/>
              <w:rPr>
                <w:sz w:val="20"/>
                <w:szCs w:val="20"/>
                <w:color w:val="auto"/>
              </w:rPr>
            </w:pPr>
            <w:r>
              <w:rPr>
                <w:rFonts w:ascii="Arial" w:cs="Arial" w:eastAsia="Arial" w:hAnsi="Arial"/>
                <w:sz w:val="18"/>
                <w:szCs w:val="18"/>
                <w:color w:val="auto"/>
              </w:rPr>
              <w:t>Shipments (in tons)</w:t>
            </w:r>
          </w:p>
        </w:tc>
        <w:tc>
          <w:tcPr>
            <w:tcW w:w="2580" w:type="dxa"/>
            <w:vAlign w:val="bottom"/>
          </w:tcPr>
          <w:p>
            <w:pPr>
              <w:jc w:val="right"/>
              <w:ind w:right="290"/>
              <w:spacing w:after="0"/>
              <w:rPr>
                <w:sz w:val="20"/>
                <w:szCs w:val="20"/>
                <w:color w:val="auto"/>
              </w:rPr>
            </w:pPr>
            <w:r>
              <w:rPr>
                <w:rFonts w:ascii="Arial" w:cs="Arial" w:eastAsia="Arial" w:hAnsi="Arial"/>
                <w:sz w:val="18"/>
                <w:szCs w:val="18"/>
                <w:b w:val="1"/>
                <w:bCs w:val="1"/>
                <w:color w:val="auto"/>
              </w:rPr>
              <w:t>251,257</w:t>
            </w:r>
          </w:p>
        </w:tc>
        <w:tc>
          <w:tcPr>
            <w:tcW w:w="1100" w:type="dxa"/>
            <w:vAlign w:val="bottom"/>
          </w:tcPr>
          <w:p>
            <w:pPr>
              <w:jc w:val="right"/>
              <w:ind w:right="230"/>
              <w:spacing w:after="0"/>
              <w:rPr>
                <w:sz w:val="20"/>
                <w:szCs w:val="20"/>
                <w:color w:val="auto"/>
              </w:rPr>
            </w:pPr>
            <w:r>
              <w:rPr>
                <w:rFonts w:ascii="Arial" w:cs="Arial" w:eastAsia="Arial" w:hAnsi="Arial"/>
                <w:sz w:val="18"/>
                <w:szCs w:val="18"/>
                <w:color w:val="auto"/>
              </w:rPr>
              <w:t>232,783</w:t>
            </w:r>
          </w:p>
        </w:tc>
        <w:tc>
          <w:tcPr>
            <w:tcW w:w="1240" w:type="dxa"/>
            <w:vAlign w:val="bottom"/>
          </w:tcPr>
          <w:p>
            <w:pPr>
              <w:jc w:val="right"/>
              <w:ind w:right="110"/>
              <w:spacing w:after="0"/>
              <w:rPr>
                <w:sz w:val="20"/>
                <w:szCs w:val="20"/>
                <w:color w:val="auto"/>
              </w:rPr>
            </w:pPr>
            <w:r>
              <w:rPr>
                <w:rFonts w:ascii="Arial" w:cs="Arial" w:eastAsia="Arial" w:hAnsi="Arial"/>
                <w:sz w:val="18"/>
                <w:szCs w:val="18"/>
                <w:color w:val="auto"/>
              </w:rPr>
              <w:t>18,474</w:t>
            </w:r>
          </w:p>
        </w:tc>
        <w:tc>
          <w:tcPr>
            <w:tcW w:w="1120" w:type="dxa"/>
            <w:vAlign w:val="bottom"/>
          </w:tcPr>
          <w:p>
            <w:pPr>
              <w:jc w:val="right"/>
              <w:spacing w:after="0"/>
              <w:rPr>
                <w:sz w:val="20"/>
                <w:szCs w:val="20"/>
                <w:color w:val="auto"/>
              </w:rPr>
            </w:pPr>
            <w:r>
              <w:rPr>
                <w:rFonts w:ascii="Arial" w:cs="Arial" w:eastAsia="Arial" w:hAnsi="Arial"/>
                <w:sz w:val="18"/>
                <w:szCs w:val="18"/>
                <w:color w:val="auto"/>
              </w:rPr>
              <w:t>8%</w:t>
            </w:r>
          </w:p>
        </w:tc>
        <w:tc>
          <w:tcPr>
            <w:tcW w:w="100" w:type="dxa"/>
            <w:vAlign w:val="bottom"/>
          </w:tcPr>
          <w:p>
            <w:pPr>
              <w:spacing w:after="0"/>
              <w:rPr>
                <w:sz w:val="18"/>
                <w:szCs w:val="18"/>
                <w:color w:val="auto"/>
              </w:rPr>
            </w:pPr>
          </w:p>
        </w:tc>
      </w:tr>
      <w:tr>
        <w:trPr>
          <w:trHeight w:val="250"/>
        </w:trPr>
        <w:tc>
          <w:tcPr>
            <w:tcW w:w="528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color w:val="auto"/>
              </w:rPr>
              <w:t>Average selling price per ton, including surcharges</w:t>
            </w:r>
          </w:p>
        </w:tc>
        <w:tc>
          <w:tcPr>
            <w:tcW w:w="2580" w:type="dxa"/>
            <w:vAlign w:val="bottom"/>
            <w:tcBorders>
              <w:bottom w:val="single" w:sz="8" w:color="auto"/>
            </w:tcBorders>
            <w:shd w:val="clear" w:color="auto" w:fill="CCEEFF"/>
          </w:tcPr>
          <w:p>
            <w:pPr>
              <w:jc w:val="right"/>
              <w:ind w:right="290"/>
              <w:spacing w:after="0"/>
              <w:rPr>
                <w:sz w:val="20"/>
                <w:szCs w:val="20"/>
                <w:color w:val="auto"/>
              </w:rPr>
            </w:pPr>
            <w:r>
              <w:rPr>
                <w:rFonts w:ascii="Arial" w:cs="Arial" w:eastAsia="Arial" w:hAnsi="Arial"/>
                <w:sz w:val="18"/>
                <w:szCs w:val="18"/>
                <w:b w:val="1"/>
                <w:bCs w:val="1"/>
                <w:color w:val="auto"/>
              </w:rPr>
              <w:t>$1,550</w:t>
            </w:r>
          </w:p>
        </w:tc>
        <w:tc>
          <w:tcPr>
            <w:tcW w:w="1100" w:type="dxa"/>
            <w:vAlign w:val="bottom"/>
            <w:tcBorders>
              <w:bottom w:val="single" w:sz="8" w:color="auto"/>
            </w:tcBorders>
            <w:shd w:val="clear" w:color="auto" w:fill="CCEEFF"/>
          </w:tcPr>
          <w:p>
            <w:pPr>
              <w:jc w:val="right"/>
              <w:ind w:right="230"/>
              <w:spacing w:after="0"/>
              <w:rPr>
                <w:sz w:val="20"/>
                <w:szCs w:val="20"/>
                <w:color w:val="auto"/>
              </w:rPr>
            </w:pPr>
            <w:r>
              <w:rPr>
                <w:rFonts w:ascii="Arial" w:cs="Arial" w:eastAsia="Arial" w:hAnsi="Arial"/>
                <w:sz w:val="18"/>
                <w:szCs w:val="18"/>
                <w:color w:val="auto"/>
              </w:rPr>
              <w:t>$1,488</w:t>
            </w:r>
          </w:p>
        </w:tc>
        <w:tc>
          <w:tcPr>
            <w:tcW w:w="1240" w:type="dxa"/>
            <w:vAlign w:val="bottom"/>
            <w:tcBorders>
              <w:bottom w:val="single" w:sz="8" w:color="auto"/>
            </w:tcBorders>
            <w:shd w:val="clear" w:color="auto" w:fill="CCEEFF"/>
          </w:tcPr>
          <w:p>
            <w:pPr>
              <w:jc w:val="right"/>
              <w:ind w:right="110"/>
              <w:spacing w:after="0"/>
              <w:rPr>
                <w:sz w:val="20"/>
                <w:szCs w:val="20"/>
                <w:color w:val="auto"/>
              </w:rPr>
            </w:pPr>
            <w:r>
              <w:rPr>
                <w:rFonts w:ascii="Arial" w:cs="Arial" w:eastAsia="Arial" w:hAnsi="Arial"/>
                <w:sz w:val="18"/>
                <w:szCs w:val="18"/>
                <w:color w:val="auto"/>
              </w:rPr>
              <w:t>$62</w:t>
            </w:r>
          </w:p>
        </w:tc>
        <w:tc>
          <w:tcPr>
            <w:tcW w:w="1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w:t>
            </w:r>
          </w:p>
        </w:tc>
        <w:tc>
          <w:tcPr>
            <w:tcW w:w="100" w:type="dxa"/>
            <w:vAlign w:val="bottom"/>
            <w:shd w:val="clear" w:color="auto" w:fill="CCEEFF"/>
          </w:tcPr>
          <w:p>
            <w:pPr>
              <w:spacing w:after="0"/>
              <w:rPr>
                <w:sz w:val="21"/>
                <w:szCs w:val="21"/>
                <w:color w:val="auto"/>
              </w:rPr>
            </w:pPr>
          </w:p>
        </w:tc>
      </w:tr>
    </w:tbl>
    <w:p>
      <w:pPr>
        <w:spacing w:after="0" w:line="25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Net Sales</w:t>
      </w:r>
    </w:p>
    <w:p>
      <w:pPr>
        <w:spacing w:after="0" w:line="256" w:lineRule="exact"/>
        <w:rPr>
          <w:sz w:val="20"/>
          <w:szCs w:val="20"/>
          <w:color w:val="auto"/>
        </w:rPr>
      </w:pPr>
    </w:p>
    <w:p>
      <w:pPr>
        <w:ind w:right="40" w:firstLine="913"/>
        <w:spacing w:after="0" w:line="264" w:lineRule="auto"/>
        <w:rPr>
          <w:sz w:val="20"/>
          <w:szCs w:val="20"/>
          <w:color w:val="auto"/>
        </w:rPr>
      </w:pPr>
      <w:r>
        <w:rPr>
          <w:rFonts w:ascii="Arial" w:cs="Arial" w:eastAsia="Arial" w:hAnsi="Arial"/>
          <w:sz w:val="18"/>
          <w:szCs w:val="18"/>
          <w:color w:val="auto"/>
        </w:rPr>
        <w:t>Net sales for the first quarter of 2014 were $389.5 million, an increase of $43.2 million, or 12%, compared to the first quarter of 2013. Excluding surcharges, net sales increased 10%. The increase was primarily due to higher volume. The increase in volume was driven by an 8% improvement in tons shipped, led by our industrial and energy end-market sectors.</w:t>
      </w:r>
    </w:p>
    <w:p>
      <w:pPr>
        <w:spacing w:after="0" w:line="21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Gross Profit</w:t>
      </w:r>
    </w:p>
    <w:p>
      <w:pPr>
        <w:spacing w:after="0" w:line="270" w:lineRule="exact"/>
        <w:rPr>
          <w:sz w:val="20"/>
          <w:szCs w:val="20"/>
          <w:color w:val="auto"/>
        </w:rPr>
      </w:pPr>
    </w:p>
    <w:p>
      <w:pPr>
        <w:ind w:right="140" w:firstLine="913"/>
        <w:spacing w:after="0" w:line="264" w:lineRule="auto"/>
        <w:rPr>
          <w:sz w:val="20"/>
          <w:szCs w:val="20"/>
          <w:color w:val="auto"/>
        </w:rPr>
      </w:pPr>
      <w:r>
        <w:rPr>
          <w:rFonts w:ascii="Arial" w:cs="Arial" w:eastAsia="Arial" w:hAnsi="Arial"/>
          <w:sz w:val="18"/>
          <w:szCs w:val="18"/>
          <w:color w:val="auto"/>
        </w:rPr>
        <w:t>Gross profit for the first quarter of 2014 was $73.5 million, an increase of $18.8 million, or 34%, compared to the first quarter of 2013. The increase was primarily due to the impact of higher volume and favorable mix. In addition, lower manufacturing expense resulting from better manufacturing performance was partially offset by higher raw material costs and LIFO expense.</w:t>
      </w:r>
    </w:p>
    <w:p>
      <w:pPr>
        <w:spacing w:after="0" w:line="208" w:lineRule="exact"/>
        <w:rPr>
          <w:sz w:val="20"/>
          <w:szCs w:val="20"/>
          <w:color w:val="auto"/>
        </w:rPr>
      </w:pPr>
    </w:p>
    <w:p>
      <w:pPr>
        <w:ind w:right="480" w:firstLine="913"/>
        <w:spacing w:after="0" w:line="264" w:lineRule="auto"/>
        <w:rPr>
          <w:sz w:val="20"/>
          <w:szCs w:val="20"/>
          <w:color w:val="auto"/>
        </w:rPr>
      </w:pPr>
      <w:r>
        <w:rPr>
          <w:rFonts w:ascii="Arial" w:cs="Arial" w:eastAsia="Arial" w:hAnsi="Arial"/>
          <w:sz w:val="18"/>
          <w:szCs w:val="18"/>
          <w:color w:val="auto"/>
        </w:rPr>
        <w:t>Our surcharge mechanism is designed to mitigate the impact of increases or decreases in raw material costs, although generally with a lag effect. This timing effect can result in raw material costs being over- or under-recovered in certain periods. While the surcharge generally protects gross profit, it had the effect of diluting gross margin as a percent of sales.</w:t>
      </w:r>
    </w:p>
    <w:p>
      <w:pPr>
        <w:spacing w:after="0" w:line="21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Selling, General and Administrative Expenses</w:t>
      </w:r>
    </w:p>
    <w:p>
      <w:pPr>
        <w:spacing w:after="0" w:line="270" w:lineRule="exact"/>
        <w:rPr>
          <w:sz w:val="20"/>
          <w:szCs w:val="20"/>
          <w:color w:val="auto"/>
        </w:rPr>
      </w:pPr>
    </w:p>
    <w:p>
      <w:pPr>
        <w:ind w:left="920"/>
        <w:spacing w:after="0"/>
        <w:rPr>
          <w:sz w:val="20"/>
          <w:szCs w:val="20"/>
          <w:color w:val="auto"/>
        </w:rPr>
      </w:pPr>
      <w:r>
        <w:rPr>
          <w:rFonts w:ascii="Arial" w:cs="Arial" w:eastAsia="Arial" w:hAnsi="Arial"/>
          <w:sz w:val="16"/>
          <w:szCs w:val="16"/>
          <w:color w:val="auto"/>
        </w:rPr>
        <w:t>Selling, general and administrative, or SG&amp;A, expenses were up $1.9 million in the first quarter of 2014 compared to the first quarter of 2013.</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The increase was primarily due to higher corporate shared services costs.</w:t>
      </w:r>
    </w:p>
    <w:p>
      <w:pPr>
        <w:spacing w:after="0" w:line="23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Provision for Income Taxes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283210</wp:posOffset>
            </wp:positionV>
            <wp:extent cx="7186295" cy="889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7186295" cy="8890"/>
                    </a:xfrm>
                    <a:prstGeom prst="rect">
                      <a:avLst/>
                    </a:prstGeom>
                    <a:noFill/>
                  </pic:spPr>
                </pic:pic>
              </a:graphicData>
            </a:graphic>
          </wp:anchor>
        </w:drawing>
      </w:r>
    </w:p>
    <w:p>
      <w:pPr>
        <w:spacing w:after="0" w:line="200" w:lineRule="exact"/>
        <w:rPr>
          <w:sz w:val="20"/>
          <w:szCs w:val="20"/>
          <w:color w:val="auto"/>
        </w:rPr>
      </w:pPr>
    </w:p>
    <w:p>
      <w:pPr>
        <w:spacing w:after="0" w:line="235" w:lineRule="exact"/>
        <w:rPr>
          <w:sz w:val="20"/>
          <w:szCs w:val="20"/>
          <w:color w:val="auto"/>
        </w:rPr>
      </w:pPr>
    </w:p>
    <w:p>
      <w:pPr>
        <w:ind w:left="7980"/>
        <w:spacing w:after="0"/>
        <w:rPr>
          <w:sz w:val="20"/>
          <w:szCs w:val="20"/>
          <w:color w:val="auto"/>
        </w:rPr>
      </w:pPr>
      <w:r>
        <w:rPr>
          <w:rFonts w:ascii="Arial" w:cs="Arial" w:eastAsia="Arial" w:hAnsi="Arial"/>
          <w:sz w:val="18"/>
          <w:szCs w:val="18"/>
          <w:b w:val="1"/>
          <w:bCs w:val="1"/>
          <w:color w:val="auto"/>
        </w:rPr>
        <w:t>Three Months Ended March 31,</w:t>
      </w:r>
    </w:p>
    <w:p>
      <w:pPr>
        <w:spacing w:after="0" w:line="27" w:lineRule="exact"/>
        <w:rPr>
          <w:sz w:val="20"/>
          <w:szCs w:val="20"/>
          <w:color w:val="auto"/>
        </w:rPr>
      </w:pPr>
    </w:p>
    <w:tbl>
      <w:tblPr>
        <w:tblLayout w:type="fixed"/>
        <w:tblInd w:w="0" w:type="dxa"/>
        <w:tblCellMar>
          <w:top w:w="0" w:type="dxa"/>
          <w:left w:w="0" w:type="dxa"/>
          <w:bottom w:w="0" w:type="dxa"/>
          <w:right w:w="0" w:type="dxa"/>
        </w:tblCellMar>
      </w:tblPr>
      <w:tr>
        <w:trPr>
          <w:trHeight w:val="223"/>
        </w:trPr>
        <w:tc>
          <w:tcPr>
            <w:tcW w:w="4520" w:type="dxa"/>
            <w:vAlign w:val="bottom"/>
            <w:tcBorders>
              <w:top w:val="single" w:sz="8" w:color="auto"/>
            </w:tcBorders>
          </w:tcPr>
          <w:p>
            <w:pPr>
              <w:spacing w:after="0"/>
              <w:rPr>
                <w:sz w:val="19"/>
                <w:szCs w:val="19"/>
                <w:color w:val="auto"/>
              </w:rPr>
            </w:pPr>
          </w:p>
        </w:tc>
        <w:tc>
          <w:tcPr>
            <w:tcW w:w="3480" w:type="dxa"/>
            <w:vAlign w:val="bottom"/>
            <w:tcBorders>
              <w:top w:val="single" w:sz="8" w:color="auto"/>
            </w:tcBorders>
          </w:tcPr>
          <w:p>
            <w:pPr>
              <w:jc w:val="right"/>
              <w:ind w:right="430"/>
              <w:spacing w:after="0"/>
              <w:rPr>
                <w:sz w:val="20"/>
                <w:szCs w:val="20"/>
                <w:color w:val="auto"/>
              </w:rPr>
            </w:pPr>
            <w:r>
              <w:rPr>
                <w:rFonts w:ascii="Arial" w:cs="Arial" w:eastAsia="Arial" w:hAnsi="Arial"/>
                <w:sz w:val="18"/>
                <w:szCs w:val="18"/>
                <w:b w:val="1"/>
                <w:bCs w:val="1"/>
                <w:color w:val="auto"/>
              </w:rPr>
              <w:t>2014</w:t>
            </w:r>
          </w:p>
        </w:tc>
        <w:tc>
          <w:tcPr>
            <w:tcW w:w="1060" w:type="dxa"/>
            <w:vAlign w:val="bottom"/>
            <w:tcBorders>
              <w:top w:val="single" w:sz="8" w:color="auto"/>
            </w:tcBorders>
          </w:tcPr>
          <w:p>
            <w:pPr>
              <w:jc w:val="right"/>
              <w:ind w:right="410"/>
              <w:spacing w:after="0"/>
              <w:rPr>
                <w:sz w:val="20"/>
                <w:szCs w:val="20"/>
                <w:color w:val="auto"/>
              </w:rPr>
            </w:pPr>
            <w:r>
              <w:rPr>
                <w:rFonts w:ascii="Arial" w:cs="Arial" w:eastAsia="Arial" w:hAnsi="Arial"/>
                <w:sz w:val="18"/>
                <w:szCs w:val="18"/>
                <w:color w:val="auto"/>
              </w:rPr>
              <w:t>2013</w:t>
            </w:r>
          </w:p>
        </w:tc>
        <w:tc>
          <w:tcPr>
            <w:tcW w:w="1280" w:type="dxa"/>
            <w:vAlign w:val="bottom"/>
            <w:tcBorders>
              <w:top w:val="single" w:sz="8" w:color="auto"/>
            </w:tcBorders>
          </w:tcPr>
          <w:p>
            <w:pPr>
              <w:jc w:val="right"/>
              <w:ind w:right="290"/>
              <w:spacing w:after="0"/>
              <w:rPr>
                <w:sz w:val="20"/>
                <w:szCs w:val="20"/>
                <w:color w:val="auto"/>
              </w:rPr>
            </w:pPr>
            <w:r>
              <w:rPr>
                <w:rFonts w:ascii="Arial" w:cs="Arial" w:eastAsia="Arial" w:hAnsi="Arial"/>
                <w:sz w:val="18"/>
                <w:szCs w:val="18"/>
                <w:color w:val="auto"/>
              </w:rPr>
              <w:t>$ Change</w:t>
            </w:r>
          </w:p>
        </w:tc>
        <w:tc>
          <w:tcPr>
            <w:tcW w:w="980" w:type="dxa"/>
            <w:vAlign w:val="bottom"/>
            <w:tcBorders>
              <w:top w:val="single" w:sz="8" w:color="auto"/>
            </w:tcBorders>
          </w:tcPr>
          <w:p>
            <w:pPr>
              <w:ind w:left="240"/>
              <w:spacing w:after="0"/>
              <w:rPr>
                <w:sz w:val="20"/>
                <w:szCs w:val="20"/>
                <w:color w:val="auto"/>
              </w:rPr>
            </w:pPr>
            <w:r>
              <w:rPr>
                <w:rFonts w:ascii="Arial" w:cs="Arial" w:eastAsia="Arial" w:hAnsi="Arial"/>
                <w:sz w:val="18"/>
                <w:szCs w:val="18"/>
                <w:color w:val="auto"/>
                <w:w w:val="85"/>
              </w:rPr>
              <w:t>% Change</w:t>
            </w:r>
          </w:p>
        </w:tc>
        <w:tc>
          <w:tcPr>
            <w:tcW w:w="100" w:type="dxa"/>
            <w:vAlign w:val="bottom"/>
          </w:tcPr>
          <w:p>
            <w:pPr>
              <w:spacing w:after="0"/>
              <w:rPr>
                <w:sz w:val="19"/>
                <w:szCs w:val="19"/>
                <w:color w:val="auto"/>
              </w:rPr>
            </w:pPr>
          </w:p>
        </w:tc>
      </w:tr>
      <w:tr>
        <w:trPr>
          <w:trHeight w:val="216"/>
        </w:trPr>
        <w:tc>
          <w:tcPr>
            <w:tcW w:w="4520" w:type="dxa"/>
            <w:vAlign w:val="bottom"/>
            <w:shd w:val="clear" w:color="auto" w:fill="CCEEFF"/>
          </w:tcPr>
          <w:p>
            <w:pPr>
              <w:spacing w:after="0"/>
              <w:rPr>
                <w:sz w:val="20"/>
                <w:szCs w:val="20"/>
                <w:color w:val="auto"/>
              </w:rPr>
            </w:pPr>
            <w:r>
              <w:rPr>
                <w:rFonts w:ascii="Arial" w:cs="Arial" w:eastAsia="Arial" w:hAnsi="Arial"/>
                <w:sz w:val="18"/>
                <w:szCs w:val="18"/>
                <w:color w:val="auto"/>
              </w:rPr>
              <w:t>Provision for income taxes</w:t>
            </w:r>
          </w:p>
        </w:tc>
        <w:tc>
          <w:tcPr>
            <w:tcW w:w="3480" w:type="dxa"/>
            <w:vAlign w:val="bottom"/>
            <w:shd w:val="clear" w:color="auto" w:fill="CCEEFF"/>
          </w:tcPr>
          <w:p>
            <w:pPr>
              <w:jc w:val="right"/>
              <w:ind w:right="290"/>
              <w:spacing w:after="0"/>
              <w:rPr>
                <w:sz w:val="20"/>
                <w:szCs w:val="20"/>
                <w:color w:val="auto"/>
              </w:rPr>
            </w:pPr>
            <w:r>
              <w:rPr>
                <w:rFonts w:ascii="Arial" w:cs="Arial" w:eastAsia="Arial" w:hAnsi="Arial"/>
                <w:sz w:val="18"/>
                <w:szCs w:val="18"/>
                <w:b w:val="1"/>
                <w:bCs w:val="1"/>
                <w:color w:val="auto"/>
              </w:rPr>
              <w:t>$17.2</w:t>
            </w:r>
          </w:p>
        </w:tc>
        <w:tc>
          <w:tcPr>
            <w:tcW w:w="1060" w:type="dxa"/>
            <w:vAlign w:val="bottom"/>
            <w:shd w:val="clear" w:color="auto" w:fill="CCEEFF"/>
          </w:tcPr>
          <w:p>
            <w:pPr>
              <w:jc w:val="right"/>
              <w:ind w:right="270"/>
              <w:spacing w:after="0"/>
              <w:rPr>
                <w:sz w:val="20"/>
                <w:szCs w:val="20"/>
                <w:color w:val="auto"/>
              </w:rPr>
            </w:pPr>
            <w:r>
              <w:rPr>
                <w:rFonts w:ascii="Arial" w:cs="Arial" w:eastAsia="Arial" w:hAnsi="Arial"/>
                <w:sz w:val="18"/>
                <w:szCs w:val="18"/>
                <w:color w:val="auto"/>
              </w:rPr>
              <w:t>$11.2</w:t>
            </w:r>
          </w:p>
        </w:tc>
        <w:tc>
          <w:tcPr>
            <w:tcW w:w="1280" w:type="dxa"/>
            <w:vAlign w:val="bottom"/>
            <w:shd w:val="clear" w:color="auto" w:fill="CCEEFF"/>
          </w:tcPr>
          <w:p>
            <w:pPr>
              <w:jc w:val="right"/>
              <w:ind w:right="150"/>
              <w:spacing w:after="0"/>
              <w:rPr>
                <w:sz w:val="20"/>
                <w:szCs w:val="20"/>
                <w:color w:val="auto"/>
              </w:rPr>
            </w:pPr>
            <w:r>
              <w:rPr>
                <w:rFonts w:ascii="Arial" w:cs="Arial" w:eastAsia="Arial" w:hAnsi="Arial"/>
                <w:sz w:val="18"/>
                <w:szCs w:val="18"/>
                <w:color w:val="auto"/>
              </w:rPr>
              <w:t>$6.0</w:t>
            </w:r>
          </w:p>
        </w:tc>
        <w:tc>
          <w:tcPr>
            <w:tcW w:w="10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54%</w:t>
            </w:r>
          </w:p>
        </w:tc>
      </w:tr>
      <w:tr>
        <w:trPr>
          <w:trHeight w:val="216"/>
        </w:trPr>
        <w:tc>
          <w:tcPr>
            <w:tcW w:w="4520" w:type="dxa"/>
            <w:vAlign w:val="bottom"/>
          </w:tcPr>
          <w:p>
            <w:pPr>
              <w:spacing w:after="0"/>
              <w:rPr>
                <w:sz w:val="20"/>
                <w:szCs w:val="20"/>
                <w:color w:val="auto"/>
              </w:rPr>
            </w:pPr>
            <w:r>
              <w:rPr>
                <w:rFonts w:ascii="Arial" w:cs="Arial" w:eastAsia="Arial" w:hAnsi="Arial"/>
                <w:sz w:val="18"/>
                <w:szCs w:val="18"/>
                <w:color w:val="auto"/>
              </w:rPr>
              <w:t>Effective tax rate</w:t>
            </w:r>
          </w:p>
        </w:tc>
        <w:tc>
          <w:tcPr>
            <w:tcW w:w="3480" w:type="dxa"/>
            <w:vAlign w:val="bottom"/>
          </w:tcPr>
          <w:p>
            <w:pPr>
              <w:jc w:val="right"/>
              <w:ind w:right="110"/>
              <w:spacing w:after="0"/>
              <w:rPr>
                <w:sz w:val="20"/>
                <w:szCs w:val="20"/>
                <w:color w:val="auto"/>
              </w:rPr>
            </w:pPr>
            <w:r>
              <w:rPr>
                <w:rFonts w:ascii="Arial" w:cs="Arial" w:eastAsia="Arial" w:hAnsi="Arial"/>
                <w:sz w:val="18"/>
                <w:szCs w:val="18"/>
                <w:b w:val="1"/>
                <w:bCs w:val="1"/>
                <w:color w:val="auto"/>
              </w:rPr>
              <w:t>33.8%</w:t>
            </w:r>
          </w:p>
        </w:tc>
        <w:tc>
          <w:tcPr>
            <w:tcW w:w="1060" w:type="dxa"/>
            <w:vAlign w:val="bottom"/>
          </w:tcPr>
          <w:p>
            <w:pPr>
              <w:jc w:val="right"/>
              <w:ind w:right="110"/>
              <w:spacing w:after="0"/>
              <w:rPr>
                <w:sz w:val="20"/>
                <w:szCs w:val="20"/>
                <w:color w:val="auto"/>
              </w:rPr>
            </w:pPr>
            <w:r>
              <w:rPr>
                <w:rFonts w:ascii="Arial" w:cs="Arial" w:eastAsia="Arial" w:hAnsi="Arial"/>
                <w:sz w:val="18"/>
                <w:szCs w:val="18"/>
                <w:color w:val="auto"/>
              </w:rPr>
              <w:t>34.8%</w:t>
            </w:r>
          </w:p>
        </w:tc>
        <w:tc>
          <w:tcPr>
            <w:tcW w:w="1280" w:type="dxa"/>
            <w:vAlign w:val="bottom"/>
          </w:tcPr>
          <w:p>
            <w:pPr>
              <w:jc w:val="right"/>
              <w:ind w:right="150"/>
              <w:spacing w:after="0"/>
              <w:rPr>
                <w:sz w:val="20"/>
                <w:szCs w:val="20"/>
                <w:color w:val="auto"/>
              </w:rPr>
            </w:pPr>
            <w:r>
              <w:rPr>
                <w:rFonts w:ascii="Arial" w:cs="Arial" w:eastAsia="Arial" w:hAnsi="Arial"/>
                <w:sz w:val="18"/>
                <w:szCs w:val="18"/>
                <w:color w:val="auto"/>
              </w:rPr>
              <w:t>—</w:t>
            </w:r>
          </w:p>
        </w:tc>
        <w:tc>
          <w:tcPr>
            <w:tcW w:w="108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r>
      <w:tr>
        <w:trPr>
          <w:trHeight w:val="54"/>
        </w:trPr>
        <w:tc>
          <w:tcPr>
            <w:tcW w:w="4520" w:type="dxa"/>
            <w:vAlign w:val="bottom"/>
            <w:shd w:val="clear" w:color="auto" w:fill="000000"/>
          </w:tcPr>
          <w:p>
            <w:pPr>
              <w:spacing w:after="0"/>
              <w:rPr>
                <w:sz w:val="4"/>
                <w:szCs w:val="4"/>
                <w:color w:val="auto"/>
              </w:rPr>
            </w:pPr>
          </w:p>
        </w:tc>
        <w:tc>
          <w:tcPr>
            <w:tcW w:w="3480" w:type="dxa"/>
            <w:vAlign w:val="bottom"/>
            <w:shd w:val="clear" w:color="auto" w:fill="000000"/>
          </w:tcPr>
          <w:p>
            <w:pPr>
              <w:spacing w:after="0"/>
              <w:rPr>
                <w:sz w:val="4"/>
                <w:szCs w:val="4"/>
                <w:color w:val="auto"/>
              </w:rPr>
            </w:pPr>
          </w:p>
        </w:tc>
        <w:tc>
          <w:tcPr>
            <w:tcW w:w="1060" w:type="dxa"/>
            <w:vAlign w:val="bottom"/>
            <w:shd w:val="clear" w:color="auto" w:fill="000000"/>
          </w:tcPr>
          <w:p>
            <w:pPr>
              <w:spacing w:after="0"/>
              <w:rPr>
                <w:sz w:val="4"/>
                <w:szCs w:val="4"/>
                <w:color w:val="auto"/>
              </w:rPr>
            </w:pPr>
          </w:p>
        </w:tc>
        <w:tc>
          <w:tcPr>
            <w:tcW w:w="1280" w:type="dxa"/>
            <w:vAlign w:val="bottom"/>
            <w:shd w:val="clear" w:color="auto" w:fill="000000"/>
          </w:tcPr>
          <w:p>
            <w:pPr>
              <w:spacing w:after="0"/>
              <w:rPr>
                <w:sz w:val="4"/>
                <w:szCs w:val="4"/>
                <w:color w:val="auto"/>
              </w:rPr>
            </w:pPr>
          </w:p>
        </w:tc>
        <w:tc>
          <w:tcPr>
            <w:tcW w:w="980" w:type="dxa"/>
            <w:vAlign w:val="bottom"/>
            <w:shd w:val="clear" w:color="auto" w:fill="000000"/>
          </w:tcPr>
          <w:p>
            <w:pPr>
              <w:spacing w:after="0"/>
              <w:rPr>
                <w:sz w:val="4"/>
                <w:szCs w:val="4"/>
                <w:color w:val="auto"/>
              </w:rPr>
            </w:pPr>
          </w:p>
        </w:tc>
        <w:tc>
          <w:tcPr>
            <w:tcW w:w="100" w:type="dxa"/>
            <w:vAlign w:val="bottom"/>
          </w:tcPr>
          <w:p>
            <w:pPr>
              <w:spacing w:after="0"/>
              <w:rPr>
                <w:sz w:val="4"/>
                <w:szCs w:val="4"/>
                <w:color w:val="auto"/>
              </w:rPr>
            </w:pPr>
          </w:p>
        </w:tc>
      </w:tr>
    </w:tbl>
    <w:p>
      <w:pPr>
        <w:spacing w:after="0" w:line="256" w:lineRule="exact"/>
        <w:rPr>
          <w:sz w:val="20"/>
          <w:szCs w:val="20"/>
          <w:color w:val="auto"/>
        </w:rPr>
      </w:pPr>
    </w:p>
    <w:p>
      <w:pPr>
        <w:ind w:right="180" w:firstLine="913"/>
        <w:spacing w:after="0" w:line="264" w:lineRule="auto"/>
        <w:rPr>
          <w:sz w:val="20"/>
          <w:szCs w:val="20"/>
          <w:color w:val="auto"/>
        </w:rPr>
      </w:pPr>
      <w:r>
        <w:rPr>
          <w:rFonts w:ascii="Arial" w:cs="Arial" w:eastAsia="Arial" w:hAnsi="Arial"/>
          <w:sz w:val="18"/>
          <w:szCs w:val="18"/>
          <w:color w:val="auto"/>
        </w:rPr>
        <w:t>The decrease in the effective tax rate in the first three months of 2014 compared to the first three months of 2013 was primarily due to a greater U.S. manufacturing deduction and certain discrete expenses. These factors were partially offset by higher U.S. state and local taxes and earnings in certain foreign jurisdictions where the tax rate is less than 35%.</w:t>
      </w:r>
    </w:p>
    <w:p>
      <w:pPr>
        <w:spacing w:after="0" w:line="1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35</w:t>
      </w:r>
    </w:p>
    <w:p>
      <w:pPr>
        <w:sectPr>
          <w:pgSz w:w="11900" w:h="16838" w:orient="portrait"/>
          <w:cols w:equalWidth="0" w:num="1">
            <w:col w:w="11420"/>
          </w:cols>
          <w:pgMar w:left="240" w:top="459" w:right="239" w:bottom="1440" w:gutter="0" w:footer="0" w:header="0"/>
        </w:sectPr>
      </w:pPr>
    </w:p>
    <w:bookmarkStart w:id="44" w:name="page45"/>
    <w:bookmarkEnd w:id="4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Business Segments</w:t>
      </w:r>
    </w:p>
    <w:p>
      <w:pPr>
        <w:spacing w:after="0" w:line="305" w:lineRule="exact"/>
        <w:rPr>
          <w:sz w:val="20"/>
          <w:szCs w:val="20"/>
          <w:color w:val="auto"/>
        </w:rPr>
      </w:pPr>
    </w:p>
    <w:tbl>
      <w:tblPr>
        <w:tblLayout w:type="fixed"/>
        <w:tblInd w:w="0" w:type="dxa"/>
        <w:tblCellMar>
          <w:top w:w="0" w:type="dxa"/>
          <w:left w:w="0" w:type="dxa"/>
          <w:bottom w:w="0" w:type="dxa"/>
          <w:right w:w="0" w:type="dxa"/>
        </w:tblCellMar>
      </w:tblPr>
      <w:tr>
        <w:trPr>
          <w:trHeight w:val="243"/>
        </w:trPr>
        <w:tc>
          <w:tcPr>
            <w:tcW w:w="536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b w:val="1"/>
                <w:bCs w:val="1"/>
                <w:color w:val="auto"/>
              </w:rPr>
              <w:t>Industrial &amp; Mobile</w:t>
            </w:r>
          </w:p>
        </w:tc>
        <w:tc>
          <w:tcPr>
            <w:tcW w:w="2520" w:type="dxa"/>
            <w:vAlign w:val="bottom"/>
            <w:tcBorders>
              <w:top w:val="single" w:sz="8" w:color="auto"/>
              <w:bottom w:val="single" w:sz="8" w:color="auto"/>
            </w:tcBorders>
          </w:tcPr>
          <w:p>
            <w:pPr>
              <w:spacing w:after="0"/>
              <w:rPr>
                <w:sz w:val="21"/>
                <w:szCs w:val="21"/>
                <w:color w:val="auto"/>
              </w:rPr>
            </w:pPr>
          </w:p>
        </w:tc>
        <w:tc>
          <w:tcPr>
            <w:tcW w:w="2600" w:type="dxa"/>
            <w:vAlign w:val="bottom"/>
            <w:tcBorders>
              <w:top w:val="single" w:sz="8" w:color="auto"/>
              <w:bottom w:val="single" w:sz="8" w:color="auto"/>
            </w:tcBorders>
            <w:gridSpan w:val="2"/>
          </w:tcPr>
          <w:p>
            <w:pPr>
              <w:jc w:val="right"/>
              <w:spacing w:after="0"/>
              <w:rPr>
                <w:sz w:val="20"/>
                <w:szCs w:val="20"/>
                <w:color w:val="auto"/>
              </w:rPr>
            </w:pPr>
            <w:r>
              <w:rPr>
                <w:rFonts w:ascii="Arial" w:cs="Arial" w:eastAsia="Arial" w:hAnsi="Arial"/>
                <w:sz w:val="18"/>
                <w:szCs w:val="18"/>
                <w:b w:val="1"/>
                <w:bCs w:val="1"/>
                <w:color w:val="auto"/>
                <w:w w:val="93"/>
              </w:rPr>
              <w:t>Three Months Ended March 31,</w:t>
            </w:r>
          </w:p>
        </w:tc>
        <w:tc>
          <w:tcPr>
            <w:tcW w:w="840" w:type="dxa"/>
            <w:vAlign w:val="bottom"/>
            <w:tcBorders>
              <w:top w:val="single" w:sz="8" w:color="auto"/>
              <w:bottom w:val="single" w:sz="8" w:color="auto"/>
            </w:tcBorders>
          </w:tcPr>
          <w:p>
            <w:pPr>
              <w:spacing w:after="0"/>
              <w:rPr>
                <w:sz w:val="21"/>
                <w:szCs w:val="21"/>
                <w:color w:val="auto"/>
              </w:rPr>
            </w:pPr>
          </w:p>
        </w:tc>
        <w:tc>
          <w:tcPr>
            <w:tcW w:w="100" w:type="dxa"/>
            <w:vAlign w:val="bottom"/>
          </w:tcPr>
          <w:p>
            <w:pPr>
              <w:spacing w:after="0"/>
              <w:rPr>
                <w:sz w:val="21"/>
                <w:szCs w:val="21"/>
                <w:color w:val="auto"/>
              </w:rPr>
            </w:pPr>
          </w:p>
        </w:tc>
      </w:tr>
      <w:tr>
        <w:trPr>
          <w:trHeight w:val="223"/>
        </w:trPr>
        <w:tc>
          <w:tcPr>
            <w:tcW w:w="5360" w:type="dxa"/>
            <w:vAlign w:val="bottom"/>
          </w:tcPr>
          <w:p>
            <w:pPr>
              <w:spacing w:after="0"/>
              <w:rPr>
                <w:sz w:val="19"/>
                <w:szCs w:val="19"/>
                <w:color w:val="auto"/>
              </w:rPr>
            </w:pPr>
          </w:p>
        </w:tc>
        <w:tc>
          <w:tcPr>
            <w:tcW w:w="2520" w:type="dxa"/>
            <w:vAlign w:val="bottom"/>
          </w:tcPr>
          <w:p>
            <w:pPr>
              <w:jc w:val="right"/>
              <w:ind w:right="330"/>
              <w:spacing w:after="0"/>
              <w:rPr>
                <w:sz w:val="20"/>
                <w:szCs w:val="20"/>
                <w:color w:val="auto"/>
              </w:rPr>
            </w:pPr>
            <w:r>
              <w:rPr>
                <w:rFonts w:ascii="Arial" w:cs="Arial" w:eastAsia="Arial" w:hAnsi="Arial"/>
                <w:sz w:val="18"/>
                <w:szCs w:val="18"/>
                <w:b w:val="1"/>
                <w:bCs w:val="1"/>
                <w:color w:val="auto"/>
              </w:rPr>
              <w:t>2014</w:t>
            </w:r>
          </w:p>
        </w:tc>
        <w:tc>
          <w:tcPr>
            <w:tcW w:w="1260" w:type="dxa"/>
            <w:vAlign w:val="bottom"/>
          </w:tcPr>
          <w:p>
            <w:pPr>
              <w:jc w:val="right"/>
              <w:ind w:right="450"/>
              <w:spacing w:after="0"/>
              <w:rPr>
                <w:sz w:val="20"/>
                <w:szCs w:val="20"/>
                <w:color w:val="auto"/>
              </w:rPr>
            </w:pPr>
            <w:r>
              <w:rPr>
                <w:rFonts w:ascii="Arial" w:cs="Arial" w:eastAsia="Arial" w:hAnsi="Arial"/>
                <w:sz w:val="18"/>
                <w:szCs w:val="18"/>
                <w:color w:val="auto"/>
              </w:rPr>
              <w:t>2013</w:t>
            </w:r>
          </w:p>
        </w:tc>
        <w:tc>
          <w:tcPr>
            <w:tcW w:w="1340" w:type="dxa"/>
            <w:vAlign w:val="bottom"/>
          </w:tcPr>
          <w:p>
            <w:pPr>
              <w:jc w:val="right"/>
              <w:ind w:right="390"/>
              <w:spacing w:after="0"/>
              <w:rPr>
                <w:sz w:val="20"/>
                <w:szCs w:val="20"/>
                <w:color w:val="auto"/>
              </w:rPr>
            </w:pPr>
            <w:r>
              <w:rPr>
                <w:rFonts w:ascii="Arial" w:cs="Arial" w:eastAsia="Arial" w:hAnsi="Arial"/>
                <w:sz w:val="18"/>
                <w:szCs w:val="18"/>
                <w:color w:val="auto"/>
              </w:rPr>
              <w:t>$ Change</w:t>
            </w:r>
          </w:p>
        </w:tc>
        <w:tc>
          <w:tcPr>
            <w:tcW w:w="840" w:type="dxa"/>
            <w:vAlign w:val="bottom"/>
          </w:tcPr>
          <w:p>
            <w:pPr>
              <w:jc w:val="right"/>
              <w:spacing w:after="0"/>
              <w:rPr>
                <w:sz w:val="20"/>
                <w:szCs w:val="20"/>
                <w:color w:val="auto"/>
              </w:rPr>
            </w:pPr>
            <w:r>
              <w:rPr>
                <w:rFonts w:ascii="Arial" w:cs="Arial" w:eastAsia="Arial" w:hAnsi="Arial"/>
                <w:sz w:val="18"/>
                <w:szCs w:val="18"/>
                <w:color w:val="auto"/>
                <w:w w:val="97"/>
              </w:rPr>
              <w:t>% Change</w:t>
            </w:r>
          </w:p>
        </w:tc>
        <w:tc>
          <w:tcPr>
            <w:tcW w:w="100" w:type="dxa"/>
            <w:vAlign w:val="bottom"/>
          </w:tcPr>
          <w:p>
            <w:pPr>
              <w:spacing w:after="0"/>
              <w:rPr>
                <w:sz w:val="19"/>
                <w:szCs w:val="19"/>
                <w:color w:val="auto"/>
              </w:rPr>
            </w:pPr>
          </w:p>
        </w:tc>
      </w:tr>
      <w:tr>
        <w:trPr>
          <w:trHeight w:val="216"/>
        </w:trPr>
        <w:tc>
          <w:tcPr>
            <w:tcW w:w="5360" w:type="dxa"/>
            <w:vAlign w:val="bottom"/>
            <w:shd w:val="clear" w:color="auto" w:fill="CCEEFF"/>
          </w:tcPr>
          <w:p>
            <w:pPr>
              <w:spacing w:after="0"/>
              <w:rPr>
                <w:sz w:val="20"/>
                <w:szCs w:val="20"/>
                <w:color w:val="auto"/>
              </w:rPr>
            </w:pPr>
            <w:r>
              <w:rPr>
                <w:rFonts w:ascii="Arial" w:cs="Arial" w:eastAsia="Arial" w:hAnsi="Arial"/>
                <w:sz w:val="18"/>
                <w:szCs w:val="18"/>
                <w:color w:val="auto"/>
              </w:rPr>
              <w:t>Net sales, including intersegment sales</w:t>
            </w:r>
          </w:p>
        </w:tc>
        <w:tc>
          <w:tcPr>
            <w:tcW w:w="2520" w:type="dxa"/>
            <w:vAlign w:val="bottom"/>
            <w:shd w:val="clear" w:color="auto" w:fill="CCEEFF"/>
          </w:tcPr>
          <w:p>
            <w:pPr>
              <w:jc w:val="right"/>
              <w:ind w:right="130"/>
              <w:spacing w:after="0"/>
              <w:rPr>
                <w:sz w:val="20"/>
                <w:szCs w:val="20"/>
                <w:color w:val="auto"/>
              </w:rPr>
            </w:pPr>
            <w:r>
              <w:rPr>
                <w:rFonts w:ascii="Arial" w:cs="Arial" w:eastAsia="Arial" w:hAnsi="Arial"/>
                <w:sz w:val="18"/>
                <w:szCs w:val="18"/>
                <w:b w:val="1"/>
                <w:bCs w:val="1"/>
                <w:color w:val="auto"/>
              </w:rPr>
              <w:t>$231.8</w:t>
            </w:r>
          </w:p>
        </w:tc>
        <w:tc>
          <w:tcPr>
            <w:tcW w:w="1260" w:type="dxa"/>
            <w:vAlign w:val="bottom"/>
            <w:shd w:val="clear" w:color="auto" w:fill="CCEEFF"/>
          </w:tcPr>
          <w:p>
            <w:pPr>
              <w:jc w:val="right"/>
              <w:ind w:right="230"/>
              <w:spacing w:after="0"/>
              <w:rPr>
                <w:sz w:val="20"/>
                <w:szCs w:val="20"/>
                <w:color w:val="auto"/>
              </w:rPr>
            </w:pPr>
            <w:r>
              <w:rPr>
                <w:rFonts w:ascii="Arial" w:cs="Arial" w:eastAsia="Arial" w:hAnsi="Arial"/>
                <w:sz w:val="18"/>
                <w:szCs w:val="18"/>
                <w:color w:val="auto"/>
              </w:rPr>
              <w:t>$217.8</w:t>
            </w:r>
          </w:p>
        </w:tc>
        <w:tc>
          <w:tcPr>
            <w:tcW w:w="1340" w:type="dxa"/>
            <w:vAlign w:val="bottom"/>
            <w:shd w:val="clear" w:color="auto" w:fill="CCEEFF"/>
          </w:tcPr>
          <w:p>
            <w:pPr>
              <w:jc w:val="right"/>
              <w:ind w:right="210"/>
              <w:spacing w:after="0"/>
              <w:rPr>
                <w:sz w:val="20"/>
                <w:szCs w:val="20"/>
                <w:color w:val="auto"/>
              </w:rPr>
            </w:pPr>
            <w:r>
              <w:rPr>
                <w:rFonts w:ascii="Arial" w:cs="Arial" w:eastAsia="Arial" w:hAnsi="Arial"/>
                <w:sz w:val="18"/>
                <w:szCs w:val="18"/>
                <w:color w:val="auto"/>
              </w:rPr>
              <w:t>$14.0</w:t>
            </w: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w:t>
            </w:r>
          </w:p>
        </w:tc>
        <w:tc>
          <w:tcPr>
            <w:tcW w:w="100" w:type="dxa"/>
            <w:vAlign w:val="bottom"/>
            <w:shd w:val="clear" w:color="auto" w:fill="CCEEFF"/>
          </w:tcPr>
          <w:p>
            <w:pPr>
              <w:spacing w:after="0"/>
              <w:rPr>
                <w:sz w:val="18"/>
                <w:szCs w:val="18"/>
                <w:color w:val="auto"/>
              </w:rPr>
            </w:pPr>
          </w:p>
        </w:tc>
      </w:tr>
      <w:tr>
        <w:trPr>
          <w:trHeight w:val="216"/>
        </w:trPr>
        <w:tc>
          <w:tcPr>
            <w:tcW w:w="5360" w:type="dxa"/>
            <w:vAlign w:val="bottom"/>
          </w:tcPr>
          <w:p>
            <w:pPr>
              <w:spacing w:after="0"/>
              <w:rPr>
                <w:sz w:val="20"/>
                <w:szCs w:val="20"/>
                <w:color w:val="auto"/>
              </w:rPr>
            </w:pPr>
            <w:r>
              <w:rPr>
                <w:rFonts w:ascii="Arial" w:cs="Arial" w:eastAsia="Arial" w:hAnsi="Arial"/>
                <w:sz w:val="18"/>
                <w:szCs w:val="18"/>
                <w:color w:val="auto"/>
              </w:rPr>
              <w:t>Net sales, excluding surcharges</w:t>
            </w:r>
          </w:p>
        </w:tc>
        <w:tc>
          <w:tcPr>
            <w:tcW w:w="2520" w:type="dxa"/>
            <w:vAlign w:val="bottom"/>
          </w:tcPr>
          <w:p>
            <w:pPr>
              <w:jc w:val="right"/>
              <w:ind w:right="130"/>
              <w:spacing w:after="0"/>
              <w:rPr>
                <w:sz w:val="20"/>
                <w:szCs w:val="20"/>
                <w:color w:val="auto"/>
              </w:rPr>
            </w:pPr>
            <w:r>
              <w:rPr>
                <w:rFonts w:ascii="Arial" w:cs="Arial" w:eastAsia="Arial" w:hAnsi="Arial"/>
                <w:sz w:val="18"/>
                <w:szCs w:val="18"/>
                <w:b w:val="1"/>
                <w:bCs w:val="1"/>
                <w:color w:val="auto"/>
              </w:rPr>
              <w:t>179.3</w:t>
            </w:r>
          </w:p>
        </w:tc>
        <w:tc>
          <w:tcPr>
            <w:tcW w:w="1260" w:type="dxa"/>
            <w:vAlign w:val="bottom"/>
          </w:tcPr>
          <w:p>
            <w:pPr>
              <w:jc w:val="right"/>
              <w:ind w:right="230"/>
              <w:spacing w:after="0"/>
              <w:rPr>
                <w:sz w:val="20"/>
                <w:szCs w:val="20"/>
                <w:color w:val="auto"/>
              </w:rPr>
            </w:pPr>
            <w:r>
              <w:rPr>
                <w:rFonts w:ascii="Arial" w:cs="Arial" w:eastAsia="Arial" w:hAnsi="Arial"/>
                <w:sz w:val="18"/>
                <w:szCs w:val="18"/>
                <w:color w:val="auto"/>
              </w:rPr>
              <w:t>173.5</w:t>
            </w:r>
          </w:p>
        </w:tc>
        <w:tc>
          <w:tcPr>
            <w:tcW w:w="1340" w:type="dxa"/>
            <w:vAlign w:val="bottom"/>
          </w:tcPr>
          <w:p>
            <w:pPr>
              <w:jc w:val="right"/>
              <w:ind w:right="210"/>
              <w:spacing w:after="0"/>
              <w:rPr>
                <w:sz w:val="20"/>
                <w:szCs w:val="20"/>
                <w:color w:val="auto"/>
              </w:rPr>
            </w:pPr>
            <w:r>
              <w:rPr>
                <w:rFonts w:ascii="Arial" w:cs="Arial" w:eastAsia="Arial" w:hAnsi="Arial"/>
                <w:sz w:val="18"/>
                <w:szCs w:val="18"/>
                <w:color w:val="auto"/>
              </w:rPr>
              <w:t>5.8</w:t>
            </w:r>
          </w:p>
        </w:tc>
        <w:tc>
          <w:tcPr>
            <w:tcW w:w="840" w:type="dxa"/>
            <w:vAlign w:val="bottom"/>
          </w:tcPr>
          <w:p>
            <w:pPr>
              <w:jc w:val="right"/>
              <w:spacing w:after="0"/>
              <w:rPr>
                <w:sz w:val="20"/>
                <w:szCs w:val="20"/>
                <w:color w:val="auto"/>
              </w:rPr>
            </w:pPr>
            <w:r>
              <w:rPr>
                <w:rFonts w:ascii="Arial" w:cs="Arial" w:eastAsia="Arial" w:hAnsi="Arial"/>
                <w:sz w:val="18"/>
                <w:szCs w:val="18"/>
                <w:color w:val="auto"/>
              </w:rPr>
              <w:t>3%</w:t>
            </w:r>
          </w:p>
        </w:tc>
        <w:tc>
          <w:tcPr>
            <w:tcW w:w="100" w:type="dxa"/>
            <w:vAlign w:val="bottom"/>
          </w:tcPr>
          <w:p>
            <w:pPr>
              <w:spacing w:after="0"/>
              <w:rPr>
                <w:sz w:val="18"/>
                <w:szCs w:val="18"/>
                <w:color w:val="auto"/>
              </w:rPr>
            </w:pPr>
          </w:p>
        </w:tc>
      </w:tr>
      <w:tr>
        <w:trPr>
          <w:trHeight w:val="216"/>
        </w:trPr>
        <w:tc>
          <w:tcPr>
            <w:tcW w:w="5360" w:type="dxa"/>
            <w:vAlign w:val="bottom"/>
            <w:shd w:val="clear" w:color="auto" w:fill="CCEEFF"/>
          </w:tcPr>
          <w:p>
            <w:pPr>
              <w:spacing w:after="0"/>
              <w:rPr>
                <w:sz w:val="20"/>
                <w:szCs w:val="20"/>
                <w:color w:val="auto"/>
              </w:rPr>
            </w:pPr>
            <w:r>
              <w:rPr>
                <w:rFonts w:ascii="Arial" w:cs="Arial" w:eastAsia="Arial" w:hAnsi="Arial"/>
                <w:sz w:val="18"/>
                <w:szCs w:val="18"/>
                <w:color w:val="auto"/>
              </w:rPr>
              <w:t>EBIT</w:t>
            </w:r>
          </w:p>
        </w:tc>
        <w:tc>
          <w:tcPr>
            <w:tcW w:w="2520" w:type="dxa"/>
            <w:vAlign w:val="bottom"/>
            <w:shd w:val="clear" w:color="auto" w:fill="CCEEFF"/>
          </w:tcPr>
          <w:p>
            <w:pPr>
              <w:jc w:val="right"/>
              <w:ind w:right="130"/>
              <w:spacing w:after="0"/>
              <w:rPr>
                <w:sz w:val="20"/>
                <w:szCs w:val="20"/>
                <w:color w:val="auto"/>
              </w:rPr>
            </w:pPr>
            <w:r>
              <w:rPr>
                <w:rFonts w:ascii="Arial" w:cs="Arial" w:eastAsia="Arial" w:hAnsi="Arial"/>
                <w:sz w:val="18"/>
                <w:szCs w:val="18"/>
                <w:b w:val="1"/>
                <w:bCs w:val="1"/>
                <w:color w:val="auto"/>
              </w:rPr>
              <w:t>27.0</w:t>
            </w:r>
          </w:p>
        </w:tc>
        <w:tc>
          <w:tcPr>
            <w:tcW w:w="1260" w:type="dxa"/>
            <w:vAlign w:val="bottom"/>
            <w:shd w:val="clear" w:color="auto" w:fill="CCEEFF"/>
          </w:tcPr>
          <w:p>
            <w:pPr>
              <w:jc w:val="right"/>
              <w:ind w:right="230"/>
              <w:spacing w:after="0"/>
              <w:rPr>
                <w:sz w:val="20"/>
                <w:szCs w:val="20"/>
                <w:color w:val="auto"/>
              </w:rPr>
            </w:pPr>
            <w:r>
              <w:rPr>
                <w:rFonts w:ascii="Arial" w:cs="Arial" w:eastAsia="Arial" w:hAnsi="Arial"/>
                <w:sz w:val="18"/>
                <w:szCs w:val="18"/>
                <w:color w:val="auto"/>
              </w:rPr>
              <w:t>21.5</w:t>
            </w:r>
          </w:p>
        </w:tc>
        <w:tc>
          <w:tcPr>
            <w:tcW w:w="1340" w:type="dxa"/>
            <w:vAlign w:val="bottom"/>
            <w:shd w:val="clear" w:color="auto" w:fill="CCEEFF"/>
          </w:tcPr>
          <w:p>
            <w:pPr>
              <w:jc w:val="right"/>
              <w:ind w:right="210"/>
              <w:spacing w:after="0"/>
              <w:rPr>
                <w:sz w:val="20"/>
                <w:szCs w:val="20"/>
                <w:color w:val="auto"/>
              </w:rPr>
            </w:pPr>
            <w:r>
              <w:rPr>
                <w:rFonts w:ascii="Arial" w:cs="Arial" w:eastAsia="Arial" w:hAnsi="Arial"/>
                <w:sz w:val="18"/>
                <w:szCs w:val="18"/>
                <w:color w:val="auto"/>
              </w:rPr>
              <w:t>5.5</w:t>
            </w:r>
          </w:p>
        </w:tc>
        <w:tc>
          <w:tcPr>
            <w:tcW w:w="9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26%</w:t>
            </w:r>
          </w:p>
        </w:tc>
      </w:tr>
      <w:tr>
        <w:trPr>
          <w:trHeight w:val="216"/>
        </w:trPr>
        <w:tc>
          <w:tcPr>
            <w:tcW w:w="5360" w:type="dxa"/>
            <w:vAlign w:val="bottom"/>
          </w:tcPr>
          <w:p>
            <w:pPr>
              <w:spacing w:after="0"/>
              <w:rPr>
                <w:sz w:val="20"/>
                <w:szCs w:val="20"/>
                <w:color w:val="auto"/>
              </w:rPr>
            </w:pPr>
            <w:r>
              <w:rPr>
                <w:rFonts w:ascii="Arial" w:cs="Arial" w:eastAsia="Arial" w:hAnsi="Arial"/>
                <w:sz w:val="18"/>
                <w:szCs w:val="18"/>
                <w:color w:val="auto"/>
              </w:rPr>
              <w:t>EBIT margin</w:t>
            </w:r>
          </w:p>
        </w:tc>
        <w:tc>
          <w:tcPr>
            <w:tcW w:w="2520" w:type="dxa"/>
            <w:vAlign w:val="bottom"/>
          </w:tcPr>
          <w:p>
            <w:pPr>
              <w:jc w:val="right"/>
              <w:spacing w:after="0"/>
              <w:rPr>
                <w:sz w:val="20"/>
                <w:szCs w:val="20"/>
                <w:color w:val="auto"/>
              </w:rPr>
            </w:pPr>
            <w:r>
              <w:rPr>
                <w:rFonts w:ascii="Arial" w:cs="Arial" w:eastAsia="Arial" w:hAnsi="Arial"/>
                <w:sz w:val="18"/>
                <w:szCs w:val="18"/>
                <w:b w:val="1"/>
                <w:bCs w:val="1"/>
                <w:color w:val="auto"/>
              </w:rPr>
              <w:t>11.6%</w:t>
            </w:r>
          </w:p>
        </w:tc>
        <w:tc>
          <w:tcPr>
            <w:tcW w:w="1260" w:type="dxa"/>
            <w:vAlign w:val="bottom"/>
          </w:tcPr>
          <w:p>
            <w:pPr>
              <w:jc w:val="right"/>
              <w:ind w:right="90"/>
              <w:spacing w:after="0"/>
              <w:rPr>
                <w:sz w:val="20"/>
                <w:szCs w:val="20"/>
                <w:color w:val="auto"/>
              </w:rPr>
            </w:pPr>
            <w:r>
              <w:rPr>
                <w:rFonts w:ascii="Arial" w:cs="Arial" w:eastAsia="Arial" w:hAnsi="Arial"/>
                <w:sz w:val="18"/>
                <w:szCs w:val="18"/>
                <w:color w:val="auto"/>
              </w:rPr>
              <w:t>9.9%</w:t>
            </w:r>
          </w:p>
        </w:tc>
        <w:tc>
          <w:tcPr>
            <w:tcW w:w="1340" w:type="dxa"/>
            <w:vAlign w:val="bottom"/>
          </w:tcPr>
          <w:p>
            <w:pPr>
              <w:jc w:val="right"/>
              <w:ind w:right="210"/>
              <w:spacing w:after="0"/>
              <w:rPr>
                <w:sz w:val="20"/>
                <w:szCs w:val="20"/>
                <w:color w:val="auto"/>
              </w:rPr>
            </w:pPr>
            <w:r>
              <w:rPr>
                <w:rFonts w:ascii="Arial" w:cs="Arial" w:eastAsia="Arial" w:hAnsi="Arial"/>
                <w:sz w:val="18"/>
                <w:szCs w:val="18"/>
                <w:color w:val="auto"/>
              </w:rPr>
              <w:t>NM</w:t>
            </w:r>
          </w:p>
        </w:tc>
        <w:tc>
          <w:tcPr>
            <w:tcW w:w="940" w:type="dxa"/>
            <w:vAlign w:val="bottom"/>
            <w:gridSpan w:val="2"/>
          </w:tcPr>
          <w:p>
            <w:pPr>
              <w:jc w:val="right"/>
              <w:ind w:right="100"/>
              <w:spacing w:after="0"/>
              <w:rPr>
                <w:sz w:val="20"/>
                <w:szCs w:val="20"/>
                <w:color w:val="auto"/>
              </w:rPr>
            </w:pPr>
            <w:r>
              <w:rPr>
                <w:rFonts w:ascii="Arial" w:cs="Arial" w:eastAsia="Arial" w:hAnsi="Arial"/>
                <w:sz w:val="18"/>
                <w:szCs w:val="18"/>
                <w:color w:val="auto"/>
              </w:rPr>
              <w:t>170 bps</w:t>
            </w:r>
          </w:p>
        </w:tc>
      </w:tr>
      <w:tr>
        <w:trPr>
          <w:trHeight w:val="216"/>
        </w:trPr>
        <w:tc>
          <w:tcPr>
            <w:tcW w:w="5360" w:type="dxa"/>
            <w:vAlign w:val="bottom"/>
            <w:shd w:val="clear" w:color="auto" w:fill="CCEEFF"/>
          </w:tcPr>
          <w:p>
            <w:pPr>
              <w:spacing w:after="0"/>
              <w:rPr>
                <w:sz w:val="20"/>
                <w:szCs w:val="20"/>
                <w:color w:val="auto"/>
              </w:rPr>
            </w:pPr>
            <w:r>
              <w:rPr>
                <w:rFonts w:ascii="Arial" w:cs="Arial" w:eastAsia="Arial" w:hAnsi="Arial"/>
                <w:sz w:val="18"/>
                <w:szCs w:val="18"/>
                <w:color w:val="auto"/>
              </w:rPr>
              <w:t>Shipments (in tons)</w:t>
            </w:r>
          </w:p>
        </w:tc>
        <w:tc>
          <w:tcPr>
            <w:tcW w:w="2520" w:type="dxa"/>
            <w:vAlign w:val="bottom"/>
            <w:shd w:val="clear" w:color="auto" w:fill="CCEEFF"/>
          </w:tcPr>
          <w:p>
            <w:pPr>
              <w:jc w:val="right"/>
              <w:ind w:right="130"/>
              <w:spacing w:after="0"/>
              <w:rPr>
                <w:sz w:val="20"/>
                <w:szCs w:val="20"/>
                <w:color w:val="auto"/>
              </w:rPr>
            </w:pPr>
            <w:r>
              <w:rPr>
                <w:rFonts w:ascii="Arial" w:cs="Arial" w:eastAsia="Arial" w:hAnsi="Arial"/>
                <w:sz w:val="18"/>
                <w:szCs w:val="18"/>
                <w:b w:val="1"/>
                <w:bCs w:val="1"/>
                <w:color w:val="auto"/>
              </w:rPr>
              <w:t>155,171</w:t>
            </w:r>
          </w:p>
        </w:tc>
        <w:tc>
          <w:tcPr>
            <w:tcW w:w="1260" w:type="dxa"/>
            <w:vAlign w:val="bottom"/>
            <w:shd w:val="clear" w:color="auto" w:fill="CCEEFF"/>
          </w:tcPr>
          <w:p>
            <w:pPr>
              <w:jc w:val="right"/>
              <w:ind w:right="230"/>
              <w:spacing w:after="0"/>
              <w:rPr>
                <w:sz w:val="20"/>
                <w:szCs w:val="20"/>
                <w:color w:val="auto"/>
              </w:rPr>
            </w:pPr>
            <w:r>
              <w:rPr>
                <w:rFonts w:ascii="Arial" w:cs="Arial" w:eastAsia="Arial" w:hAnsi="Arial"/>
                <w:sz w:val="18"/>
                <w:szCs w:val="18"/>
                <w:color w:val="auto"/>
              </w:rPr>
              <w:t>150,733</w:t>
            </w:r>
          </w:p>
        </w:tc>
        <w:tc>
          <w:tcPr>
            <w:tcW w:w="1340" w:type="dxa"/>
            <w:vAlign w:val="bottom"/>
            <w:shd w:val="clear" w:color="auto" w:fill="CCEEFF"/>
          </w:tcPr>
          <w:p>
            <w:pPr>
              <w:jc w:val="right"/>
              <w:ind w:right="210"/>
              <w:spacing w:after="0"/>
              <w:rPr>
                <w:sz w:val="20"/>
                <w:szCs w:val="20"/>
                <w:color w:val="auto"/>
              </w:rPr>
            </w:pPr>
            <w:r>
              <w:rPr>
                <w:rFonts w:ascii="Arial" w:cs="Arial" w:eastAsia="Arial" w:hAnsi="Arial"/>
                <w:sz w:val="18"/>
                <w:szCs w:val="18"/>
                <w:color w:val="auto"/>
              </w:rPr>
              <w:t>4,438</w:t>
            </w: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w:t>
            </w:r>
          </w:p>
        </w:tc>
        <w:tc>
          <w:tcPr>
            <w:tcW w:w="100" w:type="dxa"/>
            <w:vAlign w:val="bottom"/>
            <w:shd w:val="clear" w:color="auto" w:fill="CCEEFF"/>
          </w:tcPr>
          <w:p>
            <w:pPr>
              <w:spacing w:after="0"/>
              <w:rPr>
                <w:sz w:val="18"/>
                <w:szCs w:val="18"/>
                <w:color w:val="auto"/>
              </w:rPr>
            </w:pPr>
          </w:p>
        </w:tc>
      </w:tr>
      <w:tr>
        <w:trPr>
          <w:trHeight w:val="250"/>
        </w:trPr>
        <w:tc>
          <w:tcPr>
            <w:tcW w:w="536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Average selling price per ton, including surcharges</w:t>
            </w:r>
          </w:p>
        </w:tc>
        <w:tc>
          <w:tcPr>
            <w:tcW w:w="2520" w:type="dxa"/>
            <w:vAlign w:val="bottom"/>
            <w:tcBorders>
              <w:bottom w:val="single" w:sz="8" w:color="auto"/>
            </w:tcBorders>
          </w:tcPr>
          <w:p>
            <w:pPr>
              <w:jc w:val="right"/>
              <w:ind w:right="130"/>
              <w:spacing w:after="0"/>
              <w:rPr>
                <w:sz w:val="20"/>
                <w:szCs w:val="20"/>
                <w:color w:val="auto"/>
              </w:rPr>
            </w:pPr>
            <w:r>
              <w:rPr>
                <w:rFonts w:ascii="Arial" w:cs="Arial" w:eastAsia="Arial" w:hAnsi="Arial"/>
                <w:sz w:val="18"/>
                <w:szCs w:val="18"/>
                <w:b w:val="1"/>
                <w:bCs w:val="1"/>
                <w:color w:val="auto"/>
              </w:rPr>
              <w:t>$1,494</w:t>
            </w:r>
          </w:p>
        </w:tc>
        <w:tc>
          <w:tcPr>
            <w:tcW w:w="1260" w:type="dxa"/>
            <w:vAlign w:val="bottom"/>
            <w:tcBorders>
              <w:bottom w:val="single" w:sz="8" w:color="auto"/>
            </w:tcBorders>
          </w:tcPr>
          <w:p>
            <w:pPr>
              <w:jc w:val="right"/>
              <w:ind w:right="230"/>
              <w:spacing w:after="0"/>
              <w:rPr>
                <w:sz w:val="20"/>
                <w:szCs w:val="20"/>
                <w:color w:val="auto"/>
              </w:rPr>
            </w:pPr>
            <w:r>
              <w:rPr>
                <w:rFonts w:ascii="Arial" w:cs="Arial" w:eastAsia="Arial" w:hAnsi="Arial"/>
                <w:sz w:val="18"/>
                <w:szCs w:val="18"/>
                <w:color w:val="auto"/>
              </w:rPr>
              <w:t>$1,445</w:t>
            </w:r>
          </w:p>
        </w:tc>
        <w:tc>
          <w:tcPr>
            <w:tcW w:w="1340" w:type="dxa"/>
            <w:vAlign w:val="bottom"/>
            <w:tcBorders>
              <w:bottom w:val="single" w:sz="8" w:color="auto"/>
            </w:tcBorders>
          </w:tcPr>
          <w:p>
            <w:pPr>
              <w:jc w:val="right"/>
              <w:ind w:right="210"/>
              <w:spacing w:after="0"/>
              <w:rPr>
                <w:sz w:val="20"/>
                <w:szCs w:val="20"/>
                <w:color w:val="auto"/>
              </w:rPr>
            </w:pPr>
            <w:r>
              <w:rPr>
                <w:rFonts w:ascii="Arial" w:cs="Arial" w:eastAsia="Arial" w:hAnsi="Arial"/>
                <w:sz w:val="18"/>
                <w:szCs w:val="18"/>
                <w:color w:val="auto"/>
              </w:rPr>
              <w:t>$49</w:t>
            </w: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w:t>
            </w:r>
          </w:p>
        </w:tc>
        <w:tc>
          <w:tcPr>
            <w:tcW w:w="100" w:type="dxa"/>
            <w:vAlign w:val="bottom"/>
          </w:tcPr>
          <w:p>
            <w:pPr>
              <w:spacing w:after="0"/>
              <w:rPr>
                <w:sz w:val="21"/>
                <w:szCs w:val="21"/>
                <w:color w:val="auto"/>
              </w:rPr>
            </w:pPr>
          </w:p>
        </w:tc>
      </w:tr>
    </w:tbl>
    <w:p>
      <w:pPr>
        <w:spacing w:after="0" w:line="256" w:lineRule="exact"/>
        <w:rPr>
          <w:sz w:val="20"/>
          <w:szCs w:val="20"/>
          <w:color w:val="auto"/>
        </w:rPr>
      </w:pPr>
    </w:p>
    <w:p>
      <w:pPr>
        <w:jc w:val="both"/>
        <w:ind w:right="700" w:firstLine="913"/>
        <w:spacing w:after="0" w:line="312" w:lineRule="auto"/>
        <w:rPr>
          <w:sz w:val="20"/>
          <w:szCs w:val="20"/>
          <w:color w:val="auto"/>
        </w:rPr>
      </w:pPr>
      <w:r>
        <w:rPr>
          <w:rFonts w:ascii="Arial" w:cs="Arial" w:eastAsia="Arial" w:hAnsi="Arial"/>
          <w:sz w:val="16"/>
          <w:szCs w:val="16"/>
          <w:color w:val="auto"/>
        </w:rPr>
        <w:t>Industrial &amp; Mobile segment sales increased 6% in the first three months of 2014 compared to the first three months of 2013. Excluding surcharges, net sales increased 3%. The increase was primarily driven by higher volume. The volume increase was driven by higher shipments to the industrial OE manufacturing end-market sector, partially offset by a decrease in shipments to the mobile end-market sector.</w:t>
      </w:r>
    </w:p>
    <w:p>
      <w:pPr>
        <w:spacing w:after="0" w:line="187" w:lineRule="exact"/>
        <w:rPr>
          <w:sz w:val="20"/>
          <w:szCs w:val="20"/>
          <w:color w:val="auto"/>
        </w:rPr>
      </w:pPr>
    </w:p>
    <w:p>
      <w:pPr>
        <w:ind w:right="800" w:firstLine="913"/>
        <w:spacing w:after="0" w:line="342" w:lineRule="auto"/>
        <w:rPr>
          <w:sz w:val="20"/>
          <w:szCs w:val="20"/>
          <w:color w:val="auto"/>
        </w:rPr>
      </w:pPr>
      <w:r>
        <w:rPr>
          <w:rFonts w:ascii="Arial" w:cs="Arial" w:eastAsia="Arial" w:hAnsi="Arial"/>
          <w:sz w:val="16"/>
          <w:szCs w:val="16"/>
          <w:color w:val="auto"/>
        </w:rPr>
        <w:t>EBIT increased by $5.5 million in the first three months of 2014 compared to the same period in 2013 due to higher volume and lower manufacturing expense resulting from better manufacturing performance, partially offset by higher raw material costs and LIFO expense.</w:t>
      </w:r>
    </w:p>
    <w:p>
      <w:pPr>
        <w:spacing w:after="0" w:line="199" w:lineRule="exact"/>
        <w:rPr>
          <w:sz w:val="20"/>
          <w:szCs w:val="20"/>
          <w:color w:val="auto"/>
        </w:rPr>
      </w:pPr>
    </w:p>
    <w:tbl>
      <w:tblPr>
        <w:tblLayout w:type="fixed"/>
        <w:tblInd w:w="0" w:type="dxa"/>
        <w:tblCellMar>
          <w:top w:w="0" w:type="dxa"/>
          <w:left w:w="0" w:type="dxa"/>
          <w:bottom w:w="0" w:type="dxa"/>
          <w:right w:w="0" w:type="dxa"/>
        </w:tblCellMar>
      </w:tblPr>
      <w:tr>
        <w:trPr>
          <w:trHeight w:val="243"/>
        </w:trPr>
        <w:tc>
          <w:tcPr>
            <w:tcW w:w="536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b w:val="1"/>
                <w:bCs w:val="1"/>
                <w:color w:val="auto"/>
              </w:rPr>
              <w:t>Energy &amp; Distribution</w:t>
            </w:r>
          </w:p>
        </w:tc>
        <w:tc>
          <w:tcPr>
            <w:tcW w:w="2480" w:type="dxa"/>
            <w:vAlign w:val="bottom"/>
            <w:tcBorders>
              <w:top w:val="single" w:sz="8" w:color="auto"/>
              <w:bottom w:val="single" w:sz="8" w:color="auto"/>
            </w:tcBorders>
          </w:tcPr>
          <w:p>
            <w:pPr>
              <w:spacing w:after="0"/>
              <w:rPr>
                <w:sz w:val="21"/>
                <w:szCs w:val="21"/>
                <w:color w:val="auto"/>
              </w:rPr>
            </w:pPr>
          </w:p>
        </w:tc>
        <w:tc>
          <w:tcPr>
            <w:tcW w:w="3480" w:type="dxa"/>
            <w:vAlign w:val="bottom"/>
            <w:tcBorders>
              <w:top w:val="single" w:sz="8" w:color="auto"/>
              <w:bottom w:val="single" w:sz="8" w:color="auto"/>
            </w:tcBorders>
            <w:gridSpan w:val="3"/>
          </w:tcPr>
          <w:p>
            <w:pPr>
              <w:jc w:val="right"/>
              <w:ind w:right="830"/>
              <w:spacing w:after="0"/>
              <w:rPr>
                <w:sz w:val="20"/>
                <w:szCs w:val="20"/>
                <w:color w:val="auto"/>
              </w:rPr>
            </w:pPr>
            <w:r>
              <w:rPr>
                <w:rFonts w:ascii="Arial" w:cs="Arial" w:eastAsia="Arial" w:hAnsi="Arial"/>
                <w:sz w:val="18"/>
                <w:szCs w:val="18"/>
                <w:b w:val="1"/>
                <w:bCs w:val="1"/>
                <w:color w:val="auto"/>
                <w:w w:val="95"/>
              </w:rPr>
              <w:t>Three Months Ended March 31,</w:t>
            </w:r>
          </w:p>
        </w:tc>
        <w:tc>
          <w:tcPr>
            <w:tcW w:w="100" w:type="dxa"/>
            <w:vAlign w:val="bottom"/>
          </w:tcPr>
          <w:p>
            <w:pPr>
              <w:spacing w:after="0"/>
              <w:rPr>
                <w:sz w:val="21"/>
                <w:szCs w:val="21"/>
                <w:color w:val="auto"/>
              </w:rPr>
            </w:pPr>
          </w:p>
        </w:tc>
      </w:tr>
      <w:tr>
        <w:trPr>
          <w:trHeight w:val="223"/>
        </w:trPr>
        <w:tc>
          <w:tcPr>
            <w:tcW w:w="5360" w:type="dxa"/>
            <w:vAlign w:val="bottom"/>
          </w:tcPr>
          <w:p>
            <w:pPr>
              <w:spacing w:after="0"/>
              <w:rPr>
                <w:sz w:val="19"/>
                <w:szCs w:val="19"/>
                <w:color w:val="auto"/>
              </w:rPr>
            </w:pPr>
          </w:p>
        </w:tc>
        <w:tc>
          <w:tcPr>
            <w:tcW w:w="2480" w:type="dxa"/>
            <w:vAlign w:val="bottom"/>
          </w:tcPr>
          <w:p>
            <w:pPr>
              <w:jc w:val="right"/>
              <w:ind w:right="330"/>
              <w:spacing w:after="0"/>
              <w:rPr>
                <w:sz w:val="20"/>
                <w:szCs w:val="20"/>
                <w:color w:val="auto"/>
              </w:rPr>
            </w:pPr>
            <w:r>
              <w:rPr>
                <w:rFonts w:ascii="Arial" w:cs="Arial" w:eastAsia="Arial" w:hAnsi="Arial"/>
                <w:sz w:val="18"/>
                <w:szCs w:val="18"/>
                <w:b w:val="1"/>
                <w:bCs w:val="1"/>
                <w:color w:val="auto"/>
              </w:rPr>
              <w:t>2014</w:t>
            </w:r>
          </w:p>
        </w:tc>
        <w:tc>
          <w:tcPr>
            <w:tcW w:w="1120" w:type="dxa"/>
            <w:vAlign w:val="bottom"/>
          </w:tcPr>
          <w:p>
            <w:pPr>
              <w:jc w:val="right"/>
              <w:ind w:right="390"/>
              <w:spacing w:after="0"/>
              <w:rPr>
                <w:sz w:val="20"/>
                <w:szCs w:val="20"/>
                <w:color w:val="auto"/>
              </w:rPr>
            </w:pPr>
            <w:r>
              <w:rPr>
                <w:rFonts w:ascii="Arial" w:cs="Arial" w:eastAsia="Arial" w:hAnsi="Arial"/>
                <w:sz w:val="18"/>
                <w:szCs w:val="18"/>
                <w:color w:val="auto"/>
              </w:rPr>
              <w:t>2013</w:t>
            </w:r>
          </w:p>
        </w:tc>
        <w:tc>
          <w:tcPr>
            <w:tcW w:w="1240" w:type="dxa"/>
            <w:vAlign w:val="bottom"/>
          </w:tcPr>
          <w:p>
            <w:pPr>
              <w:jc w:val="right"/>
              <w:ind w:right="290"/>
              <w:spacing w:after="0"/>
              <w:rPr>
                <w:sz w:val="20"/>
                <w:szCs w:val="20"/>
                <w:color w:val="auto"/>
              </w:rPr>
            </w:pPr>
            <w:r>
              <w:rPr>
                <w:rFonts w:ascii="Arial" w:cs="Arial" w:eastAsia="Arial" w:hAnsi="Arial"/>
                <w:sz w:val="18"/>
                <w:szCs w:val="18"/>
                <w:color w:val="auto"/>
              </w:rPr>
              <w:t>$ Change</w:t>
            </w:r>
          </w:p>
        </w:tc>
        <w:tc>
          <w:tcPr>
            <w:tcW w:w="1120" w:type="dxa"/>
            <w:vAlign w:val="bottom"/>
          </w:tcPr>
          <w:p>
            <w:pPr>
              <w:jc w:val="right"/>
              <w:ind w:right="90"/>
              <w:spacing w:after="0"/>
              <w:rPr>
                <w:sz w:val="20"/>
                <w:szCs w:val="20"/>
                <w:color w:val="auto"/>
              </w:rPr>
            </w:pPr>
            <w:r>
              <w:rPr>
                <w:rFonts w:ascii="Arial" w:cs="Arial" w:eastAsia="Arial" w:hAnsi="Arial"/>
                <w:sz w:val="18"/>
                <w:szCs w:val="18"/>
                <w:color w:val="auto"/>
              </w:rPr>
              <w:t>% Change</w:t>
            </w:r>
          </w:p>
        </w:tc>
        <w:tc>
          <w:tcPr>
            <w:tcW w:w="100" w:type="dxa"/>
            <w:vAlign w:val="bottom"/>
          </w:tcPr>
          <w:p>
            <w:pPr>
              <w:spacing w:after="0"/>
              <w:rPr>
                <w:sz w:val="19"/>
                <w:szCs w:val="19"/>
                <w:color w:val="auto"/>
              </w:rPr>
            </w:pPr>
          </w:p>
        </w:tc>
      </w:tr>
      <w:tr>
        <w:trPr>
          <w:trHeight w:val="216"/>
        </w:trPr>
        <w:tc>
          <w:tcPr>
            <w:tcW w:w="5360" w:type="dxa"/>
            <w:vAlign w:val="bottom"/>
            <w:shd w:val="clear" w:color="auto" w:fill="CCEEFF"/>
          </w:tcPr>
          <w:p>
            <w:pPr>
              <w:spacing w:after="0"/>
              <w:rPr>
                <w:sz w:val="20"/>
                <w:szCs w:val="20"/>
                <w:color w:val="auto"/>
              </w:rPr>
            </w:pPr>
            <w:r>
              <w:rPr>
                <w:rFonts w:ascii="Arial" w:cs="Arial" w:eastAsia="Arial" w:hAnsi="Arial"/>
                <w:sz w:val="18"/>
                <w:szCs w:val="18"/>
                <w:color w:val="auto"/>
              </w:rPr>
              <w:t>Net sales, including intersegment sales</w:t>
            </w:r>
          </w:p>
        </w:tc>
        <w:tc>
          <w:tcPr>
            <w:tcW w:w="2480" w:type="dxa"/>
            <w:vAlign w:val="bottom"/>
            <w:shd w:val="clear" w:color="auto" w:fill="CCEEFF"/>
          </w:tcPr>
          <w:p>
            <w:pPr>
              <w:jc w:val="right"/>
              <w:ind w:right="170"/>
              <w:spacing w:after="0"/>
              <w:rPr>
                <w:sz w:val="20"/>
                <w:szCs w:val="20"/>
                <w:color w:val="auto"/>
              </w:rPr>
            </w:pPr>
            <w:r>
              <w:rPr>
                <w:rFonts w:ascii="Arial" w:cs="Arial" w:eastAsia="Arial" w:hAnsi="Arial"/>
                <w:sz w:val="18"/>
                <w:szCs w:val="18"/>
                <w:b w:val="1"/>
                <w:bCs w:val="1"/>
                <w:color w:val="auto"/>
              </w:rPr>
              <w:t>$157.7</w:t>
            </w:r>
          </w:p>
        </w:tc>
        <w:tc>
          <w:tcPr>
            <w:tcW w:w="1120" w:type="dxa"/>
            <w:vAlign w:val="bottom"/>
            <w:shd w:val="clear" w:color="auto" w:fill="CCEEFF"/>
          </w:tcPr>
          <w:p>
            <w:pPr>
              <w:jc w:val="right"/>
              <w:ind w:right="230"/>
              <w:spacing w:after="0"/>
              <w:rPr>
                <w:sz w:val="20"/>
                <w:szCs w:val="20"/>
                <w:color w:val="auto"/>
              </w:rPr>
            </w:pPr>
            <w:r>
              <w:rPr>
                <w:rFonts w:ascii="Arial" w:cs="Arial" w:eastAsia="Arial" w:hAnsi="Arial"/>
                <w:sz w:val="18"/>
                <w:szCs w:val="18"/>
                <w:color w:val="auto"/>
              </w:rPr>
              <w:t>$128.5</w:t>
            </w:r>
          </w:p>
        </w:tc>
        <w:tc>
          <w:tcPr>
            <w:tcW w:w="1240" w:type="dxa"/>
            <w:vAlign w:val="bottom"/>
            <w:shd w:val="clear" w:color="auto" w:fill="CCEEFF"/>
          </w:tcPr>
          <w:p>
            <w:pPr>
              <w:jc w:val="right"/>
              <w:ind w:right="110"/>
              <w:spacing w:after="0"/>
              <w:rPr>
                <w:sz w:val="20"/>
                <w:szCs w:val="20"/>
                <w:color w:val="auto"/>
              </w:rPr>
            </w:pPr>
            <w:r>
              <w:rPr>
                <w:rFonts w:ascii="Arial" w:cs="Arial" w:eastAsia="Arial" w:hAnsi="Arial"/>
                <w:sz w:val="18"/>
                <w:szCs w:val="18"/>
                <w:color w:val="auto"/>
              </w:rPr>
              <w:t>$29.2</w:t>
            </w:r>
          </w:p>
        </w:tc>
        <w:tc>
          <w:tcPr>
            <w:tcW w:w="12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23%</w:t>
            </w:r>
          </w:p>
        </w:tc>
      </w:tr>
      <w:tr>
        <w:trPr>
          <w:trHeight w:val="216"/>
        </w:trPr>
        <w:tc>
          <w:tcPr>
            <w:tcW w:w="5360" w:type="dxa"/>
            <w:vAlign w:val="bottom"/>
          </w:tcPr>
          <w:p>
            <w:pPr>
              <w:spacing w:after="0"/>
              <w:rPr>
                <w:sz w:val="20"/>
                <w:szCs w:val="20"/>
                <w:color w:val="auto"/>
              </w:rPr>
            </w:pPr>
            <w:r>
              <w:rPr>
                <w:rFonts w:ascii="Arial" w:cs="Arial" w:eastAsia="Arial" w:hAnsi="Arial"/>
                <w:sz w:val="18"/>
                <w:szCs w:val="18"/>
                <w:color w:val="auto"/>
              </w:rPr>
              <w:t>Net sales, excluding surcharges</w:t>
            </w:r>
          </w:p>
        </w:tc>
        <w:tc>
          <w:tcPr>
            <w:tcW w:w="2480" w:type="dxa"/>
            <w:vAlign w:val="bottom"/>
          </w:tcPr>
          <w:p>
            <w:pPr>
              <w:jc w:val="right"/>
              <w:ind w:right="170"/>
              <w:spacing w:after="0"/>
              <w:rPr>
                <w:sz w:val="20"/>
                <w:szCs w:val="20"/>
                <w:color w:val="auto"/>
              </w:rPr>
            </w:pPr>
            <w:r>
              <w:rPr>
                <w:rFonts w:ascii="Arial" w:cs="Arial" w:eastAsia="Arial" w:hAnsi="Arial"/>
                <w:sz w:val="18"/>
                <w:szCs w:val="18"/>
                <w:b w:val="1"/>
                <w:bCs w:val="1"/>
                <w:color w:val="auto"/>
              </w:rPr>
              <w:t>120.7</w:t>
            </w:r>
          </w:p>
        </w:tc>
        <w:tc>
          <w:tcPr>
            <w:tcW w:w="1120" w:type="dxa"/>
            <w:vAlign w:val="bottom"/>
          </w:tcPr>
          <w:p>
            <w:pPr>
              <w:jc w:val="right"/>
              <w:ind w:right="230"/>
              <w:spacing w:after="0"/>
              <w:rPr>
                <w:sz w:val="20"/>
                <w:szCs w:val="20"/>
                <w:color w:val="auto"/>
              </w:rPr>
            </w:pPr>
            <w:r>
              <w:rPr>
                <w:rFonts w:ascii="Arial" w:cs="Arial" w:eastAsia="Arial" w:hAnsi="Arial"/>
                <w:sz w:val="18"/>
                <w:szCs w:val="18"/>
                <w:color w:val="auto"/>
              </w:rPr>
              <w:t>100.1</w:t>
            </w:r>
          </w:p>
        </w:tc>
        <w:tc>
          <w:tcPr>
            <w:tcW w:w="1240" w:type="dxa"/>
            <w:vAlign w:val="bottom"/>
          </w:tcPr>
          <w:p>
            <w:pPr>
              <w:jc w:val="right"/>
              <w:ind w:right="110"/>
              <w:spacing w:after="0"/>
              <w:rPr>
                <w:sz w:val="20"/>
                <w:szCs w:val="20"/>
                <w:color w:val="auto"/>
              </w:rPr>
            </w:pPr>
            <w:r>
              <w:rPr>
                <w:rFonts w:ascii="Arial" w:cs="Arial" w:eastAsia="Arial" w:hAnsi="Arial"/>
                <w:sz w:val="18"/>
                <w:szCs w:val="18"/>
                <w:color w:val="auto"/>
              </w:rPr>
              <w:t>20.6</w:t>
            </w:r>
          </w:p>
        </w:tc>
        <w:tc>
          <w:tcPr>
            <w:tcW w:w="1220" w:type="dxa"/>
            <w:vAlign w:val="bottom"/>
            <w:gridSpan w:val="2"/>
          </w:tcPr>
          <w:p>
            <w:pPr>
              <w:jc w:val="right"/>
              <w:ind w:right="100"/>
              <w:spacing w:after="0"/>
              <w:rPr>
                <w:sz w:val="20"/>
                <w:szCs w:val="20"/>
                <w:color w:val="auto"/>
              </w:rPr>
            </w:pPr>
            <w:r>
              <w:rPr>
                <w:rFonts w:ascii="Arial" w:cs="Arial" w:eastAsia="Arial" w:hAnsi="Arial"/>
                <w:sz w:val="18"/>
                <w:szCs w:val="18"/>
                <w:color w:val="auto"/>
              </w:rPr>
              <w:t>21%</w:t>
            </w:r>
          </w:p>
        </w:tc>
      </w:tr>
      <w:tr>
        <w:trPr>
          <w:trHeight w:val="216"/>
        </w:trPr>
        <w:tc>
          <w:tcPr>
            <w:tcW w:w="5360" w:type="dxa"/>
            <w:vAlign w:val="bottom"/>
            <w:shd w:val="clear" w:color="auto" w:fill="CCEEFF"/>
          </w:tcPr>
          <w:p>
            <w:pPr>
              <w:spacing w:after="0"/>
              <w:rPr>
                <w:sz w:val="20"/>
                <w:szCs w:val="20"/>
                <w:color w:val="auto"/>
              </w:rPr>
            </w:pPr>
            <w:r>
              <w:rPr>
                <w:rFonts w:ascii="Arial" w:cs="Arial" w:eastAsia="Arial" w:hAnsi="Arial"/>
                <w:sz w:val="18"/>
                <w:szCs w:val="18"/>
                <w:color w:val="auto"/>
              </w:rPr>
              <w:t>EBIT</w:t>
            </w:r>
          </w:p>
        </w:tc>
        <w:tc>
          <w:tcPr>
            <w:tcW w:w="2480" w:type="dxa"/>
            <w:vAlign w:val="bottom"/>
            <w:shd w:val="clear" w:color="auto" w:fill="CCEEFF"/>
          </w:tcPr>
          <w:p>
            <w:pPr>
              <w:jc w:val="right"/>
              <w:ind w:right="170"/>
              <w:spacing w:after="0"/>
              <w:rPr>
                <w:sz w:val="20"/>
                <w:szCs w:val="20"/>
                <w:color w:val="auto"/>
              </w:rPr>
            </w:pPr>
            <w:r>
              <w:rPr>
                <w:rFonts w:ascii="Arial" w:cs="Arial" w:eastAsia="Arial" w:hAnsi="Arial"/>
                <w:sz w:val="18"/>
                <w:szCs w:val="18"/>
                <w:b w:val="1"/>
                <w:bCs w:val="1"/>
                <w:color w:val="auto"/>
              </w:rPr>
              <w:t>31.2</w:t>
            </w:r>
          </w:p>
        </w:tc>
        <w:tc>
          <w:tcPr>
            <w:tcW w:w="1120" w:type="dxa"/>
            <w:vAlign w:val="bottom"/>
            <w:shd w:val="clear" w:color="auto" w:fill="CCEEFF"/>
          </w:tcPr>
          <w:p>
            <w:pPr>
              <w:jc w:val="right"/>
              <w:ind w:right="230"/>
              <w:spacing w:after="0"/>
              <w:rPr>
                <w:sz w:val="20"/>
                <w:szCs w:val="20"/>
                <w:color w:val="auto"/>
              </w:rPr>
            </w:pPr>
            <w:r>
              <w:rPr>
                <w:rFonts w:ascii="Arial" w:cs="Arial" w:eastAsia="Arial" w:hAnsi="Arial"/>
                <w:sz w:val="18"/>
                <w:szCs w:val="18"/>
                <w:color w:val="auto"/>
              </w:rPr>
              <w:t>16.0</w:t>
            </w:r>
          </w:p>
        </w:tc>
        <w:tc>
          <w:tcPr>
            <w:tcW w:w="1240" w:type="dxa"/>
            <w:vAlign w:val="bottom"/>
            <w:shd w:val="clear" w:color="auto" w:fill="CCEEFF"/>
          </w:tcPr>
          <w:p>
            <w:pPr>
              <w:jc w:val="right"/>
              <w:ind w:right="110"/>
              <w:spacing w:after="0"/>
              <w:rPr>
                <w:sz w:val="20"/>
                <w:szCs w:val="20"/>
                <w:color w:val="auto"/>
              </w:rPr>
            </w:pPr>
            <w:r>
              <w:rPr>
                <w:rFonts w:ascii="Arial" w:cs="Arial" w:eastAsia="Arial" w:hAnsi="Arial"/>
                <w:sz w:val="18"/>
                <w:szCs w:val="18"/>
                <w:color w:val="auto"/>
              </w:rPr>
              <w:t>15.2</w:t>
            </w:r>
          </w:p>
        </w:tc>
        <w:tc>
          <w:tcPr>
            <w:tcW w:w="12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95%</w:t>
            </w:r>
          </w:p>
        </w:tc>
      </w:tr>
      <w:tr>
        <w:trPr>
          <w:trHeight w:val="216"/>
        </w:trPr>
        <w:tc>
          <w:tcPr>
            <w:tcW w:w="5360" w:type="dxa"/>
            <w:vAlign w:val="bottom"/>
          </w:tcPr>
          <w:p>
            <w:pPr>
              <w:spacing w:after="0"/>
              <w:rPr>
                <w:sz w:val="20"/>
                <w:szCs w:val="20"/>
                <w:color w:val="auto"/>
              </w:rPr>
            </w:pPr>
            <w:r>
              <w:rPr>
                <w:rFonts w:ascii="Arial" w:cs="Arial" w:eastAsia="Arial" w:hAnsi="Arial"/>
                <w:sz w:val="18"/>
                <w:szCs w:val="18"/>
                <w:color w:val="auto"/>
              </w:rPr>
              <w:t>EBIT margin</w:t>
            </w:r>
          </w:p>
        </w:tc>
        <w:tc>
          <w:tcPr>
            <w:tcW w:w="2480" w:type="dxa"/>
            <w:vAlign w:val="bottom"/>
          </w:tcPr>
          <w:p>
            <w:pPr>
              <w:jc w:val="right"/>
              <w:spacing w:after="0"/>
              <w:rPr>
                <w:sz w:val="20"/>
                <w:szCs w:val="20"/>
                <w:color w:val="auto"/>
              </w:rPr>
            </w:pPr>
            <w:r>
              <w:rPr>
                <w:rFonts w:ascii="Arial" w:cs="Arial" w:eastAsia="Arial" w:hAnsi="Arial"/>
                <w:sz w:val="18"/>
                <w:szCs w:val="18"/>
                <w:b w:val="1"/>
                <w:bCs w:val="1"/>
                <w:color w:val="auto"/>
              </w:rPr>
              <w:t>19.8%</w:t>
            </w:r>
          </w:p>
        </w:tc>
        <w:tc>
          <w:tcPr>
            <w:tcW w:w="1120" w:type="dxa"/>
            <w:vAlign w:val="bottom"/>
          </w:tcPr>
          <w:p>
            <w:pPr>
              <w:jc w:val="right"/>
              <w:ind w:right="90"/>
              <w:spacing w:after="0"/>
              <w:rPr>
                <w:sz w:val="20"/>
                <w:szCs w:val="20"/>
                <w:color w:val="auto"/>
              </w:rPr>
            </w:pPr>
            <w:r>
              <w:rPr>
                <w:rFonts w:ascii="Arial" w:cs="Arial" w:eastAsia="Arial" w:hAnsi="Arial"/>
                <w:sz w:val="18"/>
                <w:szCs w:val="18"/>
                <w:color w:val="auto"/>
              </w:rPr>
              <w:t>12.5%</w:t>
            </w:r>
          </w:p>
        </w:tc>
        <w:tc>
          <w:tcPr>
            <w:tcW w:w="1240" w:type="dxa"/>
            <w:vAlign w:val="bottom"/>
          </w:tcPr>
          <w:p>
            <w:pPr>
              <w:jc w:val="right"/>
              <w:ind w:right="110"/>
              <w:spacing w:after="0"/>
              <w:rPr>
                <w:sz w:val="20"/>
                <w:szCs w:val="20"/>
                <w:color w:val="auto"/>
              </w:rPr>
            </w:pPr>
            <w:r>
              <w:rPr>
                <w:rFonts w:ascii="Arial" w:cs="Arial" w:eastAsia="Arial" w:hAnsi="Arial"/>
                <w:sz w:val="18"/>
                <w:szCs w:val="18"/>
                <w:color w:val="auto"/>
              </w:rPr>
              <w:t>NM</w:t>
            </w:r>
          </w:p>
        </w:tc>
        <w:tc>
          <w:tcPr>
            <w:tcW w:w="1220" w:type="dxa"/>
            <w:vAlign w:val="bottom"/>
            <w:gridSpan w:val="2"/>
          </w:tcPr>
          <w:p>
            <w:pPr>
              <w:jc w:val="right"/>
              <w:ind w:right="140"/>
              <w:spacing w:after="0"/>
              <w:rPr>
                <w:sz w:val="20"/>
                <w:szCs w:val="20"/>
                <w:color w:val="auto"/>
              </w:rPr>
            </w:pPr>
            <w:r>
              <w:rPr>
                <w:rFonts w:ascii="Arial" w:cs="Arial" w:eastAsia="Arial" w:hAnsi="Arial"/>
                <w:sz w:val="18"/>
                <w:szCs w:val="18"/>
                <w:color w:val="auto"/>
              </w:rPr>
              <w:t>730 bps</w:t>
            </w:r>
          </w:p>
        </w:tc>
      </w:tr>
      <w:tr>
        <w:trPr>
          <w:trHeight w:val="216"/>
        </w:trPr>
        <w:tc>
          <w:tcPr>
            <w:tcW w:w="5360" w:type="dxa"/>
            <w:vAlign w:val="bottom"/>
            <w:shd w:val="clear" w:color="auto" w:fill="CCEEFF"/>
          </w:tcPr>
          <w:p>
            <w:pPr>
              <w:spacing w:after="0"/>
              <w:rPr>
                <w:sz w:val="20"/>
                <w:szCs w:val="20"/>
                <w:color w:val="auto"/>
              </w:rPr>
            </w:pPr>
            <w:r>
              <w:rPr>
                <w:rFonts w:ascii="Arial" w:cs="Arial" w:eastAsia="Arial" w:hAnsi="Arial"/>
                <w:sz w:val="18"/>
                <w:szCs w:val="18"/>
                <w:color w:val="auto"/>
              </w:rPr>
              <w:t>Shipments (in tons)</w:t>
            </w:r>
          </w:p>
        </w:tc>
        <w:tc>
          <w:tcPr>
            <w:tcW w:w="2480" w:type="dxa"/>
            <w:vAlign w:val="bottom"/>
            <w:shd w:val="clear" w:color="auto" w:fill="CCEEFF"/>
          </w:tcPr>
          <w:p>
            <w:pPr>
              <w:jc w:val="right"/>
              <w:ind w:right="170"/>
              <w:spacing w:after="0"/>
              <w:rPr>
                <w:sz w:val="20"/>
                <w:szCs w:val="20"/>
                <w:color w:val="auto"/>
              </w:rPr>
            </w:pPr>
            <w:r>
              <w:rPr>
                <w:rFonts w:ascii="Arial" w:cs="Arial" w:eastAsia="Arial" w:hAnsi="Arial"/>
                <w:sz w:val="18"/>
                <w:szCs w:val="18"/>
                <w:b w:val="1"/>
                <w:bCs w:val="1"/>
                <w:color w:val="auto"/>
              </w:rPr>
              <w:t>96,086</w:t>
            </w:r>
          </w:p>
        </w:tc>
        <w:tc>
          <w:tcPr>
            <w:tcW w:w="1120" w:type="dxa"/>
            <w:vAlign w:val="bottom"/>
            <w:shd w:val="clear" w:color="auto" w:fill="CCEEFF"/>
          </w:tcPr>
          <w:p>
            <w:pPr>
              <w:jc w:val="right"/>
              <w:ind w:right="230"/>
              <w:spacing w:after="0"/>
              <w:rPr>
                <w:sz w:val="20"/>
                <w:szCs w:val="20"/>
                <w:color w:val="auto"/>
              </w:rPr>
            </w:pPr>
            <w:r>
              <w:rPr>
                <w:rFonts w:ascii="Arial" w:cs="Arial" w:eastAsia="Arial" w:hAnsi="Arial"/>
                <w:sz w:val="18"/>
                <w:szCs w:val="18"/>
                <w:color w:val="auto"/>
              </w:rPr>
              <w:t>82,050</w:t>
            </w:r>
          </w:p>
        </w:tc>
        <w:tc>
          <w:tcPr>
            <w:tcW w:w="1240" w:type="dxa"/>
            <w:vAlign w:val="bottom"/>
            <w:shd w:val="clear" w:color="auto" w:fill="CCEEFF"/>
          </w:tcPr>
          <w:p>
            <w:pPr>
              <w:jc w:val="right"/>
              <w:ind w:right="110"/>
              <w:spacing w:after="0"/>
              <w:rPr>
                <w:sz w:val="20"/>
                <w:szCs w:val="20"/>
                <w:color w:val="auto"/>
              </w:rPr>
            </w:pPr>
            <w:r>
              <w:rPr>
                <w:rFonts w:ascii="Arial" w:cs="Arial" w:eastAsia="Arial" w:hAnsi="Arial"/>
                <w:sz w:val="18"/>
                <w:szCs w:val="18"/>
                <w:color w:val="auto"/>
              </w:rPr>
              <w:t>14,036</w:t>
            </w:r>
          </w:p>
        </w:tc>
        <w:tc>
          <w:tcPr>
            <w:tcW w:w="12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17%</w:t>
            </w:r>
          </w:p>
        </w:tc>
      </w:tr>
      <w:tr>
        <w:trPr>
          <w:trHeight w:val="250"/>
        </w:trPr>
        <w:tc>
          <w:tcPr>
            <w:tcW w:w="536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Average selling price per ton, including surcharges</w:t>
            </w:r>
          </w:p>
        </w:tc>
        <w:tc>
          <w:tcPr>
            <w:tcW w:w="2480" w:type="dxa"/>
            <w:vAlign w:val="bottom"/>
            <w:tcBorders>
              <w:bottom w:val="single" w:sz="8" w:color="auto"/>
            </w:tcBorders>
          </w:tcPr>
          <w:p>
            <w:pPr>
              <w:jc w:val="right"/>
              <w:ind w:right="170"/>
              <w:spacing w:after="0"/>
              <w:rPr>
                <w:sz w:val="20"/>
                <w:szCs w:val="20"/>
                <w:color w:val="auto"/>
              </w:rPr>
            </w:pPr>
            <w:r>
              <w:rPr>
                <w:rFonts w:ascii="Arial" w:cs="Arial" w:eastAsia="Arial" w:hAnsi="Arial"/>
                <w:sz w:val="18"/>
                <w:szCs w:val="18"/>
                <w:b w:val="1"/>
                <w:bCs w:val="1"/>
                <w:color w:val="auto"/>
              </w:rPr>
              <w:t>$1,641</w:t>
            </w:r>
          </w:p>
        </w:tc>
        <w:tc>
          <w:tcPr>
            <w:tcW w:w="1120" w:type="dxa"/>
            <w:vAlign w:val="bottom"/>
            <w:tcBorders>
              <w:bottom w:val="single" w:sz="8" w:color="auto"/>
            </w:tcBorders>
          </w:tcPr>
          <w:p>
            <w:pPr>
              <w:jc w:val="right"/>
              <w:ind w:right="230"/>
              <w:spacing w:after="0"/>
              <w:rPr>
                <w:sz w:val="20"/>
                <w:szCs w:val="20"/>
                <w:color w:val="auto"/>
              </w:rPr>
            </w:pPr>
            <w:r>
              <w:rPr>
                <w:rFonts w:ascii="Arial" w:cs="Arial" w:eastAsia="Arial" w:hAnsi="Arial"/>
                <w:sz w:val="18"/>
                <w:szCs w:val="18"/>
                <w:color w:val="auto"/>
              </w:rPr>
              <w:t>$1,566</w:t>
            </w:r>
          </w:p>
        </w:tc>
        <w:tc>
          <w:tcPr>
            <w:tcW w:w="1240" w:type="dxa"/>
            <w:vAlign w:val="bottom"/>
            <w:tcBorders>
              <w:bottom w:val="single" w:sz="8" w:color="auto"/>
            </w:tcBorders>
          </w:tcPr>
          <w:p>
            <w:pPr>
              <w:jc w:val="right"/>
              <w:ind w:right="110"/>
              <w:spacing w:after="0"/>
              <w:rPr>
                <w:sz w:val="20"/>
                <w:szCs w:val="20"/>
                <w:color w:val="auto"/>
              </w:rPr>
            </w:pPr>
            <w:r>
              <w:rPr>
                <w:rFonts w:ascii="Arial" w:cs="Arial" w:eastAsia="Arial" w:hAnsi="Arial"/>
                <w:sz w:val="18"/>
                <w:szCs w:val="18"/>
                <w:color w:val="auto"/>
              </w:rPr>
              <w:t>$75</w:t>
            </w: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w:t>
            </w:r>
          </w:p>
        </w:tc>
        <w:tc>
          <w:tcPr>
            <w:tcW w:w="100" w:type="dxa"/>
            <w:vAlign w:val="bottom"/>
          </w:tcPr>
          <w:p>
            <w:pPr>
              <w:spacing w:after="0"/>
              <w:rPr>
                <w:sz w:val="21"/>
                <w:szCs w:val="21"/>
                <w:color w:val="auto"/>
              </w:rPr>
            </w:pPr>
          </w:p>
        </w:tc>
      </w:tr>
    </w:tbl>
    <w:p>
      <w:pPr>
        <w:spacing w:after="0" w:line="242" w:lineRule="exact"/>
        <w:rPr>
          <w:sz w:val="20"/>
          <w:szCs w:val="20"/>
          <w:color w:val="auto"/>
        </w:rPr>
      </w:pPr>
    </w:p>
    <w:p>
      <w:pPr>
        <w:jc w:val="both"/>
        <w:ind w:right="420" w:firstLine="913"/>
        <w:spacing w:after="0" w:line="264" w:lineRule="auto"/>
        <w:rPr>
          <w:sz w:val="20"/>
          <w:szCs w:val="20"/>
          <w:color w:val="auto"/>
        </w:rPr>
      </w:pPr>
      <w:r>
        <w:rPr>
          <w:rFonts w:ascii="Arial" w:cs="Arial" w:eastAsia="Arial" w:hAnsi="Arial"/>
          <w:sz w:val="18"/>
          <w:szCs w:val="18"/>
          <w:color w:val="auto"/>
        </w:rPr>
        <w:t>Energy &amp; Distribution segment sales increased 23% in the first three months of 2014 compared to the first three months of 2013. Excluding surcharges, net sales increased by 21%. The increase was driven by higher volume. The volume increase was led by higher shipments to the distribution market, primarily driven by the energy end-market sector.</w:t>
      </w:r>
    </w:p>
    <w:p>
      <w:pPr>
        <w:spacing w:after="0" w:line="222" w:lineRule="exact"/>
        <w:rPr>
          <w:sz w:val="20"/>
          <w:szCs w:val="20"/>
          <w:color w:val="auto"/>
        </w:rPr>
      </w:pPr>
    </w:p>
    <w:p>
      <w:pPr>
        <w:ind w:right="380" w:firstLine="913"/>
        <w:spacing w:after="0" w:line="264" w:lineRule="auto"/>
        <w:rPr>
          <w:sz w:val="20"/>
          <w:szCs w:val="20"/>
          <w:color w:val="auto"/>
        </w:rPr>
      </w:pPr>
      <w:r>
        <w:rPr>
          <w:rFonts w:ascii="Arial" w:cs="Arial" w:eastAsia="Arial" w:hAnsi="Arial"/>
          <w:sz w:val="18"/>
          <w:szCs w:val="18"/>
          <w:color w:val="auto"/>
        </w:rPr>
        <w:t>EBIT increased by $15.2 million in the first three months of 2014 compared to the same period in 2013 primarily due to higher volume, favorable mix and lower manufacturing expense resulting from better manufacturing performance, partially offset by higher raw material costs and LIFO expense.</w:t>
      </w:r>
    </w:p>
    <w:p>
      <w:pPr>
        <w:spacing w:after="0" w:line="378" w:lineRule="exact"/>
        <w:rPr>
          <w:sz w:val="20"/>
          <w:szCs w:val="20"/>
          <w:color w:val="auto"/>
        </w:rPr>
      </w:pPr>
    </w:p>
    <w:tbl>
      <w:tblPr>
        <w:tblLayout w:type="fixed"/>
        <w:tblInd w:w="0" w:type="dxa"/>
        <w:tblCellMar>
          <w:top w:w="0" w:type="dxa"/>
          <w:left w:w="0" w:type="dxa"/>
          <w:bottom w:w="0" w:type="dxa"/>
          <w:right w:w="0" w:type="dxa"/>
        </w:tblCellMar>
      </w:tblPr>
      <w:tr>
        <w:trPr>
          <w:trHeight w:val="243"/>
        </w:trPr>
        <w:tc>
          <w:tcPr>
            <w:tcW w:w="472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b w:val="1"/>
                <w:bCs w:val="1"/>
                <w:color w:val="auto"/>
              </w:rPr>
              <w:t>Corporate</w:t>
            </w:r>
          </w:p>
        </w:tc>
        <w:tc>
          <w:tcPr>
            <w:tcW w:w="3100" w:type="dxa"/>
            <w:vAlign w:val="bottom"/>
            <w:tcBorders>
              <w:top w:val="single" w:sz="8" w:color="auto"/>
              <w:bottom w:val="single" w:sz="8" w:color="auto"/>
            </w:tcBorders>
          </w:tcPr>
          <w:p>
            <w:pPr>
              <w:spacing w:after="0"/>
              <w:rPr>
                <w:sz w:val="21"/>
                <w:szCs w:val="21"/>
                <w:color w:val="auto"/>
              </w:rPr>
            </w:pPr>
          </w:p>
        </w:tc>
        <w:tc>
          <w:tcPr>
            <w:tcW w:w="2580" w:type="dxa"/>
            <w:vAlign w:val="bottom"/>
            <w:tcBorders>
              <w:top w:val="single" w:sz="8" w:color="auto"/>
              <w:bottom w:val="single" w:sz="8" w:color="auto"/>
            </w:tcBorders>
            <w:gridSpan w:val="2"/>
          </w:tcPr>
          <w:p>
            <w:pPr>
              <w:jc w:val="right"/>
              <w:spacing w:after="0"/>
              <w:rPr>
                <w:sz w:val="20"/>
                <w:szCs w:val="20"/>
                <w:color w:val="auto"/>
              </w:rPr>
            </w:pPr>
            <w:r>
              <w:rPr>
                <w:rFonts w:ascii="Arial" w:cs="Arial" w:eastAsia="Arial" w:hAnsi="Arial"/>
                <w:sz w:val="18"/>
                <w:szCs w:val="18"/>
                <w:b w:val="1"/>
                <w:bCs w:val="1"/>
                <w:color w:val="auto"/>
                <w:w w:val="96"/>
              </w:rPr>
              <w:t>Three Months Ended March 31,</w:t>
            </w:r>
          </w:p>
        </w:tc>
        <w:tc>
          <w:tcPr>
            <w:tcW w:w="920" w:type="dxa"/>
            <w:vAlign w:val="bottom"/>
            <w:tcBorders>
              <w:top w:val="single" w:sz="8" w:color="auto"/>
              <w:bottom w:val="single" w:sz="8" w:color="auto"/>
            </w:tcBorders>
          </w:tcPr>
          <w:p>
            <w:pPr>
              <w:spacing w:after="0"/>
              <w:rPr>
                <w:sz w:val="21"/>
                <w:szCs w:val="21"/>
                <w:color w:val="auto"/>
              </w:rPr>
            </w:pPr>
          </w:p>
        </w:tc>
        <w:tc>
          <w:tcPr>
            <w:tcW w:w="100" w:type="dxa"/>
            <w:vAlign w:val="bottom"/>
          </w:tcPr>
          <w:p>
            <w:pPr>
              <w:spacing w:after="0"/>
              <w:rPr>
                <w:sz w:val="21"/>
                <w:szCs w:val="21"/>
                <w:color w:val="auto"/>
              </w:rPr>
            </w:pPr>
          </w:p>
        </w:tc>
      </w:tr>
      <w:tr>
        <w:trPr>
          <w:trHeight w:val="223"/>
        </w:trPr>
        <w:tc>
          <w:tcPr>
            <w:tcW w:w="4720" w:type="dxa"/>
            <w:vAlign w:val="bottom"/>
          </w:tcPr>
          <w:p>
            <w:pPr>
              <w:spacing w:after="0"/>
              <w:rPr>
                <w:sz w:val="19"/>
                <w:szCs w:val="19"/>
                <w:color w:val="auto"/>
              </w:rPr>
            </w:pPr>
          </w:p>
        </w:tc>
        <w:tc>
          <w:tcPr>
            <w:tcW w:w="3100" w:type="dxa"/>
            <w:vAlign w:val="bottom"/>
          </w:tcPr>
          <w:p>
            <w:pPr>
              <w:jc w:val="right"/>
              <w:ind w:right="370"/>
              <w:spacing w:after="0"/>
              <w:rPr>
                <w:sz w:val="20"/>
                <w:szCs w:val="20"/>
                <w:color w:val="auto"/>
              </w:rPr>
            </w:pPr>
            <w:r>
              <w:rPr>
                <w:rFonts w:ascii="Arial" w:cs="Arial" w:eastAsia="Arial" w:hAnsi="Arial"/>
                <w:sz w:val="18"/>
                <w:szCs w:val="18"/>
                <w:b w:val="1"/>
                <w:bCs w:val="1"/>
                <w:color w:val="auto"/>
              </w:rPr>
              <w:t>2014</w:t>
            </w:r>
          </w:p>
        </w:tc>
        <w:tc>
          <w:tcPr>
            <w:tcW w:w="1180" w:type="dxa"/>
            <w:vAlign w:val="bottom"/>
          </w:tcPr>
          <w:p>
            <w:pPr>
              <w:jc w:val="right"/>
              <w:ind w:right="530"/>
              <w:spacing w:after="0"/>
              <w:rPr>
                <w:sz w:val="20"/>
                <w:szCs w:val="20"/>
                <w:color w:val="auto"/>
              </w:rPr>
            </w:pPr>
            <w:r>
              <w:rPr>
                <w:rFonts w:ascii="Arial" w:cs="Arial" w:eastAsia="Arial" w:hAnsi="Arial"/>
                <w:sz w:val="18"/>
                <w:szCs w:val="18"/>
                <w:color w:val="auto"/>
              </w:rPr>
              <w:t>2013</w:t>
            </w:r>
          </w:p>
        </w:tc>
        <w:tc>
          <w:tcPr>
            <w:tcW w:w="1400" w:type="dxa"/>
            <w:vAlign w:val="bottom"/>
          </w:tcPr>
          <w:p>
            <w:pPr>
              <w:jc w:val="right"/>
              <w:ind w:right="470"/>
              <w:spacing w:after="0"/>
              <w:rPr>
                <w:sz w:val="20"/>
                <w:szCs w:val="20"/>
                <w:color w:val="auto"/>
              </w:rPr>
            </w:pPr>
            <w:r>
              <w:rPr>
                <w:rFonts w:ascii="Arial" w:cs="Arial" w:eastAsia="Arial" w:hAnsi="Arial"/>
                <w:sz w:val="18"/>
                <w:szCs w:val="18"/>
                <w:color w:val="auto"/>
              </w:rPr>
              <w:t>$ Change</w:t>
            </w:r>
          </w:p>
        </w:tc>
        <w:tc>
          <w:tcPr>
            <w:tcW w:w="920" w:type="dxa"/>
            <w:vAlign w:val="bottom"/>
          </w:tcPr>
          <w:p>
            <w:pPr>
              <w:spacing w:after="0"/>
              <w:rPr>
                <w:sz w:val="20"/>
                <w:szCs w:val="20"/>
                <w:color w:val="auto"/>
              </w:rPr>
            </w:pPr>
            <w:r>
              <w:rPr>
                <w:rFonts w:ascii="Arial" w:cs="Arial" w:eastAsia="Arial" w:hAnsi="Arial"/>
                <w:sz w:val="18"/>
                <w:szCs w:val="18"/>
                <w:color w:val="auto"/>
              </w:rPr>
              <w:t>% Change</w:t>
            </w:r>
          </w:p>
        </w:tc>
        <w:tc>
          <w:tcPr>
            <w:tcW w:w="100" w:type="dxa"/>
            <w:vAlign w:val="bottom"/>
          </w:tcPr>
          <w:p>
            <w:pPr>
              <w:spacing w:after="0"/>
              <w:rPr>
                <w:sz w:val="19"/>
                <w:szCs w:val="19"/>
                <w:color w:val="auto"/>
              </w:rPr>
            </w:pPr>
          </w:p>
        </w:tc>
      </w:tr>
      <w:tr>
        <w:trPr>
          <w:trHeight w:val="216"/>
        </w:trPr>
        <w:tc>
          <w:tcPr>
            <w:tcW w:w="4720" w:type="dxa"/>
            <w:vAlign w:val="bottom"/>
            <w:shd w:val="clear" w:color="auto" w:fill="CCEEFF"/>
          </w:tcPr>
          <w:p>
            <w:pPr>
              <w:spacing w:after="0"/>
              <w:rPr>
                <w:sz w:val="20"/>
                <w:szCs w:val="20"/>
                <w:color w:val="auto"/>
              </w:rPr>
            </w:pPr>
            <w:r>
              <w:rPr>
                <w:rFonts w:ascii="Arial" w:cs="Arial" w:eastAsia="Arial" w:hAnsi="Arial"/>
                <w:sz w:val="18"/>
                <w:szCs w:val="18"/>
                <w:color w:val="auto"/>
              </w:rPr>
              <w:t>Corporate expenses</w:t>
            </w:r>
          </w:p>
        </w:tc>
        <w:tc>
          <w:tcPr>
            <w:tcW w:w="3100" w:type="dxa"/>
            <w:vAlign w:val="bottom"/>
            <w:shd w:val="clear" w:color="auto" w:fill="CCEEFF"/>
          </w:tcPr>
          <w:p>
            <w:pPr>
              <w:jc w:val="right"/>
              <w:ind w:right="190"/>
              <w:spacing w:after="0"/>
              <w:rPr>
                <w:sz w:val="20"/>
                <w:szCs w:val="20"/>
                <w:color w:val="auto"/>
              </w:rPr>
            </w:pPr>
            <w:r>
              <w:rPr>
                <w:rFonts w:ascii="Arial" w:cs="Arial" w:eastAsia="Arial" w:hAnsi="Arial"/>
                <w:sz w:val="18"/>
                <w:szCs w:val="18"/>
                <w:b w:val="1"/>
                <w:bCs w:val="1"/>
                <w:color w:val="auto"/>
              </w:rPr>
              <w:t>$7.4</w:t>
            </w:r>
          </w:p>
        </w:tc>
        <w:tc>
          <w:tcPr>
            <w:tcW w:w="1180" w:type="dxa"/>
            <w:vAlign w:val="bottom"/>
            <w:shd w:val="clear" w:color="auto" w:fill="CCEEFF"/>
          </w:tcPr>
          <w:p>
            <w:pPr>
              <w:jc w:val="right"/>
              <w:ind w:right="210"/>
              <w:spacing w:after="0"/>
              <w:rPr>
                <w:sz w:val="20"/>
                <w:szCs w:val="20"/>
                <w:color w:val="auto"/>
              </w:rPr>
            </w:pPr>
            <w:r>
              <w:rPr>
                <w:rFonts w:ascii="Arial" w:cs="Arial" w:eastAsia="Arial" w:hAnsi="Arial"/>
                <w:sz w:val="18"/>
                <w:szCs w:val="18"/>
                <w:color w:val="auto"/>
              </w:rPr>
              <w:t>$5.3</w:t>
            </w:r>
          </w:p>
        </w:tc>
        <w:tc>
          <w:tcPr>
            <w:tcW w:w="1400" w:type="dxa"/>
            <w:vAlign w:val="bottom"/>
            <w:shd w:val="clear" w:color="auto" w:fill="CCEEFF"/>
          </w:tcPr>
          <w:p>
            <w:pPr>
              <w:jc w:val="right"/>
              <w:ind w:right="290"/>
              <w:spacing w:after="0"/>
              <w:rPr>
                <w:sz w:val="20"/>
                <w:szCs w:val="20"/>
                <w:color w:val="auto"/>
              </w:rPr>
            </w:pPr>
            <w:r>
              <w:rPr>
                <w:rFonts w:ascii="Arial" w:cs="Arial" w:eastAsia="Arial" w:hAnsi="Arial"/>
                <w:sz w:val="18"/>
                <w:szCs w:val="18"/>
                <w:color w:val="auto"/>
              </w:rPr>
              <w:t>$2.1</w:t>
            </w:r>
          </w:p>
        </w:tc>
        <w:tc>
          <w:tcPr>
            <w:tcW w:w="10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40%</w:t>
            </w:r>
          </w:p>
        </w:tc>
      </w:tr>
      <w:tr>
        <w:trPr>
          <w:trHeight w:val="250"/>
        </w:trPr>
        <w:tc>
          <w:tcPr>
            <w:tcW w:w="472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Corporate expenses % to net sales</w:t>
            </w:r>
          </w:p>
        </w:tc>
        <w:tc>
          <w:tcPr>
            <w:tcW w:w="310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b w:val="1"/>
                <w:bCs w:val="1"/>
                <w:color w:val="auto"/>
              </w:rPr>
              <w:t>1.9%</w:t>
            </w:r>
          </w:p>
        </w:tc>
        <w:tc>
          <w:tcPr>
            <w:tcW w:w="118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color w:val="auto"/>
              </w:rPr>
              <w:t>1.5%</w:t>
            </w:r>
          </w:p>
        </w:tc>
        <w:tc>
          <w:tcPr>
            <w:tcW w:w="1400" w:type="dxa"/>
            <w:vAlign w:val="bottom"/>
            <w:tcBorders>
              <w:bottom w:val="single" w:sz="8" w:color="auto"/>
            </w:tcBorders>
          </w:tcPr>
          <w:p>
            <w:pPr>
              <w:jc w:val="right"/>
              <w:ind w:right="290"/>
              <w:spacing w:after="0"/>
              <w:rPr>
                <w:sz w:val="20"/>
                <w:szCs w:val="20"/>
                <w:color w:val="auto"/>
              </w:rPr>
            </w:pPr>
            <w:r>
              <w:rPr>
                <w:rFonts w:ascii="Arial" w:cs="Arial" w:eastAsia="Arial" w:hAnsi="Arial"/>
                <w:sz w:val="18"/>
                <w:szCs w:val="18"/>
                <w:color w:val="auto"/>
              </w:rPr>
              <w:t>NM</w:t>
            </w:r>
          </w:p>
        </w:tc>
        <w:tc>
          <w:tcPr>
            <w:tcW w:w="920" w:type="dxa"/>
            <w:vAlign w:val="bottom"/>
            <w:tcBorders>
              <w:bottom w:val="single" w:sz="8" w:color="auto"/>
            </w:tcBorders>
          </w:tcPr>
          <w:p>
            <w:pPr>
              <w:ind w:left="400"/>
              <w:spacing w:after="0"/>
              <w:rPr>
                <w:sz w:val="20"/>
                <w:szCs w:val="20"/>
                <w:color w:val="auto"/>
              </w:rPr>
            </w:pPr>
            <w:r>
              <w:rPr>
                <w:rFonts w:ascii="Arial" w:cs="Arial" w:eastAsia="Arial" w:hAnsi="Arial"/>
                <w:sz w:val="18"/>
                <w:szCs w:val="18"/>
                <w:color w:val="auto"/>
                <w:w w:val="92"/>
              </w:rPr>
              <w:t>40 bps</w:t>
            </w:r>
          </w:p>
        </w:tc>
        <w:tc>
          <w:tcPr>
            <w:tcW w:w="100" w:type="dxa"/>
            <w:vAlign w:val="bottom"/>
          </w:tcPr>
          <w:p>
            <w:pPr>
              <w:spacing w:after="0"/>
              <w:rPr>
                <w:sz w:val="21"/>
                <w:szCs w:val="21"/>
                <w:color w:val="auto"/>
              </w:rPr>
            </w:pPr>
          </w:p>
        </w:tc>
      </w:tr>
    </w:tbl>
    <w:p>
      <w:pPr>
        <w:spacing w:after="0" w:line="256" w:lineRule="exact"/>
        <w:rPr>
          <w:sz w:val="20"/>
          <w:szCs w:val="20"/>
          <w:color w:val="auto"/>
        </w:rPr>
      </w:pPr>
    </w:p>
    <w:p>
      <w:pPr>
        <w:ind w:right="560" w:firstLine="913"/>
        <w:spacing w:after="0" w:line="277" w:lineRule="auto"/>
        <w:rPr>
          <w:sz w:val="20"/>
          <w:szCs w:val="20"/>
          <w:color w:val="auto"/>
        </w:rPr>
      </w:pPr>
      <w:r>
        <w:rPr>
          <w:rFonts w:ascii="Arial" w:cs="Arial" w:eastAsia="Arial" w:hAnsi="Arial"/>
          <w:sz w:val="18"/>
          <w:szCs w:val="18"/>
          <w:color w:val="auto"/>
        </w:rPr>
        <w:t>Corporate expenses increased $2.1 million for the first three months of 2014 compared to the first three months of 2013. The increase was primarily driven by corporate shared services costs recorded in the first quarter of 2014.</w:t>
      </w:r>
    </w:p>
    <w:p>
      <w:pPr>
        <w:spacing w:after="0" w:line="1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36</w:t>
      </w:r>
    </w:p>
    <w:p>
      <w:pPr>
        <w:sectPr>
          <w:pgSz w:w="11900" w:h="16838" w:orient="portrait"/>
          <w:cols w:equalWidth="0" w:num="1">
            <w:col w:w="11420"/>
          </w:cols>
          <w:pgMar w:left="240" w:top="459" w:right="239" w:bottom="1440" w:gutter="0" w:footer="0" w:header="0"/>
        </w:sectPr>
      </w:pPr>
    </w:p>
    <w:bookmarkStart w:id="45" w:name="page46"/>
    <w:bookmarkEnd w:id="4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Year Ended December 31, 2013 Compared to Year Ended December 31, 2012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206375</wp:posOffset>
            </wp:positionV>
            <wp:extent cx="7186295" cy="889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7186295" cy="8890"/>
                    </a:xfrm>
                    <a:prstGeom prst="rect">
                      <a:avLst/>
                    </a:prstGeom>
                    <a:noFill/>
                  </pic:spPr>
                </pic:pic>
              </a:graphicData>
            </a:graphic>
          </wp:anchor>
        </w:drawing>
      </w:r>
    </w:p>
    <w:p>
      <w:pPr>
        <w:spacing w:after="0" w:line="313" w:lineRule="exact"/>
        <w:rPr>
          <w:sz w:val="20"/>
          <w:szCs w:val="20"/>
          <w:color w:val="auto"/>
        </w:rPr>
      </w:pPr>
    </w:p>
    <w:p>
      <w:pPr>
        <w:ind w:left="8080"/>
        <w:spacing w:after="0"/>
        <w:rPr>
          <w:sz w:val="20"/>
          <w:szCs w:val="20"/>
          <w:color w:val="auto"/>
        </w:rPr>
      </w:pPr>
      <w:r>
        <w:rPr>
          <w:rFonts w:ascii="Arial" w:cs="Arial" w:eastAsia="Arial" w:hAnsi="Arial"/>
          <w:sz w:val="18"/>
          <w:szCs w:val="18"/>
          <w:b w:val="1"/>
          <w:bCs w:val="1"/>
          <w:color w:val="auto"/>
        </w:rPr>
        <w:t>Years Ended December 31,</w:t>
      </w:r>
    </w:p>
    <w:p>
      <w:pPr>
        <w:spacing w:after="0" w:line="27" w:lineRule="exact"/>
        <w:rPr>
          <w:sz w:val="20"/>
          <w:szCs w:val="20"/>
          <w:color w:val="auto"/>
        </w:rPr>
      </w:pPr>
    </w:p>
    <w:tbl>
      <w:tblPr>
        <w:tblLayout w:type="fixed"/>
        <w:tblInd w:w="0" w:type="dxa"/>
        <w:tblCellMar>
          <w:top w:w="0" w:type="dxa"/>
          <w:left w:w="0" w:type="dxa"/>
          <w:bottom w:w="0" w:type="dxa"/>
          <w:right w:w="0" w:type="dxa"/>
        </w:tblCellMar>
      </w:tblPr>
      <w:tr>
        <w:trPr>
          <w:trHeight w:val="223"/>
        </w:trPr>
        <w:tc>
          <w:tcPr>
            <w:tcW w:w="5320" w:type="dxa"/>
            <w:vAlign w:val="bottom"/>
            <w:tcBorders>
              <w:top w:val="single" w:sz="8" w:color="auto"/>
            </w:tcBorders>
          </w:tcPr>
          <w:p>
            <w:pPr>
              <w:spacing w:after="0"/>
              <w:rPr>
                <w:sz w:val="19"/>
                <w:szCs w:val="19"/>
                <w:color w:val="auto"/>
              </w:rPr>
            </w:pPr>
          </w:p>
        </w:tc>
        <w:tc>
          <w:tcPr>
            <w:tcW w:w="2620" w:type="dxa"/>
            <w:vAlign w:val="bottom"/>
            <w:tcBorders>
              <w:top w:val="single" w:sz="8" w:color="auto"/>
            </w:tcBorders>
          </w:tcPr>
          <w:p>
            <w:pPr>
              <w:jc w:val="right"/>
              <w:ind w:right="430"/>
              <w:spacing w:after="0"/>
              <w:rPr>
                <w:sz w:val="20"/>
                <w:szCs w:val="20"/>
                <w:color w:val="auto"/>
              </w:rPr>
            </w:pPr>
            <w:r>
              <w:rPr>
                <w:rFonts w:ascii="Arial" w:cs="Arial" w:eastAsia="Arial" w:hAnsi="Arial"/>
                <w:sz w:val="18"/>
                <w:szCs w:val="18"/>
                <w:b w:val="1"/>
                <w:bCs w:val="1"/>
                <w:color w:val="auto"/>
              </w:rPr>
              <w:t>2013</w:t>
            </w:r>
          </w:p>
        </w:tc>
        <w:tc>
          <w:tcPr>
            <w:tcW w:w="1160" w:type="dxa"/>
            <w:vAlign w:val="bottom"/>
            <w:tcBorders>
              <w:top w:val="single" w:sz="8" w:color="auto"/>
            </w:tcBorders>
          </w:tcPr>
          <w:p>
            <w:pPr>
              <w:jc w:val="right"/>
              <w:ind w:right="450"/>
              <w:spacing w:after="0"/>
              <w:rPr>
                <w:sz w:val="20"/>
                <w:szCs w:val="20"/>
                <w:color w:val="auto"/>
              </w:rPr>
            </w:pPr>
            <w:r>
              <w:rPr>
                <w:rFonts w:ascii="Arial" w:cs="Arial" w:eastAsia="Arial" w:hAnsi="Arial"/>
                <w:sz w:val="18"/>
                <w:szCs w:val="18"/>
                <w:color w:val="auto"/>
              </w:rPr>
              <w:t>2012</w:t>
            </w:r>
          </w:p>
        </w:tc>
        <w:tc>
          <w:tcPr>
            <w:tcW w:w="1140" w:type="dxa"/>
            <w:vAlign w:val="bottom"/>
            <w:tcBorders>
              <w:top w:val="single" w:sz="8" w:color="auto"/>
            </w:tcBorders>
          </w:tcPr>
          <w:p>
            <w:pPr>
              <w:jc w:val="right"/>
              <w:ind w:right="230"/>
              <w:spacing w:after="0"/>
              <w:rPr>
                <w:sz w:val="20"/>
                <w:szCs w:val="20"/>
                <w:color w:val="auto"/>
              </w:rPr>
            </w:pPr>
            <w:r>
              <w:rPr>
                <w:rFonts w:ascii="Arial" w:cs="Arial" w:eastAsia="Arial" w:hAnsi="Arial"/>
                <w:sz w:val="18"/>
                <w:szCs w:val="18"/>
                <w:color w:val="auto"/>
              </w:rPr>
              <w:t>$ Change</w:t>
            </w:r>
          </w:p>
        </w:tc>
        <w:tc>
          <w:tcPr>
            <w:tcW w:w="1080" w:type="dxa"/>
            <w:vAlign w:val="bottom"/>
            <w:tcBorders>
              <w:top w:val="single" w:sz="8" w:color="auto"/>
            </w:tcBorders>
          </w:tcPr>
          <w:p>
            <w:pPr>
              <w:jc w:val="right"/>
              <w:ind w:right="90"/>
              <w:spacing w:after="0"/>
              <w:rPr>
                <w:sz w:val="20"/>
                <w:szCs w:val="20"/>
                <w:color w:val="auto"/>
              </w:rPr>
            </w:pPr>
            <w:r>
              <w:rPr>
                <w:rFonts w:ascii="Arial" w:cs="Arial" w:eastAsia="Arial" w:hAnsi="Arial"/>
                <w:sz w:val="18"/>
                <w:szCs w:val="18"/>
                <w:color w:val="auto"/>
              </w:rPr>
              <w:t>% Change</w:t>
            </w:r>
          </w:p>
        </w:tc>
        <w:tc>
          <w:tcPr>
            <w:tcW w:w="100" w:type="dxa"/>
            <w:vAlign w:val="bottom"/>
          </w:tcPr>
          <w:p>
            <w:pPr>
              <w:spacing w:after="0"/>
              <w:rPr>
                <w:sz w:val="19"/>
                <w:szCs w:val="19"/>
                <w:color w:val="auto"/>
              </w:rPr>
            </w:pPr>
          </w:p>
        </w:tc>
      </w:tr>
      <w:tr>
        <w:trPr>
          <w:trHeight w:val="216"/>
        </w:trPr>
        <w:tc>
          <w:tcPr>
            <w:tcW w:w="5320" w:type="dxa"/>
            <w:vAlign w:val="bottom"/>
            <w:shd w:val="clear" w:color="auto" w:fill="CCEEFF"/>
          </w:tcPr>
          <w:p>
            <w:pPr>
              <w:spacing w:after="0"/>
              <w:rPr>
                <w:sz w:val="20"/>
                <w:szCs w:val="20"/>
                <w:color w:val="auto"/>
              </w:rPr>
            </w:pPr>
            <w:r>
              <w:rPr>
                <w:rFonts w:ascii="Arial" w:cs="Arial" w:eastAsia="Arial" w:hAnsi="Arial"/>
                <w:sz w:val="18"/>
                <w:szCs w:val="18"/>
                <w:color w:val="auto"/>
              </w:rPr>
              <w:t>Net sales</w:t>
            </w:r>
          </w:p>
        </w:tc>
        <w:tc>
          <w:tcPr>
            <w:tcW w:w="2620" w:type="dxa"/>
            <w:vAlign w:val="bottom"/>
            <w:shd w:val="clear" w:color="auto" w:fill="CCEEFF"/>
          </w:tcPr>
          <w:p>
            <w:pPr>
              <w:jc w:val="right"/>
              <w:ind w:right="250"/>
              <w:spacing w:after="0"/>
              <w:rPr>
                <w:sz w:val="20"/>
                <w:szCs w:val="20"/>
                <w:color w:val="auto"/>
              </w:rPr>
            </w:pPr>
            <w:r>
              <w:rPr>
                <w:rFonts w:ascii="Arial" w:cs="Arial" w:eastAsia="Arial" w:hAnsi="Arial"/>
                <w:sz w:val="18"/>
                <w:szCs w:val="18"/>
                <w:b w:val="1"/>
                <w:bCs w:val="1"/>
                <w:color w:val="auto"/>
              </w:rPr>
              <w:t>$1,380.9</w:t>
            </w:r>
          </w:p>
        </w:tc>
        <w:tc>
          <w:tcPr>
            <w:tcW w:w="1160" w:type="dxa"/>
            <w:vAlign w:val="bottom"/>
            <w:shd w:val="clear" w:color="auto" w:fill="CCEEFF"/>
          </w:tcPr>
          <w:p>
            <w:pPr>
              <w:jc w:val="right"/>
              <w:ind w:right="190"/>
              <w:spacing w:after="0"/>
              <w:rPr>
                <w:sz w:val="20"/>
                <w:szCs w:val="20"/>
                <w:color w:val="auto"/>
              </w:rPr>
            </w:pPr>
            <w:r>
              <w:rPr>
                <w:rFonts w:ascii="Arial" w:cs="Arial" w:eastAsia="Arial" w:hAnsi="Arial"/>
                <w:sz w:val="18"/>
                <w:szCs w:val="18"/>
                <w:color w:val="auto"/>
              </w:rPr>
              <w:t>$1,728.7</w:t>
            </w:r>
          </w:p>
        </w:tc>
        <w:tc>
          <w:tcPr>
            <w:tcW w:w="114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($347.8)</w:t>
            </w:r>
          </w:p>
        </w:tc>
        <w:tc>
          <w:tcPr>
            <w:tcW w:w="11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(20)%</w:t>
            </w:r>
          </w:p>
        </w:tc>
      </w:tr>
      <w:tr>
        <w:trPr>
          <w:trHeight w:val="216"/>
        </w:trPr>
        <w:tc>
          <w:tcPr>
            <w:tcW w:w="5320" w:type="dxa"/>
            <w:vAlign w:val="bottom"/>
          </w:tcPr>
          <w:p>
            <w:pPr>
              <w:spacing w:after="0"/>
              <w:rPr>
                <w:sz w:val="20"/>
                <w:szCs w:val="20"/>
                <w:color w:val="auto"/>
              </w:rPr>
            </w:pPr>
            <w:r>
              <w:rPr>
                <w:rFonts w:ascii="Arial" w:cs="Arial" w:eastAsia="Arial" w:hAnsi="Arial"/>
                <w:sz w:val="18"/>
                <w:szCs w:val="18"/>
                <w:color w:val="auto"/>
              </w:rPr>
              <w:t>Net sales, excluding surcharges</w:t>
            </w:r>
          </w:p>
        </w:tc>
        <w:tc>
          <w:tcPr>
            <w:tcW w:w="2620" w:type="dxa"/>
            <w:vAlign w:val="bottom"/>
          </w:tcPr>
          <w:p>
            <w:pPr>
              <w:jc w:val="right"/>
              <w:ind w:right="250"/>
              <w:spacing w:after="0"/>
              <w:rPr>
                <w:sz w:val="20"/>
                <w:szCs w:val="20"/>
                <w:color w:val="auto"/>
              </w:rPr>
            </w:pPr>
            <w:r>
              <w:rPr>
                <w:rFonts w:ascii="Arial" w:cs="Arial" w:eastAsia="Arial" w:hAnsi="Arial"/>
                <w:sz w:val="18"/>
                <w:szCs w:val="18"/>
                <w:b w:val="1"/>
                <w:bCs w:val="1"/>
                <w:color w:val="auto"/>
              </w:rPr>
              <w:t>1,080.7</w:t>
            </w:r>
          </w:p>
        </w:tc>
        <w:tc>
          <w:tcPr>
            <w:tcW w:w="1160" w:type="dxa"/>
            <w:vAlign w:val="bottom"/>
          </w:tcPr>
          <w:p>
            <w:pPr>
              <w:jc w:val="right"/>
              <w:ind w:right="190"/>
              <w:spacing w:after="0"/>
              <w:rPr>
                <w:sz w:val="20"/>
                <w:szCs w:val="20"/>
                <w:color w:val="auto"/>
              </w:rPr>
            </w:pPr>
            <w:r>
              <w:rPr>
                <w:rFonts w:ascii="Arial" w:cs="Arial" w:eastAsia="Arial" w:hAnsi="Arial"/>
                <w:sz w:val="18"/>
                <w:szCs w:val="18"/>
                <w:color w:val="auto"/>
              </w:rPr>
              <w:t>1,311.7</w:t>
            </w:r>
          </w:p>
        </w:tc>
        <w:tc>
          <w:tcPr>
            <w:tcW w:w="1140" w:type="dxa"/>
            <w:vAlign w:val="bottom"/>
          </w:tcPr>
          <w:p>
            <w:pPr>
              <w:jc w:val="right"/>
              <w:ind w:right="50"/>
              <w:spacing w:after="0"/>
              <w:rPr>
                <w:sz w:val="20"/>
                <w:szCs w:val="20"/>
                <w:color w:val="auto"/>
              </w:rPr>
            </w:pPr>
            <w:r>
              <w:rPr>
                <w:rFonts w:ascii="Arial" w:cs="Arial" w:eastAsia="Arial" w:hAnsi="Arial"/>
                <w:sz w:val="18"/>
                <w:szCs w:val="18"/>
                <w:color w:val="auto"/>
              </w:rPr>
              <w:t>(231.0)</w:t>
            </w:r>
          </w:p>
        </w:tc>
        <w:tc>
          <w:tcPr>
            <w:tcW w:w="1180" w:type="dxa"/>
            <w:vAlign w:val="bottom"/>
            <w:gridSpan w:val="2"/>
          </w:tcPr>
          <w:p>
            <w:pPr>
              <w:jc w:val="right"/>
              <w:ind w:right="100"/>
              <w:spacing w:after="0"/>
              <w:rPr>
                <w:sz w:val="20"/>
                <w:szCs w:val="20"/>
                <w:color w:val="auto"/>
              </w:rPr>
            </w:pPr>
            <w:r>
              <w:rPr>
                <w:rFonts w:ascii="Arial" w:cs="Arial" w:eastAsia="Arial" w:hAnsi="Arial"/>
                <w:sz w:val="18"/>
                <w:szCs w:val="18"/>
                <w:color w:val="auto"/>
              </w:rPr>
              <w:t>(18)%</w:t>
            </w:r>
          </w:p>
        </w:tc>
      </w:tr>
      <w:tr>
        <w:trPr>
          <w:trHeight w:val="216"/>
        </w:trPr>
        <w:tc>
          <w:tcPr>
            <w:tcW w:w="5320" w:type="dxa"/>
            <w:vAlign w:val="bottom"/>
            <w:shd w:val="clear" w:color="auto" w:fill="CCEEFF"/>
          </w:tcPr>
          <w:p>
            <w:pPr>
              <w:spacing w:after="0"/>
              <w:rPr>
                <w:sz w:val="20"/>
                <w:szCs w:val="20"/>
                <w:color w:val="auto"/>
              </w:rPr>
            </w:pPr>
            <w:r>
              <w:rPr>
                <w:rFonts w:ascii="Arial" w:cs="Arial" w:eastAsia="Arial" w:hAnsi="Arial"/>
                <w:sz w:val="18"/>
                <w:szCs w:val="18"/>
                <w:color w:val="auto"/>
              </w:rPr>
              <w:t>Gross profit</w:t>
            </w:r>
          </w:p>
        </w:tc>
        <w:tc>
          <w:tcPr>
            <w:tcW w:w="2620" w:type="dxa"/>
            <w:vAlign w:val="bottom"/>
            <w:shd w:val="clear" w:color="auto" w:fill="CCEEFF"/>
          </w:tcPr>
          <w:p>
            <w:pPr>
              <w:jc w:val="right"/>
              <w:ind w:right="250"/>
              <w:spacing w:after="0"/>
              <w:rPr>
                <w:sz w:val="20"/>
                <w:szCs w:val="20"/>
                <w:color w:val="auto"/>
              </w:rPr>
            </w:pPr>
            <w:r>
              <w:rPr>
                <w:rFonts w:ascii="Arial" w:cs="Arial" w:eastAsia="Arial" w:hAnsi="Arial"/>
                <w:sz w:val="18"/>
                <w:szCs w:val="18"/>
                <w:b w:val="1"/>
                <w:bCs w:val="1"/>
                <w:color w:val="auto"/>
              </w:rPr>
              <w:t>223.2</w:t>
            </w:r>
          </w:p>
        </w:tc>
        <w:tc>
          <w:tcPr>
            <w:tcW w:w="1160" w:type="dxa"/>
            <w:vAlign w:val="bottom"/>
            <w:shd w:val="clear" w:color="auto" w:fill="CCEEFF"/>
          </w:tcPr>
          <w:p>
            <w:pPr>
              <w:jc w:val="right"/>
              <w:ind w:right="190"/>
              <w:spacing w:after="0"/>
              <w:rPr>
                <w:sz w:val="20"/>
                <w:szCs w:val="20"/>
                <w:color w:val="auto"/>
              </w:rPr>
            </w:pPr>
            <w:r>
              <w:rPr>
                <w:rFonts w:ascii="Arial" w:cs="Arial" w:eastAsia="Arial" w:hAnsi="Arial"/>
                <w:sz w:val="18"/>
                <w:szCs w:val="18"/>
                <w:color w:val="auto"/>
              </w:rPr>
              <w:t>338.9</w:t>
            </w:r>
          </w:p>
        </w:tc>
        <w:tc>
          <w:tcPr>
            <w:tcW w:w="114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(115.7)</w:t>
            </w:r>
          </w:p>
        </w:tc>
        <w:tc>
          <w:tcPr>
            <w:tcW w:w="11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(34)%</w:t>
            </w:r>
          </w:p>
        </w:tc>
      </w:tr>
      <w:tr>
        <w:trPr>
          <w:trHeight w:val="216"/>
        </w:trPr>
        <w:tc>
          <w:tcPr>
            <w:tcW w:w="5320" w:type="dxa"/>
            <w:vAlign w:val="bottom"/>
          </w:tcPr>
          <w:p>
            <w:pPr>
              <w:spacing w:after="0"/>
              <w:rPr>
                <w:sz w:val="20"/>
                <w:szCs w:val="20"/>
                <w:color w:val="auto"/>
              </w:rPr>
            </w:pPr>
            <w:r>
              <w:rPr>
                <w:rFonts w:ascii="Arial" w:cs="Arial" w:eastAsia="Arial" w:hAnsi="Arial"/>
                <w:sz w:val="18"/>
                <w:szCs w:val="18"/>
                <w:color w:val="auto"/>
              </w:rPr>
              <w:t>Gross margin</w:t>
            </w:r>
          </w:p>
        </w:tc>
        <w:tc>
          <w:tcPr>
            <w:tcW w:w="2620" w:type="dxa"/>
            <w:vAlign w:val="bottom"/>
          </w:tcPr>
          <w:p>
            <w:pPr>
              <w:jc w:val="right"/>
              <w:ind w:right="70"/>
              <w:spacing w:after="0"/>
              <w:rPr>
                <w:sz w:val="20"/>
                <w:szCs w:val="20"/>
                <w:color w:val="auto"/>
              </w:rPr>
            </w:pPr>
            <w:r>
              <w:rPr>
                <w:rFonts w:ascii="Arial" w:cs="Arial" w:eastAsia="Arial" w:hAnsi="Arial"/>
                <w:sz w:val="18"/>
                <w:szCs w:val="18"/>
                <w:b w:val="1"/>
                <w:bCs w:val="1"/>
                <w:color w:val="auto"/>
              </w:rPr>
              <w:t>16.2%</w:t>
            </w:r>
          </w:p>
        </w:tc>
        <w:tc>
          <w:tcPr>
            <w:tcW w:w="1160" w:type="dxa"/>
            <w:vAlign w:val="bottom"/>
          </w:tcPr>
          <w:p>
            <w:pPr>
              <w:jc w:val="right"/>
              <w:ind w:right="50"/>
              <w:spacing w:after="0"/>
              <w:rPr>
                <w:sz w:val="20"/>
                <w:szCs w:val="20"/>
                <w:color w:val="auto"/>
              </w:rPr>
            </w:pPr>
            <w:r>
              <w:rPr>
                <w:rFonts w:ascii="Arial" w:cs="Arial" w:eastAsia="Arial" w:hAnsi="Arial"/>
                <w:sz w:val="18"/>
                <w:szCs w:val="18"/>
                <w:color w:val="auto"/>
              </w:rPr>
              <w:t>19.6%</w:t>
            </w:r>
          </w:p>
        </w:tc>
        <w:tc>
          <w:tcPr>
            <w:tcW w:w="1140" w:type="dxa"/>
            <w:vAlign w:val="bottom"/>
          </w:tcPr>
          <w:p>
            <w:pPr>
              <w:jc w:val="right"/>
              <w:ind w:right="90"/>
              <w:spacing w:after="0"/>
              <w:rPr>
                <w:sz w:val="20"/>
                <w:szCs w:val="20"/>
                <w:color w:val="auto"/>
              </w:rPr>
            </w:pPr>
            <w:r>
              <w:rPr>
                <w:rFonts w:ascii="Arial" w:cs="Arial" w:eastAsia="Arial" w:hAnsi="Arial"/>
                <w:sz w:val="18"/>
                <w:szCs w:val="18"/>
                <w:color w:val="auto"/>
              </w:rPr>
              <w:t>NM</w:t>
            </w:r>
          </w:p>
        </w:tc>
        <w:tc>
          <w:tcPr>
            <w:tcW w:w="1180" w:type="dxa"/>
            <w:vAlign w:val="bottom"/>
            <w:gridSpan w:val="2"/>
          </w:tcPr>
          <w:p>
            <w:pPr>
              <w:jc w:val="right"/>
              <w:ind w:right="140"/>
              <w:spacing w:after="0"/>
              <w:rPr>
                <w:sz w:val="20"/>
                <w:szCs w:val="20"/>
                <w:color w:val="auto"/>
              </w:rPr>
            </w:pPr>
            <w:r>
              <w:rPr>
                <w:rFonts w:ascii="Arial" w:cs="Arial" w:eastAsia="Arial" w:hAnsi="Arial"/>
                <w:sz w:val="18"/>
                <w:szCs w:val="18"/>
                <w:color w:val="auto"/>
              </w:rPr>
              <w:t>(340) bps</w:t>
            </w:r>
          </w:p>
        </w:tc>
      </w:tr>
      <w:tr>
        <w:trPr>
          <w:trHeight w:val="216"/>
        </w:trPr>
        <w:tc>
          <w:tcPr>
            <w:tcW w:w="5320" w:type="dxa"/>
            <w:vAlign w:val="bottom"/>
            <w:shd w:val="clear" w:color="auto" w:fill="CCEEFF"/>
          </w:tcPr>
          <w:p>
            <w:pPr>
              <w:spacing w:after="0"/>
              <w:rPr>
                <w:sz w:val="20"/>
                <w:szCs w:val="20"/>
                <w:color w:val="auto"/>
              </w:rPr>
            </w:pPr>
            <w:r>
              <w:rPr>
                <w:rFonts w:ascii="Arial" w:cs="Arial" w:eastAsia="Arial" w:hAnsi="Arial"/>
                <w:sz w:val="18"/>
                <w:szCs w:val="18"/>
                <w:color w:val="auto"/>
              </w:rPr>
              <w:t>Selling, general and administrative expenses</w:t>
            </w:r>
          </w:p>
        </w:tc>
        <w:tc>
          <w:tcPr>
            <w:tcW w:w="2620" w:type="dxa"/>
            <w:vAlign w:val="bottom"/>
            <w:shd w:val="clear" w:color="auto" w:fill="CCEEFF"/>
          </w:tcPr>
          <w:p>
            <w:pPr>
              <w:jc w:val="right"/>
              <w:ind w:right="250"/>
              <w:spacing w:after="0"/>
              <w:rPr>
                <w:sz w:val="20"/>
                <w:szCs w:val="20"/>
                <w:color w:val="auto"/>
              </w:rPr>
            </w:pPr>
            <w:r>
              <w:rPr>
                <w:rFonts w:ascii="Arial" w:cs="Arial" w:eastAsia="Arial" w:hAnsi="Arial"/>
                <w:sz w:val="18"/>
                <w:szCs w:val="18"/>
                <w:b w:val="1"/>
                <w:bCs w:val="1"/>
                <w:color w:val="auto"/>
              </w:rPr>
              <w:t>91.8</w:t>
            </w:r>
          </w:p>
        </w:tc>
        <w:tc>
          <w:tcPr>
            <w:tcW w:w="1160" w:type="dxa"/>
            <w:vAlign w:val="bottom"/>
            <w:shd w:val="clear" w:color="auto" w:fill="CCEEFF"/>
          </w:tcPr>
          <w:p>
            <w:pPr>
              <w:jc w:val="right"/>
              <w:ind w:right="190"/>
              <w:spacing w:after="0"/>
              <w:rPr>
                <w:sz w:val="20"/>
                <w:szCs w:val="20"/>
                <w:color w:val="auto"/>
              </w:rPr>
            </w:pPr>
            <w:r>
              <w:rPr>
                <w:rFonts w:ascii="Arial" w:cs="Arial" w:eastAsia="Arial" w:hAnsi="Arial"/>
                <w:sz w:val="18"/>
                <w:szCs w:val="18"/>
                <w:color w:val="auto"/>
              </w:rPr>
              <w:t>103.5</w:t>
            </w:r>
          </w:p>
        </w:tc>
        <w:tc>
          <w:tcPr>
            <w:tcW w:w="114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(11.7)</w:t>
            </w:r>
          </w:p>
        </w:tc>
        <w:tc>
          <w:tcPr>
            <w:tcW w:w="10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w:t>
            </w:r>
          </w:p>
        </w:tc>
        <w:tc>
          <w:tcPr>
            <w:tcW w:w="100" w:type="dxa"/>
            <w:vAlign w:val="bottom"/>
            <w:shd w:val="clear" w:color="auto" w:fill="CCEEFF"/>
          </w:tcPr>
          <w:p>
            <w:pPr>
              <w:spacing w:after="0"/>
              <w:rPr>
                <w:sz w:val="18"/>
                <w:szCs w:val="18"/>
                <w:color w:val="auto"/>
              </w:rPr>
            </w:pPr>
          </w:p>
        </w:tc>
      </w:tr>
      <w:tr>
        <w:trPr>
          <w:trHeight w:val="216"/>
        </w:trPr>
        <w:tc>
          <w:tcPr>
            <w:tcW w:w="5320" w:type="dxa"/>
            <w:vAlign w:val="bottom"/>
          </w:tcPr>
          <w:p>
            <w:pPr>
              <w:spacing w:after="0"/>
              <w:rPr>
                <w:sz w:val="20"/>
                <w:szCs w:val="20"/>
                <w:color w:val="auto"/>
              </w:rPr>
            </w:pPr>
            <w:r>
              <w:rPr>
                <w:rFonts w:ascii="Arial" w:cs="Arial" w:eastAsia="Arial" w:hAnsi="Arial"/>
                <w:sz w:val="18"/>
                <w:szCs w:val="18"/>
                <w:color w:val="auto"/>
              </w:rPr>
              <w:t>Net income</w:t>
            </w:r>
          </w:p>
        </w:tc>
        <w:tc>
          <w:tcPr>
            <w:tcW w:w="2620" w:type="dxa"/>
            <w:vAlign w:val="bottom"/>
          </w:tcPr>
          <w:p>
            <w:pPr>
              <w:jc w:val="right"/>
              <w:ind w:right="250"/>
              <w:spacing w:after="0"/>
              <w:rPr>
                <w:sz w:val="20"/>
                <w:szCs w:val="20"/>
                <w:color w:val="auto"/>
              </w:rPr>
            </w:pPr>
            <w:r>
              <w:rPr>
                <w:rFonts w:ascii="Arial" w:cs="Arial" w:eastAsia="Arial" w:hAnsi="Arial"/>
                <w:sz w:val="18"/>
                <w:szCs w:val="18"/>
                <w:b w:val="1"/>
                <w:bCs w:val="1"/>
                <w:color w:val="auto"/>
              </w:rPr>
              <w:t>89.5</w:t>
            </w:r>
          </w:p>
        </w:tc>
        <w:tc>
          <w:tcPr>
            <w:tcW w:w="1160" w:type="dxa"/>
            <w:vAlign w:val="bottom"/>
          </w:tcPr>
          <w:p>
            <w:pPr>
              <w:jc w:val="right"/>
              <w:ind w:right="190"/>
              <w:spacing w:after="0"/>
              <w:rPr>
                <w:sz w:val="20"/>
                <w:szCs w:val="20"/>
                <w:color w:val="auto"/>
              </w:rPr>
            </w:pPr>
            <w:r>
              <w:rPr>
                <w:rFonts w:ascii="Arial" w:cs="Arial" w:eastAsia="Arial" w:hAnsi="Arial"/>
                <w:sz w:val="18"/>
                <w:szCs w:val="18"/>
                <w:color w:val="auto"/>
              </w:rPr>
              <w:t>155.2</w:t>
            </w:r>
          </w:p>
        </w:tc>
        <w:tc>
          <w:tcPr>
            <w:tcW w:w="1140" w:type="dxa"/>
            <w:vAlign w:val="bottom"/>
          </w:tcPr>
          <w:p>
            <w:pPr>
              <w:jc w:val="right"/>
              <w:ind w:right="50"/>
              <w:spacing w:after="0"/>
              <w:rPr>
                <w:sz w:val="20"/>
                <w:szCs w:val="20"/>
                <w:color w:val="auto"/>
              </w:rPr>
            </w:pPr>
            <w:r>
              <w:rPr>
                <w:rFonts w:ascii="Arial" w:cs="Arial" w:eastAsia="Arial" w:hAnsi="Arial"/>
                <w:sz w:val="18"/>
                <w:szCs w:val="18"/>
                <w:color w:val="auto"/>
              </w:rPr>
              <w:t>(65.7)</w:t>
            </w:r>
          </w:p>
        </w:tc>
        <w:tc>
          <w:tcPr>
            <w:tcW w:w="1180" w:type="dxa"/>
            <w:vAlign w:val="bottom"/>
            <w:gridSpan w:val="2"/>
          </w:tcPr>
          <w:p>
            <w:pPr>
              <w:jc w:val="right"/>
              <w:ind w:right="100"/>
              <w:spacing w:after="0"/>
              <w:rPr>
                <w:sz w:val="20"/>
                <w:szCs w:val="20"/>
                <w:color w:val="auto"/>
              </w:rPr>
            </w:pPr>
            <w:r>
              <w:rPr>
                <w:rFonts w:ascii="Arial" w:cs="Arial" w:eastAsia="Arial" w:hAnsi="Arial"/>
                <w:sz w:val="18"/>
                <w:szCs w:val="18"/>
                <w:color w:val="auto"/>
              </w:rPr>
              <w:t>(42)%</w:t>
            </w:r>
          </w:p>
        </w:tc>
      </w:tr>
      <w:tr>
        <w:trPr>
          <w:trHeight w:val="216"/>
        </w:trPr>
        <w:tc>
          <w:tcPr>
            <w:tcW w:w="5320" w:type="dxa"/>
            <w:vAlign w:val="bottom"/>
            <w:shd w:val="clear" w:color="auto" w:fill="CCEEFF"/>
          </w:tcPr>
          <w:p>
            <w:pPr>
              <w:spacing w:after="0"/>
              <w:rPr>
                <w:sz w:val="20"/>
                <w:szCs w:val="20"/>
                <w:color w:val="auto"/>
              </w:rPr>
            </w:pPr>
            <w:r>
              <w:rPr>
                <w:rFonts w:ascii="Arial" w:cs="Arial" w:eastAsia="Arial" w:hAnsi="Arial"/>
                <w:sz w:val="18"/>
                <w:szCs w:val="18"/>
                <w:color w:val="auto"/>
              </w:rPr>
              <w:t>Scrap index per ton</w:t>
            </w:r>
          </w:p>
        </w:tc>
        <w:tc>
          <w:tcPr>
            <w:tcW w:w="2620" w:type="dxa"/>
            <w:vAlign w:val="bottom"/>
            <w:shd w:val="clear" w:color="auto" w:fill="CCEEFF"/>
          </w:tcPr>
          <w:p>
            <w:pPr>
              <w:jc w:val="right"/>
              <w:ind w:right="250"/>
              <w:spacing w:after="0"/>
              <w:rPr>
                <w:sz w:val="20"/>
                <w:szCs w:val="20"/>
                <w:color w:val="auto"/>
              </w:rPr>
            </w:pPr>
            <w:r>
              <w:rPr>
                <w:rFonts w:ascii="Arial" w:cs="Arial" w:eastAsia="Arial" w:hAnsi="Arial"/>
                <w:sz w:val="18"/>
                <w:szCs w:val="18"/>
                <w:b w:val="1"/>
                <w:bCs w:val="1"/>
                <w:color w:val="auto"/>
              </w:rPr>
              <w:t>405</w:t>
            </w:r>
          </w:p>
        </w:tc>
        <w:tc>
          <w:tcPr>
            <w:tcW w:w="1160" w:type="dxa"/>
            <w:vAlign w:val="bottom"/>
            <w:shd w:val="clear" w:color="auto" w:fill="CCEEFF"/>
          </w:tcPr>
          <w:p>
            <w:pPr>
              <w:jc w:val="right"/>
              <w:ind w:right="190"/>
              <w:spacing w:after="0"/>
              <w:rPr>
                <w:sz w:val="20"/>
                <w:szCs w:val="20"/>
                <w:color w:val="auto"/>
              </w:rPr>
            </w:pPr>
            <w:r>
              <w:rPr>
                <w:rFonts w:ascii="Arial" w:cs="Arial" w:eastAsia="Arial" w:hAnsi="Arial"/>
                <w:sz w:val="18"/>
                <w:szCs w:val="18"/>
                <w:color w:val="auto"/>
              </w:rPr>
              <w:t>429</w:t>
            </w:r>
          </w:p>
        </w:tc>
        <w:tc>
          <w:tcPr>
            <w:tcW w:w="114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(24)</w:t>
            </w:r>
          </w:p>
        </w:tc>
        <w:tc>
          <w:tcPr>
            <w:tcW w:w="10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w:t>
            </w:r>
          </w:p>
        </w:tc>
        <w:tc>
          <w:tcPr>
            <w:tcW w:w="100" w:type="dxa"/>
            <w:vAlign w:val="bottom"/>
            <w:shd w:val="clear" w:color="auto" w:fill="CCEEFF"/>
          </w:tcPr>
          <w:p>
            <w:pPr>
              <w:spacing w:after="0"/>
              <w:rPr>
                <w:sz w:val="18"/>
                <w:szCs w:val="18"/>
                <w:color w:val="auto"/>
              </w:rPr>
            </w:pPr>
          </w:p>
        </w:tc>
      </w:tr>
      <w:tr>
        <w:trPr>
          <w:trHeight w:val="216"/>
        </w:trPr>
        <w:tc>
          <w:tcPr>
            <w:tcW w:w="5320" w:type="dxa"/>
            <w:vAlign w:val="bottom"/>
          </w:tcPr>
          <w:p>
            <w:pPr>
              <w:spacing w:after="0"/>
              <w:rPr>
                <w:sz w:val="20"/>
                <w:szCs w:val="20"/>
                <w:color w:val="auto"/>
              </w:rPr>
            </w:pPr>
            <w:r>
              <w:rPr>
                <w:rFonts w:ascii="Arial" w:cs="Arial" w:eastAsia="Arial" w:hAnsi="Arial"/>
                <w:sz w:val="18"/>
                <w:szCs w:val="18"/>
                <w:color w:val="auto"/>
              </w:rPr>
              <w:t>Shipments (in tons)</w:t>
            </w:r>
          </w:p>
        </w:tc>
        <w:tc>
          <w:tcPr>
            <w:tcW w:w="2620" w:type="dxa"/>
            <w:vAlign w:val="bottom"/>
          </w:tcPr>
          <w:p>
            <w:pPr>
              <w:jc w:val="right"/>
              <w:ind w:right="250"/>
              <w:spacing w:after="0"/>
              <w:rPr>
                <w:sz w:val="20"/>
                <w:szCs w:val="20"/>
                <w:color w:val="auto"/>
              </w:rPr>
            </w:pPr>
            <w:r>
              <w:rPr>
                <w:rFonts w:ascii="Arial" w:cs="Arial" w:eastAsia="Arial" w:hAnsi="Arial"/>
                <w:sz w:val="18"/>
                <w:szCs w:val="18"/>
                <w:b w:val="1"/>
                <w:bCs w:val="1"/>
                <w:color w:val="auto"/>
              </w:rPr>
              <w:t>919,452</w:t>
            </w:r>
          </w:p>
        </w:tc>
        <w:tc>
          <w:tcPr>
            <w:tcW w:w="1160" w:type="dxa"/>
            <w:vAlign w:val="bottom"/>
          </w:tcPr>
          <w:p>
            <w:pPr>
              <w:jc w:val="right"/>
              <w:ind w:right="190"/>
              <w:spacing w:after="0"/>
              <w:rPr>
                <w:sz w:val="20"/>
                <w:szCs w:val="20"/>
                <w:color w:val="auto"/>
              </w:rPr>
            </w:pPr>
            <w:r>
              <w:rPr>
                <w:rFonts w:ascii="Arial" w:cs="Arial" w:eastAsia="Arial" w:hAnsi="Arial"/>
                <w:sz w:val="18"/>
                <w:szCs w:val="18"/>
                <w:color w:val="auto"/>
              </w:rPr>
              <w:t>1,070,380</w:t>
            </w:r>
          </w:p>
        </w:tc>
        <w:tc>
          <w:tcPr>
            <w:tcW w:w="1140" w:type="dxa"/>
            <w:vAlign w:val="bottom"/>
          </w:tcPr>
          <w:p>
            <w:pPr>
              <w:jc w:val="right"/>
              <w:ind w:right="50"/>
              <w:spacing w:after="0"/>
              <w:rPr>
                <w:sz w:val="20"/>
                <w:szCs w:val="20"/>
                <w:color w:val="auto"/>
              </w:rPr>
            </w:pPr>
            <w:r>
              <w:rPr>
                <w:rFonts w:ascii="Arial" w:cs="Arial" w:eastAsia="Arial" w:hAnsi="Arial"/>
                <w:sz w:val="18"/>
                <w:szCs w:val="18"/>
                <w:color w:val="auto"/>
              </w:rPr>
              <w:t>(150,928)</w:t>
            </w:r>
          </w:p>
        </w:tc>
        <w:tc>
          <w:tcPr>
            <w:tcW w:w="1180" w:type="dxa"/>
            <w:vAlign w:val="bottom"/>
            <w:gridSpan w:val="2"/>
          </w:tcPr>
          <w:p>
            <w:pPr>
              <w:jc w:val="right"/>
              <w:ind w:right="100"/>
              <w:spacing w:after="0"/>
              <w:rPr>
                <w:sz w:val="20"/>
                <w:szCs w:val="20"/>
                <w:color w:val="auto"/>
              </w:rPr>
            </w:pPr>
            <w:r>
              <w:rPr>
                <w:rFonts w:ascii="Arial" w:cs="Arial" w:eastAsia="Arial" w:hAnsi="Arial"/>
                <w:sz w:val="18"/>
                <w:szCs w:val="18"/>
                <w:color w:val="auto"/>
              </w:rPr>
              <w:t>(14)%</w:t>
            </w:r>
          </w:p>
        </w:tc>
      </w:tr>
      <w:tr>
        <w:trPr>
          <w:trHeight w:val="250"/>
        </w:trPr>
        <w:tc>
          <w:tcPr>
            <w:tcW w:w="532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color w:val="auto"/>
              </w:rPr>
              <w:t>Average selling price per ton, including surcharges</w:t>
            </w:r>
          </w:p>
        </w:tc>
        <w:tc>
          <w:tcPr>
            <w:tcW w:w="2620" w:type="dxa"/>
            <w:vAlign w:val="bottom"/>
            <w:tcBorders>
              <w:bottom w:val="single" w:sz="8" w:color="auto"/>
            </w:tcBorders>
            <w:shd w:val="clear" w:color="auto" w:fill="CCEEFF"/>
          </w:tcPr>
          <w:p>
            <w:pPr>
              <w:jc w:val="right"/>
              <w:ind w:right="250"/>
              <w:spacing w:after="0"/>
              <w:rPr>
                <w:sz w:val="20"/>
                <w:szCs w:val="20"/>
                <w:color w:val="auto"/>
              </w:rPr>
            </w:pPr>
            <w:r>
              <w:rPr>
                <w:rFonts w:ascii="Arial" w:cs="Arial" w:eastAsia="Arial" w:hAnsi="Arial"/>
                <w:sz w:val="18"/>
                <w:szCs w:val="18"/>
                <w:b w:val="1"/>
                <w:bCs w:val="1"/>
                <w:color w:val="auto"/>
              </w:rPr>
              <w:t>$1,502</w:t>
            </w:r>
          </w:p>
        </w:tc>
        <w:tc>
          <w:tcPr>
            <w:tcW w:w="1160" w:type="dxa"/>
            <w:vAlign w:val="bottom"/>
            <w:tcBorders>
              <w:bottom w:val="single" w:sz="8" w:color="auto"/>
            </w:tcBorders>
            <w:shd w:val="clear" w:color="auto" w:fill="CCEEFF"/>
          </w:tcPr>
          <w:p>
            <w:pPr>
              <w:jc w:val="right"/>
              <w:ind w:right="190"/>
              <w:spacing w:after="0"/>
              <w:rPr>
                <w:sz w:val="20"/>
                <w:szCs w:val="20"/>
                <w:color w:val="auto"/>
              </w:rPr>
            </w:pPr>
            <w:r>
              <w:rPr>
                <w:rFonts w:ascii="Arial" w:cs="Arial" w:eastAsia="Arial" w:hAnsi="Arial"/>
                <w:sz w:val="18"/>
                <w:szCs w:val="18"/>
                <w:color w:val="auto"/>
              </w:rPr>
              <w:t>$1,615</w:t>
            </w:r>
          </w:p>
        </w:tc>
        <w:tc>
          <w:tcPr>
            <w:tcW w:w="114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rPr>
              <w:t>($113)</w:t>
            </w:r>
          </w:p>
        </w:tc>
        <w:tc>
          <w:tcPr>
            <w:tcW w:w="10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w:t>
            </w:r>
          </w:p>
        </w:tc>
        <w:tc>
          <w:tcPr>
            <w:tcW w:w="100" w:type="dxa"/>
            <w:vAlign w:val="bottom"/>
            <w:shd w:val="clear" w:color="auto" w:fill="CCEEFF"/>
          </w:tcPr>
          <w:p>
            <w:pPr>
              <w:spacing w:after="0"/>
              <w:rPr>
                <w:sz w:val="21"/>
                <w:szCs w:val="21"/>
                <w:color w:val="auto"/>
              </w:rPr>
            </w:pPr>
          </w:p>
        </w:tc>
      </w:tr>
    </w:tbl>
    <w:p>
      <w:pPr>
        <w:spacing w:after="0" w:line="25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Net Sales</w:t>
      </w:r>
    </w:p>
    <w:p>
      <w:pPr>
        <w:spacing w:after="0" w:line="270" w:lineRule="exact"/>
        <w:rPr>
          <w:sz w:val="20"/>
          <w:szCs w:val="20"/>
          <w:color w:val="auto"/>
        </w:rPr>
      </w:pPr>
    </w:p>
    <w:p>
      <w:pPr>
        <w:ind w:right="60" w:firstLine="913"/>
        <w:spacing w:after="0" w:line="264" w:lineRule="auto"/>
        <w:rPr>
          <w:sz w:val="20"/>
          <w:szCs w:val="20"/>
          <w:color w:val="auto"/>
        </w:rPr>
      </w:pPr>
      <w:r>
        <w:rPr>
          <w:rFonts w:ascii="Arial" w:cs="Arial" w:eastAsia="Arial" w:hAnsi="Arial"/>
          <w:sz w:val="18"/>
          <w:szCs w:val="18"/>
          <w:color w:val="auto"/>
        </w:rPr>
        <w:t>Net sales for 2013 decreased 20% compared to 2012. Excluding surcharges, net sales decreased 18%. The decrease was primarily due to lower volume, as well as unfavorable mix. The lower volume was driven by a decrease in shipments to our industrial and energy end-market sectors, partially offset by higher shipments to our mobile end-market sector.</w:t>
      </w:r>
    </w:p>
    <w:p>
      <w:pPr>
        <w:spacing w:after="0" w:line="20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Gross Profit</w:t>
      </w:r>
    </w:p>
    <w:p>
      <w:pPr>
        <w:spacing w:after="0" w:line="270" w:lineRule="exact"/>
        <w:rPr>
          <w:sz w:val="20"/>
          <w:szCs w:val="20"/>
          <w:color w:val="auto"/>
        </w:rPr>
      </w:pPr>
    </w:p>
    <w:p>
      <w:pPr>
        <w:ind w:right="40" w:firstLine="913"/>
        <w:spacing w:after="0" w:line="277" w:lineRule="auto"/>
        <w:rPr>
          <w:sz w:val="20"/>
          <w:szCs w:val="20"/>
          <w:color w:val="auto"/>
        </w:rPr>
      </w:pPr>
      <w:r>
        <w:rPr>
          <w:rFonts w:ascii="Arial" w:cs="Arial" w:eastAsia="Arial" w:hAnsi="Arial"/>
          <w:sz w:val="18"/>
          <w:szCs w:val="18"/>
          <w:color w:val="auto"/>
        </w:rPr>
        <w:t>Gross profit decreased $115.7 million in 2013 compared to 2012, primarily due to the impact of lower volume and higher manufacturing expense resulting from lower cost absorption, as well as unfavorable mix.</w:t>
      </w:r>
    </w:p>
    <w:p>
      <w:pPr>
        <w:spacing w:after="0" w:line="211" w:lineRule="exact"/>
        <w:rPr>
          <w:sz w:val="20"/>
          <w:szCs w:val="20"/>
          <w:color w:val="auto"/>
        </w:rPr>
      </w:pPr>
    </w:p>
    <w:p>
      <w:pPr>
        <w:ind w:right="480" w:firstLine="913"/>
        <w:spacing w:after="0" w:line="264" w:lineRule="auto"/>
        <w:rPr>
          <w:sz w:val="20"/>
          <w:szCs w:val="20"/>
          <w:color w:val="auto"/>
        </w:rPr>
      </w:pPr>
      <w:r>
        <w:rPr>
          <w:rFonts w:ascii="Arial" w:cs="Arial" w:eastAsia="Arial" w:hAnsi="Arial"/>
          <w:sz w:val="18"/>
          <w:szCs w:val="18"/>
          <w:color w:val="auto"/>
        </w:rPr>
        <w:t>Our surcharge mechanism is designed to mitigate the impact of increases or decreases in raw material costs, although generally with a lag effect. This timing effect can result in raw material costs being over- or under-recovered in certain periods. While the surcharge generally protects gross profit, it had the effect of diluting gross margin as a percent of sales.</w:t>
      </w:r>
    </w:p>
    <w:p>
      <w:pPr>
        <w:spacing w:after="0" w:line="20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Selling, General and Administrative Expenses</w:t>
      </w:r>
    </w:p>
    <w:p>
      <w:pPr>
        <w:spacing w:after="0" w:line="270" w:lineRule="exact"/>
        <w:rPr>
          <w:sz w:val="20"/>
          <w:szCs w:val="20"/>
          <w:color w:val="auto"/>
        </w:rPr>
      </w:pPr>
    </w:p>
    <w:p>
      <w:pPr>
        <w:ind w:right="600" w:firstLine="913"/>
        <w:spacing w:after="0" w:line="277" w:lineRule="auto"/>
        <w:rPr>
          <w:sz w:val="20"/>
          <w:szCs w:val="20"/>
          <w:color w:val="auto"/>
        </w:rPr>
      </w:pPr>
      <w:r>
        <w:rPr>
          <w:rFonts w:ascii="Arial" w:cs="Arial" w:eastAsia="Arial" w:hAnsi="Arial"/>
          <w:sz w:val="18"/>
          <w:szCs w:val="18"/>
          <w:color w:val="auto"/>
        </w:rPr>
        <w:t>SG&amp;A expenses decreased by $11.7 million, or 11%, in 2013 compared to 2012, primarily due to lower incentive compensation expense, partially offset by higher salary and benefit costs.</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Provision for Income Taxes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283210</wp:posOffset>
            </wp:positionV>
            <wp:extent cx="7186295" cy="889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7186295" cy="8890"/>
                    </a:xfrm>
                    <a:prstGeom prst="rect">
                      <a:avLst/>
                    </a:prstGeom>
                    <a:noFill/>
                  </pic:spPr>
                </pic:pic>
              </a:graphicData>
            </a:graphic>
          </wp:anchor>
        </w:drawing>
      </w:r>
    </w:p>
    <w:p>
      <w:pPr>
        <w:spacing w:after="0" w:line="200" w:lineRule="exact"/>
        <w:rPr>
          <w:sz w:val="20"/>
          <w:szCs w:val="20"/>
          <w:color w:val="auto"/>
        </w:rPr>
      </w:pPr>
    </w:p>
    <w:p>
      <w:pPr>
        <w:spacing w:after="0" w:line="235" w:lineRule="exact"/>
        <w:rPr>
          <w:sz w:val="20"/>
          <w:szCs w:val="20"/>
          <w:color w:val="auto"/>
        </w:rPr>
      </w:pPr>
    </w:p>
    <w:p>
      <w:pPr>
        <w:ind w:left="8120"/>
        <w:spacing w:after="0"/>
        <w:rPr>
          <w:sz w:val="20"/>
          <w:szCs w:val="20"/>
          <w:color w:val="auto"/>
        </w:rPr>
      </w:pPr>
      <w:r>
        <w:rPr>
          <w:rFonts w:ascii="Arial" w:cs="Arial" w:eastAsia="Arial" w:hAnsi="Arial"/>
          <w:sz w:val="18"/>
          <w:szCs w:val="18"/>
          <w:b w:val="1"/>
          <w:bCs w:val="1"/>
          <w:color w:val="auto"/>
        </w:rPr>
        <w:t>Years Ended December 31,</w:t>
      </w:r>
    </w:p>
    <w:p>
      <w:pPr>
        <w:spacing w:after="0" w:line="27" w:lineRule="exact"/>
        <w:rPr>
          <w:sz w:val="20"/>
          <w:szCs w:val="20"/>
          <w:color w:val="auto"/>
        </w:rPr>
      </w:pPr>
    </w:p>
    <w:tbl>
      <w:tblPr>
        <w:tblLayout w:type="fixed"/>
        <w:tblInd w:w="0" w:type="dxa"/>
        <w:tblCellMar>
          <w:top w:w="0" w:type="dxa"/>
          <w:left w:w="0" w:type="dxa"/>
          <w:bottom w:w="0" w:type="dxa"/>
          <w:right w:w="0" w:type="dxa"/>
        </w:tblCellMar>
      </w:tblPr>
      <w:tr>
        <w:trPr>
          <w:trHeight w:val="223"/>
        </w:trPr>
        <w:tc>
          <w:tcPr>
            <w:tcW w:w="4480" w:type="dxa"/>
            <w:vAlign w:val="bottom"/>
            <w:tcBorders>
              <w:top w:val="single" w:sz="8" w:color="auto"/>
            </w:tcBorders>
          </w:tcPr>
          <w:p>
            <w:pPr>
              <w:spacing w:after="0"/>
              <w:rPr>
                <w:sz w:val="19"/>
                <w:szCs w:val="19"/>
                <w:color w:val="auto"/>
              </w:rPr>
            </w:pPr>
          </w:p>
        </w:tc>
        <w:tc>
          <w:tcPr>
            <w:tcW w:w="3400" w:type="dxa"/>
            <w:vAlign w:val="bottom"/>
            <w:tcBorders>
              <w:top w:val="single" w:sz="8" w:color="auto"/>
            </w:tcBorders>
          </w:tcPr>
          <w:p>
            <w:pPr>
              <w:jc w:val="right"/>
              <w:ind w:right="390"/>
              <w:spacing w:after="0"/>
              <w:rPr>
                <w:sz w:val="20"/>
                <w:szCs w:val="20"/>
                <w:color w:val="auto"/>
              </w:rPr>
            </w:pPr>
            <w:r>
              <w:rPr>
                <w:rFonts w:ascii="Arial" w:cs="Arial" w:eastAsia="Arial" w:hAnsi="Arial"/>
                <w:sz w:val="18"/>
                <w:szCs w:val="18"/>
                <w:b w:val="1"/>
                <w:bCs w:val="1"/>
                <w:color w:val="auto"/>
              </w:rPr>
              <w:t>2013</w:t>
            </w:r>
          </w:p>
        </w:tc>
        <w:tc>
          <w:tcPr>
            <w:tcW w:w="1040" w:type="dxa"/>
            <w:vAlign w:val="bottom"/>
            <w:tcBorders>
              <w:top w:val="single" w:sz="8" w:color="auto"/>
            </w:tcBorders>
          </w:tcPr>
          <w:p>
            <w:pPr>
              <w:jc w:val="right"/>
              <w:ind w:right="390"/>
              <w:spacing w:after="0"/>
              <w:rPr>
                <w:sz w:val="20"/>
                <w:szCs w:val="20"/>
                <w:color w:val="auto"/>
              </w:rPr>
            </w:pPr>
            <w:r>
              <w:rPr>
                <w:rFonts w:ascii="Arial" w:cs="Arial" w:eastAsia="Arial" w:hAnsi="Arial"/>
                <w:sz w:val="18"/>
                <w:szCs w:val="18"/>
                <w:color w:val="auto"/>
              </w:rPr>
              <w:t>2012</w:t>
            </w:r>
          </w:p>
        </w:tc>
        <w:tc>
          <w:tcPr>
            <w:tcW w:w="1280" w:type="dxa"/>
            <w:vAlign w:val="bottom"/>
            <w:tcBorders>
              <w:top w:val="single" w:sz="8" w:color="auto"/>
            </w:tcBorders>
          </w:tcPr>
          <w:p>
            <w:pPr>
              <w:jc w:val="right"/>
              <w:ind w:right="310"/>
              <w:spacing w:after="0"/>
              <w:rPr>
                <w:sz w:val="20"/>
                <w:szCs w:val="20"/>
                <w:color w:val="auto"/>
              </w:rPr>
            </w:pPr>
            <w:r>
              <w:rPr>
                <w:rFonts w:ascii="Arial" w:cs="Arial" w:eastAsia="Arial" w:hAnsi="Arial"/>
                <w:sz w:val="18"/>
                <w:szCs w:val="18"/>
                <w:color w:val="auto"/>
              </w:rPr>
              <w:t>$ Change</w:t>
            </w:r>
          </w:p>
        </w:tc>
        <w:tc>
          <w:tcPr>
            <w:tcW w:w="1120" w:type="dxa"/>
            <w:vAlign w:val="bottom"/>
            <w:tcBorders>
              <w:top w:val="single" w:sz="8" w:color="auto"/>
            </w:tcBorders>
          </w:tcPr>
          <w:p>
            <w:pPr>
              <w:ind w:left="200"/>
              <w:spacing w:after="0"/>
              <w:rPr>
                <w:sz w:val="20"/>
                <w:szCs w:val="20"/>
                <w:color w:val="auto"/>
              </w:rPr>
            </w:pPr>
            <w:r>
              <w:rPr>
                <w:rFonts w:ascii="Arial" w:cs="Arial" w:eastAsia="Arial" w:hAnsi="Arial"/>
                <w:sz w:val="18"/>
                <w:szCs w:val="18"/>
                <w:color w:val="auto"/>
              </w:rPr>
              <w:t>% Change</w:t>
            </w:r>
          </w:p>
        </w:tc>
        <w:tc>
          <w:tcPr>
            <w:tcW w:w="100" w:type="dxa"/>
            <w:vAlign w:val="bottom"/>
          </w:tcPr>
          <w:p>
            <w:pPr>
              <w:spacing w:after="0"/>
              <w:rPr>
                <w:sz w:val="19"/>
                <w:szCs w:val="19"/>
                <w:color w:val="auto"/>
              </w:rPr>
            </w:pPr>
          </w:p>
        </w:tc>
      </w:tr>
      <w:tr>
        <w:trPr>
          <w:trHeight w:val="216"/>
        </w:trPr>
        <w:tc>
          <w:tcPr>
            <w:tcW w:w="4480" w:type="dxa"/>
            <w:vAlign w:val="bottom"/>
            <w:shd w:val="clear" w:color="auto" w:fill="CCEEFF"/>
          </w:tcPr>
          <w:p>
            <w:pPr>
              <w:spacing w:after="0"/>
              <w:rPr>
                <w:sz w:val="20"/>
                <w:szCs w:val="20"/>
                <w:color w:val="auto"/>
              </w:rPr>
            </w:pPr>
            <w:r>
              <w:rPr>
                <w:rFonts w:ascii="Arial" w:cs="Arial" w:eastAsia="Arial" w:hAnsi="Arial"/>
                <w:sz w:val="18"/>
                <w:szCs w:val="18"/>
                <w:color w:val="auto"/>
              </w:rPr>
              <w:t>Provision for income taxes</w:t>
            </w:r>
          </w:p>
        </w:tc>
        <w:tc>
          <w:tcPr>
            <w:tcW w:w="3400" w:type="dxa"/>
            <w:vAlign w:val="bottom"/>
            <w:shd w:val="clear" w:color="auto" w:fill="CCEEFF"/>
          </w:tcPr>
          <w:p>
            <w:pPr>
              <w:jc w:val="right"/>
              <w:ind w:right="310"/>
              <w:spacing w:after="0"/>
              <w:rPr>
                <w:sz w:val="20"/>
                <w:szCs w:val="20"/>
                <w:color w:val="auto"/>
              </w:rPr>
            </w:pPr>
            <w:r>
              <w:rPr>
                <w:rFonts w:ascii="Arial" w:cs="Arial" w:eastAsia="Arial" w:hAnsi="Arial"/>
                <w:sz w:val="18"/>
                <w:szCs w:val="18"/>
                <w:b w:val="1"/>
                <w:bCs w:val="1"/>
                <w:color w:val="auto"/>
              </w:rPr>
              <w:t>$38.1</w:t>
            </w:r>
          </w:p>
        </w:tc>
        <w:tc>
          <w:tcPr>
            <w:tcW w:w="1040" w:type="dxa"/>
            <w:vAlign w:val="bottom"/>
            <w:shd w:val="clear" w:color="auto" w:fill="CCEEFF"/>
          </w:tcPr>
          <w:p>
            <w:pPr>
              <w:jc w:val="right"/>
              <w:ind w:right="310"/>
              <w:spacing w:after="0"/>
              <w:rPr>
                <w:sz w:val="20"/>
                <w:szCs w:val="20"/>
                <w:color w:val="auto"/>
              </w:rPr>
            </w:pPr>
            <w:r>
              <w:rPr>
                <w:rFonts w:ascii="Arial" w:cs="Arial" w:eastAsia="Arial" w:hAnsi="Arial"/>
                <w:sz w:val="18"/>
                <w:szCs w:val="18"/>
                <w:color w:val="auto"/>
              </w:rPr>
              <w:t>$79.1</w:t>
            </w:r>
          </w:p>
        </w:tc>
        <w:tc>
          <w:tcPr>
            <w:tcW w:w="1280" w:type="dxa"/>
            <w:vAlign w:val="bottom"/>
            <w:shd w:val="clear" w:color="auto" w:fill="CCEEFF"/>
          </w:tcPr>
          <w:p>
            <w:pPr>
              <w:jc w:val="right"/>
              <w:ind w:right="130"/>
              <w:spacing w:after="0"/>
              <w:rPr>
                <w:sz w:val="20"/>
                <w:szCs w:val="20"/>
                <w:color w:val="auto"/>
              </w:rPr>
            </w:pPr>
            <w:r>
              <w:rPr>
                <w:rFonts w:ascii="Arial" w:cs="Arial" w:eastAsia="Arial" w:hAnsi="Arial"/>
                <w:sz w:val="18"/>
                <w:szCs w:val="18"/>
                <w:color w:val="auto"/>
              </w:rPr>
              <w:t>($41.0)</w:t>
            </w:r>
          </w:p>
        </w:tc>
        <w:tc>
          <w:tcPr>
            <w:tcW w:w="12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(52)%</w:t>
            </w:r>
          </w:p>
        </w:tc>
      </w:tr>
      <w:tr>
        <w:trPr>
          <w:trHeight w:val="250"/>
        </w:trPr>
        <w:tc>
          <w:tcPr>
            <w:tcW w:w="448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Effective tax rate</w:t>
            </w:r>
          </w:p>
        </w:tc>
        <w:tc>
          <w:tcPr>
            <w:tcW w:w="3400" w:type="dxa"/>
            <w:vAlign w:val="bottom"/>
            <w:tcBorders>
              <w:bottom w:val="single" w:sz="8" w:color="auto"/>
            </w:tcBorders>
          </w:tcPr>
          <w:p>
            <w:pPr>
              <w:jc w:val="right"/>
              <w:ind w:right="130"/>
              <w:spacing w:after="0"/>
              <w:rPr>
                <w:sz w:val="20"/>
                <w:szCs w:val="20"/>
                <w:color w:val="auto"/>
              </w:rPr>
            </w:pPr>
            <w:r>
              <w:rPr>
                <w:rFonts w:ascii="Arial" w:cs="Arial" w:eastAsia="Arial" w:hAnsi="Arial"/>
                <w:sz w:val="18"/>
                <w:szCs w:val="18"/>
                <w:b w:val="1"/>
                <w:bCs w:val="1"/>
                <w:color w:val="auto"/>
              </w:rPr>
              <w:t>29.9%</w:t>
            </w:r>
          </w:p>
        </w:tc>
        <w:tc>
          <w:tcPr>
            <w:tcW w:w="1040" w:type="dxa"/>
            <w:vAlign w:val="bottom"/>
            <w:tcBorders>
              <w:bottom w:val="single" w:sz="8" w:color="auto"/>
            </w:tcBorders>
          </w:tcPr>
          <w:p>
            <w:pPr>
              <w:jc w:val="right"/>
              <w:ind w:right="130"/>
              <w:spacing w:after="0"/>
              <w:rPr>
                <w:sz w:val="20"/>
                <w:szCs w:val="20"/>
                <w:color w:val="auto"/>
              </w:rPr>
            </w:pPr>
            <w:r>
              <w:rPr>
                <w:rFonts w:ascii="Arial" w:cs="Arial" w:eastAsia="Arial" w:hAnsi="Arial"/>
                <w:sz w:val="18"/>
                <w:szCs w:val="18"/>
                <w:color w:val="auto"/>
              </w:rPr>
              <w:t>33.8%</w:t>
            </w:r>
          </w:p>
        </w:tc>
        <w:tc>
          <w:tcPr>
            <w:tcW w:w="1280" w:type="dxa"/>
            <w:vAlign w:val="bottom"/>
            <w:tcBorders>
              <w:bottom w:val="single" w:sz="8" w:color="auto"/>
            </w:tcBorders>
          </w:tcPr>
          <w:p>
            <w:pPr>
              <w:jc w:val="right"/>
              <w:ind w:right="170"/>
              <w:spacing w:after="0"/>
              <w:rPr>
                <w:sz w:val="20"/>
                <w:szCs w:val="20"/>
                <w:color w:val="auto"/>
              </w:rPr>
            </w:pPr>
            <w:r>
              <w:rPr>
                <w:rFonts w:ascii="Arial" w:cs="Arial" w:eastAsia="Arial" w:hAnsi="Arial"/>
                <w:sz w:val="18"/>
                <w:szCs w:val="18"/>
                <w:color w:val="auto"/>
              </w:rPr>
              <w:t>—</w:t>
            </w:r>
          </w:p>
        </w:tc>
        <w:tc>
          <w:tcPr>
            <w:tcW w:w="1120" w:type="dxa"/>
            <w:vAlign w:val="bottom"/>
            <w:tcBorders>
              <w:bottom w:val="single" w:sz="8" w:color="auto"/>
            </w:tcBorders>
          </w:tcPr>
          <w:p>
            <w:pPr>
              <w:ind w:left="72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1"/>
                <w:szCs w:val="21"/>
                <w:color w:val="auto"/>
              </w:rPr>
            </w:pPr>
          </w:p>
        </w:tc>
      </w:tr>
    </w:tbl>
    <w:p>
      <w:pPr>
        <w:spacing w:after="0" w:line="242" w:lineRule="exact"/>
        <w:rPr>
          <w:sz w:val="20"/>
          <w:szCs w:val="20"/>
          <w:color w:val="auto"/>
        </w:rPr>
      </w:pPr>
    </w:p>
    <w:p>
      <w:pPr>
        <w:jc w:val="both"/>
        <w:ind w:right="340" w:firstLine="913"/>
        <w:spacing w:after="0" w:line="264" w:lineRule="auto"/>
        <w:rPr>
          <w:sz w:val="20"/>
          <w:szCs w:val="20"/>
          <w:color w:val="auto"/>
        </w:rPr>
      </w:pPr>
      <w:r>
        <w:rPr>
          <w:rFonts w:ascii="Arial" w:cs="Arial" w:eastAsia="Arial" w:hAnsi="Arial"/>
          <w:sz w:val="18"/>
          <w:szCs w:val="18"/>
          <w:color w:val="auto"/>
        </w:rPr>
        <w:t>The decrease in the effective tax rate in 2013 compared to 2012 was primarily due to discrete U.S. tax benefits, including certain settlements related to tax audits, higher U.S research tax credit and higher earnings in foreign jurisdictions where the effective tax rate is less than 35%. These factors were partially offset by lower U.S. manufacturing deduction and higher U.S. state and local taxes.</w:t>
      </w:r>
    </w:p>
    <w:p>
      <w:pPr>
        <w:spacing w:after="0" w:line="1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37</w:t>
      </w:r>
    </w:p>
    <w:p>
      <w:pPr>
        <w:sectPr>
          <w:pgSz w:w="11900" w:h="16838" w:orient="portrait"/>
          <w:cols w:equalWidth="0" w:num="1">
            <w:col w:w="11420"/>
          </w:cols>
          <w:pgMar w:left="240" w:top="459" w:right="239" w:bottom="1440" w:gutter="0" w:footer="0" w:header="0"/>
        </w:sectPr>
      </w:pPr>
    </w:p>
    <w:bookmarkStart w:id="46" w:name="page47"/>
    <w:bookmarkEnd w:id="4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Business Segments</w:t>
      </w:r>
    </w:p>
    <w:p>
      <w:pPr>
        <w:spacing w:after="0" w:line="305" w:lineRule="exact"/>
        <w:rPr>
          <w:sz w:val="20"/>
          <w:szCs w:val="20"/>
          <w:color w:val="auto"/>
        </w:rPr>
      </w:pPr>
    </w:p>
    <w:tbl>
      <w:tblPr>
        <w:tblLayout w:type="fixed"/>
        <w:tblInd w:w="0" w:type="dxa"/>
        <w:tblCellMar>
          <w:top w:w="0" w:type="dxa"/>
          <w:left w:w="0" w:type="dxa"/>
          <w:bottom w:w="0" w:type="dxa"/>
          <w:right w:w="0" w:type="dxa"/>
        </w:tblCellMar>
      </w:tblPr>
      <w:tr>
        <w:trPr>
          <w:trHeight w:val="243"/>
        </w:trPr>
        <w:tc>
          <w:tcPr>
            <w:tcW w:w="534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b w:val="1"/>
                <w:bCs w:val="1"/>
                <w:color w:val="auto"/>
              </w:rPr>
              <w:t>Industrial &amp; Mobile</w:t>
            </w:r>
          </w:p>
        </w:tc>
        <w:tc>
          <w:tcPr>
            <w:tcW w:w="2580" w:type="dxa"/>
            <w:vAlign w:val="bottom"/>
            <w:tcBorders>
              <w:top w:val="single" w:sz="8" w:color="auto"/>
              <w:bottom w:val="single" w:sz="8" w:color="auto"/>
            </w:tcBorders>
          </w:tcPr>
          <w:p>
            <w:pPr>
              <w:spacing w:after="0"/>
              <w:rPr>
                <w:sz w:val="21"/>
                <w:szCs w:val="21"/>
                <w:color w:val="auto"/>
              </w:rPr>
            </w:pPr>
          </w:p>
        </w:tc>
        <w:tc>
          <w:tcPr>
            <w:tcW w:w="2360" w:type="dxa"/>
            <w:vAlign w:val="bottom"/>
            <w:tcBorders>
              <w:top w:val="single" w:sz="8" w:color="auto"/>
              <w:bottom w:val="single" w:sz="8" w:color="auto"/>
            </w:tcBorders>
            <w:gridSpan w:val="2"/>
          </w:tcPr>
          <w:p>
            <w:pPr>
              <w:jc w:val="right"/>
              <w:ind w:right="30"/>
              <w:spacing w:after="0"/>
              <w:rPr>
                <w:sz w:val="20"/>
                <w:szCs w:val="20"/>
                <w:color w:val="auto"/>
              </w:rPr>
            </w:pPr>
            <w:r>
              <w:rPr>
                <w:rFonts w:ascii="Arial" w:cs="Arial" w:eastAsia="Arial" w:hAnsi="Arial"/>
                <w:sz w:val="18"/>
                <w:szCs w:val="18"/>
                <w:b w:val="1"/>
                <w:bCs w:val="1"/>
                <w:color w:val="auto"/>
                <w:w w:val="96"/>
              </w:rPr>
              <w:t>Years Ended December 31,</w:t>
            </w:r>
          </w:p>
        </w:tc>
        <w:tc>
          <w:tcPr>
            <w:tcW w:w="1040" w:type="dxa"/>
            <w:vAlign w:val="bottom"/>
            <w:tcBorders>
              <w:top w:val="single" w:sz="8" w:color="auto"/>
              <w:bottom w:val="single" w:sz="8" w:color="auto"/>
            </w:tcBorders>
          </w:tcPr>
          <w:p>
            <w:pPr>
              <w:spacing w:after="0"/>
              <w:rPr>
                <w:sz w:val="21"/>
                <w:szCs w:val="21"/>
                <w:color w:val="auto"/>
              </w:rPr>
            </w:pPr>
          </w:p>
        </w:tc>
        <w:tc>
          <w:tcPr>
            <w:tcW w:w="100" w:type="dxa"/>
            <w:vAlign w:val="bottom"/>
          </w:tcPr>
          <w:p>
            <w:pPr>
              <w:spacing w:after="0"/>
              <w:rPr>
                <w:sz w:val="21"/>
                <w:szCs w:val="21"/>
                <w:color w:val="auto"/>
              </w:rPr>
            </w:pPr>
          </w:p>
        </w:tc>
      </w:tr>
      <w:tr>
        <w:trPr>
          <w:trHeight w:val="223"/>
        </w:trPr>
        <w:tc>
          <w:tcPr>
            <w:tcW w:w="5340" w:type="dxa"/>
            <w:vAlign w:val="bottom"/>
          </w:tcPr>
          <w:p>
            <w:pPr>
              <w:spacing w:after="0"/>
              <w:rPr>
                <w:sz w:val="19"/>
                <w:szCs w:val="19"/>
                <w:color w:val="auto"/>
              </w:rPr>
            </w:pPr>
          </w:p>
        </w:tc>
        <w:tc>
          <w:tcPr>
            <w:tcW w:w="2580" w:type="dxa"/>
            <w:vAlign w:val="bottom"/>
          </w:tcPr>
          <w:p>
            <w:pPr>
              <w:jc w:val="right"/>
              <w:ind w:right="470"/>
              <w:spacing w:after="0"/>
              <w:rPr>
                <w:sz w:val="20"/>
                <w:szCs w:val="20"/>
                <w:color w:val="auto"/>
              </w:rPr>
            </w:pPr>
            <w:r>
              <w:rPr>
                <w:rFonts w:ascii="Arial" w:cs="Arial" w:eastAsia="Arial" w:hAnsi="Arial"/>
                <w:sz w:val="18"/>
                <w:szCs w:val="18"/>
                <w:b w:val="1"/>
                <w:bCs w:val="1"/>
                <w:color w:val="auto"/>
              </w:rPr>
              <w:t>2013</w:t>
            </w:r>
          </w:p>
        </w:tc>
        <w:tc>
          <w:tcPr>
            <w:tcW w:w="1100" w:type="dxa"/>
            <w:vAlign w:val="bottom"/>
          </w:tcPr>
          <w:p>
            <w:pPr>
              <w:jc w:val="right"/>
              <w:ind w:right="450"/>
              <w:spacing w:after="0"/>
              <w:rPr>
                <w:sz w:val="20"/>
                <w:szCs w:val="20"/>
                <w:color w:val="auto"/>
              </w:rPr>
            </w:pPr>
            <w:r>
              <w:rPr>
                <w:rFonts w:ascii="Arial" w:cs="Arial" w:eastAsia="Arial" w:hAnsi="Arial"/>
                <w:sz w:val="18"/>
                <w:szCs w:val="18"/>
                <w:color w:val="auto"/>
              </w:rPr>
              <w:t>2012</w:t>
            </w:r>
          </w:p>
        </w:tc>
        <w:tc>
          <w:tcPr>
            <w:tcW w:w="1260" w:type="dxa"/>
            <w:vAlign w:val="bottom"/>
          </w:tcPr>
          <w:p>
            <w:pPr>
              <w:jc w:val="right"/>
              <w:ind w:right="330"/>
              <w:spacing w:after="0"/>
              <w:rPr>
                <w:sz w:val="20"/>
                <w:szCs w:val="20"/>
                <w:color w:val="auto"/>
              </w:rPr>
            </w:pPr>
            <w:r>
              <w:rPr>
                <w:rFonts w:ascii="Arial" w:cs="Arial" w:eastAsia="Arial" w:hAnsi="Arial"/>
                <w:sz w:val="18"/>
                <w:szCs w:val="18"/>
                <w:color w:val="auto"/>
              </w:rPr>
              <w:t>$ Change</w:t>
            </w:r>
          </w:p>
        </w:tc>
        <w:tc>
          <w:tcPr>
            <w:tcW w:w="1040" w:type="dxa"/>
            <w:vAlign w:val="bottom"/>
          </w:tcPr>
          <w:p>
            <w:pPr>
              <w:jc w:val="right"/>
              <w:ind w:right="90"/>
              <w:spacing w:after="0"/>
              <w:rPr>
                <w:sz w:val="20"/>
                <w:szCs w:val="20"/>
                <w:color w:val="auto"/>
              </w:rPr>
            </w:pPr>
            <w:r>
              <w:rPr>
                <w:rFonts w:ascii="Arial" w:cs="Arial" w:eastAsia="Arial" w:hAnsi="Arial"/>
                <w:sz w:val="18"/>
                <w:szCs w:val="18"/>
                <w:color w:val="auto"/>
                <w:w w:val="99"/>
              </w:rPr>
              <w:t>% Change</w:t>
            </w:r>
          </w:p>
        </w:tc>
        <w:tc>
          <w:tcPr>
            <w:tcW w:w="100" w:type="dxa"/>
            <w:vAlign w:val="bottom"/>
          </w:tcPr>
          <w:p>
            <w:pPr>
              <w:spacing w:after="0"/>
              <w:rPr>
                <w:sz w:val="19"/>
                <w:szCs w:val="19"/>
                <w:color w:val="auto"/>
              </w:rPr>
            </w:pPr>
          </w:p>
        </w:tc>
      </w:tr>
      <w:tr>
        <w:trPr>
          <w:trHeight w:val="216"/>
        </w:trPr>
        <w:tc>
          <w:tcPr>
            <w:tcW w:w="5340" w:type="dxa"/>
            <w:vAlign w:val="bottom"/>
            <w:shd w:val="clear" w:color="auto" w:fill="CCEEFF"/>
          </w:tcPr>
          <w:p>
            <w:pPr>
              <w:spacing w:after="0"/>
              <w:rPr>
                <w:sz w:val="20"/>
                <w:szCs w:val="20"/>
                <w:color w:val="auto"/>
              </w:rPr>
            </w:pPr>
            <w:r>
              <w:rPr>
                <w:rFonts w:ascii="Arial" w:cs="Arial" w:eastAsia="Arial" w:hAnsi="Arial"/>
                <w:sz w:val="18"/>
                <w:szCs w:val="18"/>
                <w:color w:val="auto"/>
              </w:rPr>
              <w:t>Net sales, including intersegment sales</w:t>
            </w:r>
          </w:p>
        </w:tc>
        <w:tc>
          <w:tcPr>
            <w:tcW w:w="2580" w:type="dxa"/>
            <w:vAlign w:val="bottom"/>
            <w:shd w:val="clear" w:color="auto" w:fill="CCEEFF"/>
          </w:tcPr>
          <w:p>
            <w:pPr>
              <w:jc w:val="right"/>
              <w:ind w:right="250"/>
              <w:spacing w:after="0"/>
              <w:rPr>
                <w:sz w:val="20"/>
                <w:szCs w:val="20"/>
                <w:color w:val="auto"/>
              </w:rPr>
            </w:pPr>
            <w:r>
              <w:rPr>
                <w:rFonts w:ascii="Arial" w:cs="Arial" w:eastAsia="Arial" w:hAnsi="Arial"/>
                <w:sz w:val="18"/>
                <w:szCs w:val="18"/>
                <w:b w:val="1"/>
                <w:bCs w:val="1"/>
                <w:color w:val="auto"/>
              </w:rPr>
              <w:t>$865.0</w:t>
            </w:r>
          </w:p>
        </w:tc>
        <w:tc>
          <w:tcPr>
            <w:tcW w:w="1100" w:type="dxa"/>
            <w:vAlign w:val="bottom"/>
            <w:shd w:val="clear" w:color="auto" w:fill="CCEEFF"/>
          </w:tcPr>
          <w:p>
            <w:pPr>
              <w:jc w:val="right"/>
              <w:ind w:right="230"/>
              <w:spacing w:after="0"/>
              <w:rPr>
                <w:sz w:val="20"/>
                <w:szCs w:val="20"/>
                <w:color w:val="auto"/>
              </w:rPr>
            </w:pPr>
            <w:r>
              <w:rPr>
                <w:rFonts w:ascii="Arial" w:cs="Arial" w:eastAsia="Arial" w:hAnsi="Arial"/>
                <w:sz w:val="18"/>
                <w:szCs w:val="18"/>
                <w:color w:val="auto"/>
              </w:rPr>
              <w:t>$1,014.1</w:t>
            </w:r>
          </w:p>
        </w:tc>
        <w:tc>
          <w:tcPr>
            <w:tcW w:w="1260" w:type="dxa"/>
            <w:vAlign w:val="bottom"/>
            <w:shd w:val="clear" w:color="auto" w:fill="CCEEFF"/>
          </w:tcPr>
          <w:p>
            <w:pPr>
              <w:jc w:val="right"/>
              <w:ind w:right="150"/>
              <w:spacing w:after="0"/>
              <w:rPr>
                <w:sz w:val="20"/>
                <w:szCs w:val="20"/>
                <w:color w:val="auto"/>
              </w:rPr>
            </w:pPr>
            <w:r>
              <w:rPr>
                <w:rFonts w:ascii="Arial" w:cs="Arial" w:eastAsia="Arial" w:hAnsi="Arial"/>
                <w:sz w:val="18"/>
                <w:szCs w:val="18"/>
                <w:color w:val="auto"/>
              </w:rPr>
              <w:t>$(149.1)</w:t>
            </w:r>
          </w:p>
        </w:tc>
        <w:tc>
          <w:tcPr>
            <w:tcW w:w="11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(15)%</w:t>
            </w:r>
          </w:p>
        </w:tc>
      </w:tr>
      <w:tr>
        <w:trPr>
          <w:trHeight w:val="216"/>
        </w:trPr>
        <w:tc>
          <w:tcPr>
            <w:tcW w:w="5340" w:type="dxa"/>
            <w:vAlign w:val="bottom"/>
          </w:tcPr>
          <w:p>
            <w:pPr>
              <w:spacing w:after="0"/>
              <w:rPr>
                <w:sz w:val="20"/>
                <w:szCs w:val="20"/>
                <w:color w:val="auto"/>
              </w:rPr>
            </w:pPr>
            <w:r>
              <w:rPr>
                <w:rFonts w:ascii="Arial" w:cs="Arial" w:eastAsia="Arial" w:hAnsi="Arial"/>
                <w:sz w:val="18"/>
                <w:szCs w:val="18"/>
                <w:color w:val="auto"/>
              </w:rPr>
              <w:t>Net sales, excluding surcharges</w:t>
            </w:r>
          </w:p>
        </w:tc>
        <w:tc>
          <w:tcPr>
            <w:tcW w:w="2580" w:type="dxa"/>
            <w:vAlign w:val="bottom"/>
          </w:tcPr>
          <w:p>
            <w:pPr>
              <w:jc w:val="right"/>
              <w:ind w:right="250"/>
              <w:spacing w:after="0"/>
              <w:rPr>
                <w:sz w:val="20"/>
                <w:szCs w:val="20"/>
                <w:color w:val="auto"/>
              </w:rPr>
            </w:pPr>
            <w:r>
              <w:rPr>
                <w:rFonts w:ascii="Arial" w:cs="Arial" w:eastAsia="Arial" w:hAnsi="Arial"/>
                <w:sz w:val="18"/>
                <w:szCs w:val="18"/>
                <w:b w:val="1"/>
                <w:bCs w:val="1"/>
                <w:color w:val="auto"/>
              </w:rPr>
              <w:t>683.5</w:t>
            </w:r>
          </w:p>
        </w:tc>
        <w:tc>
          <w:tcPr>
            <w:tcW w:w="1100" w:type="dxa"/>
            <w:vAlign w:val="bottom"/>
          </w:tcPr>
          <w:p>
            <w:pPr>
              <w:jc w:val="right"/>
              <w:ind w:right="230"/>
              <w:spacing w:after="0"/>
              <w:rPr>
                <w:sz w:val="20"/>
                <w:szCs w:val="20"/>
                <w:color w:val="auto"/>
              </w:rPr>
            </w:pPr>
            <w:r>
              <w:rPr>
                <w:rFonts w:ascii="Arial" w:cs="Arial" w:eastAsia="Arial" w:hAnsi="Arial"/>
                <w:sz w:val="18"/>
                <w:szCs w:val="18"/>
                <w:color w:val="auto"/>
              </w:rPr>
              <w:t>774.2</w:t>
            </w:r>
          </w:p>
        </w:tc>
        <w:tc>
          <w:tcPr>
            <w:tcW w:w="1260" w:type="dxa"/>
            <w:vAlign w:val="bottom"/>
          </w:tcPr>
          <w:p>
            <w:pPr>
              <w:jc w:val="right"/>
              <w:ind w:right="150"/>
              <w:spacing w:after="0"/>
              <w:rPr>
                <w:sz w:val="20"/>
                <w:szCs w:val="20"/>
                <w:color w:val="auto"/>
              </w:rPr>
            </w:pPr>
            <w:r>
              <w:rPr>
                <w:rFonts w:ascii="Arial" w:cs="Arial" w:eastAsia="Arial" w:hAnsi="Arial"/>
                <w:sz w:val="18"/>
                <w:szCs w:val="18"/>
                <w:color w:val="auto"/>
              </w:rPr>
              <w:t>(90.7)</w:t>
            </w:r>
          </w:p>
        </w:tc>
        <w:tc>
          <w:tcPr>
            <w:tcW w:w="1140" w:type="dxa"/>
            <w:vAlign w:val="bottom"/>
            <w:gridSpan w:val="2"/>
          </w:tcPr>
          <w:p>
            <w:pPr>
              <w:jc w:val="right"/>
              <w:ind w:right="100"/>
              <w:spacing w:after="0"/>
              <w:rPr>
                <w:sz w:val="20"/>
                <w:szCs w:val="20"/>
                <w:color w:val="auto"/>
              </w:rPr>
            </w:pPr>
            <w:r>
              <w:rPr>
                <w:rFonts w:ascii="Arial" w:cs="Arial" w:eastAsia="Arial" w:hAnsi="Arial"/>
                <w:sz w:val="18"/>
                <w:szCs w:val="18"/>
                <w:color w:val="auto"/>
              </w:rPr>
              <w:t>(12)%</w:t>
            </w:r>
          </w:p>
        </w:tc>
      </w:tr>
      <w:tr>
        <w:trPr>
          <w:trHeight w:val="216"/>
        </w:trPr>
        <w:tc>
          <w:tcPr>
            <w:tcW w:w="5340" w:type="dxa"/>
            <w:vAlign w:val="bottom"/>
            <w:shd w:val="clear" w:color="auto" w:fill="CCEEFF"/>
          </w:tcPr>
          <w:p>
            <w:pPr>
              <w:spacing w:after="0"/>
              <w:rPr>
                <w:sz w:val="20"/>
                <w:szCs w:val="20"/>
                <w:color w:val="auto"/>
              </w:rPr>
            </w:pPr>
            <w:r>
              <w:rPr>
                <w:rFonts w:ascii="Arial" w:cs="Arial" w:eastAsia="Arial" w:hAnsi="Arial"/>
                <w:sz w:val="18"/>
                <w:szCs w:val="18"/>
                <w:color w:val="auto"/>
              </w:rPr>
              <w:t>EBIT</w:t>
            </w:r>
          </w:p>
        </w:tc>
        <w:tc>
          <w:tcPr>
            <w:tcW w:w="2580" w:type="dxa"/>
            <w:vAlign w:val="bottom"/>
            <w:shd w:val="clear" w:color="auto" w:fill="CCEEFF"/>
          </w:tcPr>
          <w:p>
            <w:pPr>
              <w:jc w:val="right"/>
              <w:ind w:right="250"/>
              <w:spacing w:after="0"/>
              <w:rPr>
                <w:sz w:val="20"/>
                <w:szCs w:val="20"/>
                <w:color w:val="auto"/>
              </w:rPr>
            </w:pPr>
            <w:r>
              <w:rPr>
                <w:rFonts w:ascii="Arial" w:cs="Arial" w:eastAsia="Arial" w:hAnsi="Arial"/>
                <w:sz w:val="18"/>
                <w:szCs w:val="18"/>
                <w:b w:val="1"/>
                <w:bCs w:val="1"/>
                <w:color w:val="auto"/>
              </w:rPr>
              <w:t>84.0</w:t>
            </w:r>
          </w:p>
        </w:tc>
        <w:tc>
          <w:tcPr>
            <w:tcW w:w="1100" w:type="dxa"/>
            <w:vAlign w:val="bottom"/>
            <w:shd w:val="clear" w:color="auto" w:fill="CCEEFF"/>
          </w:tcPr>
          <w:p>
            <w:pPr>
              <w:jc w:val="right"/>
              <w:ind w:right="230"/>
              <w:spacing w:after="0"/>
              <w:rPr>
                <w:sz w:val="20"/>
                <w:szCs w:val="20"/>
                <w:color w:val="auto"/>
              </w:rPr>
            </w:pPr>
            <w:r>
              <w:rPr>
                <w:rFonts w:ascii="Arial" w:cs="Arial" w:eastAsia="Arial" w:hAnsi="Arial"/>
                <w:sz w:val="18"/>
                <w:szCs w:val="18"/>
                <w:color w:val="auto"/>
              </w:rPr>
              <w:t>112.8</w:t>
            </w:r>
          </w:p>
        </w:tc>
        <w:tc>
          <w:tcPr>
            <w:tcW w:w="1260" w:type="dxa"/>
            <w:vAlign w:val="bottom"/>
            <w:shd w:val="clear" w:color="auto" w:fill="CCEEFF"/>
          </w:tcPr>
          <w:p>
            <w:pPr>
              <w:jc w:val="right"/>
              <w:ind w:right="150"/>
              <w:spacing w:after="0"/>
              <w:rPr>
                <w:sz w:val="20"/>
                <w:szCs w:val="20"/>
                <w:color w:val="auto"/>
              </w:rPr>
            </w:pPr>
            <w:r>
              <w:rPr>
                <w:rFonts w:ascii="Arial" w:cs="Arial" w:eastAsia="Arial" w:hAnsi="Arial"/>
                <w:sz w:val="18"/>
                <w:szCs w:val="18"/>
                <w:color w:val="auto"/>
              </w:rPr>
              <w:t>(28.8)</w:t>
            </w:r>
          </w:p>
        </w:tc>
        <w:tc>
          <w:tcPr>
            <w:tcW w:w="11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(26)%</w:t>
            </w:r>
          </w:p>
        </w:tc>
      </w:tr>
      <w:tr>
        <w:trPr>
          <w:trHeight w:val="216"/>
        </w:trPr>
        <w:tc>
          <w:tcPr>
            <w:tcW w:w="5340" w:type="dxa"/>
            <w:vAlign w:val="bottom"/>
          </w:tcPr>
          <w:p>
            <w:pPr>
              <w:spacing w:after="0"/>
              <w:rPr>
                <w:sz w:val="20"/>
                <w:szCs w:val="20"/>
                <w:color w:val="auto"/>
              </w:rPr>
            </w:pPr>
            <w:r>
              <w:rPr>
                <w:rFonts w:ascii="Arial" w:cs="Arial" w:eastAsia="Arial" w:hAnsi="Arial"/>
                <w:sz w:val="18"/>
                <w:szCs w:val="18"/>
                <w:color w:val="auto"/>
              </w:rPr>
              <w:t>EBIT margin</w:t>
            </w:r>
          </w:p>
        </w:tc>
        <w:tc>
          <w:tcPr>
            <w:tcW w:w="2580" w:type="dxa"/>
            <w:vAlign w:val="bottom"/>
          </w:tcPr>
          <w:p>
            <w:pPr>
              <w:jc w:val="right"/>
              <w:ind w:right="70"/>
              <w:spacing w:after="0"/>
              <w:rPr>
                <w:sz w:val="20"/>
                <w:szCs w:val="20"/>
                <w:color w:val="auto"/>
              </w:rPr>
            </w:pPr>
            <w:r>
              <w:rPr>
                <w:rFonts w:ascii="Arial" w:cs="Arial" w:eastAsia="Arial" w:hAnsi="Arial"/>
                <w:sz w:val="18"/>
                <w:szCs w:val="18"/>
                <w:b w:val="1"/>
                <w:bCs w:val="1"/>
                <w:color w:val="auto"/>
              </w:rPr>
              <w:t>9.7%</w:t>
            </w:r>
          </w:p>
        </w:tc>
        <w:tc>
          <w:tcPr>
            <w:tcW w:w="1100" w:type="dxa"/>
            <w:vAlign w:val="bottom"/>
          </w:tcPr>
          <w:p>
            <w:pPr>
              <w:jc w:val="right"/>
              <w:ind w:right="70"/>
              <w:spacing w:after="0"/>
              <w:rPr>
                <w:sz w:val="20"/>
                <w:szCs w:val="20"/>
                <w:color w:val="auto"/>
              </w:rPr>
            </w:pPr>
            <w:r>
              <w:rPr>
                <w:rFonts w:ascii="Arial" w:cs="Arial" w:eastAsia="Arial" w:hAnsi="Arial"/>
                <w:sz w:val="18"/>
                <w:szCs w:val="18"/>
                <w:color w:val="auto"/>
              </w:rPr>
              <w:t>11.1%</w:t>
            </w:r>
          </w:p>
        </w:tc>
        <w:tc>
          <w:tcPr>
            <w:tcW w:w="1260" w:type="dxa"/>
            <w:vAlign w:val="bottom"/>
          </w:tcPr>
          <w:p>
            <w:pPr>
              <w:jc w:val="right"/>
              <w:ind w:right="190"/>
              <w:spacing w:after="0"/>
              <w:rPr>
                <w:sz w:val="20"/>
                <w:szCs w:val="20"/>
                <w:color w:val="auto"/>
              </w:rPr>
            </w:pPr>
            <w:r>
              <w:rPr>
                <w:rFonts w:ascii="Arial" w:cs="Arial" w:eastAsia="Arial" w:hAnsi="Arial"/>
                <w:sz w:val="18"/>
                <w:szCs w:val="18"/>
                <w:color w:val="auto"/>
              </w:rPr>
              <w:t>NM</w:t>
            </w:r>
          </w:p>
        </w:tc>
        <w:tc>
          <w:tcPr>
            <w:tcW w:w="1140" w:type="dxa"/>
            <w:vAlign w:val="bottom"/>
            <w:gridSpan w:val="2"/>
          </w:tcPr>
          <w:p>
            <w:pPr>
              <w:jc w:val="right"/>
              <w:ind w:right="140"/>
              <w:spacing w:after="0"/>
              <w:rPr>
                <w:sz w:val="20"/>
                <w:szCs w:val="20"/>
                <w:color w:val="auto"/>
              </w:rPr>
            </w:pPr>
            <w:r>
              <w:rPr>
                <w:rFonts w:ascii="Arial" w:cs="Arial" w:eastAsia="Arial" w:hAnsi="Arial"/>
                <w:sz w:val="18"/>
                <w:szCs w:val="18"/>
                <w:color w:val="auto"/>
              </w:rPr>
              <w:t>(140) bps</w:t>
            </w:r>
          </w:p>
        </w:tc>
      </w:tr>
      <w:tr>
        <w:trPr>
          <w:trHeight w:val="216"/>
        </w:trPr>
        <w:tc>
          <w:tcPr>
            <w:tcW w:w="5340" w:type="dxa"/>
            <w:vAlign w:val="bottom"/>
            <w:shd w:val="clear" w:color="auto" w:fill="CCEEFF"/>
          </w:tcPr>
          <w:p>
            <w:pPr>
              <w:spacing w:after="0"/>
              <w:rPr>
                <w:sz w:val="20"/>
                <w:szCs w:val="20"/>
                <w:color w:val="auto"/>
              </w:rPr>
            </w:pPr>
            <w:r>
              <w:rPr>
                <w:rFonts w:ascii="Arial" w:cs="Arial" w:eastAsia="Arial" w:hAnsi="Arial"/>
                <w:sz w:val="18"/>
                <w:szCs w:val="18"/>
                <w:color w:val="auto"/>
              </w:rPr>
              <w:t>Shipments (in tons)</w:t>
            </w:r>
          </w:p>
        </w:tc>
        <w:tc>
          <w:tcPr>
            <w:tcW w:w="2580" w:type="dxa"/>
            <w:vAlign w:val="bottom"/>
            <w:shd w:val="clear" w:color="auto" w:fill="CCEEFF"/>
          </w:tcPr>
          <w:p>
            <w:pPr>
              <w:jc w:val="right"/>
              <w:ind w:right="250"/>
              <w:spacing w:after="0"/>
              <w:rPr>
                <w:sz w:val="20"/>
                <w:szCs w:val="20"/>
                <w:color w:val="auto"/>
              </w:rPr>
            </w:pPr>
            <w:r>
              <w:rPr>
                <w:rFonts w:ascii="Arial" w:cs="Arial" w:eastAsia="Arial" w:hAnsi="Arial"/>
                <w:sz w:val="18"/>
                <w:szCs w:val="18"/>
                <w:b w:val="1"/>
                <w:bCs w:val="1"/>
                <w:color w:val="auto"/>
              </w:rPr>
              <w:t>588,438</w:t>
            </w:r>
          </w:p>
        </w:tc>
        <w:tc>
          <w:tcPr>
            <w:tcW w:w="1100" w:type="dxa"/>
            <w:vAlign w:val="bottom"/>
            <w:shd w:val="clear" w:color="auto" w:fill="CCEEFF"/>
          </w:tcPr>
          <w:p>
            <w:pPr>
              <w:jc w:val="right"/>
              <w:ind w:right="230"/>
              <w:spacing w:after="0"/>
              <w:rPr>
                <w:sz w:val="20"/>
                <w:szCs w:val="20"/>
                <w:color w:val="auto"/>
              </w:rPr>
            </w:pPr>
            <w:r>
              <w:rPr>
                <w:rFonts w:ascii="Arial" w:cs="Arial" w:eastAsia="Arial" w:hAnsi="Arial"/>
                <w:sz w:val="18"/>
                <w:szCs w:val="18"/>
                <w:color w:val="auto"/>
              </w:rPr>
              <w:t>654,988</w:t>
            </w:r>
          </w:p>
        </w:tc>
        <w:tc>
          <w:tcPr>
            <w:tcW w:w="1260" w:type="dxa"/>
            <w:vAlign w:val="bottom"/>
            <w:shd w:val="clear" w:color="auto" w:fill="CCEEFF"/>
          </w:tcPr>
          <w:p>
            <w:pPr>
              <w:jc w:val="right"/>
              <w:ind w:right="150"/>
              <w:spacing w:after="0"/>
              <w:rPr>
                <w:sz w:val="20"/>
                <w:szCs w:val="20"/>
                <w:color w:val="auto"/>
              </w:rPr>
            </w:pPr>
            <w:r>
              <w:rPr>
                <w:rFonts w:ascii="Arial" w:cs="Arial" w:eastAsia="Arial" w:hAnsi="Arial"/>
                <w:sz w:val="18"/>
                <w:szCs w:val="18"/>
                <w:color w:val="auto"/>
              </w:rPr>
              <w:t>(66,550)</w:t>
            </w:r>
          </w:p>
        </w:tc>
        <w:tc>
          <w:tcPr>
            <w:tcW w:w="11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(10)%</w:t>
            </w:r>
          </w:p>
        </w:tc>
      </w:tr>
      <w:tr>
        <w:trPr>
          <w:trHeight w:val="250"/>
        </w:trPr>
        <w:tc>
          <w:tcPr>
            <w:tcW w:w="53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Average selling price per ton, including surcharges</w:t>
            </w:r>
          </w:p>
        </w:tc>
        <w:tc>
          <w:tcPr>
            <w:tcW w:w="2580" w:type="dxa"/>
            <w:vAlign w:val="bottom"/>
            <w:tcBorders>
              <w:bottom w:val="single" w:sz="8" w:color="auto"/>
            </w:tcBorders>
          </w:tcPr>
          <w:p>
            <w:pPr>
              <w:jc w:val="right"/>
              <w:ind w:right="250"/>
              <w:spacing w:after="0"/>
              <w:rPr>
                <w:sz w:val="20"/>
                <w:szCs w:val="20"/>
                <w:color w:val="auto"/>
              </w:rPr>
            </w:pPr>
            <w:r>
              <w:rPr>
                <w:rFonts w:ascii="Arial" w:cs="Arial" w:eastAsia="Arial" w:hAnsi="Arial"/>
                <w:sz w:val="18"/>
                <w:szCs w:val="18"/>
                <w:b w:val="1"/>
                <w:bCs w:val="1"/>
                <w:color w:val="auto"/>
              </w:rPr>
              <w:t>$1,470</w:t>
            </w:r>
          </w:p>
        </w:tc>
        <w:tc>
          <w:tcPr>
            <w:tcW w:w="1100" w:type="dxa"/>
            <w:vAlign w:val="bottom"/>
            <w:tcBorders>
              <w:bottom w:val="single" w:sz="8" w:color="auto"/>
            </w:tcBorders>
          </w:tcPr>
          <w:p>
            <w:pPr>
              <w:jc w:val="right"/>
              <w:ind w:right="230"/>
              <w:spacing w:after="0"/>
              <w:rPr>
                <w:sz w:val="20"/>
                <w:szCs w:val="20"/>
                <w:color w:val="auto"/>
              </w:rPr>
            </w:pPr>
            <w:r>
              <w:rPr>
                <w:rFonts w:ascii="Arial" w:cs="Arial" w:eastAsia="Arial" w:hAnsi="Arial"/>
                <w:sz w:val="18"/>
                <w:szCs w:val="18"/>
                <w:color w:val="auto"/>
              </w:rPr>
              <w:t>$1,548</w:t>
            </w:r>
          </w:p>
        </w:tc>
        <w:tc>
          <w:tcPr>
            <w:tcW w:w="1260" w:type="dxa"/>
            <w:vAlign w:val="bottom"/>
            <w:tcBorders>
              <w:bottom w:val="single" w:sz="8" w:color="auto"/>
            </w:tcBorders>
          </w:tcPr>
          <w:p>
            <w:pPr>
              <w:jc w:val="right"/>
              <w:ind w:right="150"/>
              <w:spacing w:after="0"/>
              <w:rPr>
                <w:sz w:val="20"/>
                <w:szCs w:val="20"/>
                <w:color w:val="auto"/>
              </w:rPr>
            </w:pPr>
            <w:r>
              <w:rPr>
                <w:rFonts w:ascii="Arial" w:cs="Arial" w:eastAsia="Arial" w:hAnsi="Arial"/>
                <w:sz w:val="18"/>
                <w:szCs w:val="18"/>
                <w:color w:val="auto"/>
              </w:rPr>
              <w:t>($78)</w:t>
            </w: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w:t>
            </w:r>
          </w:p>
        </w:tc>
        <w:tc>
          <w:tcPr>
            <w:tcW w:w="100" w:type="dxa"/>
            <w:vAlign w:val="bottom"/>
          </w:tcPr>
          <w:p>
            <w:pPr>
              <w:spacing w:after="0"/>
              <w:rPr>
                <w:sz w:val="21"/>
                <w:szCs w:val="21"/>
                <w:color w:val="auto"/>
              </w:rPr>
            </w:pPr>
          </w:p>
        </w:tc>
      </w:tr>
    </w:tbl>
    <w:p>
      <w:pPr>
        <w:spacing w:after="0" w:line="256" w:lineRule="exact"/>
        <w:rPr>
          <w:sz w:val="20"/>
          <w:szCs w:val="20"/>
          <w:color w:val="auto"/>
        </w:rPr>
      </w:pPr>
    </w:p>
    <w:p>
      <w:pPr>
        <w:ind w:right="180" w:firstLine="913"/>
        <w:spacing w:after="0" w:line="264" w:lineRule="auto"/>
        <w:rPr>
          <w:sz w:val="20"/>
          <w:szCs w:val="20"/>
          <w:color w:val="auto"/>
        </w:rPr>
      </w:pPr>
      <w:r>
        <w:rPr>
          <w:rFonts w:ascii="Arial" w:cs="Arial" w:eastAsia="Arial" w:hAnsi="Arial"/>
          <w:sz w:val="18"/>
          <w:szCs w:val="18"/>
          <w:color w:val="auto"/>
        </w:rPr>
        <w:t>Industrial &amp; Mobile segment net sales decreased 15% in 2013 compared to 2012. Excluding surcharges, net sales decreased 12%. The decrease was primarily driven by lower volume and unfavorable mix. The volume decrease was driven by lower shipments to the industrial OE manufacturing end-market sector, partially offset by an increase to the mobile end-market sector.</w:t>
      </w:r>
    </w:p>
    <w:p>
      <w:pPr>
        <w:spacing w:after="0" w:line="222" w:lineRule="exact"/>
        <w:rPr>
          <w:sz w:val="20"/>
          <w:szCs w:val="20"/>
          <w:color w:val="auto"/>
        </w:rPr>
      </w:pPr>
    </w:p>
    <w:p>
      <w:pPr>
        <w:ind w:right="260" w:firstLine="913"/>
        <w:spacing w:after="0" w:line="277" w:lineRule="auto"/>
        <w:rPr>
          <w:sz w:val="20"/>
          <w:szCs w:val="20"/>
          <w:color w:val="auto"/>
        </w:rPr>
      </w:pPr>
      <w:r>
        <w:rPr>
          <w:rFonts w:ascii="Arial" w:cs="Arial" w:eastAsia="Arial" w:hAnsi="Arial"/>
          <w:sz w:val="18"/>
          <w:szCs w:val="18"/>
          <w:color w:val="auto"/>
        </w:rPr>
        <w:t>EBIT decreased by $28.8 million in 2013 compared to 2012 due to lower volume and higher manufacturing expense resulting from lower cost absorption, as well as unfavorable mix.</w:t>
      </w:r>
    </w:p>
    <w:p>
      <w:pPr>
        <w:spacing w:after="0" w:line="313" w:lineRule="exact"/>
        <w:rPr>
          <w:sz w:val="20"/>
          <w:szCs w:val="20"/>
          <w:color w:val="auto"/>
        </w:rPr>
      </w:pPr>
    </w:p>
    <w:tbl>
      <w:tblPr>
        <w:tblLayout w:type="fixed"/>
        <w:tblInd w:w="0" w:type="dxa"/>
        <w:tblCellMar>
          <w:top w:w="0" w:type="dxa"/>
          <w:left w:w="0" w:type="dxa"/>
          <w:bottom w:w="0" w:type="dxa"/>
          <w:right w:w="0" w:type="dxa"/>
        </w:tblCellMar>
      </w:tblPr>
      <w:tr>
        <w:trPr>
          <w:trHeight w:val="243"/>
        </w:trPr>
        <w:tc>
          <w:tcPr>
            <w:tcW w:w="524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b w:val="1"/>
                <w:bCs w:val="1"/>
                <w:color w:val="auto"/>
              </w:rPr>
              <w:t>Energy &amp; Distribution</w:t>
            </w:r>
          </w:p>
        </w:tc>
        <w:tc>
          <w:tcPr>
            <w:tcW w:w="2560" w:type="dxa"/>
            <w:vAlign w:val="bottom"/>
            <w:tcBorders>
              <w:top w:val="single" w:sz="8" w:color="auto"/>
              <w:bottom w:val="single" w:sz="8" w:color="auto"/>
            </w:tcBorders>
          </w:tcPr>
          <w:p>
            <w:pPr>
              <w:spacing w:after="0"/>
              <w:rPr>
                <w:sz w:val="21"/>
                <w:szCs w:val="21"/>
                <w:color w:val="auto"/>
              </w:rPr>
            </w:pPr>
          </w:p>
        </w:tc>
        <w:tc>
          <w:tcPr>
            <w:tcW w:w="2440" w:type="dxa"/>
            <w:vAlign w:val="bottom"/>
            <w:tcBorders>
              <w:top w:val="single" w:sz="8" w:color="auto"/>
              <w:bottom w:val="single" w:sz="8" w:color="auto"/>
            </w:tcBorders>
            <w:gridSpan w:val="2"/>
          </w:tcPr>
          <w:p>
            <w:pPr>
              <w:jc w:val="right"/>
              <w:ind w:right="70"/>
              <w:spacing w:after="0"/>
              <w:rPr>
                <w:sz w:val="20"/>
                <w:szCs w:val="20"/>
                <w:color w:val="auto"/>
              </w:rPr>
            </w:pPr>
            <w:r>
              <w:rPr>
                <w:rFonts w:ascii="Arial" w:cs="Arial" w:eastAsia="Arial" w:hAnsi="Arial"/>
                <w:sz w:val="18"/>
                <w:szCs w:val="18"/>
                <w:b w:val="1"/>
                <w:bCs w:val="1"/>
                <w:color w:val="auto"/>
                <w:w w:val="97"/>
              </w:rPr>
              <w:t>Years Ended December 31,</w:t>
            </w:r>
          </w:p>
        </w:tc>
        <w:tc>
          <w:tcPr>
            <w:tcW w:w="1080" w:type="dxa"/>
            <w:vAlign w:val="bottom"/>
            <w:tcBorders>
              <w:top w:val="single" w:sz="8" w:color="auto"/>
              <w:bottom w:val="single" w:sz="8" w:color="auto"/>
            </w:tcBorders>
          </w:tcPr>
          <w:p>
            <w:pPr>
              <w:spacing w:after="0"/>
              <w:rPr>
                <w:sz w:val="21"/>
                <w:szCs w:val="21"/>
                <w:color w:val="auto"/>
              </w:rPr>
            </w:pPr>
          </w:p>
        </w:tc>
        <w:tc>
          <w:tcPr>
            <w:tcW w:w="100" w:type="dxa"/>
            <w:vAlign w:val="bottom"/>
          </w:tcPr>
          <w:p>
            <w:pPr>
              <w:spacing w:after="0"/>
              <w:rPr>
                <w:sz w:val="21"/>
                <w:szCs w:val="21"/>
                <w:color w:val="auto"/>
              </w:rPr>
            </w:pPr>
          </w:p>
        </w:tc>
      </w:tr>
      <w:tr>
        <w:trPr>
          <w:trHeight w:val="223"/>
        </w:trPr>
        <w:tc>
          <w:tcPr>
            <w:tcW w:w="5240" w:type="dxa"/>
            <w:vAlign w:val="bottom"/>
          </w:tcPr>
          <w:p>
            <w:pPr>
              <w:spacing w:after="0"/>
              <w:rPr>
                <w:sz w:val="19"/>
                <w:szCs w:val="19"/>
                <w:color w:val="auto"/>
              </w:rPr>
            </w:pPr>
          </w:p>
        </w:tc>
        <w:tc>
          <w:tcPr>
            <w:tcW w:w="2560" w:type="dxa"/>
            <w:vAlign w:val="bottom"/>
          </w:tcPr>
          <w:p>
            <w:pPr>
              <w:jc w:val="right"/>
              <w:ind w:right="490"/>
              <w:spacing w:after="0"/>
              <w:rPr>
                <w:sz w:val="20"/>
                <w:szCs w:val="20"/>
                <w:color w:val="auto"/>
              </w:rPr>
            </w:pPr>
            <w:r>
              <w:rPr>
                <w:rFonts w:ascii="Arial" w:cs="Arial" w:eastAsia="Arial" w:hAnsi="Arial"/>
                <w:sz w:val="18"/>
                <w:szCs w:val="18"/>
                <w:b w:val="1"/>
                <w:bCs w:val="1"/>
                <w:color w:val="auto"/>
              </w:rPr>
              <w:t>2013</w:t>
            </w:r>
          </w:p>
        </w:tc>
        <w:tc>
          <w:tcPr>
            <w:tcW w:w="1120" w:type="dxa"/>
            <w:vAlign w:val="bottom"/>
          </w:tcPr>
          <w:p>
            <w:pPr>
              <w:jc w:val="right"/>
              <w:ind w:right="430"/>
              <w:spacing w:after="0"/>
              <w:rPr>
                <w:sz w:val="20"/>
                <w:szCs w:val="20"/>
                <w:color w:val="auto"/>
              </w:rPr>
            </w:pPr>
            <w:r>
              <w:rPr>
                <w:rFonts w:ascii="Arial" w:cs="Arial" w:eastAsia="Arial" w:hAnsi="Arial"/>
                <w:sz w:val="18"/>
                <w:szCs w:val="18"/>
                <w:color w:val="auto"/>
              </w:rPr>
              <w:t>2012</w:t>
            </w:r>
          </w:p>
        </w:tc>
        <w:tc>
          <w:tcPr>
            <w:tcW w:w="1320" w:type="dxa"/>
            <w:vAlign w:val="bottom"/>
          </w:tcPr>
          <w:p>
            <w:pPr>
              <w:jc w:val="right"/>
              <w:ind w:right="370"/>
              <w:spacing w:after="0"/>
              <w:rPr>
                <w:sz w:val="20"/>
                <w:szCs w:val="20"/>
                <w:color w:val="auto"/>
              </w:rPr>
            </w:pPr>
            <w:r>
              <w:rPr>
                <w:rFonts w:ascii="Arial" w:cs="Arial" w:eastAsia="Arial" w:hAnsi="Arial"/>
                <w:sz w:val="18"/>
                <w:szCs w:val="18"/>
                <w:color w:val="auto"/>
              </w:rPr>
              <w:t>$ Change</w:t>
            </w:r>
          </w:p>
        </w:tc>
        <w:tc>
          <w:tcPr>
            <w:tcW w:w="1080" w:type="dxa"/>
            <w:vAlign w:val="bottom"/>
          </w:tcPr>
          <w:p>
            <w:pPr>
              <w:jc w:val="right"/>
              <w:ind w:right="90"/>
              <w:spacing w:after="0"/>
              <w:rPr>
                <w:sz w:val="20"/>
                <w:szCs w:val="20"/>
                <w:color w:val="auto"/>
              </w:rPr>
            </w:pPr>
            <w:r>
              <w:rPr>
                <w:rFonts w:ascii="Arial" w:cs="Arial" w:eastAsia="Arial" w:hAnsi="Arial"/>
                <w:sz w:val="18"/>
                <w:szCs w:val="18"/>
                <w:color w:val="auto"/>
              </w:rPr>
              <w:t>% Change</w:t>
            </w:r>
          </w:p>
        </w:tc>
        <w:tc>
          <w:tcPr>
            <w:tcW w:w="100" w:type="dxa"/>
            <w:vAlign w:val="bottom"/>
          </w:tcPr>
          <w:p>
            <w:pPr>
              <w:spacing w:after="0"/>
              <w:rPr>
                <w:sz w:val="19"/>
                <w:szCs w:val="19"/>
                <w:color w:val="auto"/>
              </w:rPr>
            </w:pPr>
          </w:p>
        </w:tc>
      </w:tr>
      <w:tr>
        <w:trPr>
          <w:trHeight w:val="216"/>
        </w:trPr>
        <w:tc>
          <w:tcPr>
            <w:tcW w:w="5240" w:type="dxa"/>
            <w:vAlign w:val="bottom"/>
            <w:shd w:val="clear" w:color="auto" w:fill="CCEEFF"/>
          </w:tcPr>
          <w:p>
            <w:pPr>
              <w:spacing w:after="0"/>
              <w:rPr>
                <w:sz w:val="20"/>
                <w:szCs w:val="20"/>
                <w:color w:val="auto"/>
              </w:rPr>
            </w:pPr>
            <w:r>
              <w:rPr>
                <w:rFonts w:ascii="Arial" w:cs="Arial" w:eastAsia="Arial" w:hAnsi="Arial"/>
                <w:sz w:val="18"/>
                <w:szCs w:val="18"/>
                <w:color w:val="auto"/>
              </w:rPr>
              <w:t>Net sales, including intersegment sales</w:t>
            </w:r>
          </w:p>
        </w:tc>
        <w:tc>
          <w:tcPr>
            <w:tcW w:w="2560" w:type="dxa"/>
            <w:vAlign w:val="bottom"/>
            <w:shd w:val="clear" w:color="auto" w:fill="CCEEFF"/>
          </w:tcPr>
          <w:p>
            <w:pPr>
              <w:jc w:val="right"/>
              <w:ind w:right="310"/>
              <w:spacing w:after="0"/>
              <w:rPr>
                <w:sz w:val="20"/>
                <w:szCs w:val="20"/>
                <w:color w:val="auto"/>
              </w:rPr>
            </w:pPr>
            <w:r>
              <w:rPr>
                <w:rFonts w:ascii="Arial" w:cs="Arial" w:eastAsia="Arial" w:hAnsi="Arial"/>
                <w:sz w:val="18"/>
                <w:szCs w:val="18"/>
                <w:b w:val="1"/>
                <w:bCs w:val="1"/>
                <w:color w:val="auto"/>
              </w:rPr>
              <w:t>$515.9</w:t>
            </w:r>
          </w:p>
        </w:tc>
        <w:tc>
          <w:tcPr>
            <w:tcW w:w="1120" w:type="dxa"/>
            <w:vAlign w:val="bottom"/>
            <w:shd w:val="clear" w:color="auto" w:fill="CCEEFF"/>
          </w:tcPr>
          <w:p>
            <w:pPr>
              <w:jc w:val="right"/>
              <w:ind w:right="250"/>
              <w:spacing w:after="0"/>
              <w:rPr>
                <w:sz w:val="20"/>
                <w:szCs w:val="20"/>
                <w:color w:val="auto"/>
              </w:rPr>
            </w:pPr>
            <w:r>
              <w:rPr>
                <w:rFonts w:ascii="Arial" w:cs="Arial" w:eastAsia="Arial" w:hAnsi="Arial"/>
                <w:sz w:val="18"/>
                <w:szCs w:val="18"/>
                <w:color w:val="auto"/>
              </w:rPr>
              <w:t>$714.6</w:t>
            </w:r>
          </w:p>
        </w:tc>
        <w:tc>
          <w:tcPr>
            <w:tcW w:w="1320" w:type="dxa"/>
            <w:vAlign w:val="bottom"/>
            <w:shd w:val="clear" w:color="auto" w:fill="CCEEFF"/>
          </w:tcPr>
          <w:p>
            <w:pPr>
              <w:jc w:val="right"/>
              <w:ind w:right="150"/>
              <w:spacing w:after="0"/>
              <w:rPr>
                <w:sz w:val="20"/>
                <w:szCs w:val="20"/>
                <w:color w:val="auto"/>
              </w:rPr>
            </w:pPr>
            <w:r>
              <w:rPr>
                <w:rFonts w:ascii="Arial" w:cs="Arial" w:eastAsia="Arial" w:hAnsi="Arial"/>
                <w:sz w:val="18"/>
                <w:szCs w:val="18"/>
                <w:color w:val="auto"/>
              </w:rPr>
              <w:t>($198.7)</w:t>
            </w:r>
          </w:p>
        </w:tc>
        <w:tc>
          <w:tcPr>
            <w:tcW w:w="11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(28)%</w:t>
            </w:r>
          </w:p>
        </w:tc>
      </w:tr>
      <w:tr>
        <w:trPr>
          <w:trHeight w:val="216"/>
        </w:trPr>
        <w:tc>
          <w:tcPr>
            <w:tcW w:w="5240" w:type="dxa"/>
            <w:vAlign w:val="bottom"/>
          </w:tcPr>
          <w:p>
            <w:pPr>
              <w:spacing w:after="0"/>
              <w:rPr>
                <w:sz w:val="20"/>
                <w:szCs w:val="20"/>
                <w:color w:val="auto"/>
              </w:rPr>
            </w:pPr>
            <w:r>
              <w:rPr>
                <w:rFonts w:ascii="Arial" w:cs="Arial" w:eastAsia="Arial" w:hAnsi="Arial"/>
                <w:sz w:val="18"/>
                <w:szCs w:val="18"/>
                <w:color w:val="auto"/>
              </w:rPr>
              <w:t>Net sales, excluding surcharges</w:t>
            </w:r>
          </w:p>
        </w:tc>
        <w:tc>
          <w:tcPr>
            <w:tcW w:w="2560" w:type="dxa"/>
            <w:vAlign w:val="bottom"/>
          </w:tcPr>
          <w:p>
            <w:pPr>
              <w:jc w:val="right"/>
              <w:ind w:right="310"/>
              <w:spacing w:after="0"/>
              <w:rPr>
                <w:sz w:val="20"/>
                <w:szCs w:val="20"/>
                <w:color w:val="auto"/>
              </w:rPr>
            </w:pPr>
            <w:r>
              <w:rPr>
                <w:rFonts w:ascii="Arial" w:cs="Arial" w:eastAsia="Arial" w:hAnsi="Arial"/>
                <w:sz w:val="18"/>
                <w:szCs w:val="18"/>
                <w:b w:val="1"/>
                <w:bCs w:val="1"/>
                <w:color w:val="auto"/>
              </w:rPr>
              <w:t>397.2</w:t>
            </w:r>
          </w:p>
        </w:tc>
        <w:tc>
          <w:tcPr>
            <w:tcW w:w="1120" w:type="dxa"/>
            <w:vAlign w:val="bottom"/>
          </w:tcPr>
          <w:p>
            <w:pPr>
              <w:jc w:val="right"/>
              <w:ind w:right="250"/>
              <w:spacing w:after="0"/>
              <w:rPr>
                <w:sz w:val="20"/>
                <w:szCs w:val="20"/>
                <w:color w:val="auto"/>
              </w:rPr>
            </w:pPr>
            <w:r>
              <w:rPr>
                <w:rFonts w:ascii="Arial" w:cs="Arial" w:eastAsia="Arial" w:hAnsi="Arial"/>
                <w:sz w:val="18"/>
                <w:szCs w:val="18"/>
                <w:color w:val="auto"/>
              </w:rPr>
              <w:t>537.5</w:t>
            </w:r>
          </w:p>
        </w:tc>
        <w:tc>
          <w:tcPr>
            <w:tcW w:w="1320" w:type="dxa"/>
            <w:vAlign w:val="bottom"/>
          </w:tcPr>
          <w:p>
            <w:pPr>
              <w:jc w:val="right"/>
              <w:ind w:right="150"/>
              <w:spacing w:after="0"/>
              <w:rPr>
                <w:sz w:val="20"/>
                <w:szCs w:val="20"/>
                <w:color w:val="auto"/>
              </w:rPr>
            </w:pPr>
            <w:r>
              <w:rPr>
                <w:rFonts w:ascii="Arial" w:cs="Arial" w:eastAsia="Arial" w:hAnsi="Arial"/>
                <w:sz w:val="18"/>
                <w:szCs w:val="18"/>
                <w:color w:val="auto"/>
              </w:rPr>
              <w:t>(140.3)</w:t>
            </w:r>
          </w:p>
        </w:tc>
        <w:tc>
          <w:tcPr>
            <w:tcW w:w="1180" w:type="dxa"/>
            <w:vAlign w:val="bottom"/>
            <w:gridSpan w:val="2"/>
          </w:tcPr>
          <w:p>
            <w:pPr>
              <w:jc w:val="right"/>
              <w:ind w:right="100"/>
              <w:spacing w:after="0"/>
              <w:rPr>
                <w:sz w:val="20"/>
                <w:szCs w:val="20"/>
                <w:color w:val="auto"/>
              </w:rPr>
            </w:pPr>
            <w:r>
              <w:rPr>
                <w:rFonts w:ascii="Arial" w:cs="Arial" w:eastAsia="Arial" w:hAnsi="Arial"/>
                <w:sz w:val="18"/>
                <w:szCs w:val="18"/>
                <w:color w:val="auto"/>
              </w:rPr>
              <w:t>(26)%</w:t>
            </w:r>
          </w:p>
        </w:tc>
      </w:tr>
      <w:tr>
        <w:trPr>
          <w:trHeight w:val="216"/>
        </w:trPr>
        <w:tc>
          <w:tcPr>
            <w:tcW w:w="5240" w:type="dxa"/>
            <w:vAlign w:val="bottom"/>
            <w:shd w:val="clear" w:color="auto" w:fill="CCEEFF"/>
          </w:tcPr>
          <w:p>
            <w:pPr>
              <w:spacing w:after="0"/>
              <w:rPr>
                <w:sz w:val="20"/>
                <w:szCs w:val="20"/>
                <w:color w:val="auto"/>
              </w:rPr>
            </w:pPr>
            <w:r>
              <w:rPr>
                <w:rFonts w:ascii="Arial" w:cs="Arial" w:eastAsia="Arial" w:hAnsi="Arial"/>
                <w:sz w:val="18"/>
                <w:szCs w:val="18"/>
                <w:color w:val="auto"/>
              </w:rPr>
              <w:t>EBIT</w:t>
            </w:r>
          </w:p>
        </w:tc>
        <w:tc>
          <w:tcPr>
            <w:tcW w:w="2560" w:type="dxa"/>
            <w:vAlign w:val="bottom"/>
            <w:shd w:val="clear" w:color="auto" w:fill="CCEEFF"/>
          </w:tcPr>
          <w:p>
            <w:pPr>
              <w:jc w:val="right"/>
              <w:ind w:right="310"/>
              <w:spacing w:after="0"/>
              <w:rPr>
                <w:sz w:val="20"/>
                <w:szCs w:val="20"/>
                <w:color w:val="auto"/>
              </w:rPr>
            </w:pPr>
            <w:r>
              <w:rPr>
                <w:rFonts w:ascii="Arial" w:cs="Arial" w:eastAsia="Arial" w:hAnsi="Arial"/>
                <w:sz w:val="18"/>
                <w:szCs w:val="18"/>
                <w:b w:val="1"/>
                <w:bCs w:val="1"/>
                <w:color w:val="auto"/>
              </w:rPr>
              <w:t>67.0</w:t>
            </w:r>
          </w:p>
        </w:tc>
        <w:tc>
          <w:tcPr>
            <w:tcW w:w="1120" w:type="dxa"/>
            <w:vAlign w:val="bottom"/>
            <w:shd w:val="clear" w:color="auto" w:fill="CCEEFF"/>
          </w:tcPr>
          <w:p>
            <w:pPr>
              <w:jc w:val="right"/>
              <w:ind w:right="250"/>
              <w:spacing w:after="0"/>
              <w:rPr>
                <w:sz w:val="20"/>
                <w:szCs w:val="20"/>
                <w:color w:val="auto"/>
              </w:rPr>
            </w:pPr>
            <w:r>
              <w:rPr>
                <w:rFonts w:ascii="Arial" w:cs="Arial" w:eastAsia="Arial" w:hAnsi="Arial"/>
                <w:sz w:val="18"/>
                <w:szCs w:val="18"/>
                <w:color w:val="auto"/>
              </w:rPr>
              <w:t>146.1</w:t>
            </w:r>
          </w:p>
        </w:tc>
        <w:tc>
          <w:tcPr>
            <w:tcW w:w="1320" w:type="dxa"/>
            <w:vAlign w:val="bottom"/>
            <w:shd w:val="clear" w:color="auto" w:fill="CCEEFF"/>
          </w:tcPr>
          <w:p>
            <w:pPr>
              <w:jc w:val="right"/>
              <w:ind w:right="150"/>
              <w:spacing w:after="0"/>
              <w:rPr>
                <w:sz w:val="20"/>
                <w:szCs w:val="20"/>
                <w:color w:val="auto"/>
              </w:rPr>
            </w:pPr>
            <w:r>
              <w:rPr>
                <w:rFonts w:ascii="Arial" w:cs="Arial" w:eastAsia="Arial" w:hAnsi="Arial"/>
                <w:sz w:val="18"/>
                <w:szCs w:val="18"/>
                <w:color w:val="auto"/>
              </w:rPr>
              <w:t>(79.1)</w:t>
            </w:r>
          </w:p>
        </w:tc>
        <w:tc>
          <w:tcPr>
            <w:tcW w:w="11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(54)%</w:t>
            </w:r>
          </w:p>
        </w:tc>
      </w:tr>
      <w:tr>
        <w:trPr>
          <w:trHeight w:val="216"/>
        </w:trPr>
        <w:tc>
          <w:tcPr>
            <w:tcW w:w="5240" w:type="dxa"/>
            <w:vAlign w:val="bottom"/>
          </w:tcPr>
          <w:p>
            <w:pPr>
              <w:spacing w:after="0"/>
              <w:rPr>
                <w:sz w:val="20"/>
                <w:szCs w:val="20"/>
                <w:color w:val="auto"/>
              </w:rPr>
            </w:pPr>
            <w:r>
              <w:rPr>
                <w:rFonts w:ascii="Arial" w:cs="Arial" w:eastAsia="Arial" w:hAnsi="Arial"/>
                <w:sz w:val="18"/>
                <w:szCs w:val="18"/>
                <w:color w:val="auto"/>
              </w:rPr>
              <w:t>EBIT margin</w:t>
            </w:r>
          </w:p>
        </w:tc>
        <w:tc>
          <w:tcPr>
            <w:tcW w:w="2560" w:type="dxa"/>
            <w:vAlign w:val="bottom"/>
          </w:tcPr>
          <w:p>
            <w:pPr>
              <w:jc w:val="right"/>
              <w:ind w:right="130"/>
              <w:spacing w:after="0"/>
              <w:rPr>
                <w:sz w:val="20"/>
                <w:szCs w:val="20"/>
                <w:color w:val="auto"/>
              </w:rPr>
            </w:pPr>
            <w:r>
              <w:rPr>
                <w:rFonts w:ascii="Arial" w:cs="Arial" w:eastAsia="Arial" w:hAnsi="Arial"/>
                <w:sz w:val="18"/>
                <w:szCs w:val="18"/>
                <w:b w:val="1"/>
                <w:bCs w:val="1"/>
                <w:color w:val="auto"/>
              </w:rPr>
              <w:t>13.0%</w:t>
            </w:r>
          </w:p>
        </w:tc>
        <w:tc>
          <w:tcPr>
            <w:tcW w:w="1120" w:type="dxa"/>
            <w:vAlign w:val="bottom"/>
          </w:tcPr>
          <w:p>
            <w:pPr>
              <w:jc w:val="right"/>
              <w:ind w:right="90"/>
              <w:spacing w:after="0"/>
              <w:rPr>
                <w:sz w:val="20"/>
                <w:szCs w:val="20"/>
                <w:color w:val="auto"/>
              </w:rPr>
            </w:pPr>
            <w:r>
              <w:rPr>
                <w:rFonts w:ascii="Arial" w:cs="Arial" w:eastAsia="Arial" w:hAnsi="Arial"/>
                <w:sz w:val="18"/>
                <w:szCs w:val="18"/>
                <w:color w:val="auto"/>
              </w:rPr>
              <w:t>20.4%</w:t>
            </w:r>
          </w:p>
        </w:tc>
        <w:tc>
          <w:tcPr>
            <w:tcW w:w="1320" w:type="dxa"/>
            <w:vAlign w:val="bottom"/>
          </w:tcPr>
          <w:p>
            <w:pPr>
              <w:jc w:val="right"/>
              <w:ind w:right="190"/>
              <w:spacing w:after="0"/>
              <w:rPr>
                <w:sz w:val="20"/>
                <w:szCs w:val="20"/>
                <w:color w:val="auto"/>
              </w:rPr>
            </w:pPr>
            <w:r>
              <w:rPr>
                <w:rFonts w:ascii="Arial" w:cs="Arial" w:eastAsia="Arial" w:hAnsi="Arial"/>
                <w:sz w:val="18"/>
                <w:szCs w:val="18"/>
                <w:color w:val="auto"/>
              </w:rPr>
              <w:t>NM</w:t>
            </w:r>
          </w:p>
        </w:tc>
        <w:tc>
          <w:tcPr>
            <w:tcW w:w="1180" w:type="dxa"/>
            <w:vAlign w:val="bottom"/>
            <w:gridSpan w:val="2"/>
          </w:tcPr>
          <w:p>
            <w:pPr>
              <w:jc w:val="right"/>
              <w:ind w:right="140"/>
              <w:spacing w:after="0"/>
              <w:rPr>
                <w:sz w:val="20"/>
                <w:szCs w:val="20"/>
                <w:color w:val="auto"/>
              </w:rPr>
            </w:pPr>
            <w:r>
              <w:rPr>
                <w:rFonts w:ascii="Arial" w:cs="Arial" w:eastAsia="Arial" w:hAnsi="Arial"/>
                <w:sz w:val="18"/>
                <w:szCs w:val="18"/>
                <w:color w:val="auto"/>
              </w:rPr>
              <w:t>(740) bps</w:t>
            </w:r>
          </w:p>
        </w:tc>
      </w:tr>
      <w:tr>
        <w:trPr>
          <w:trHeight w:val="216"/>
        </w:trPr>
        <w:tc>
          <w:tcPr>
            <w:tcW w:w="5240" w:type="dxa"/>
            <w:vAlign w:val="bottom"/>
            <w:shd w:val="clear" w:color="auto" w:fill="CCEEFF"/>
          </w:tcPr>
          <w:p>
            <w:pPr>
              <w:spacing w:after="0"/>
              <w:rPr>
                <w:sz w:val="20"/>
                <w:szCs w:val="20"/>
                <w:color w:val="auto"/>
              </w:rPr>
            </w:pPr>
            <w:r>
              <w:rPr>
                <w:rFonts w:ascii="Arial" w:cs="Arial" w:eastAsia="Arial" w:hAnsi="Arial"/>
                <w:sz w:val="18"/>
                <w:szCs w:val="18"/>
                <w:color w:val="auto"/>
              </w:rPr>
              <w:t>Shipments (in tons)</w:t>
            </w:r>
          </w:p>
        </w:tc>
        <w:tc>
          <w:tcPr>
            <w:tcW w:w="2560" w:type="dxa"/>
            <w:vAlign w:val="bottom"/>
            <w:shd w:val="clear" w:color="auto" w:fill="CCEEFF"/>
          </w:tcPr>
          <w:p>
            <w:pPr>
              <w:jc w:val="right"/>
              <w:ind w:right="310"/>
              <w:spacing w:after="0"/>
              <w:rPr>
                <w:sz w:val="20"/>
                <w:szCs w:val="20"/>
                <w:color w:val="auto"/>
              </w:rPr>
            </w:pPr>
            <w:r>
              <w:rPr>
                <w:rFonts w:ascii="Arial" w:cs="Arial" w:eastAsia="Arial" w:hAnsi="Arial"/>
                <w:sz w:val="18"/>
                <w:szCs w:val="18"/>
                <w:b w:val="1"/>
                <w:bCs w:val="1"/>
                <w:color w:val="auto"/>
              </w:rPr>
              <w:t>331,013</w:t>
            </w:r>
          </w:p>
        </w:tc>
        <w:tc>
          <w:tcPr>
            <w:tcW w:w="1120" w:type="dxa"/>
            <w:vAlign w:val="bottom"/>
            <w:shd w:val="clear" w:color="auto" w:fill="CCEEFF"/>
          </w:tcPr>
          <w:p>
            <w:pPr>
              <w:jc w:val="right"/>
              <w:ind w:right="250"/>
              <w:spacing w:after="0"/>
              <w:rPr>
                <w:sz w:val="20"/>
                <w:szCs w:val="20"/>
                <w:color w:val="auto"/>
              </w:rPr>
            </w:pPr>
            <w:r>
              <w:rPr>
                <w:rFonts w:ascii="Arial" w:cs="Arial" w:eastAsia="Arial" w:hAnsi="Arial"/>
                <w:sz w:val="18"/>
                <w:szCs w:val="18"/>
                <w:color w:val="auto"/>
              </w:rPr>
              <w:t>415,392</w:t>
            </w:r>
          </w:p>
        </w:tc>
        <w:tc>
          <w:tcPr>
            <w:tcW w:w="1320" w:type="dxa"/>
            <w:vAlign w:val="bottom"/>
            <w:shd w:val="clear" w:color="auto" w:fill="CCEEFF"/>
          </w:tcPr>
          <w:p>
            <w:pPr>
              <w:jc w:val="right"/>
              <w:ind w:right="150"/>
              <w:spacing w:after="0"/>
              <w:rPr>
                <w:sz w:val="20"/>
                <w:szCs w:val="20"/>
                <w:color w:val="auto"/>
              </w:rPr>
            </w:pPr>
            <w:r>
              <w:rPr>
                <w:rFonts w:ascii="Arial" w:cs="Arial" w:eastAsia="Arial" w:hAnsi="Arial"/>
                <w:sz w:val="18"/>
                <w:szCs w:val="18"/>
                <w:color w:val="auto"/>
              </w:rPr>
              <w:t>(84,379)</w:t>
            </w:r>
          </w:p>
        </w:tc>
        <w:tc>
          <w:tcPr>
            <w:tcW w:w="11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(20)%</w:t>
            </w:r>
          </w:p>
        </w:tc>
      </w:tr>
      <w:tr>
        <w:trPr>
          <w:trHeight w:val="250"/>
        </w:trPr>
        <w:tc>
          <w:tcPr>
            <w:tcW w:w="52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Average selling price per ton, including surcharges</w:t>
            </w:r>
          </w:p>
        </w:tc>
        <w:tc>
          <w:tcPr>
            <w:tcW w:w="2560" w:type="dxa"/>
            <w:vAlign w:val="bottom"/>
            <w:tcBorders>
              <w:bottom w:val="single" w:sz="8" w:color="auto"/>
            </w:tcBorders>
          </w:tcPr>
          <w:p>
            <w:pPr>
              <w:jc w:val="right"/>
              <w:ind w:right="310"/>
              <w:spacing w:after="0"/>
              <w:rPr>
                <w:sz w:val="20"/>
                <w:szCs w:val="20"/>
                <w:color w:val="auto"/>
              </w:rPr>
            </w:pPr>
            <w:r>
              <w:rPr>
                <w:rFonts w:ascii="Arial" w:cs="Arial" w:eastAsia="Arial" w:hAnsi="Arial"/>
                <w:sz w:val="18"/>
                <w:szCs w:val="18"/>
                <w:b w:val="1"/>
                <w:bCs w:val="1"/>
                <w:color w:val="auto"/>
              </w:rPr>
              <w:t>$1,559</w:t>
            </w:r>
          </w:p>
        </w:tc>
        <w:tc>
          <w:tcPr>
            <w:tcW w:w="1120" w:type="dxa"/>
            <w:vAlign w:val="bottom"/>
            <w:tcBorders>
              <w:bottom w:val="single" w:sz="8" w:color="auto"/>
            </w:tcBorders>
          </w:tcPr>
          <w:p>
            <w:pPr>
              <w:jc w:val="right"/>
              <w:ind w:right="250"/>
              <w:spacing w:after="0"/>
              <w:rPr>
                <w:sz w:val="20"/>
                <w:szCs w:val="20"/>
                <w:color w:val="auto"/>
              </w:rPr>
            </w:pPr>
            <w:r>
              <w:rPr>
                <w:rFonts w:ascii="Arial" w:cs="Arial" w:eastAsia="Arial" w:hAnsi="Arial"/>
                <w:sz w:val="18"/>
                <w:szCs w:val="18"/>
                <w:color w:val="auto"/>
              </w:rPr>
              <w:t>$1,720</w:t>
            </w:r>
          </w:p>
        </w:tc>
        <w:tc>
          <w:tcPr>
            <w:tcW w:w="1320" w:type="dxa"/>
            <w:vAlign w:val="bottom"/>
            <w:tcBorders>
              <w:bottom w:val="single" w:sz="8" w:color="auto"/>
            </w:tcBorders>
          </w:tcPr>
          <w:p>
            <w:pPr>
              <w:jc w:val="right"/>
              <w:ind w:right="150"/>
              <w:spacing w:after="0"/>
              <w:rPr>
                <w:sz w:val="20"/>
                <w:szCs w:val="20"/>
                <w:color w:val="auto"/>
              </w:rPr>
            </w:pPr>
            <w:r>
              <w:rPr>
                <w:rFonts w:ascii="Arial" w:cs="Arial" w:eastAsia="Arial" w:hAnsi="Arial"/>
                <w:sz w:val="18"/>
                <w:szCs w:val="18"/>
                <w:color w:val="auto"/>
              </w:rPr>
              <w:t>($161)</w:t>
            </w:r>
          </w:p>
        </w:tc>
        <w:tc>
          <w:tcPr>
            <w:tcW w:w="10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(9)%</w:t>
            </w:r>
          </w:p>
        </w:tc>
        <w:tc>
          <w:tcPr>
            <w:tcW w:w="100" w:type="dxa"/>
            <w:vAlign w:val="bottom"/>
          </w:tcPr>
          <w:p>
            <w:pPr>
              <w:spacing w:after="0"/>
              <w:rPr>
                <w:sz w:val="21"/>
                <w:szCs w:val="21"/>
                <w:color w:val="auto"/>
              </w:rPr>
            </w:pPr>
          </w:p>
        </w:tc>
      </w:tr>
    </w:tbl>
    <w:p>
      <w:pPr>
        <w:spacing w:after="0" w:line="242" w:lineRule="exact"/>
        <w:rPr>
          <w:sz w:val="20"/>
          <w:szCs w:val="20"/>
          <w:color w:val="auto"/>
        </w:rPr>
      </w:pPr>
    </w:p>
    <w:p>
      <w:pPr>
        <w:jc w:val="both"/>
        <w:ind w:firstLine="913"/>
        <w:spacing w:after="0" w:line="264" w:lineRule="auto"/>
        <w:rPr>
          <w:sz w:val="20"/>
          <w:szCs w:val="20"/>
          <w:color w:val="auto"/>
        </w:rPr>
      </w:pPr>
      <w:r>
        <w:rPr>
          <w:rFonts w:ascii="Arial" w:cs="Arial" w:eastAsia="Arial" w:hAnsi="Arial"/>
          <w:sz w:val="18"/>
          <w:szCs w:val="18"/>
          <w:color w:val="auto"/>
        </w:rPr>
        <w:t>Energy &amp; Distribution segment net sales decreased 28% in 2013 compared to 2012. Excluding surcharges, net sales decreased 26%. The decrease was driven by lower volume and unfavorable mix. The volume decrease was driven by lower shipments to the energy OE manufacturing and distribution end-market sectors.</w:t>
      </w:r>
    </w:p>
    <w:p>
      <w:pPr>
        <w:spacing w:after="0" w:line="222" w:lineRule="exact"/>
        <w:rPr>
          <w:sz w:val="20"/>
          <w:szCs w:val="20"/>
          <w:color w:val="auto"/>
        </w:rPr>
      </w:pPr>
    </w:p>
    <w:p>
      <w:pPr>
        <w:ind w:right="380" w:firstLine="913"/>
        <w:spacing w:after="0" w:line="277" w:lineRule="auto"/>
        <w:rPr>
          <w:sz w:val="20"/>
          <w:szCs w:val="20"/>
          <w:color w:val="auto"/>
        </w:rPr>
      </w:pPr>
      <w:r>
        <w:rPr>
          <w:rFonts w:ascii="Arial" w:cs="Arial" w:eastAsia="Arial" w:hAnsi="Arial"/>
          <w:sz w:val="18"/>
          <w:szCs w:val="18"/>
          <w:color w:val="auto"/>
        </w:rPr>
        <w:t>EBIT declined by $79.1 million in 2013 compared to 2012, primarily due to lower volume and higher manufacturing expense resulting from lower cost absorption.</w:t>
      </w:r>
    </w:p>
    <w:p>
      <w:pPr>
        <w:spacing w:after="0" w:line="211" w:lineRule="exact"/>
        <w:rPr>
          <w:sz w:val="20"/>
          <w:szCs w:val="20"/>
          <w:color w:val="auto"/>
        </w:rPr>
      </w:pPr>
    </w:p>
    <w:p>
      <w:pPr>
        <w:ind w:left="920"/>
        <w:spacing w:after="0"/>
        <w:rPr>
          <w:sz w:val="20"/>
          <w:szCs w:val="20"/>
          <w:color w:val="auto"/>
        </w:rPr>
      </w:pPr>
      <w:r>
        <w:rPr>
          <w:rFonts w:ascii="Arial" w:cs="Arial" w:eastAsia="Arial" w:hAnsi="Arial"/>
          <w:sz w:val="16"/>
          <w:szCs w:val="16"/>
          <w:color w:val="auto"/>
        </w:rPr>
        <w:t>In 2012, $3.2 million of Segment EBIT was reclassified from Industrial &amp; Mobile to Energy &amp; Distribution to conform to the 2013 presentation.</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Such amounts are related to our Mexico operations.</w:t>
      </w:r>
    </w:p>
    <w:p>
      <w:pPr>
        <w:spacing w:after="0" w:line="354" w:lineRule="exact"/>
        <w:rPr>
          <w:sz w:val="20"/>
          <w:szCs w:val="20"/>
          <w:color w:val="auto"/>
        </w:rPr>
      </w:pPr>
    </w:p>
    <w:tbl>
      <w:tblPr>
        <w:tblLayout w:type="fixed"/>
        <w:tblInd w:w="0" w:type="dxa"/>
        <w:tblCellMar>
          <w:top w:w="0" w:type="dxa"/>
          <w:left w:w="0" w:type="dxa"/>
          <w:bottom w:w="0" w:type="dxa"/>
          <w:right w:w="0" w:type="dxa"/>
        </w:tblCellMar>
      </w:tblPr>
      <w:tr>
        <w:trPr>
          <w:trHeight w:val="243"/>
        </w:trPr>
        <w:tc>
          <w:tcPr>
            <w:tcW w:w="450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b w:val="1"/>
                <w:bCs w:val="1"/>
                <w:color w:val="auto"/>
              </w:rPr>
              <w:t>Corporate</w:t>
            </w:r>
          </w:p>
        </w:tc>
        <w:tc>
          <w:tcPr>
            <w:tcW w:w="3020" w:type="dxa"/>
            <w:vAlign w:val="bottom"/>
            <w:tcBorders>
              <w:top w:val="single" w:sz="8" w:color="auto"/>
              <w:bottom w:val="single" w:sz="8" w:color="auto"/>
            </w:tcBorders>
          </w:tcPr>
          <w:p>
            <w:pPr>
              <w:spacing w:after="0"/>
              <w:rPr>
                <w:sz w:val="21"/>
                <w:szCs w:val="21"/>
                <w:color w:val="auto"/>
              </w:rPr>
            </w:pPr>
          </w:p>
        </w:tc>
        <w:tc>
          <w:tcPr>
            <w:tcW w:w="2660" w:type="dxa"/>
            <w:vAlign w:val="bottom"/>
            <w:tcBorders>
              <w:top w:val="single" w:sz="8" w:color="auto"/>
              <w:bottom w:val="single" w:sz="8" w:color="auto"/>
            </w:tcBorders>
            <w:gridSpan w:val="2"/>
          </w:tcPr>
          <w:p>
            <w:pPr>
              <w:ind w:left="380"/>
              <w:spacing w:after="0"/>
              <w:rPr>
                <w:sz w:val="20"/>
                <w:szCs w:val="20"/>
                <w:color w:val="auto"/>
              </w:rPr>
            </w:pPr>
            <w:r>
              <w:rPr>
                <w:rFonts w:ascii="Arial" w:cs="Arial" w:eastAsia="Arial" w:hAnsi="Arial"/>
                <w:sz w:val="18"/>
                <w:szCs w:val="18"/>
                <w:b w:val="1"/>
                <w:bCs w:val="1"/>
                <w:color w:val="auto"/>
                <w:w w:val="97"/>
              </w:rPr>
              <w:t>Years Ended December 31,</w:t>
            </w:r>
          </w:p>
        </w:tc>
        <w:tc>
          <w:tcPr>
            <w:tcW w:w="1140" w:type="dxa"/>
            <w:vAlign w:val="bottom"/>
            <w:tcBorders>
              <w:top w:val="single" w:sz="8" w:color="auto"/>
              <w:bottom w:val="single" w:sz="8" w:color="auto"/>
            </w:tcBorders>
          </w:tcPr>
          <w:p>
            <w:pPr>
              <w:spacing w:after="0"/>
              <w:rPr>
                <w:sz w:val="21"/>
                <w:szCs w:val="21"/>
                <w:color w:val="auto"/>
              </w:rPr>
            </w:pPr>
          </w:p>
        </w:tc>
        <w:tc>
          <w:tcPr>
            <w:tcW w:w="100" w:type="dxa"/>
            <w:vAlign w:val="bottom"/>
          </w:tcPr>
          <w:p>
            <w:pPr>
              <w:spacing w:after="0"/>
              <w:rPr>
                <w:sz w:val="21"/>
                <w:szCs w:val="21"/>
                <w:color w:val="auto"/>
              </w:rPr>
            </w:pPr>
          </w:p>
        </w:tc>
      </w:tr>
      <w:tr>
        <w:trPr>
          <w:trHeight w:val="223"/>
        </w:trPr>
        <w:tc>
          <w:tcPr>
            <w:tcW w:w="4500" w:type="dxa"/>
            <w:vAlign w:val="bottom"/>
          </w:tcPr>
          <w:p>
            <w:pPr>
              <w:spacing w:after="0"/>
              <w:rPr>
                <w:sz w:val="19"/>
                <w:szCs w:val="19"/>
                <w:color w:val="auto"/>
              </w:rPr>
            </w:pPr>
          </w:p>
        </w:tc>
        <w:tc>
          <w:tcPr>
            <w:tcW w:w="3020" w:type="dxa"/>
            <w:vAlign w:val="bottom"/>
          </w:tcPr>
          <w:p>
            <w:pPr>
              <w:jc w:val="right"/>
              <w:ind w:right="530"/>
              <w:spacing w:after="0"/>
              <w:rPr>
                <w:sz w:val="20"/>
                <w:szCs w:val="20"/>
                <w:color w:val="auto"/>
              </w:rPr>
            </w:pPr>
            <w:r>
              <w:rPr>
                <w:rFonts w:ascii="Arial" w:cs="Arial" w:eastAsia="Arial" w:hAnsi="Arial"/>
                <w:sz w:val="18"/>
                <w:szCs w:val="18"/>
                <w:b w:val="1"/>
                <w:bCs w:val="1"/>
                <w:color w:val="auto"/>
              </w:rPr>
              <w:t>2013</w:t>
            </w:r>
          </w:p>
        </w:tc>
        <w:tc>
          <w:tcPr>
            <w:tcW w:w="1180" w:type="dxa"/>
            <w:vAlign w:val="bottom"/>
          </w:tcPr>
          <w:p>
            <w:pPr>
              <w:jc w:val="right"/>
              <w:ind w:right="490"/>
              <w:spacing w:after="0"/>
              <w:rPr>
                <w:sz w:val="20"/>
                <w:szCs w:val="20"/>
                <w:color w:val="auto"/>
              </w:rPr>
            </w:pPr>
            <w:r>
              <w:rPr>
                <w:rFonts w:ascii="Arial" w:cs="Arial" w:eastAsia="Arial" w:hAnsi="Arial"/>
                <w:sz w:val="18"/>
                <w:szCs w:val="18"/>
                <w:color w:val="auto"/>
              </w:rPr>
              <w:t>2012</w:t>
            </w:r>
          </w:p>
        </w:tc>
        <w:tc>
          <w:tcPr>
            <w:tcW w:w="1480" w:type="dxa"/>
            <w:vAlign w:val="bottom"/>
          </w:tcPr>
          <w:p>
            <w:pPr>
              <w:ind w:left="260"/>
              <w:spacing w:after="0"/>
              <w:rPr>
                <w:sz w:val="20"/>
                <w:szCs w:val="20"/>
                <w:color w:val="auto"/>
              </w:rPr>
            </w:pPr>
            <w:r>
              <w:rPr>
                <w:rFonts w:ascii="Arial" w:cs="Arial" w:eastAsia="Arial" w:hAnsi="Arial"/>
                <w:sz w:val="18"/>
                <w:szCs w:val="18"/>
                <w:color w:val="auto"/>
              </w:rPr>
              <w:t>$ Change</w:t>
            </w:r>
          </w:p>
        </w:tc>
        <w:tc>
          <w:tcPr>
            <w:tcW w:w="1140" w:type="dxa"/>
            <w:vAlign w:val="bottom"/>
          </w:tcPr>
          <w:p>
            <w:pPr>
              <w:jc w:val="right"/>
              <w:ind w:right="90"/>
              <w:spacing w:after="0"/>
              <w:rPr>
                <w:sz w:val="20"/>
                <w:szCs w:val="20"/>
                <w:color w:val="auto"/>
              </w:rPr>
            </w:pPr>
            <w:r>
              <w:rPr>
                <w:rFonts w:ascii="Arial" w:cs="Arial" w:eastAsia="Arial" w:hAnsi="Arial"/>
                <w:sz w:val="18"/>
                <w:szCs w:val="18"/>
                <w:color w:val="auto"/>
              </w:rPr>
              <w:t>% Change</w:t>
            </w:r>
          </w:p>
        </w:tc>
        <w:tc>
          <w:tcPr>
            <w:tcW w:w="100" w:type="dxa"/>
            <w:vAlign w:val="bottom"/>
          </w:tcPr>
          <w:p>
            <w:pPr>
              <w:spacing w:after="0"/>
              <w:rPr>
                <w:sz w:val="19"/>
                <w:szCs w:val="19"/>
                <w:color w:val="auto"/>
              </w:rPr>
            </w:pPr>
          </w:p>
        </w:tc>
      </w:tr>
      <w:tr>
        <w:trPr>
          <w:trHeight w:val="216"/>
        </w:trPr>
        <w:tc>
          <w:tcPr>
            <w:tcW w:w="4500" w:type="dxa"/>
            <w:vAlign w:val="bottom"/>
            <w:shd w:val="clear" w:color="auto" w:fill="CCEEFF"/>
          </w:tcPr>
          <w:p>
            <w:pPr>
              <w:spacing w:after="0"/>
              <w:rPr>
                <w:sz w:val="20"/>
                <w:szCs w:val="20"/>
                <w:color w:val="auto"/>
              </w:rPr>
            </w:pPr>
            <w:r>
              <w:rPr>
                <w:rFonts w:ascii="Arial" w:cs="Arial" w:eastAsia="Arial" w:hAnsi="Arial"/>
                <w:sz w:val="18"/>
                <w:szCs w:val="18"/>
                <w:color w:val="auto"/>
              </w:rPr>
              <w:t>Corporate expenses</w:t>
            </w:r>
          </w:p>
        </w:tc>
        <w:tc>
          <w:tcPr>
            <w:tcW w:w="3020" w:type="dxa"/>
            <w:vAlign w:val="bottom"/>
            <w:shd w:val="clear" w:color="auto" w:fill="CCEEFF"/>
          </w:tcPr>
          <w:p>
            <w:pPr>
              <w:jc w:val="right"/>
              <w:ind w:right="350"/>
              <w:spacing w:after="0"/>
              <w:rPr>
                <w:sz w:val="20"/>
                <w:szCs w:val="20"/>
                <w:color w:val="auto"/>
              </w:rPr>
            </w:pPr>
            <w:r>
              <w:rPr>
                <w:rFonts w:ascii="Arial" w:cs="Arial" w:eastAsia="Arial" w:hAnsi="Arial"/>
                <w:sz w:val="18"/>
                <w:szCs w:val="18"/>
                <w:b w:val="1"/>
                <w:bCs w:val="1"/>
                <w:color w:val="auto"/>
              </w:rPr>
              <w:t>$23.2</w:t>
            </w:r>
          </w:p>
        </w:tc>
        <w:tc>
          <w:tcPr>
            <w:tcW w:w="1180" w:type="dxa"/>
            <w:vAlign w:val="bottom"/>
            <w:shd w:val="clear" w:color="auto" w:fill="CCEEFF"/>
          </w:tcPr>
          <w:p>
            <w:pPr>
              <w:jc w:val="right"/>
              <w:ind w:right="310"/>
              <w:spacing w:after="0"/>
              <w:rPr>
                <w:sz w:val="20"/>
                <w:szCs w:val="20"/>
                <w:color w:val="auto"/>
              </w:rPr>
            </w:pPr>
            <w:r>
              <w:rPr>
                <w:rFonts w:ascii="Arial" w:cs="Arial" w:eastAsia="Arial" w:hAnsi="Arial"/>
                <w:sz w:val="18"/>
                <w:szCs w:val="18"/>
                <w:color w:val="auto"/>
              </w:rPr>
              <w:t>$24.3</w:t>
            </w:r>
          </w:p>
        </w:tc>
        <w:tc>
          <w:tcPr>
            <w:tcW w:w="1480" w:type="dxa"/>
            <w:vAlign w:val="bottom"/>
            <w:shd w:val="clear" w:color="auto" w:fill="CCEEFF"/>
          </w:tcPr>
          <w:p>
            <w:pPr>
              <w:jc w:val="right"/>
              <w:ind w:right="210"/>
              <w:spacing w:after="0"/>
              <w:rPr>
                <w:sz w:val="20"/>
                <w:szCs w:val="20"/>
                <w:color w:val="auto"/>
              </w:rPr>
            </w:pPr>
            <w:r>
              <w:rPr>
                <w:rFonts w:ascii="Arial" w:cs="Arial" w:eastAsia="Arial" w:hAnsi="Arial"/>
                <w:sz w:val="18"/>
                <w:szCs w:val="18"/>
                <w:color w:val="auto"/>
              </w:rPr>
              <w:t>($1.1)</w:t>
            </w: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w:t>
            </w:r>
          </w:p>
        </w:tc>
        <w:tc>
          <w:tcPr>
            <w:tcW w:w="100" w:type="dxa"/>
            <w:vAlign w:val="bottom"/>
            <w:shd w:val="clear" w:color="auto" w:fill="CCEEFF"/>
          </w:tcPr>
          <w:p>
            <w:pPr>
              <w:spacing w:after="0"/>
              <w:rPr>
                <w:sz w:val="18"/>
                <w:szCs w:val="18"/>
                <w:color w:val="auto"/>
              </w:rPr>
            </w:pPr>
          </w:p>
        </w:tc>
      </w:tr>
      <w:tr>
        <w:trPr>
          <w:trHeight w:val="223"/>
        </w:trPr>
        <w:tc>
          <w:tcPr>
            <w:tcW w:w="450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Corporate expenses % to net sales</w:t>
            </w:r>
          </w:p>
        </w:tc>
        <w:tc>
          <w:tcPr>
            <w:tcW w:w="3020" w:type="dxa"/>
            <w:vAlign w:val="bottom"/>
            <w:tcBorders>
              <w:bottom w:val="single" w:sz="8" w:color="auto"/>
            </w:tcBorders>
          </w:tcPr>
          <w:p>
            <w:pPr>
              <w:jc w:val="right"/>
              <w:ind w:right="170"/>
              <w:spacing w:after="0"/>
              <w:rPr>
                <w:sz w:val="20"/>
                <w:szCs w:val="20"/>
                <w:color w:val="auto"/>
              </w:rPr>
            </w:pPr>
            <w:r>
              <w:rPr>
                <w:rFonts w:ascii="Arial" w:cs="Arial" w:eastAsia="Arial" w:hAnsi="Arial"/>
                <w:sz w:val="18"/>
                <w:szCs w:val="18"/>
                <w:b w:val="1"/>
                <w:bCs w:val="1"/>
                <w:color w:val="auto"/>
              </w:rPr>
              <w:t>1.7%</w:t>
            </w:r>
          </w:p>
        </w:tc>
        <w:tc>
          <w:tcPr>
            <w:tcW w:w="1180" w:type="dxa"/>
            <w:vAlign w:val="bottom"/>
            <w:tcBorders>
              <w:bottom w:val="single" w:sz="8" w:color="auto"/>
            </w:tcBorders>
          </w:tcPr>
          <w:p>
            <w:pPr>
              <w:jc w:val="right"/>
              <w:ind w:right="150"/>
              <w:spacing w:after="0"/>
              <w:rPr>
                <w:sz w:val="20"/>
                <w:szCs w:val="20"/>
                <w:color w:val="auto"/>
              </w:rPr>
            </w:pPr>
            <w:r>
              <w:rPr>
                <w:rFonts w:ascii="Arial" w:cs="Arial" w:eastAsia="Arial" w:hAnsi="Arial"/>
                <w:sz w:val="18"/>
                <w:szCs w:val="18"/>
                <w:color w:val="auto"/>
              </w:rPr>
              <w:t>1.4%</w:t>
            </w:r>
          </w:p>
        </w:tc>
        <w:tc>
          <w:tcPr>
            <w:tcW w:w="1480" w:type="dxa"/>
            <w:vAlign w:val="bottom"/>
            <w:tcBorders>
              <w:bottom w:val="single" w:sz="8" w:color="auto"/>
            </w:tcBorders>
          </w:tcPr>
          <w:p>
            <w:pPr>
              <w:jc w:val="center"/>
              <w:ind w:left="390"/>
              <w:spacing w:after="0"/>
              <w:rPr>
                <w:sz w:val="20"/>
                <w:szCs w:val="20"/>
                <w:color w:val="auto"/>
              </w:rPr>
            </w:pPr>
            <w:r>
              <w:rPr>
                <w:rFonts w:ascii="Arial" w:cs="Arial" w:eastAsia="Arial" w:hAnsi="Arial"/>
                <w:sz w:val="18"/>
                <w:szCs w:val="18"/>
                <w:color w:val="auto"/>
                <w:w w:val="99"/>
              </w:rPr>
              <w:t>NM</w:t>
            </w: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30 bps</w:t>
            </w:r>
          </w:p>
        </w:tc>
        <w:tc>
          <w:tcPr>
            <w:tcW w:w="100" w:type="dxa"/>
            <w:vAlign w:val="bottom"/>
          </w:tcPr>
          <w:p>
            <w:pPr>
              <w:spacing w:after="0"/>
              <w:rPr>
                <w:sz w:val="19"/>
                <w:szCs w:val="19"/>
                <w:color w:val="auto"/>
              </w:rPr>
            </w:pPr>
          </w:p>
        </w:tc>
      </w:tr>
    </w:tbl>
    <w:p>
      <w:pPr>
        <w:spacing w:after="0" w:line="242" w:lineRule="exact"/>
        <w:rPr>
          <w:sz w:val="20"/>
          <w:szCs w:val="20"/>
          <w:color w:val="auto"/>
        </w:rPr>
      </w:pPr>
    </w:p>
    <w:p>
      <w:pPr>
        <w:ind w:right="60" w:firstLine="913"/>
        <w:spacing w:after="0" w:line="264" w:lineRule="auto"/>
        <w:rPr>
          <w:sz w:val="20"/>
          <w:szCs w:val="20"/>
          <w:color w:val="auto"/>
        </w:rPr>
      </w:pPr>
      <w:r>
        <w:rPr>
          <w:rFonts w:ascii="Arial" w:cs="Arial" w:eastAsia="Arial" w:hAnsi="Arial"/>
          <w:sz w:val="18"/>
          <w:szCs w:val="18"/>
          <w:color w:val="auto"/>
        </w:rPr>
        <w:t>Centrally incurred corporate costs are not allocated back to the operating segments. Unallocated items include compensation expenses associated with senior management, and compensation expenses and professional fees associated with corporate finance and legal services, as well as insurance programs.</w:t>
      </w:r>
    </w:p>
    <w:p>
      <w:pPr>
        <w:spacing w:after="0" w:line="1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38</w:t>
      </w:r>
    </w:p>
    <w:p>
      <w:pPr>
        <w:sectPr>
          <w:pgSz w:w="11900" w:h="16838" w:orient="portrait"/>
          <w:cols w:equalWidth="0" w:num="1">
            <w:col w:w="11420"/>
          </w:cols>
          <w:pgMar w:left="240" w:top="459" w:right="239" w:bottom="1440" w:gutter="0" w:footer="0" w:header="0"/>
        </w:sectPr>
      </w:pPr>
    </w:p>
    <w:bookmarkStart w:id="47" w:name="page48"/>
    <w:bookmarkEnd w:id="4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Year Ended December 31, 2012 Compared to Year Ended December 31, 2011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248920</wp:posOffset>
            </wp:positionV>
            <wp:extent cx="7186295" cy="889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7186295" cy="8890"/>
                    </a:xfrm>
                    <a:prstGeom prst="rect">
                      <a:avLst/>
                    </a:prstGeom>
                    <a:noFill/>
                  </pic:spPr>
                </pic:pic>
              </a:graphicData>
            </a:graphic>
          </wp:anchor>
        </w:drawing>
      </w:r>
    </w:p>
    <w:p>
      <w:pPr>
        <w:spacing w:after="0" w:line="381" w:lineRule="exact"/>
        <w:rPr>
          <w:sz w:val="20"/>
          <w:szCs w:val="20"/>
          <w:color w:val="auto"/>
        </w:rPr>
      </w:pPr>
    </w:p>
    <w:p>
      <w:pPr>
        <w:ind w:left="7900"/>
        <w:spacing w:after="0"/>
        <w:rPr>
          <w:sz w:val="20"/>
          <w:szCs w:val="20"/>
          <w:color w:val="auto"/>
        </w:rPr>
      </w:pPr>
      <w:r>
        <w:rPr>
          <w:rFonts w:ascii="Arial" w:cs="Arial" w:eastAsia="Arial" w:hAnsi="Arial"/>
          <w:sz w:val="18"/>
          <w:szCs w:val="18"/>
          <w:b w:val="1"/>
          <w:bCs w:val="1"/>
          <w:color w:val="auto"/>
        </w:rPr>
        <w:t>Years Ended December 31,</w:t>
      </w:r>
    </w:p>
    <w:p>
      <w:pPr>
        <w:spacing w:after="0" w:line="27" w:lineRule="exact"/>
        <w:rPr>
          <w:sz w:val="20"/>
          <w:szCs w:val="20"/>
          <w:color w:val="auto"/>
        </w:rPr>
      </w:pPr>
    </w:p>
    <w:tbl>
      <w:tblPr>
        <w:tblLayout w:type="fixed"/>
        <w:tblInd w:w="0" w:type="dxa"/>
        <w:tblCellMar>
          <w:top w:w="0" w:type="dxa"/>
          <w:left w:w="0" w:type="dxa"/>
          <w:bottom w:w="0" w:type="dxa"/>
          <w:right w:w="0" w:type="dxa"/>
        </w:tblCellMar>
      </w:tblPr>
      <w:tr>
        <w:trPr>
          <w:trHeight w:val="223"/>
        </w:trPr>
        <w:tc>
          <w:tcPr>
            <w:tcW w:w="5120" w:type="dxa"/>
            <w:vAlign w:val="bottom"/>
            <w:tcBorders>
              <w:top w:val="single" w:sz="8" w:color="auto"/>
            </w:tcBorders>
          </w:tcPr>
          <w:p>
            <w:pPr>
              <w:spacing w:after="0"/>
              <w:rPr>
                <w:sz w:val="19"/>
                <w:szCs w:val="19"/>
                <w:color w:val="auto"/>
              </w:rPr>
            </w:pPr>
          </w:p>
        </w:tc>
        <w:tc>
          <w:tcPr>
            <w:tcW w:w="2580" w:type="dxa"/>
            <w:vAlign w:val="bottom"/>
            <w:tcBorders>
              <w:top w:val="single" w:sz="8" w:color="auto"/>
            </w:tcBorders>
          </w:tcPr>
          <w:p>
            <w:pPr>
              <w:jc w:val="right"/>
              <w:ind w:right="510"/>
              <w:spacing w:after="0"/>
              <w:rPr>
                <w:sz w:val="20"/>
                <w:szCs w:val="20"/>
                <w:color w:val="auto"/>
              </w:rPr>
            </w:pPr>
            <w:r>
              <w:rPr>
                <w:rFonts w:ascii="Arial" w:cs="Arial" w:eastAsia="Arial" w:hAnsi="Arial"/>
                <w:sz w:val="18"/>
                <w:szCs w:val="18"/>
                <w:b w:val="1"/>
                <w:bCs w:val="1"/>
                <w:color w:val="auto"/>
              </w:rPr>
              <w:t>2012</w:t>
            </w:r>
          </w:p>
        </w:tc>
        <w:tc>
          <w:tcPr>
            <w:tcW w:w="1260" w:type="dxa"/>
            <w:vAlign w:val="bottom"/>
            <w:tcBorders>
              <w:top w:val="single" w:sz="8" w:color="auto"/>
            </w:tcBorders>
          </w:tcPr>
          <w:p>
            <w:pPr>
              <w:jc w:val="right"/>
              <w:ind w:right="490"/>
              <w:spacing w:after="0"/>
              <w:rPr>
                <w:sz w:val="20"/>
                <w:szCs w:val="20"/>
                <w:color w:val="auto"/>
              </w:rPr>
            </w:pPr>
            <w:r>
              <w:rPr>
                <w:rFonts w:ascii="Arial" w:cs="Arial" w:eastAsia="Arial" w:hAnsi="Arial"/>
                <w:sz w:val="18"/>
                <w:szCs w:val="18"/>
                <w:color w:val="auto"/>
              </w:rPr>
              <w:t>2011</w:t>
            </w:r>
          </w:p>
        </w:tc>
        <w:tc>
          <w:tcPr>
            <w:tcW w:w="1240" w:type="dxa"/>
            <w:vAlign w:val="bottom"/>
            <w:tcBorders>
              <w:top w:val="single" w:sz="8" w:color="auto"/>
            </w:tcBorders>
          </w:tcPr>
          <w:p>
            <w:pPr>
              <w:jc w:val="right"/>
              <w:ind w:right="290"/>
              <w:spacing w:after="0"/>
              <w:rPr>
                <w:sz w:val="20"/>
                <w:szCs w:val="20"/>
                <w:color w:val="auto"/>
              </w:rPr>
            </w:pPr>
            <w:r>
              <w:rPr>
                <w:rFonts w:ascii="Arial" w:cs="Arial" w:eastAsia="Arial" w:hAnsi="Arial"/>
                <w:sz w:val="18"/>
                <w:szCs w:val="18"/>
                <w:color w:val="auto"/>
              </w:rPr>
              <w:t>$ Change</w:t>
            </w:r>
          </w:p>
        </w:tc>
        <w:tc>
          <w:tcPr>
            <w:tcW w:w="1120" w:type="dxa"/>
            <w:vAlign w:val="bottom"/>
            <w:tcBorders>
              <w:top w:val="single" w:sz="8" w:color="auto"/>
            </w:tcBorders>
          </w:tcPr>
          <w:p>
            <w:pPr>
              <w:jc w:val="right"/>
              <w:ind w:right="90"/>
              <w:spacing w:after="0"/>
              <w:rPr>
                <w:sz w:val="20"/>
                <w:szCs w:val="20"/>
                <w:color w:val="auto"/>
              </w:rPr>
            </w:pPr>
            <w:r>
              <w:rPr>
                <w:rFonts w:ascii="Arial" w:cs="Arial" w:eastAsia="Arial" w:hAnsi="Arial"/>
                <w:sz w:val="18"/>
                <w:szCs w:val="18"/>
                <w:color w:val="auto"/>
              </w:rPr>
              <w:t>% Change</w:t>
            </w:r>
          </w:p>
        </w:tc>
        <w:tc>
          <w:tcPr>
            <w:tcW w:w="100" w:type="dxa"/>
            <w:vAlign w:val="bottom"/>
          </w:tcPr>
          <w:p>
            <w:pPr>
              <w:spacing w:after="0"/>
              <w:rPr>
                <w:sz w:val="19"/>
                <w:szCs w:val="19"/>
                <w:color w:val="auto"/>
              </w:rPr>
            </w:pPr>
          </w:p>
        </w:tc>
      </w:tr>
      <w:tr>
        <w:trPr>
          <w:trHeight w:val="216"/>
        </w:trPr>
        <w:tc>
          <w:tcPr>
            <w:tcW w:w="5120" w:type="dxa"/>
            <w:vAlign w:val="bottom"/>
            <w:shd w:val="clear" w:color="auto" w:fill="CCEEFF"/>
          </w:tcPr>
          <w:p>
            <w:pPr>
              <w:spacing w:after="0"/>
              <w:rPr>
                <w:sz w:val="20"/>
                <w:szCs w:val="20"/>
                <w:color w:val="auto"/>
              </w:rPr>
            </w:pPr>
            <w:r>
              <w:rPr>
                <w:rFonts w:ascii="Arial" w:cs="Arial" w:eastAsia="Arial" w:hAnsi="Arial"/>
                <w:sz w:val="18"/>
                <w:szCs w:val="18"/>
                <w:color w:val="auto"/>
              </w:rPr>
              <w:t>Net sales</w:t>
            </w:r>
          </w:p>
        </w:tc>
        <w:tc>
          <w:tcPr>
            <w:tcW w:w="2580" w:type="dxa"/>
            <w:vAlign w:val="bottom"/>
            <w:shd w:val="clear" w:color="auto" w:fill="CCEEFF"/>
          </w:tcPr>
          <w:p>
            <w:pPr>
              <w:jc w:val="right"/>
              <w:ind w:right="290"/>
              <w:spacing w:after="0"/>
              <w:rPr>
                <w:sz w:val="20"/>
                <w:szCs w:val="20"/>
                <w:color w:val="auto"/>
              </w:rPr>
            </w:pPr>
            <w:r>
              <w:rPr>
                <w:rFonts w:ascii="Arial" w:cs="Arial" w:eastAsia="Arial" w:hAnsi="Arial"/>
                <w:sz w:val="18"/>
                <w:szCs w:val="18"/>
                <w:b w:val="1"/>
                <w:bCs w:val="1"/>
                <w:color w:val="auto"/>
              </w:rPr>
              <w:t>$1,728.7</w:t>
            </w:r>
          </w:p>
        </w:tc>
        <w:tc>
          <w:tcPr>
            <w:tcW w:w="1260" w:type="dxa"/>
            <w:vAlign w:val="bottom"/>
            <w:shd w:val="clear" w:color="auto" w:fill="CCEEFF"/>
          </w:tcPr>
          <w:p>
            <w:pPr>
              <w:jc w:val="right"/>
              <w:ind w:right="250"/>
              <w:spacing w:after="0"/>
              <w:rPr>
                <w:sz w:val="20"/>
                <w:szCs w:val="20"/>
                <w:color w:val="auto"/>
              </w:rPr>
            </w:pPr>
            <w:r>
              <w:rPr>
                <w:rFonts w:ascii="Arial" w:cs="Arial" w:eastAsia="Arial" w:hAnsi="Arial"/>
                <w:sz w:val="18"/>
                <w:szCs w:val="18"/>
                <w:color w:val="auto"/>
              </w:rPr>
              <w:t>$1,956.5</w:t>
            </w:r>
          </w:p>
        </w:tc>
        <w:tc>
          <w:tcPr>
            <w:tcW w:w="1240" w:type="dxa"/>
            <w:vAlign w:val="bottom"/>
            <w:shd w:val="clear" w:color="auto" w:fill="CCEEFF"/>
          </w:tcPr>
          <w:p>
            <w:pPr>
              <w:jc w:val="right"/>
              <w:ind w:right="110"/>
              <w:spacing w:after="0"/>
              <w:rPr>
                <w:sz w:val="20"/>
                <w:szCs w:val="20"/>
                <w:color w:val="auto"/>
              </w:rPr>
            </w:pPr>
            <w:r>
              <w:rPr>
                <w:rFonts w:ascii="Arial" w:cs="Arial" w:eastAsia="Arial" w:hAnsi="Arial"/>
                <w:sz w:val="18"/>
                <w:szCs w:val="18"/>
                <w:color w:val="auto"/>
              </w:rPr>
              <w:t>($227.8)</w:t>
            </w:r>
          </w:p>
        </w:tc>
        <w:tc>
          <w:tcPr>
            <w:tcW w:w="12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(12)%</w:t>
            </w:r>
          </w:p>
        </w:tc>
      </w:tr>
      <w:tr>
        <w:trPr>
          <w:trHeight w:val="216"/>
        </w:trPr>
        <w:tc>
          <w:tcPr>
            <w:tcW w:w="5120" w:type="dxa"/>
            <w:vAlign w:val="bottom"/>
          </w:tcPr>
          <w:p>
            <w:pPr>
              <w:spacing w:after="0"/>
              <w:rPr>
                <w:sz w:val="20"/>
                <w:szCs w:val="20"/>
                <w:color w:val="auto"/>
              </w:rPr>
            </w:pPr>
            <w:r>
              <w:rPr>
                <w:rFonts w:ascii="Arial" w:cs="Arial" w:eastAsia="Arial" w:hAnsi="Arial"/>
                <w:sz w:val="18"/>
                <w:szCs w:val="18"/>
                <w:color w:val="auto"/>
              </w:rPr>
              <w:t>Net sales, excluding surcharges</w:t>
            </w:r>
          </w:p>
        </w:tc>
        <w:tc>
          <w:tcPr>
            <w:tcW w:w="2580" w:type="dxa"/>
            <w:vAlign w:val="bottom"/>
          </w:tcPr>
          <w:p>
            <w:pPr>
              <w:jc w:val="right"/>
              <w:ind w:right="290"/>
              <w:spacing w:after="0"/>
              <w:rPr>
                <w:sz w:val="20"/>
                <w:szCs w:val="20"/>
                <w:color w:val="auto"/>
              </w:rPr>
            </w:pPr>
            <w:r>
              <w:rPr>
                <w:rFonts w:ascii="Arial" w:cs="Arial" w:eastAsia="Arial" w:hAnsi="Arial"/>
                <w:sz w:val="18"/>
                <w:szCs w:val="18"/>
                <w:b w:val="1"/>
                <w:bCs w:val="1"/>
                <w:color w:val="auto"/>
              </w:rPr>
              <w:t>1,311.7</w:t>
            </w:r>
          </w:p>
        </w:tc>
        <w:tc>
          <w:tcPr>
            <w:tcW w:w="1260" w:type="dxa"/>
            <w:vAlign w:val="bottom"/>
          </w:tcPr>
          <w:p>
            <w:pPr>
              <w:jc w:val="right"/>
              <w:ind w:right="250"/>
              <w:spacing w:after="0"/>
              <w:rPr>
                <w:sz w:val="20"/>
                <w:szCs w:val="20"/>
                <w:color w:val="auto"/>
              </w:rPr>
            </w:pPr>
            <w:r>
              <w:rPr>
                <w:rFonts w:ascii="Arial" w:cs="Arial" w:eastAsia="Arial" w:hAnsi="Arial"/>
                <w:sz w:val="18"/>
                <w:szCs w:val="18"/>
                <w:color w:val="auto"/>
              </w:rPr>
              <w:t>1,374.7</w:t>
            </w:r>
          </w:p>
        </w:tc>
        <w:tc>
          <w:tcPr>
            <w:tcW w:w="1240" w:type="dxa"/>
            <w:vAlign w:val="bottom"/>
          </w:tcPr>
          <w:p>
            <w:pPr>
              <w:jc w:val="right"/>
              <w:ind w:right="110"/>
              <w:spacing w:after="0"/>
              <w:rPr>
                <w:sz w:val="20"/>
                <w:szCs w:val="20"/>
                <w:color w:val="auto"/>
              </w:rPr>
            </w:pPr>
            <w:r>
              <w:rPr>
                <w:rFonts w:ascii="Arial" w:cs="Arial" w:eastAsia="Arial" w:hAnsi="Arial"/>
                <w:sz w:val="18"/>
                <w:szCs w:val="18"/>
                <w:color w:val="auto"/>
              </w:rPr>
              <w:t>(63.0)</w:t>
            </w:r>
          </w:p>
        </w:tc>
        <w:tc>
          <w:tcPr>
            <w:tcW w:w="1120" w:type="dxa"/>
            <w:vAlign w:val="bottom"/>
          </w:tcPr>
          <w:p>
            <w:pPr>
              <w:jc w:val="right"/>
              <w:spacing w:after="0"/>
              <w:rPr>
                <w:sz w:val="20"/>
                <w:szCs w:val="20"/>
                <w:color w:val="auto"/>
              </w:rPr>
            </w:pPr>
            <w:r>
              <w:rPr>
                <w:rFonts w:ascii="Arial" w:cs="Arial" w:eastAsia="Arial" w:hAnsi="Arial"/>
                <w:sz w:val="18"/>
                <w:szCs w:val="18"/>
                <w:color w:val="auto"/>
              </w:rPr>
              <w:t>(5)%</w:t>
            </w:r>
          </w:p>
        </w:tc>
        <w:tc>
          <w:tcPr>
            <w:tcW w:w="100" w:type="dxa"/>
            <w:vAlign w:val="bottom"/>
          </w:tcPr>
          <w:p>
            <w:pPr>
              <w:spacing w:after="0"/>
              <w:rPr>
                <w:sz w:val="18"/>
                <w:szCs w:val="18"/>
                <w:color w:val="auto"/>
              </w:rPr>
            </w:pPr>
          </w:p>
        </w:tc>
      </w:tr>
      <w:tr>
        <w:trPr>
          <w:trHeight w:val="216"/>
        </w:trPr>
        <w:tc>
          <w:tcPr>
            <w:tcW w:w="5120" w:type="dxa"/>
            <w:vAlign w:val="bottom"/>
            <w:shd w:val="clear" w:color="auto" w:fill="CCEEFF"/>
          </w:tcPr>
          <w:p>
            <w:pPr>
              <w:spacing w:after="0"/>
              <w:rPr>
                <w:sz w:val="20"/>
                <w:szCs w:val="20"/>
                <w:color w:val="auto"/>
              </w:rPr>
            </w:pPr>
            <w:r>
              <w:rPr>
                <w:rFonts w:ascii="Arial" w:cs="Arial" w:eastAsia="Arial" w:hAnsi="Arial"/>
                <w:sz w:val="18"/>
                <w:szCs w:val="18"/>
                <w:color w:val="auto"/>
              </w:rPr>
              <w:t>Gross profit</w:t>
            </w:r>
          </w:p>
        </w:tc>
        <w:tc>
          <w:tcPr>
            <w:tcW w:w="2580" w:type="dxa"/>
            <w:vAlign w:val="bottom"/>
            <w:shd w:val="clear" w:color="auto" w:fill="CCEEFF"/>
          </w:tcPr>
          <w:p>
            <w:pPr>
              <w:jc w:val="right"/>
              <w:ind w:right="290"/>
              <w:spacing w:after="0"/>
              <w:rPr>
                <w:sz w:val="20"/>
                <w:szCs w:val="20"/>
                <w:color w:val="auto"/>
              </w:rPr>
            </w:pPr>
            <w:r>
              <w:rPr>
                <w:rFonts w:ascii="Arial" w:cs="Arial" w:eastAsia="Arial" w:hAnsi="Arial"/>
                <w:sz w:val="18"/>
                <w:szCs w:val="18"/>
                <w:b w:val="1"/>
                <w:bCs w:val="1"/>
                <w:color w:val="auto"/>
              </w:rPr>
              <w:t>338.9</w:t>
            </w:r>
          </w:p>
        </w:tc>
        <w:tc>
          <w:tcPr>
            <w:tcW w:w="1260" w:type="dxa"/>
            <w:vAlign w:val="bottom"/>
            <w:shd w:val="clear" w:color="auto" w:fill="CCEEFF"/>
          </w:tcPr>
          <w:p>
            <w:pPr>
              <w:jc w:val="right"/>
              <w:ind w:right="250"/>
              <w:spacing w:after="0"/>
              <w:rPr>
                <w:sz w:val="20"/>
                <w:szCs w:val="20"/>
                <w:color w:val="auto"/>
              </w:rPr>
            </w:pPr>
            <w:r>
              <w:rPr>
                <w:rFonts w:ascii="Arial" w:cs="Arial" w:eastAsia="Arial" w:hAnsi="Arial"/>
                <w:sz w:val="18"/>
                <w:szCs w:val="18"/>
                <w:color w:val="auto"/>
              </w:rPr>
              <w:t>354.6</w:t>
            </w:r>
          </w:p>
        </w:tc>
        <w:tc>
          <w:tcPr>
            <w:tcW w:w="1240" w:type="dxa"/>
            <w:vAlign w:val="bottom"/>
            <w:shd w:val="clear" w:color="auto" w:fill="CCEEFF"/>
          </w:tcPr>
          <w:p>
            <w:pPr>
              <w:jc w:val="right"/>
              <w:ind w:right="110"/>
              <w:spacing w:after="0"/>
              <w:rPr>
                <w:sz w:val="20"/>
                <w:szCs w:val="20"/>
                <w:color w:val="auto"/>
              </w:rPr>
            </w:pPr>
            <w:r>
              <w:rPr>
                <w:rFonts w:ascii="Arial" w:cs="Arial" w:eastAsia="Arial" w:hAnsi="Arial"/>
                <w:sz w:val="18"/>
                <w:szCs w:val="18"/>
                <w:color w:val="auto"/>
              </w:rPr>
              <w:t>(15.7)</w:t>
            </w: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w:t>
            </w:r>
          </w:p>
        </w:tc>
        <w:tc>
          <w:tcPr>
            <w:tcW w:w="100" w:type="dxa"/>
            <w:vAlign w:val="bottom"/>
            <w:shd w:val="clear" w:color="auto" w:fill="CCEEFF"/>
          </w:tcPr>
          <w:p>
            <w:pPr>
              <w:spacing w:after="0"/>
              <w:rPr>
                <w:sz w:val="18"/>
                <w:szCs w:val="18"/>
                <w:color w:val="auto"/>
              </w:rPr>
            </w:pPr>
          </w:p>
        </w:tc>
      </w:tr>
      <w:tr>
        <w:trPr>
          <w:trHeight w:val="216"/>
        </w:trPr>
        <w:tc>
          <w:tcPr>
            <w:tcW w:w="5120" w:type="dxa"/>
            <w:vAlign w:val="bottom"/>
          </w:tcPr>
          <w:p>
            <w:pPr>
              <w:spacing w:after="0"/>
              <w:rPr>
                <w:sz w:val="20"/>
                <w:szCs w:val="20"/>
                <w:color w:val="auto"/>
              </w:rPr>
            </w:pPr>
            <w:r>
              <w:rPr>
                <w:rFonts w:ascii="Arial" w:cs="Arial" w:eastAsia="Arial" w:hAnsi="Arial"/>
                <w:sz w:val="18"/>
                <w:szCs w:val="18"/>
                <w:color w:val="auto"/>
              </w:rPr>
              <w:t>Gross margin</w:t>
            </w:r>
          </w:p>
        </w:tc>
        <w:tc>
          <w:tcPr>
            <w:tcW w:w="2580" w:type="dxa"/>
            <w:vAlign w:val="bottom"/>
          </w:tcPr>
          <w:p>
            <w:pPr>
              <w:jc w:val="right"/>
              <w:ind w:right="110"/>
              <w:spacing w:after="0"/>
              <w:rPr>
                <w:sz w:val="20"/>
                <w:szCs w:val="20"/>
                <w:color w:val="auto"/>
              </w:rPr>
            </w:pPr>
            <w:r>
              <w:rPr>
                <w:rFonts w:ascii="Arial" w:cs="Arial" w:eastAsia="Arial" w:hAnsi="Arial"/>
                <w:sz w:val="18"/>
                <w:szCs w:val="18"/>
                <w:b w:val="1"/>
                <w:bCs w:val="1"/>
                <w:color w:val="auto"/>
              </w:rPr>
              <w:t>19.6%</w:t>
            </w:r>
          </w:p>
        </w:tc>
        <w:tc>
          <w:tcPr>
            <w:tcW w:w="1260" w:type="dxa"/>
            <w:vAlign w:val="bottom"/>
          </w:tcPr>
          <w:p>
            <w:pPr>
              <w:jc w:val="right"/>
              <w:ind w:right="90"/>
              <w:spacing w:after="0"/>
              <w:rPr>
                <w:sz w:val="20"/>
                <w:szCs w:val="20"/>
                <w:color w:val="auto"/>
              </w:rPr>
            </w:pPr>
            <w:r>
              <w:rPr>
                <w:rFonts w:ascii="Arial" w:cs="Arial" w:eastAsia="Arial" w:hAnsi="Arial"/>
                <w:sz w:val="18"/>
                <w:szCs w:val="18"/>
                <w:color w:val="auto"/>
              </w:rPr>
              <w:t>18.1%</w:t>
            </w:r>
          </w:p>
        </w:tc>
        <w:tc>
          <w:tcPr>
            <w:tcW w:w="1240" w:type="dxa"/>
            <w:vAlign w:val="bottom"/>
          </w:tcPr>
          <w:p>
            <w:pPr>
              <w:jc w:val="right"/>
              <w:ind w:right="150"/>
              <w:spacing w:after="0"/>
              <w:rPr>
                <w:sz w:val="20"/>
                <w:szCs w:val="20"/>
                <w:color w:val="auto"/>
              </w:rPr>
            </w:pPr>
            <w:r>
              <w:rPr>
                <w:rFonts w:ascii="Arial" w:cs="Arial" w:eastAsia="Arial" w:hAnsi="Arial"/>
                <w:sz w:val="18"/>
                <w:szCs w:val="18"/>
                <w:color w:val="auto"/>
              </w:rPr>
              <w:t>NM</w:t>
            </w:r>
          </w:p>
        </w:tc>
        <w:tc>
          <w:tcPr>
            <w:tcW w:w="1220" w:type="dxa"/>
            <w:vAlign w:val="bottom"/>
            <w:gridSpan w:val="2"/>
          </w:tcPr>
          <w:p>
            <w:pPr>
              <w:jc w:val="right"/>
              <w:ind w:right="140"/>
              <w:spacing w:after="0"/>
              <w:rPr>
                <w:sz w:val="20"/>
                <w:szCs w:val="20"/>
                <w:color w:val="auto"/>
              </w:rPr>
            </w:pPr>
            <w:r>
              <w:rPr>
                <w:rFonts w:ascii="Arial" w:cs="Arial" w:eastAsia="Arial" w:hAnsi="Arial"/>
                <w:sz w:val="18"/>
                <w:szCs w:val="18"/>
                <w:color w:val="auto"/>
              </w:rPr>
              <w:t>150 bps</w:t>
            </w:r>
          </w:p>
        </w:tc>
      </w:tr>
      <w:tr>
        <w:trPr>
          <w:trHeight w:val="216"/>
        </w:trPr>
        <w:tc>
          <w:tcPr>
            <w:tcW w:w="5120" w:type="dxa"/>
            <w:vAlign w:val="bottom"/>
            <w:shd w:val="clear" w:color="auto" w:fill="CCEEFF"/>
          </w:tcPr>
          <w:p>
            <w:pPr>
              <w:spacing w:after="0"/>
              <w:rPr>
                <w:sz w:val="20"/>
                <w:szCs w:val="20"/>
                <w:color w:val="auto"/>
              </w:rPr>
            </w:pPr>
            <w:r>
              <w:rPr>
                <w:rFonts w:ascii="Arial" w:cs="Arial" w:eastAsia="Arial" w:hAnsi="Arial"/>
                <w:sz w:val="18"/>
                <w:szCs w:val="18"/>
                <w:color w:val="auto"/>
              </w:rPr>
              <w:t>Selling, general and administrative expenses</w:t>
            </w:r>
          </w:p>
        </w:tc>
        <w:tc>
          <w:tcPr>
            <w:tcW w:w="2580" w:type="dxa"/>
            <w:vAlign w:val="bottom"/>
            <w:shd w:val="clear" w:color="auto" w:fill="CCEEFF"/>
          </w:tcPr>
          <w:p>
            <w:pPr>
              <w:jc w:val="right"/>
              <w:ind w:right="290"/>
              <w:spacing w:after="0"/>
              <w:rPr>
                <w:sz w:val="20"/>
                <w:szCs w:val="20"/>
                <w:color w:val="auto"/>
              </w:rPr>
            </w:pPr>
            <w:r>
              <w:rPr>
                <w:rFonts w:ascii="Arial" w:cs="Arial" w:eastAsia="Arial" w:hAnsi="Arial"/>
                <w:sz w:val="18"/>
                <w:szCs w:val="18"/>
                <w:b w:val="1"/>
                <w:bCs w:val="1"/>
                <w:color w:val="auto"/>
              </w:rPr>
              <w:t>103.5</w:t>
            </w:r>
          </w:p>
        </w:tc>
        <w:tc>
          <w:tcPr>
            <w:tcW w:w="1260" w:type="dxa"/>
            <w:vAlign w:val="bottom"/>
            <w:shd w:val="clear" w:color="auto" w:fill="CCEEFF"/>
          </w:tcPr>
          <w:p>
            <w:pPr>
              <w:jc w:val="right"/>
              <w:ind w:right="250"/>
              <w:spacing w:after="0"/>
              <w:rPr>
                <w:sz w:val="20"/>
                <w:szCs w:val="20"/>
                <w:color w:val="auto"/>
              </w:rPr>
            </w:pPr>
            <w:r>
              <w:rPr>
                <w:rFonts w:ascii="Arial" w:cs="Arial" w:eastAsia="Arial" w:hAnsi="Arial"/>
                <w:sz w:val="18"/>
                <w:szCs w:val="18"/>
                <w:color w:val="auto"/>
              </w:rPr>
              <w:t>98.0</w:t>
            </w:r>
          </w:p>
        </w:tc>
        <w:tc>
          <w:tcPr>
            <w:tcW w:w="1240" w:type="dxa"/>
            <w:vAlign w:val="bottom"/>
            <w:shd w:val="clear" w:color="auto" w:fill="CCEEFF"/>
          </w:tcPr>
          <w:p>
            <w:pPr>
              <w:jc w:val="right"/>
              <w:ind w:right="150"/>
              <w:spacing w:after="0"/>
              <w:rPr>
                <w:sz w:val="20"/>
                <w:szCs w:val="20"/>
                <w:color w:val="auto"/>
              </w:rPr>
            </w:pPr>
            <w:r>
              <w:rPr>
                <w:rFonts w:ascii="Arial" w:cs="Arial" w:eastAsia="Arial" w:hAnsi="Arial"/>
                <w:sz w:val="18"/>
                <w:szCs w:val="18"/>
                <w:color w:val="auto"/>
              </w:rPr>
              <w:t>5.5</w:t>
            </w:r>
          </w:p>
        </w:tc>
        <w:tc>
          <w:tcPr>
            <w:tcW w:w="12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6 %</w:t>
            </w:r>
          </w:p>
        </w:tc>
      </w:tr>
      <w:tr>
        <w:trPr>
          <w:trHeight w:val="216"/>
        </w:trPr>
        <w:tc>
          <w:tcPr>
            <w:tcW w:w="5120" w:type="dxa"/>
            <w:vAlign w:val="bottom"/>
          </w:tcPr>
          <w:p>
            <w:pPr>
              <w:spacing w:after="0"/>
              <w:rPr>
                <w:sz w:val="20"/>
                <w:szCs w:val="20"/>
                <w:color w:val="auto"/>
              </w:rPr>
            </w:pPr>
            <w:r>
              <w:rPr>
                <w:rFonts w:ascii="Arial" w:cs="Arial" w:eastAsia="Arial" w:hAnsi="Arial"/>
                <w:sz w:val="18"/>
                <w:szCs w:val="18"/>
                <w:color w:val="auto"/>
              </w:rPr>
              <w:t>Net income</w:t>
            </w:r>
          </w:p>
        </w:tc>
        <w:tc>
          <w:tcPr>
            <w:tcW w:w="2580" w:type="dxa"/>
            <w:vAlign w:val="bottom"/>
          </w:tcPr>
          <w:p>
            <w:pPr>
              <w:jc w:val="right"/>
              <w:ind w:right="290"/>
              <w:spacing w:after="0"/>
              <w:rPr>
                <w:sz w:val="20"/>
                <w:szCs w:val="20"/>
                <w:color w:val="auto"/>
              </w:rPr>
            </w:pPr>
            <w:r>
              <w:rPr>
                <w:rFonts w:ascii="Arial" w:cs="Arial" w:eastAsia="Arial" w:hAnsi="Arial"/>
                <w:sz w:val="18"/>
                <w:szCs w:val="18"/>
                <w:b w:val="1"/>
                <w:bCs w:val="1"/>
                <w:color w:val="auto"/>
              </w:rPr>
              <w:t>155.2</w:t>
            </w:r>
          </w:p>
        </w:tc>
        <w:tc>
          <w:tcPr>
            <w:tcW w:w="1260" w:type="dxa"/>
            <w:vAlign w:val="bottom"/>
          </w:tcPr>
          <w:p>
            <w:pPr>
              <w:jc w:val="right"/>
              <w:ind w:right="250"/>
              <w:spacing w:after="0"/>
              <w:rPr>
                <w:sz w:val="20"/>
                <w:szCs w:val="20"/>
                <w:color w:val="auto"/>
              </w:rPr>
            </w:pPr>
            <w:r>
              <w:rPr>
                <w:rFonts w:ascii="Arial" w:cs="Arial" w:eastAsia="Arial" w:hAnsi="Arial"/>
                <w:sz w:val="18"/>
                <w:szCs w:val="18"/>
                <w:color w:val="auto"/>
              </w:rPr>
              <w:t>167.2</w:t>
            </w:r>
          </w:p>
        </w:tc>
        <w:tc>
          <w:tcPr>
            <w:tcW w:w="1240" w:type="dxa"/>
            <w:vAlign w:val="bottom"/>
          </w:tcPr>
          <w:p>
            <w:pPr>
              <w:jc w:val="right"/>
              <w:ind w:right="110"/>
              <w:spacing w:after="0"/>
              <w:rPr>
                <w:sz w:val="20"/>
                <w:szCs w:val="20"/>
                <w:color w:val="auto"/>
              </w:rPr>
            </w:pPr>
            <w:r>
              <w:rPr>
                <w:rFonts w:ascii="Arial" w:cs="Arial" w:eastAsia="Arial" w:hAnsi="Arial"/>
                <w:sz w:val="18"/>
                <w:szCs w:val="18"/>
                <w:color w:val="auto"/>
              </w:rPr>
              <w:t>(12.0)</w:t>
            </w:r>
          </w:p>
        </w:tc>
        <w:tc>
          <w:tcPr>
            <w:tcW w:w="1120" w:type="dxa"/>
            <w:vAlign w:val="bottom"/>
          </w:tcPr>
          <w:p>
            <w:pPr>
              <w:jc w:val="right"/>
              <w:spacing w:after="0"/>
              <w:rPr>
                <w:sz w:val="20"/>
                <w:szCs w:val="20"/>
                <w:color w:val="auto"/>
              </w:rPr>
            </w:pPr>
            <w:r>
              <w:rPr>
                <w:rFonts w:ascii="Arial" w:cs="Arial" w:eastAsia="Arial" w:hAnsi="Arial"/>
                <w:sz w:val="18"/>
                <w:szCs w:val="18"/>
                <w:color w:val="auto"/>
              </w:rPr>
              <w:t>(7)%</w:t>
            </w:r>
          </w:p>
        </w:tc>
        <w:tc>
          <w:tcPr>
            <w:tcW w:w="100" w:type="dxa"/>
            <w:vAlign w:val="bottom"/>
          </w:tcPr>
          <w:p>
            <w:pPr>
              <w:spacing w:after="0"/>
              <w:rPr>
                <w:sz w:val="18"/>
                <w:szCs w:val="18"/>
                <w:color w:val="auto"/>
              </w:rPr>
            </w:pPr>
          </w:p>
        </w:tc>
      </w:tr>
      <w:tr>
        <w:trPr>
          <w:trHeight w:val="216"/>
        </w:trPr>
        <w:tc>
          <w:tcPr>
            <w:tcW w:w="5120" w:type="dxa"/>
            <w:vAlign w:val="bottom"/>
            <w:shd w:val="clear" w:color="auto" w:fill="CCEEFF"/>
          </w:tcPr>
          <w:p>
            <w:pPr>
              <w:spacing w:after="0"/>
              <w:rPr>
                <w:sz w:val="20"/>
                <w:szCs w:val="20"/>
                <w:color w:val="auto"/>
              </w:rPr>
            </w:pPr>
            <w:r>
              <w:rPr>
                <w:rFonts w:ascii="Arial" w:cs="Arial" w:eastAsia="Arial" w:hAnsi="Arial"/>
                <w:sz w:val="18"/>
                <w:szCs w:val="18"/>
                <w:color w:val="auto"/>
              </w:rPr>
              <w:t>Scrap index per ton</w:t>
            </w:r>
          </w:p>
        </w:tc>
        <w:tc>
          <w:tcPr>
            <w:tcW w:w="2580" w:type="dxa"/>
            <w:vAlign w:val="bottom"/>
            <w:shd w:val="clear" w:color="auto" w:fill="CCEEFF"/>
          </w:tcPr>
          <w:p>
            <w:pPr>
              <w:jc w:val="right"/>
              <w:ind w:right="290"/>
              <w:spacing w:after="0"/>
              <w:rPr>
                <w:sz w:val="20"/>
                <w:szCs w:val="20"/>
                <w:color w:val="auto"/>
              </w:rPr>
            </w:pPr>
            <w:r>
              <w:rPr>
                <w:rFonts w:ascii="Arial" w:cs="Arial" w:eastAsia="Arial" w:hAnsi="Arial"/>
                <w:sz w:val="18"/>
                <w:szCs w:val="18"/>
                <w:b w:val="1"/>
                <w:bCs w:val="1"/>
                <w:color w:val="auto"/>
              </w:rPr>
              <w:t>429</w:t>
            </w:r>
          </w:p>
        </w:tc>
        <w:tc>
          <w:tcPr>
            <w:tcW w:w="1260" w:type="dxa"/>
            <w:vAlign w:val="bottom"/>
            <w:shd w:val="clear" w:color="auto" w:fill="CCEEFF"/>
          </w:tcPr>
          <w:p>
            <w:pPr>
              <w:jc w:val="right"/>
              <w:ind w:right="250"/>
              <w:spacing w:after="0"/>
              <w:rPr>
                <w:sz w:val="20"/>
                <w:szCs w:val="20"/>
                <w:color w:val="auto"/>
              </w:rPr>
            </w:pPr>
            <w:r>
              <w:rPr>
                <w:rFonts w:ascii="Arial" w:cs="Arial" w:eastAsia="Arial" w:hAnsi="Arial"/>
                <w:sz w:val="18"/>
                <w:szCs w:val="18"/>
                <w:color w:val="auto"/>
              </w:rPr>
              <w:t>485</w:t>
            </w:r>
          </w:p>
        </w:tc>
        <w:tc>
          <w:tcPr>
            <w:tcW w:w="1240" w:type="dxa"/>
            <w:vAlign w:val="bottom"/>
            <w:shd w:val="clear" w:color="auto" w:fill="CCEEFF"/>
          </w:tcPr>
          <w:p>
            <w:pPr>
              <w:jc w:val="right"/>
              <w:ind w:right="110"/>
              <w:spacing w:after="0"/>
              <w:rPr>
                <w:sz w:val="20"/>
                <w:szCs w:val="20"/>
                <w:color w:val="auto"/>
              </w:rPr>
            </w:pPr>
            <w:r>
              <w:rPr>
                <w:rFonts w:ascii="Arial" w:cs="Arial" w:eastAsia="Arial" w:hAnsi="Arial"/>
                <w:sz w:val="18"/>
                <w:szCs w:val="18"/>
                <w:color w:val="auto"/>
              </w:rPr>
              <w:t>(56)</w:t>
            </w:r>
          </w:p>
        </w:tc>
        <w:tc>
          <w:tcPr>
            <w:tcW w:w="12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(12)%</w:t>
            </w:r>
          </w:p>
        </w:tc>
      </w:tr>
      <w:tr>
        <w:trPr>
          <w:trHeight w:val="216"/>
        </w:trPr>
        <w:tc>
          <w:tcPr>
            <w:tcW w:w="5120" w:type="dxa"/>
            <w:vAlign w:val="bottom"/>
          </w:tcPr>
          <w:p>
            <w:pPr>
              <w:spacing w:after="0"/>
              <w:rPr>
                <w:sz w:val="20"/>
                <w:szCs w:val="20"/>
                <w:color w:val="auto"/>
              </w:rPr>
            </w:pPr>
            <w:r>
              <w:rPr>
                <w:rFonts w:ascii="Arial" w:cs="Arial" w:eastAsia="Arial" w:hAnsi="Arial"/>
                <w:sz w:val="18"/>
                <w:szCs w:val="18"/>
                <w:color w:val="auto"/>
              </w:rPr>
              <w:t>Shipments (in tons)</w:t>
            </w:r>
          </w:p>
        </w:tc>
        <w:tc>
          <w:tcPr>
            <w:tcW w:w="2580" w:type="dxa"/>
            <w:vAlign w:val="bottom"/>
          </w:tcPr>
          <w:p>
            <w:pPr>
              <w:jc w:val="right"/>
              <w:ind w:right="290"/>
              <w:spacing w:after="0"/>
              <w:rPr>
                <w:sz w:val="20"/>
                <w:szCs w:val="20"/>
                <w:color w:val="auto"/>
              </w:rPr>
            </w:pPr>
            <w:r>
              <w:rPr>
                <w:rFonts w:ascii="Arial" w:cs="Arial" w:eastAsia="Arial" w:hAnsi="Arial"/>
                <w:sz w:val="18"/>
                <w:szCs w:val="18"/>
                <w:b w:val="1"/>
                <w:bCs w:val="1"/>
                <w:color w:val="auto"/>
              </w:rPr>
              <w:t>1,070,380</w:t>
            </w:r>
          </w:p>
        </w:tc>
        <w:tc>
          <w:tcPr>
            <w:tcW w:w="1260" w:type="dxa"/>
            <w:vAlign w:val="bottom"/>
          </w:tcPr>
          <w:p>
            <w:pPr>
              <w:jc w:val="right"/>
              <w:ind w:right="250"/>
              <w:spacing w:after="0"/>
              <w:rPr>
                <w:sz w:val="20"/>
                <w:szCs w:val="20"/>
                <w:color w:val="auto"/>
              </w:rPr>
            </w:pPr>
            <w:r>
              <w:rPr>
                <w:rFonts w:ascii="Arial" w:cs="Arial" w:eastAsia="Arial" w:hAnsi="Arial"/>
                <w:sz w:val="18"/>
                <w:szCs w:val="18"/>
                <w:color w:val="auto"/>
              </w:rPr>
              <w:t>1,285,708</w:t>
            </w:r>
          </w:p>
        </w:tc>
        <w:tc>
          <w:tcPr>
            <w:tcW w:w="1240" w:type="dxa"/>
            <w:vAlign w:val="bottom"/>
          </w:tcPr>
          <w:p>
            <w:pPr>
              <w:jc w:val="right"/>
              <w:ind w:right="110"/>
              <w:spacing w:after="0"/>
              <w:rPr>
                <w:sz w:val="20"/>
                <w:szCs w:val="20"/>
                <w:color w:val="auto"/>
              </w:rPr>
            </w:pPr>
            <w:r>
              <w:rPr>
                <w:rFonts w:ascii="Arial" w:cs="Arial" w:eastAsia="Arial" w:hAnsi="Arial"/>
                <w:sz w:val="18"/>
                <w:szCs w:val="18"/>
                <w:color w:val="auto"/>
              </w:rPr>
              <w:t>(215,328)</w:t>
            </w:r>
          </w:p>
        </w:tc>
        <w:tc>
          <w:tcPr>
            <w:tcW w:w="1220" w:type="dxa"/>
            <w:vAlign w:val="bottom"/>
            <w:gridSpan w:val="2"/>
          </w:tcPr>
          <w:p>
            <w:pPr>
              <w:jc w:val="right"/>
              <w:ind w:right="100"/>
              <w:spacing w:after="0"/>
              <w:rPr>
                <w:sz w:val="20"/>
                <w:szCs w:val="20"/>
                <w:color w:val="auto"/>
              </w:rPr>
            </w:pPr>
            <w:r>
              <w:rPr>
                <w:rFonts w:ascii="Arial" w:cs="Arial" w:eastAsia="Arial" w:hAnsi="Arial"/>
                <w:sz w:val="18"/>
                <w:szCs w:val="18"/>
                <w:color w:val="auto"/>
              </w:rPr>
              <w:t>(17)%</w:t>
            </w:r>
          </w:p>
        </w:tc>
      </w:tr>
      <w:tr>
        <w:trPr>
          <w:trHeight w:val="216"/>
        </w:trPr>
        <w:tc>
          <w:tcPr>
            <w:tcW w:w="5120" w:type="dxa"/>
            <w:vAlign w:val="bottom"/>
            <w:shd w:val="clear" w:color="auto" w:fill="CCEEFF"/>
          </w:tcPr>
          <w:p>
            <w:pPr>
              <w:spacing w:after="0"/>
              <w:rPr>
                <w:sz w:val="20"/>
                <w:szCs w:val="20"/>
                <w:color w:val="auto"/>
              </w:rPr>
            </w:pPr>
            <w:r>
              <w:rPr>
                <w:rFonts w:ascii="Arial" w:cs="Arial" w:eastAsia="Arial" w:hAnsi="Arial"/>
                <w:sz w:val="18"/>
                <w:szCs w:val="18"/>
                <w:color w:val="auto"/>
              </w:rPr>
              <w:t>Average selling price per ton, including surcharges</w:t>
            </w:r>
          </w:p>
        </w:tc>
        <w:tc>
          <w:tcPr>
            <w:tcW w:w="2580" w:type="dxa"/>
            <w:vAlign w:val="bottom"/>
            <w:shd w:val="clear" w:color="auto" w:fill="CCEEFF"/>
          </w:tcPr>
          <w:p>
            <w:pPr>
              <w:jc w:val="right"/>
              <w:ind w:right="290"/>
              <w:spacing w:after="0"/>
              <w:rPr>
                <w:sz w:val="20"/>
                <w:szCs w:val="20"/>
                <w:color w:val="auto"/>
              </w:rPr>
            </w:pPr>
            <w:r>
              <w:rPr>
                <w:rFonts w:ascii="Arial" w:cs="Arial" w:eastAsia="Arial" w:hAnsi="Arial"/>
                <w:sz w:val="18"/>
                <w:szCs w:val="18"/>
                <w:b w:val="1"/>
                <w:bCs w:val="1"/>
                <w:color w:val="auto"/>
              </w:rPr>
              <w:t>$1,615</w:t>
            </w:r>
          </w:p>
        </w:tc>
        <w:tc>
          <w:tcPr>
            <w:tcW w:w="1260" w:type="dxa"/>
            <w:vAlign w:val="bottom"/>
            <w:shd w:val="clear" w:color="auto" w:fill="CCEEFF"/>
          </w:tcPr>
          <w:p>
            <w:pPr>
              <w:jc w:val="right"/>
              <w:ind w:right="250"/>
              <w:spacing w:after="0"/>
              <w:rPr>
                <w:sz w:val="20"/>
                <w:szCs w:val="20"/>
                <w:color w:val="auto"/>
              </w:rPr>
            </w:pPr>
            <w:r>
              <w:rPr>
                <w:rFonts w:ascii="Arial" w:cs="Arial" w:eastAsia="Arial" w:hAnsi="Arial"/>
                <w:sz w:val="18"/>
                <w:szCs w:val="18"/>
                <w:color w:val="auto"/>
              </w:rPr>
              <w:t>$1,522</w:t>
            </w:r>
          </w:p>
        </w:tc>
        <w:tc>
          <w:tcPr>
            <w:tcW w:w="1240" w:type="dxa"/>
            <w:vAlign w:val="bottom"/>
            <w:shd w:val="clear" w:color="auto" w:fill="CCEEFF"/>
          </w:tcPr>
          <w:p>
            <w:pPr>
              <w:jc w:val="right"/>
              <w:ind w:right="150"/>
              <w:spacing w:after="0"/>
              <w:rPr>
                <w:sz w:val="20"/>
                <w:szCs w:val="20"/>
                <w:color w:val="auto"/>
              </w:rPr>
            </w:pPr>
            <w:r>
              <w:rPr>
                <w:rFonts w:ascii="Arial" w:cs="Arial" w:eastAsia="Arial" w:hAnsi="Arial"/>
                <w:sz w:val="18"/>
                <w:szCs w:val="18"/>
                <w:color w:val="auto"/>
              </w:rPr>
              <w:t>$93</w:t>
            </w:r>
          </w:p>
        </w:tc>
        <w:tc>
          <w:tcPr>
            <w:tcW w:w="12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6 %</w:t>
            </w:r>
          </w:p>
        </w:tc>
      </w:tr>
      <w:tr>
        <w:trPr>
          <w:trHeight w:val="54"/>
        </w:trPr>
        <w:tc>
          <w:tcPr>
            <w:tcW w:w="5120" w:type="dxa"/>
            <w:vAlign w:val="bottom"/>
            <w:shd w:val="clear" w:color="auto" w:fill="000000"/>
          </w:tcPr>
          <w:p>
            <w:pPr>
              <w:spacing w:after="0"/>
              <w:rPr>
                <w:sz w:val="4"/>
                <w:szCs w:val="4"/>
                <w:color w:val="auto"/>
              </w:rPr>
            </w:pPr>
          </w:p>
        </w:tc>
        <w:tc>
          <w:tcPr>
            <w:tcW w:w="2580" w:type="dxa"/>
            <w:vAlign w:val="bottom"/>
            <w:shd w:val="clear" w:color="auto" w:fill="000000"/>
          </w:tcPr>
          <w:p>
            <w:pPr>
              <w:spacing w:after="0"/>
              <w:rPr>
                <w:sz w:val="4"/>
                <w:szCs w:val="4"/>
                <w:color w:val="auto"/>
              </w:rPr>
            </w:pPr>
          </w:p>
        </w:tc>
        <w:tc>
          <w:tcPr>
            <w:tcW w:w="1260" w:type="dxa"/>
            <w:vAlign w:val="bottom"/>
            <w:shd w:val="clear" w:color="auto" w:fill="000000"/>
          </w:tcPr>
          <w:p>
            <w:pPr>
              <w:spacing w:after="0"/>
              <w:rPr>
                <w:sz w:val="4"/>
                <w:szCs w:val="4"/>
                <w:color w:val="auto"/>
              </w:rPr>
            </w:pPr>
          </w:p>
        </w:tc>
        <w:tc>
          <w:tcPr>
            <w:tcW w:w="1240" w:type="dxa"/>
            <w:vAlign w:val="bottom"/>
            <w:shd w:val="clear" w:color="auto" w:fill="000000"/>
          </w:tcPr>
          <w:p>
            <w:pPr>
              <w:spacing w:after="0"/>
              <w:rPr>
                <w:sz w:val="4"/>
                <w:szCs w:val="4"/>
                <w:color w:val="auto"/>
              </w:rPr>
            </w:pPr>
          </w:p>
        </w:tc>
        <w:tc>
          <w:tcPr>
            <w:tcW w:w="1120" w:type="dxa"/>
            <w:vAlign w:val="bottom"/>
            <w:shd w:val="clear" w:color="auto" w:fill="000000"/>
          </w:tcPr>
          <w:p>
            <w:pPr>
              <w:spacing w:after="0"/>
              <w:rPr>
                <w:sz w:val="4"/>
                <w:szCs w:val="4"/>
                <w:color w:val="auto"/>
              </w:rPr>
            </w:pPr>
          </w:p>
        </w:tc>
        <w:tc>
          <w:tcPr>
            <w:tcW w:w="100" w:type="dxa"/>
            <w:vAlign w:val="bottom"/>
          </w:tcPr>
          <w:p>
            <w:pPr>
              <w:spacing w:after="0"/>
              <w:rPr>
                <w:sz w:val="4"/>
                <w:szCs w:val="4"/>
                <w:color w:val="auto"/>
              </w:rPr>
            </w:pPr>
          </w:p>
        </w:tc>
      </w:tr>
    </w:tbl>
    <w:p>
      <w:pPr>
        <w:spacing w:after="0" w:line="25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Net Sales</w:t>
      </w:r>
    </w:p>
    <w:p>
      <w:pPr>
        <w:spacing w:after="0" w:line="270" w:lineRule="exact"/>
        <w:rPr>
          <w:sz w:val="20"/>
          <w:szCs w:val="20"/>
          <w:color w:val="auto"/>
        </w:rPr>
      </w:pPr>
    </w:p>
    <w:p>
      <w:pPr>
        <w:ind w:right="320" w:firstLine="913"/>
        <w:spacing w:after="0" w:line="264" w:lineRule="auto"/>
        <w:rPr>
          <w:sz w:val="20"/>
          <w:szCs w:val="20"/>
          <w:color w:val="auto"/>
        </w:rPr>
      </w:pPr>
      <w:r>
        <w:rPr>
          <w:rFonts w:ascii="Arial" w:cs="Arial" w:eastAsia="Arial" w:hAnsi="Arial"/>
          <w:sz w:val="18"/>
          <w:szCs w:val="18"/>
          <w:color w:val="auto"/>
        </w:rPr>
        <w:t>Net sales for 2012 decreased 12% compared to 2011. Excluding surcharges, net sales decreased 5%. The decrease was primarily due to lower volume, partially offset by higher pricing and favorable sales mix. The decrease in volume was driven by lower shipments across all of our end-market sectors.</w:t>
      </w:r>
    </w:p>
    <w:p>
      <w:pPr>
        <w:spacing w:after="0" w:line="20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Gross Profit</w:t>
      </w:r>
    </w:p>
    <w:p>
      <w:pPr>
        <w:spacing w:after="0" w:line="270" w:lineRule="exact"/>
        <w:rPr>
          <w:sz w:val="20"/>
          <w:szCs w:val="20"/>
          <w:color w:val="auto"/>
        </w:rPr>
      </w:pPr>
    </w:p>
    <w:p>
      <w:pPr>
        <w:ind w:right="40" w:firstLine="913"/>
        <w:spacing w:after="0" w:line="277" w:lineRule="auto"/>
        <w:rPr>
          <w:sz w:val="20"/>
          <w:szCs w:val="20"/>
          <w:color w:val="auto"/>
        </w:rPr>
      </w:pPr>
      <w:r>
        <w:rPr>
          <w:rFonts w:ascii="Arial" w:cs="Arial" w:eastAsia="Arial" w:hAnsi="Arial"/>
          <w:sz w:val="18"/>
          <w:szCs w:val="18"/>
          <w:color w:val="auto"/>
        </w:rPr>
        <w:t>Gross profit decreased $15.7 million in 2012 compared to 2011, primarily due to lower volume and higher manufacturing expense resulting from lower cost absorption, partially offset by higher pricing.</w:t>
      </w:r>
    </w:p>
    <w:p>
      <w:pPr>
        <w:spacing w:after="0" w:line="211" w:lineRule="exact"/>
        <w:rPr>
          <w:sz w:val="20"/>
          <w:szCs w:val="20"/>
          <w:color w:val="auto"/>
        </w:rPr>
      </w:pPr>
    </w:p>
    <w:p>
      <w:pPr>
        <w:ind w:right="340" w:firstLine="913"/>
        <w:spacing w:after="0" w:line="259" w:lineRule="auto"/>
        <w:rPr>
          <w:sz w:val="20"/>
          <w:szCs w:val="20"/>
          <w:color w:val="auto"/>
        </w:rPr>
      </w:pPr>
      <w:r>
        <w:rPr>
          <w:rFonts w:ascii="Arial" w:cs="Arial" w:eastAsia="Arial" w:hAnsi="Arial"/>
          <w:sz w:val="18"/>
          <w:szCs w:val="18"/>
          <w:color w:val="auto"/>
        </w:rPr>
        <w:t>Our surcharge mechanism is designed to mitigate the impact of increases or decreases in raw material costs, although generally with a lag effect. This timing effect can result in raw material costs being over- or under-recovered in certain periods. While the surcharge generally protects gross profit, it has the effect of diluting gross margin as a percent of sales. The table above presents a summary of the dilutive impact of the surcharges on gross margin for 2012 and 2011.</w:t>
      </w:r>
    </w:p>
    <w:p>
      <w:pPr>
        <w:spacing w:after="0" w:line="2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Selling, General and Administrative Expenses</w:t>
      </w:r>
    </w:p>
    <w:p>
      <w:pPr>
        <w:spacing w:after="0" w:line="270" w:lineRule="exact"/>
        <w:rPr>
          <w:sz w:val="20"/>
          <w:szCs w:val="20"/>
          <w:color w:val="auto"/>
        </w:rPr>
      </w:pPr>
    </w:p>
    <w:p>
      <w:pPr>
        <w:ind w:right="200" w:firstLine="913"/>
        <w:spacing w:after="0" w:line="277" w:lineRule="auto"/>
        <w:rPr>
          <w:sz w:val="20"/>
          <w:szCs w:val="20"/>
          <w:color w:val="auto"/>
        </w:rPr>
      </w:pPr>
      <w:r>
        <w:rPr>
          <w:rFonts w:ascii="Arial" w:cs="Arial" w:eastAsia="Arial" w:hAnsi="Arial"/>
          <w:sz w:val="18"/>
          <w:szCs w:val="18"/>
          <w:color w:val="auto"/>
        </w:rPr>
        <w:t>SG&amp;A expenses increased by $5.5 million, or 6%, in 2012 compared to 2011, primarily due to increased spending on technology costs, as well as higher salary and benefit costs, partially offset by lower incentive compensation expense.</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Provision for Income Taxes</w:t>
      </w:r>
    </w:p>
    <w:p>
      <w:pPr>
        <w:spacing w:after="0" w:line="372" w:lineRule="exact"/>
        <w:rPr>
          <w:sz w:val="20"/>
          <w:szCs w:val="20"/>
          <w:color w:val="auto"/>
        </w:rPr>
      </w:pPr>
    </w:p>
    <w:tbl>
      <w:tblPr>
        <w:tblLayout w:type="fixed"/>
        <w:tblInd w:w="0" w:type="dxa"/>
        <w:tblCellMar>
          <w:top w:w="0" w:type="dxa"/>
          <w:left w:w="0" w:type="dxa"/>
          <w:bottom w:w="0" w:type="dxa"/>
          <w:right w:w="0" w:type="dxa"/>
        </w:tblCellMar>
      </w:tblPr>
      <w:tr>
        <w:trPr>
          <w:trHeight w:val="243"/>
        </w:trPr>
        <w:tc>
          <w:tcPr>
            <w:tcW w:w="4240" w:type="dxa"/>
            <w:vAlign w:val="bottom"/>
            <w:tcBorders>
              <w:top w:val="single" w:sz="8" w:color="auto"/>
              <w:bottom w:val="single" w:sz="8" w:color="auto"/>
            </w:tcBorders>
          </w:tcPr>
          <w:p>
            <w:pPr>
              <w:spacing w:after="0"/>
              <w:rPr>
                <w:sz w:val="21"/>
                <w:szCs w:val="21"/>
                <w:color w:val="auto"/>
              </w:rPr>
            </w:pPr>
          </w:p>
        </w:tc>
        <w:tc>
          <w:tcPr>
            <w:tcW w:w="3280" w:type="dxa"/>
            <w:vAlign w:val="bottom"/>
            <w:tcBorders>
              <w:top w:val="single" w:sz="8" w:color="auto"/>
              <w:bottom w:val="single" w:sz="8" w:color="auto"/>
            </w:tcBorders>
          </w:tcPr>
          <w:p>
            <w:pPr>
              <w:spacing w:after="0"/>
              <w:rPr>
                <w:sz w:val="21"/>
                <w:szCs w:val="21"/>
                <w:color w:val="auto"/>
              </w:rPr>
            </w:pPr>
          </w:p>
        </w:tc>
        <w:tc>
          <w:tcPr>
            <w:tcW w:w="2660" w:type="dxa"/>
            <w:vAlign w:val="bottom"/>
            <w:tcBorders>
              <w:top w:val="single" w:sz="8" w:color="auto"/>
              <w:bottom w:val="single" w:sz="8" w:color="auto"/>
            </w:tcBorders>
            <w:gridSpan w:val="2"/>
          </w:tcPr>
          <w:p>
            <w:pPr>
              <w:jc w:val="right"/>
              <w:ind w:right="130"/>
              <w:spacing w:after="0"/>
              <w:rPr>
                <w:sz w:val="20"/>
                <w:szCs w:val="20"/>
                <w:color w:val="auto"/>
              </w:rPr>
            </w:pPr>
            <w:r>
              <w:rPr>
                <w:rFonts w:ascii="Arial" w:cs="Arial" w:eastAsia="Arial" w:hAnsi="Arial"/>
                <w:sz w:val="18"/>
                <w:szCs w:val="18"/>
                <w:b w:val="1"/>
                <w:bCs w:val="1"/>
                <w:color w:val="auto"/>
              </w:rPr>
              <w:t>Years Ended December 31,</w:t>
            </w:r>
          </w:p>
        </w:tc>
        <w:tc>
          <w:tcPr>
            <w:tcW w:w="1140" w:type="dxa"/>
            <w:vAlign w:val="bottom"/>
            <w:tcBorders>
              <w:top w:val="single" w:sz="8" w:color="auto"/>
              <w:bottom w:val="single" w:sz="8" w:color="auto"/>
            </w:tcBorders>
          </w:tcPr>
          <w:p>
            <w:pPr>
              <w:spacing w:after="0"/>
              <w:rPr>
                <w:sz w:val="21"/>
                <w:szCs w:val="21"/>
                <w:color w:val="auto"/>
              </w:rPr>
            </w:pPr>
          </w:p>
        </w:tc>
        <w:tc>
          <w:tcPr>
            <w:tcW w:w="100" w:type="dxa"/>
            <w:vAlign w:val="bottom"/>
          </w:tcPr>
          <w:p>
            <w:pPr>
              <w:spacing w:after="0"/>
              <w:rPr>
                <w:sz w:val="21"/>
                <w:szCs w:val="21"/>
                <w:color w:val="auto"/>
              </w:rPr>
            </w:pPr>
          </w:p>
        </w:tc>
      </w:tr>
      <w:tr>
        <w:trPr>
          <w:trHeight w:val="223"/>
        </w:trPr>
        <w:tc>
          <w:tcPr>
            <w:tcW w:w="4240" w:type="dxa"/>
            <w:vAlign w:val="bottom"/>
          </w:tcPr>
          <w:p>
            <w:pPr>
              <w:spacing w:after="0"/>
              <w:rPr>
                <w:sz w:val="19"/>
                <w:szCs w:val="19"/>
                <w:color w:val="auto"/>
              </w:rPr>
            </w:pPr>
          </w:p>
        </w:tc>
        <w:tc>
          <w:tcPr>
            <w:tcW w:w="3280" w:type="dxa"/>
            <w:vAlign w:val="bottom"/>
          </w:tcPr>
          <w:p>
            <w:pPr>
              <w:jc w:val="right"/>
              <w:ind w:right="530"/>
              <w:spacing w:after="0"/>
              <w:rPr>
                <w:sz w:val="20"/>
                <w:szCs w:val="20"/>
                <w:color w:val="auto"/>
              </w:rPr>
            </w:pPr>
            <w:r>
              <w:rPr>
                <w:rFonts w:ascii="Arial" w:cs="Arial" w:eastAsia="Arial" w:hAnsi="Arial"/>
                <w:sz w:val="18"/>
                <w:szCs w:val="18"/>
                <w:b w:val="1"/>
                <w:bCs w:val="1"/>
                <w:color w:val="auto"/>
              </w:rPr>
              <w:t>2012</w:t>
            </w:r>
          </w:p>
        </w:tc>
        <w:tc>
          <w:tcPr>
            <w:tcW w:w="1180" w:type="dxa"/>
            <w:vAlign w:val="bottom"/>
          </w:tcPr>
          <w:p>
            <w:pPr>
              <w:jc w:val="right"/>
              <w:ind w:right="490"/>
              <w:spacing w:after="0"/>
              <w:rPr>
                <w:sz w:val="20"/>
                <w:szCs w:val="20"/>
                <w:color w:val="auto"/>
              </w:rPr>
            </w:pPr>
            <w:r>
              <w:rPr>
                <w:rFonts w:ascii="Arial" w:cs="Arial" w:eastAsia="Arial" w:hAnsi="Arial"/>
                <w:sz w:val="18"/>
                <w:szCs w:val="18"/>
                <w:color w:val="auto"/>
              </w:rPr>
              <w:t>2011</w:t>
            </w:r>
          </w:p>
        </w:tc>
        <w:tc>
          <w:tcPr>
            <w:tcW w:w="1480" w:type="dxa"/>
            <w:vAlign w:val="bottom"/>
          </w:tcPr>
          <w:p>
            <w:pPr>
              <w:jc w:val="right"/>
              <w:ind w:right="430"/>
              <w:spacing w:after="0"/>
              <w:rPr>
                <w:sz w:val="20"/>
                <w:szCs w:val="20"/>
                <w:color w:val="auto"/>
              </w:rPr>
            </w:pPr>
            <w:r>
              <w:rPr>
                <w:rFonts w:ascii="Arial" w:cs="Arial" w:eastAsia="Arial" w:hAnsi="Arial"/>
                <w:sz w:val="18"/>
                <w:szCs w:val="18"/>
                <w:color w:val="auto"/>
              </w:rPr>
              <w:t>$ Change</w:t>
            </w:r>
          </w:p>
        </w:tc>
        <w:tc>
          <w:tcPr>
            <w:tcW w:w="1140" w:type="dxa"/>
            <w:vAlign w:val="bottom"/>
          </w:tcPr>
          <w:p>
            <w:pPr>
              <w:jc w:val="right"/>
              <w:ind w:right="90"/>
              <w:spacing w:after="0"/>
              <w:rPr>
                <w:sz w:val="20"/>
                <w:szCs w:val="20"/>
                <w:color w:val="auto"/>
              </w:rPr>
            </w:pPr>
            <w:r>
              <w:rPr>
                <w:rFonts w:ascii="Arial" w:cs="Arial" w:eastAsia="Arial" w:hAnsi="Arial"/>
                <w:sz w:val="18"/>
                <w:szCs w:val="18"/>
                <w:color w:val="auto"/>
              </w:rPr>
              <w:t>% Change</w:t>
            </w:r>
          </w:p>
        </w:tc>
        <w:tc>
          <w:tcPr>
            <w:tcW w:w="100" w:type="dxa"/>
            <w:vAlign w:val="bottom"/>
          </w:tcPr>
          <w:p>
            <w:pPr>
              <w:spacing w:after="0"/>
              <w:rPr>
                <w:sz w:val="19"/>
                <w:szCs w:val="19"/>
                <w:color w:val="auto"/>
              </w:rPr>
            </w:pPr>
          </w:p>
        </w:tc>
      </w:tr>
      <w:tr>
        <w:trPr>
          <w:trHeight w:val="216"/>
        </w:trPr>
        <w:tc>
          <w:tcPr>
            <w:tcW w:w="4240" w:type="dxa"/>
            <w:vAlign w:val="bottom"/>
            <w:shd w:val="clear" w:color="auto" w:fill="CCEEFF"/>
          </w:tcPr>
          <w:p>
            <w:pPr>
              <w:spacing w:after="0"/>
              <w:rPr>
                <w:sz w:val="20"/>
                <w:szCs w:val="20"/>
                <w:color w:val="auto"/>
              </w:rPr>
            </w:pPr>
            <w:r>
              <w:rPr>
                <w:rFonts w:ascii="Arial" w:cs="Arial" w:eastAsia="Arial" w:hAnsi="Arial"/>
                <w:sz w:val="18"/>
                <w:szCs w:val="18"/>
                <w:color w:val="auto"/>
              </w:rPr>
              <w:t>Provision for income taxes</w:t>
            </w:r>
          </w:p>
        </w:tc>
        <w:tc>
          <w:tcPr>
            <w:tcW w:w="3280" w:type="dxa"/>
            <w:vAlign w:val="bottom"/>
            <w:shd w:val="clear" w:color="auto" w:fill="CCEEFF"/>
          </w:tcPr>
          <w:p>
            <w:pPr>
              <w:jc w:val="right"/>
              <w:ind w:right="350"/>
              <w:spacing w:after="0"/>
              <w:rPr>
                <w:sz w:val="20"/>
                <w:szCs w:val="20"/>
                <w:color w:val="auto"/>
              </w:rPr>
            </w:pPr>
            <w:r>
              <w:rPr>
                <w:rFonts w:ascii="Arial" w:cs="Arial" w:eastAsia="Arial" w:hAnsi="Arial"/>
                <w:sz w:val="18"/>
                <w:szCs w:val="18"/>
                <w:b w:val="1"/>
                <w:bCs w:val="1"/>
                <w:color w:val="auto"/>
              </w:rPr>
              <w:t>$79.1</w:t>
            </w:r>
          </w:p>
        </w:tc>
        <w:tc>
          <w:tcPr>
            <w:tcW w:w="1180" w:type="dxa"/>
            <w:vAlign w:val="bottom"/>
            <w:shd w:val="clear" w:color="auto" w:fill="CCEEFF"/>
          </w:tcPr>
          <w:p>
            <w:pPr>
              <w:jc w:val="right"/>
              <w:ind w:right="310"/>
              <w:spacing w:after="0"/>
              <w:rPr>
                <w:sz w:val="20"/>
                <w:szCs w:val="20"/>
                <w:color w:val="auto"/>
              </w:rPr>
            </w:pPr>
            <w:r>
              <w:rPr>
                <w:rFonts w:ascii="Arial" w:cs="Arial" w:eastAsia="Arial" w:hAnsi="Arial"/>
                <w:sz w:val="18"/>
                <w:szCs w:val="18"/>
                <w:color w:val="auto"/>
              </w:rPr>
              <w:t>$85.1</w:t>
            </w:r>
          </w:p>
        </w:tc>
        <w:tc>
          <w:tcPr>
            <w:tcW w:w="1480" w:type="dxa"/>
            <w:vAlign w:val="bottom"/>
            <w:shd w:val="clear" w:color="auto" w:fill="CCEEFF"/>
          </w:tcPr>
          <w:p>
            <w:pPr>
              <w:jc w:val="right"/>
              <w:ind w:right="250"/>
              <w:spacing w:after="0"/>
              <w:rPr>
                <w:sz w:val="20"/>
                <w:szCs w:val="20"/>
                <w:color w:val="auto"/>
              </w:rPr>
            </w:pPr>
            <w:r>
              <w:rPr>
                <w:rFonts w:ascii="Arial" w:cs="Arial" w:eastAsia="Arial" w:hAnsi="Arial"/>
                <w:sz w:val="18"/>
                <w:szCs w:val="18"/>
                <w:color w:val="auto"/>
              </w:rPr>
              <w:t>($6.0)</w:t>
            </w: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w:t>
            </w:r>
          </w:p>
        </w:tc>
        <w:tc>
          <w:tcPr>
            <w:tcW w:w="100" w:type="dxa"/>
            <w:vAlign w:val="bottom"/>
            <w:shd w:val="clear" w:color="auto" w:fill="CCEEFF"/>
          </w:tcPr>
          <w:p>
            <w:pPr>
              <w:spacing w:after="0"/>
              <w:rPr>
                <w:sz w:val="18"/>
                <w:szCs w:val="18"/>
                <w:color w:val="auto"/>
              </w:rPr>
            </w:pPr>
          </w:p>
        </w:tc>
      </w:tr>
      <w:tr>
        <w:trPr>
          <w:trHeight w:val="223"/>
        </w:trPr>
        <w:tc>
          <w:tcPr>
            <w:tcW w:w="42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Effective tax rate</w:t>
            </w:r>
          </w:p>
        </w:tc>
        <w:tc>
          <w:tcPr>
            <w:tcW w:w="3280" w:type="dxa"/>
            <w:vAlign w:val="bottom"/>
            <w:tcBorders>
              <w:bottom w:val="single" w:sz="8" w:color="auto"/>
            </w:tcBorders>
          </w:tcPr>
          <w:p>
            <w:pPr>
              <w:jc w:val="right"/>
              <w:ind w:right="170"/>
              <w:spacing w:after="0"/>
              <w:rPr>
                <w:sz w:val="20"/>
                <w:szCs w:val="20"/>
                <w:color w:val="auto"/>
              </w:rPr>
            </w:pPr>
            <w:r>
              <w:rPr>
                <w:rFonts w:ascii="Arial" w:cs="Arial" w:eastAsia="Arial" w:hAnsi="Arial"/>
                <w:sz w:val="18"/>
                <w:szCs w:val="18"/>
                <w:b w:val="1"/>
                <w:bCs w:val="1"/>
                <w:color w:val="auto"/>
              </w:rPr>
              <w:t>33.8%</w:t>
            </w:r>
          </w:p>
        </w:tc>
        <w:tc>
          <w:tcPr>
            <w:tcW w:w="1180" w:type="dxa"/>
            <w:vAlign w:val="bottom"/>
            <w:tcBorders>
              <w:bottom w:val="single" w:sz="8" w:color="auto"/>
            </w:tcBorders>
          </w:tcPr>
          <w:p>
            <w:pPr>
              <w:jc w:val="right"/>
              <w:ind w:right="150"/>
              <w:spacing w:after="0"/>
              <w:rPr>
                <w:sz w:val="20"/>
                <w:szCs w:val="20"/>
                <w:color w:val="auto"/>
              </w:rPr>
            </w:pPr>
            <w:r>
              <w:rPr>
                <w:rFonts w:ascii="Arial" w:cs="Arial" w:eastAsia="Arial" w:hAnsi="Arial"/>
                <w:sz w:val="18"/>
                <w:szCs w:val="18"/>
                <w:color w:val="auto"/>
              </w:rPr>
              <w:t>33.7%</w:t>
            </w:r>
          </w:p>
        </w:tc>
        <w:tc>
          <w:tcPr>
            <w:tcW w:w="1480" w:type="dxa"/>
            <w:vAlign w:val="bottom"/>
            <w:tcBorders>
              <w:bottom w:val="single" w:sz="8" w:color="auto"/>
            </w:tcBorders>
          </w:tcPr>
          <w:p>
            <w:pPr>
              <w:jc w:val="right"/>
              <w:ind w:right="290"/>
              <w:spacing w:after="0"/>
              <w:rPr>
                <w:sz w:val="20"/>
                <w:szCs w:val="20"/>
                <w:color w:val="auto"/>
              </w:rPr>
            </w:pPr>
            <w:r>
              <w:rPr>
                <w:rFonts w:ascii="Arial" w:cs="Arial" w:eastAsia="Arial" w:hAnsi="Arial"/>
                <w:sz w:val="18"/>
                <w:szCs w:val="18"/>
                <w:color w:val="auto"/>
              </w:rPr>
              <w:t>—</w:t>
            </w:r>
          </w:p>
        </w:tc>
        <w:tc>
          <w:tcPr>
            <w:tcW w:w="1140" w:type="dxa"/>
            <w:vAlign w:val="bottom"/>
            <w:tcBorders>
              <w:bottom w:val="single" w:sz="8" w:color="auto"/>
            </w:tcBorders>
          </w:tcPr>
          <w:p>
            <w:pPr>
              <w:jc w:val="right"/>
              <w:ind w:right="13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r>
    </w:tbl>
    <w:p>
      <w:pPr>
        <w:spacing w:after="0" w:line="242" w:lineRule="exact"/>
        <w:rPr>
          <w:sz w:val="20"/>
          <w:szCs w:val="20"/>
          <w:color w:val="auto"/>
        </w:rPr>
      </w:pPr>
    </w:p>
    <w:p>
      <w:pPr>
        <w:ind w:right="300" w:firstLine="913"/>
        <w:spacing w:after="0" w:line="264" w:lineRule="auto"/>
        <w:rPr>
          <w:sz w:val="20"/>
          <w:szCs w:val="20"/>
          <w:color w:val="auto"/>
        </w:rPr>
      </w:pPr>
      <w:r>
        <w:rPr>
          <w:rFonts w:ascii="Arial" w:cs="Arial" w:eastAsia="Arial" w:hAnsi="Arial"/>
          <w:sz w:val="18"/>
          <w:szCs w:val="18"/>
          <w:color w:val="auto"/>
        </w:rPr>
        <w:t>The increase in the effective tax rate in 2012 compared to 2011 was primarily due to higher losses at foreign subsidiaries where no tax benefit could be recorded and higher discrete tax items, partially offset by lower U.S. state and local taxes and higher benefit related to the U.S. manufacturing deduction.</w:t>
      </w:r>
    </w:p>
    <w:p>
      <w:pPr>
        <w:spacing w:after="0" w:line="1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39</w:t>
      </w:r>
    </w:p>
    <w:p>
      <w:pPr>
        <w:sectPr>
          <w:pgSz w:w="11900" w:h="16838" w:orient="portrait"/>
          <w:cols w:equalWidth="0" w:num="1">
            <w:col w:w="11420"/>
          </w:cols>
          <w:pgMar w:left="240" w:top="459" w:right="239" w:bottom="1440" w:gutter="0" w:footer="0" w:header="0"/>
        </w:sectPr>
      </w:pPr>
    </w:p>
    <w:bookmarkStart w:id="48" w:name="page49"/>
    <w:bookmarkEnd w:id="4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Business Segments</w:t>
      </w:r>
    </w:p>
    <w:p>
      <w:pPr>
        <w:spacing w:after="0" w:line="372" w:lineRule="exact"/>
        <w:rPr>
          <w:sz w:val="20"/>
          <w:szCs w:val="20"/>
          <w:color w:val="auto"/>
        </w:rPr>
      </w:pPr>
    </w:p>
    <w:tbl>
      <w:tblPr>
        <w:tblLayout w:type="fixed"/>
        <w:tblInd w:w="0" w:type="dxa"/>
        <w:tblCellMar>
          <w:top w:w="0" w:type="dxa"/>
          <w:left w:w="0" w:type="dxa"/>
          <w:bottom w:w="0" w:type="dxa"/>
          <w:right w:w="0" w:type="dxa"/>
        </w:tblCellMar>
      </w:tblPr>
      <w:tr>
        <w:trPr>
          <w:trHeight w:val="243"/>
        </w:trPr>
        <w:tc>
          <w:tcPr>
            <w:tcW w:w="510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b w:val="1"/>
                <w:bCs w:val="1"/>
                <w:color w:val="auto"/>
              </w:rPr>
              <w:t>Industrial &amp; Mobile</w:t>
            </w:r>
          </w:p>
        </w:tc>
        <w:tc>
          <w:tcPr>
            <w:tcW w:w="2440" w:type="dxa"/>
            <w:vAlign w:val="bottom"/>
            <w:tcBorders>
              <w:top w:val="single" w:sz="8" w:color="auto"/>
              <w:bottom w:val="single" w:sz="8" w:color="auto"/>
            </w:tcBorders>
          </w:tcPr>
          <w:p>
            <w:pPr>
              <w:spacing w:after="0"/>
              <w:rPr>
                <w:sz w:val="21"/>
                <w:szCs w:val="21"/>
                <w:color w:val="auto"/>
              </w:rPr>
            </w:pPr>
          </w:p>
        </w:tc>
        <w:tc>
          <w:tcPr>
            <w:tcW w:w="2620" w:type="dxa"/>
            <w:vAlign w:val="bottom"/>
            <w:tcBorders>
              <w:top w:val="single" w:sz="8" w:color="auto"/>
              <w:bottom w:val="single" w:sz="8" w:color="auto"/>
            </w:tcBorders>
            <w:gridSpan w:val="3"/>
          </w:tcPr>
          <w:p>
            <w:pPr>
              <w:jc w:val="center"/>
              <w:spacing w:after="0"/>
              <w:rPr>
                <w:sz w:val="20"/>
                <w:szCs w:val="20"/>
                <w:color w:val="auto"/>
              </w:rPr>
            </w:pPr>
            <w:r>
              <w:rPr>
                <w:rFonts w:ascii="Arial" w:cs="Arial" w:eastAsia="Arial" w:hAnsi="Arial"/>
                <w:sz w:val="18"/>
                <w:szCs w:val="18"/>
                <w:b w:val="1"/>
                <w:bCs w:val="1"/>
                <w:color w:val="auto"/>
                <w:w w:val="89"/>
              </w:rPr>
              <w:t>Years Ended December 31,</w:t>
            </w:r>
          </w:p>
        </w:tc>
        <w:tc>
          <w:tcPr>
            <w:tcW w:w="1160" w:type="dxa"/>
            <w:vAlign w:val="bottom"/>
            <w:tcBorders>
              <w:top w:val="single" w:sz="8" w:color="auto"/>
              <w:bottom w:val="single" w:sz="8" w:color="auto"/>
            </w:tcBorders>
          </w:tcPr>
          <w:p>
            <w:pPr>
              <w:spacing w:after="0"/>
              <w:rPr>
                <w:sz w:val="21"/>
                <w:szCs w:val="21"/>
                <w:color w:val="auto"/>
              </w:rPr>
            </w:pP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r>
      <w:tr>
        <w:trPr>
          <w:trHeight w:val="223"/>
        </w:trPr>
        <w:tc>
          <w:tcPr>
            <w:tcW w:w="5100" w:type="dxa"/>
            <w:vAlign w:val="bottom"/>
          </w:tcPr>
          <w:p>
            <w:pPr>
              <w:spacing w:after="0"/>
              <w:rPr>
                <w:sz w:val="19"/>
                <w:szCs w:val="19"/>
                <w:color w:val="auto"/>
              </w:rPr>
            </w:pPr>
          </w:p>
        </w:tc>
        <w:tc>
          <w:tcPr>
            <w:tcW w:w="2440" w:type="dxa"/>
            <w:vAlign w:val="bottom"/>
          </w:tcPr>
          <w:p>
            <w:pPr>
              <w:jc w:val="right"/>
              <w:ind w:right="510"/>
              <w:spacing w:after="0"/>
              <w:rPr>
                <w:sz w:val="20"/>
                <w:szCs w:val="20"/>
                <w:color w:val="auto"/>
              </w:rPr>
            </w:pPr>
            <w:r>
              <w:rPr>
                <w:rFonts w:ascii="Arial" w:cs="Arial" w:eastAsia="Arial" w:hAnsi="Arial"/>
                <w:sz w:val="18"/>
                <w:szCs w:val="18"/>
                <w:b w:val="1"/>
                <w:bCs w:val="1"/>
                <w:color w:val="auto"/>
              </w:rPr>
              <w:t>2012</w:t>
            </w:r>
          </w:p>
        </w:tc>
        <w:tc>
          <w:tcPr>
            <w:tcW w:w="1160" w:type="dxa"/>
            <w:vAlign w:val="bottom"/>
          </w:tcPr>
          <w:p>
            <w:pPr>
              <w:jc w:val="right"/>
              <w:ind w:right="450"/>
              <w:spacing w:after="0"/>
              <w:rPr>
                <w:sz w:val="20"/>
                <w:szCs w:val="20"/>
                <w:color w:val="auto"/>
              </w:rPr>
            </w:pPr>
            <w:r>
              <w:rPr>
                <w:rFonts w:ascii="Arial" w:cs="Arial" w:eastAsia="Arial" w:hAnsi="Arial"/>
                <w:sz w:val="18"/>
                <w:szCs w:val="18"/>
                <w:color w:val="auto"/>
              </w:rPr>
              <w:t>2011</w:t>
            </w:r>
          </w:p>
        </w:tc>
        <w:tc>
          <w:tcPr>
            <w:tcW w:w="300" w:type="dxa"/>
            <w:vAlign w:val="bottom"/>
          </w:tcPr>
          <w:p>
            <w:pPr>
              <w:spacing w:after="0"/>
              <w:rPr>
                <w:sz w:val="19"/>
                <w:szCs w:val="19"/>
                <w:color w:val="auto"/>
              </w:rPr>
            </w:pPr>
          </w:p>
        </w:tc>
        <w:tc>
          <w:tcPr>
            <w:tcW w:w="1160" w:type="dxa"/>
            <w:vAlign w:val="bottom"/>
          </w:tcPr>
          <w:p>
            <w:pPr>
              <w:jc w:val="right"/>
              <w:ind w:right="330"/>
              <w:spacing w:after="0"/>
              <w:rPr>
                <w:sz w:val="20"/>
                <w:szCs w:val="20"/>
                <w:color w:val="auto"/>
              </w:rPr>
            </w:pPr>
            <w:r>
              <w:rPr>
                <w:rFonts w:ascii="Arial" w:cs="Arial" w:eastAsia="Arial" w:hAnsi="Arial"/>
                <w:sz w:val="18"/>
                <w:szCs w:val="18"/>
                <w:color w:val="auto"/>
                <w:w w:val="92"/>
              </w:rPr>
              <w:t>$ Change</w:t>
            </w:r>
          </w:p>
        </w:tc>
        <w:tc>
          <w:tcPr>
            <w:tcW w:w="1160" w:type="dxa"/>
            <w:vAlign w:val="bottom"/>
          </w:tcPr>
          <w:p>
            <w:pPr>
              <w:jc w:val="right"/>
              <w:ind w:right="130"/>
              <w:spacing w:after="0"/>
              <w:rPr>
                <w:sz w:val="20"/>
                <w:szCs w:val="20"/>
                <w:color w:val="auto"/>
              </w:rPr>
            </w:pPr>
            <w:r>
              <w:rPr>
                <w:rFonts w:ascii="Arial" w:cs="Arial" w:eastAsia="Arial" w:hAnsi="Arial"/>
                <w:sz w:val="18"/>
                <w:szCs w:val="18"/>
                <w:color w:val="auto"/>
              </w:rPr>
              <w:t>% Change</w:t>
            </w: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r>
      <w:tr>
        <w:trPr>
          <w:trHeight w:val="216"/>
        </w:trPr>
        <w:tc>
          <w:tcPr>
            <w:tcW w:w="5100" w:type="dxa"/>
            <w:vAlign w:val="bottom"/>
            <w:shd w:val="clear" w:color="auto" w:fill="CCEEFF"/>
          </w:tcPr>
          <w:p>
            <w:pPr>
              <w:spacing w:after="0"/>
              <w:rPr>
                <w:sz w:val="20"/>
                <w:szCs w:val="20"/>
                <w:color w:val="auto"/>
              </w:rPr>
            </w:pPr>
            <w:r>
              <w:rPr>
                <w:rFonts w:ascii="Arial" w:cs="Arial" w:eastAsia="Arial" w:hAnsi="Arial"/>
                <w:sz w:val="18"/>
                <w:szCs w:val="18"/>
                <w:color w:val="auto"/>
              </w:rPr>
              <w:t>Net sales, including intersegment sales</w:t>
            </w:r>
          </w:p>
        </w:tc>
        <w:tc>
          <w:tcPr>
            <w:tcW w:w="2440" w:type="dxa"/>
            <w:vAlign w:val="bottom"/>
            <w:shd w:val="clear" w:color="auto" w:fill="CCEEFF"/>
          </w:tcPr>
          <w:p>
            <w:pPr>
              <w:jc w:val="right"/>
              <w:ind w:right="290"/>
              <w:spacing w:after="0"/>
              <w:rPr>
                <w:sz w:val="20"/>
                <w:szCs w:val="20"/>
                <w:color w:val="auto"/>
              </w:rPr>
            </w:pPr>
            <w:r>
              <w:rPr>
                <w:rFonts w:ascii="Arial" w:cs="Arial" w:eastAsia="Arial" w:hAnsi="Arial"/>
                <w:sz w:val="18"/>
                <w:szCs w:val="18"/>
                <w:b w:val="1"/>
                <w:bCs w:val="1"/>
                <w:color w:val="auto"/>
              </w:rPr>
              <w:t>$1,014.1</w:t>
            </w:r>
          </w:p>
        </w:tc>
        <w:tc>
          <w:tcPr>
            <w:tcW w:w="1160" w:type="dxa"/>
            <w:vAlign w:val="bottom"/>
            <w:shd w:val="clear" w:color="auto" w:fill="CCEEFF"/>
          </w:tcPr>
          <w:p>
            <w:pPr>
              <w:jc w:val="right"/>
              <w:ind w:right="250"/>
              <w:spacing w:after="0"/>
              <w:rPr>
                <w:sz w:val="20"/>
                <w:szCs w:val="20"/>
                <w:color w:val="auto"/>
              </w:rPr>
            </w:pPr>
            <w:r>
              <w:rPr>
                <w:rFonts w:ascii="Arial" w:cs="Arial" w:eastAsia="Arial" w:hAnsi="Arial"/>
                <w:sz w:val="18"/>
                <w:szCs w:val="18"/>
                <w:color w:val="auto"/>
              </w:rPr>
              <w:t>$1,142.4</w:t>
            </w:r>
          </w:p>
        </w:tc>
        <w:tc>
          <w:tcPr>
            <w:tcW w:w="3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60" w:type="dxa"/>
            <w:vAlign w:val="bottom"/>
            <w:shd w:val="clear" w:color="auto" w:fill="CCEEFF"/>
          </w:tcPr>
          <w:p>
            <w:pPr>
              <w:jc w:val="right"/>
              <w:ind w:right="110"/>
              <w:spacing w:after="0"/>
              <w:rPr>
                <w:sz w:val="20"/>
                <w:szCs w:val="20"/>
                <w:color w:val="auto"/>
              </w:rPr>
            </w:pPr>
            <w:r>
              <w:rPr>
                <w:rFonts w:ascii="Arial" w:cs="Arial" w:eastAsia="Arial" w:hAnsi="Arial"/>
                <w:sz w:val="18"/>
                <w:szCs w:val="18"/>
                <w:color w:val="auto"/>
              </w:rPr>
              <w:t>(128.3)</w:t>
            </w:r>
          </w:p>
        </w:tc>
        <w:tc>
          <w:tcPr>
            <w:tcW w:w="11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r>
      <w:tr>
        <w:trPr>
          <w:trHeight w:val="216"/>
        </w:trPr>
        <w:tc>
          <w:tcPr>
            <w:tcW w:w="5100" w:type="dxa"/>
            <w:vAlign w:val="bottom"/>
          </w:tcPr>
          <w:p>
            <w:pPr>
              <w:spacing w:after="0"/>
              <w:rPr>
                <w:sz w:val="20"/>
                <w:szCs w:val="20"/>
                <w:color w:val="auto"/>
              </w:rPr>
            </w:pPr>
            <w:r>
              <w:rPr>
                <w:rFonts w:ascii="Arial" w:cs="Arial" w:eastAsia="Arial" w:hAnsi="Arial"/>
                <w:sz w:val="18"/>
                <w:szCs w:val="18"/>
                <w:color w:val="auto"/>
              </w:rPr>
              <w:t>Net sales, excluding surcharges</w:t>
            </w:r>
          </w:p>
        </w:tc>
        <w:tc>
          <w:tcPr>
            <w:tcW w:w="2440" w:type="dxa"/>
            <w:vAlign w:val="bottom"/>
          </w:tcPr>
          <w:p>
            <w:pPr>
              <w:jc w:val="right"/>
              <w:ind w:right="290"/>
              <w:spacing w:after="0"/>
              <w:rPr>
                <w:sz w:val="20"/>
                <w:szCs w:val="20"/>
                <w:color w:val="auto"/>
              </w:rPr>
            </w:pPr>
            <w:r>
              <w:rPr>
                <w:rFonts w:ascii="Arial" w:cs="Arial" w:eastAsia="Arial" w:hAnsi="Arial"/>
                <w:sz w:val="18"/>
                <w:szCs w:val="18"/>
                <w:b w:val="1"/>
                <w:bCs w:val="1"/>
                <w:color w:val="auto"/>
              </w:rPr>
              <w:t>774.2</w:t>
            </w:r>
          </w:p>
        </w:tc>
        <w:tc>
          <w:tcPr>
            <w:tcW w:w="1160" w:type="dxa"/>
            <w:vAlign w:val="bottom"/>
          </w:tcPr>
          <w:p>
            <w:pPr>
              <w:jc w:val="right"/>
              <w:ind w:right="250"/>
              <w:spacing w:after="0"/>
              <w:rPr>
                <w:sz w:val="20"/>
                <w:szCs w:val="20"/>
                <w:color w:val="auto"/>
              </w:rPr>
            </w:pPr>
            <w:r>
              <w:rPr>
                <w:rFonts w:ascii="Arial" w:cs="Arial" w:eastAsia="Arial" w:hAnsi="Arial"/>
                <w:sz w:val="18"/>
                <w:szCs w:val="18"/>
                <w:color w:val="auto"/>
              </w:rPr>
              <w:t>807.2</w:t>
            </w:r>
          </w:p>
        </w:tc>
        <w:tc>
          <w:tcPr>
            <w:tcW w:w="300" w:type="dxa"/>
            <w:vAlign w:val="bottom"/>
          </w:tcPr>
          <w:p>
            <w:pPr>
              <w:spacing w:after="0"/>
              <w:rPr>
                <w:sz w:val="18"/>
                <w:szCs w:val="18"/>
                <w:color w:val="auto"/>
              </w:rPr>
            </w:pPr>
          </w:p>
        </w:tc>
        <w:tc>
          <w:tcPr>
            <w:tcW w:w="1160" w:type="dxa"/>
            <w:vAlign w:val="bottom"/>
          </w:tcPr>
          <w:p>
            <w:pPr>
              <w:jc w:val="right"/>
              <w:ind w:right="110"/>
              <w:spacing w:after="0"/>
              <w:rPr>
                <w:sz w:val="20"/>
                <w:szCs w:val="20"/>
                <w:color w:val="auto"/>
              </w:rPr>
            </w:pPr>
            <w:r>
              <w:rPr>
                <w:rFonts w:ascii="Arial" w:cs="Arial" w:eastAsia="Arial" w:hAnsi="Arial"/>
                <w:sz w:val="18"/>
                <w:szCs w:val="18"/>
                <w:color w:val="auto"/>
              </w:rPr>
              <w:t>(33.0)</w:t>
            </w:r>
          </w:p>
        </w:tc>
        <w:tc>
          <w:tcPr>
            <w:tcW w:w="1160" w:type="dxa"/>
            <w:vAlign w:val="bottom"/>
          </w:tcPr>
          <w:p>
            <w:pPr>
              <w:jc w:val="right"/>
              <w:spacing w:after="0"/>
              <w:rPr>
                <w:sz w:val="20"/>
                <w:szCs w:val="20"/>
                <w:color w:val="auto"/>
              </w:rPr>
            </w:pPr>
            <w:r>
              <w:rPr>
                <w:rFonts w:ascii="Arial" w:cs="Arial" w:eastAsia="Arial" w:hAnsi="Arial"/>
                <w:sz w:val="18"/>
                <w:szCs w:val="18"/>
                <w:color w:val="auto"/>
              </w:rPr>
              <w:t>(4)%</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r>
      <w:tr>
        <w:trPr>
          <w:trHeight w:val="216"/>
        </w:trPr>
        <w:tc>
          <w:tcPr>
            <w:tcW w:w="5100" w:type="dxa"/>
            <w:vAlign w:val="bottom"/>
            <w:shd w:val="clear" w:color="auto" w:fill="CCEEFF"/>
          </w:tcPr>
          <w:p>
            <w:pPr>
              <w:spacing w:after="0"/>
              <w:rPr>
                <w:sz w:val="20"/>
                <w:szCs w:val="20"/>
                <w:color w:val="auto"/>
              </w:rPr>
            </w:pPr>
            <w:r>
              <w:rPr>
                <w:rFonts w:ascii="Arial" w:cs="Arial" w:eastAsia="Arial" w:hAnsi="Arial"/>
                <w:sz w:val="18"/>
                <w:szCs w:val="18"/>
                <w:color w:val="auto"/>
              </w:rPr>
              <w:t>EBIT</w:t>
            </w:r>
          </w:p>
        </w:tc>
        <w:tc>
          <w:tcPr>
            <w:tcW w:w="2440" w:type="dxa"/>
            <w:vAlign w:val="bottom"/>
            <w:shd w:val="clear" w:color="auto" w:fill="CCEEFF"/>
          </w:tcPr>
          <w:p>
            <w:pPr>
              <w:jc w:val="right"/>
              <w:ind w:right="290"/>
              <w:spacing w:after="0"/>
              <w:rPr>
                <w:sz w:val="20"/>
                <w:szCs w:val="20"/>
                <w:color w:val="auto"/>
              </w:rPr>
            </w:pPr>
            <w:r>
              <w:rPr>
                <w:rFonts w:ascii="Arial" w:cs="Arial" w:eastAsia="Arial" w:hAnsi="Arial"/>
                <w:sz w:val="18"/>
                <w:szCs w:val="18"/>
                <w:b w:val="1"/>
                <w:bCs w:val="1"/>
                <w:color w:val="auto"/>
              </w:rPr>
              <w:t>112.8</w:t>
            </w:r>
          </w:p>
        </w:tc>
        <w:tc>
          <w:tcPr>
            <w:tcW w:w="1160" w:type="dxa"/>
            <w:vAlign w:val="bottom"/>
            <w:shd w:val="clear" w:color="auto" w:fill="CCEEFF"/>
          </w:tcPr>
          <w:p>
            <w:pPr>
              <w:jc w:val="right"/>
              <w:ind w:right="250"/>
              <w:spacing w:after="0"/>
              <w:rPr>
                <w:sz w:val="20"/>
                <w:szCs w:val="20"/>
                <w:color w:val="auto"/>
              </w:rPr>
            </w:pPr>
            <w:r>
              <w:rPr>
                <w:rFonts w:ascii="Arial" w:cs="Arial" w:eastAsia="Arial" w:hAnsi="Arial"/>
                <w:sz w:val="18"/>
                <w:szCs w:val="18"/>
                <w:color w:val="auto"/>
              </w:rPr>
              <w:t>114.2</w:t>
            </w:r>
          </w:p>
        </w:tc>
        <w:tc>
          <w:tcPr>
            <w:tcW w:w="300" w:type="dxa"/>
            <w:vAlign w:val="bottom"/>
            <w:shd w:val="clear" w:color="auto" w:fill="CCEEFF"/>
          </w:tcPr>
          <w:p>
            <w:pPr>
              <w:spacing w:after="0"/>
              <w:rPr>
                <w:sz w:val="18"/>
                <w:szCs w:val="18"/>
                <w:color w:val="auto"/>
              </w:rPr>
            </w:pPr>
          </w:p>
        </w:tc>
        <w:tc>
          <w:tcPr>
            <w:tcW w:w="1160" w:type="dxa"/>
            <w:vAlign w:val="bottom"/>
            <w:shd w:val="clear" w:color="auto" w:fill="CCEEFF"/>
          </w:tcPr>
          <w:p>
            <w:pPr>
              <w:jc w:val="right"/>
              <w:ind w:right="110"/>
              <w:spacing w:after="0"/>
              <w:rPr>
                <w:sz w:val="20"/>
                <w:szCs w:val="20"/>
                <w:color w:val="auto"/>
              </w:rPr>
            </w:pPr>
            <w:r>
              <w:rPr>
                <w:rFonts w:ascii="Arial" w:cs="Arial" w:eastAsia="Arial" w:hAnsi="Arial"/>
                <w:sz w:val="18"/>
                <w:szCs w:val="18"/>
                <w:color w:val="auto"/>
              </w:rPr>
              <w:t>(1.4)</w:t>
            </w:r>
          </w:p>
        </w:tc>
        <w:tc>
          <w:tcPr>
            <w:tcW w:w="11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r>
      <w:tr>
        <w:trPr>
          <w:trHeight w:val="216"/>
        </w:trPr>
        <w:tc>
          <w:tcPr>
            <w:tcW w:w="5100" w:type="dxa"/>
            <w:vAlign w:val="bottom"/>
          </w:tcPr>
          <w:p>
            <w:pPr>
              <w:spacing w:after="0"/>
              <w:rPr>
                <w:sz w:val="20"/>
                <w:szCs w:val="20"/>
                <w:color w:val="auto"/>
              </w:rPr>
            </w:pPr>
            <w:r>
              <w:rPr>
                <w:rFonts w:ascii="Arial" w:cs="Arial" w:eastAsia="Arial" w:hAnsi="Arial"/>
                <w:sz w:val="18"/>
                <w:szCs w:val="18"/>
                <w:color w:val="auto"/>
              </w:rPr>
              <w:t>EBIT margin</w:t>
            </w:r>
          </w:p>
        </w:tc>
        <w:tc>
          <w:tcPr>
            <w:tcW w:w="2440" w:type="dxa"/>
            <w:vAlign w:val="bottom"/>
          </w:tcPr>
          <w:p>
            <w:pPr>
              <w:jc w:val="right"/>
              <w:ind w:right="110"/>
              <w:spacing w:after="0"/>
              <w:rPr>
                <w:sz w:val="20"/>
                <w:szCs w:val="20"/>
                <w:color w:val="auto"/>
              </w:rPr>
            </w:pPr>
            <w:r>
              <w:rPr>
                <w:rFonts w:ascii="Arial" w:cs="Arial" w:eastAsia="Arial" w:hAnsi="Arial"/>
                <w:sz w:val="18"/>
                <w:szCs w:val="18"/>
                <w:b w:val="1"/>
                <w:bCs w:val="1"/>
                <w:color w:val="auto"/>
              </w:rPr>
              <w:t>11.1%</w:t>
            </w:r>
          </w:p>
        </w:tc>
        <w:tc>
          <w:tcPr>
            <w:tcW w:w="1160" w:type="dxa"/>
            <w:vAlign w:val="bottom"/>
          </w:tcPr>
          <w:p>
            <w:pPr>
              <w:jc w:val="right"/>
              <w:ind w:right="90"/>
              <w:spacing w:after="0"/>
              <w:rPr>
                <w:sz w:val="20"/>
                <w:szCs w:val="20"/>
                <w:color w:val="auto"/>
              </w:rPr>
            </w:pPr>
            <w:r>
              <w:rPr>
                <w:rFonts w:ascii="Arial" w:cs="Arial" w:eastAsia="Arial" w:hAnsi="Arial"/>
                <w:sz w:val="18"/>
                <w:szCs w:val="18"/>
                <w:color w:val="auto"/>
              </w:rPr>
              <w:t>10.0%</w:t>
            </w:r>
          </w:p>
        </w:tc>
        <w:tc>
          <w:tcPr>
            <w:tcW w:w="300" w:type="dxa"/>
            <w:vAlign w:val="bottom"/>
          </w:tcPr>
          <w:p>
            <w:pPr>
              <w:spacing w:after="0"/>
              <w:rPr>
                <w:sz w:val="18"/>
                <w:szCs w:val="18"/>
                <w:color w:val="auto"/>
              </w:rPr>
            </w:pPr>
          </w:p>
        </w:tc>
        <w:tc>
          <w:tcPr>
            <w:tcW w:w="1160" w:type="dxa"/>
            <w:vAlign w:val="bottom"/>
          </w:tcPr>
          <w:p>
            <w:pPr>
              <w:jc w:val="right"/>
              <w:ind w:right="150"/>
              <w:spacing w:after="0"/>
              <w:rPr>
                <w:sz w:val="20"/>
                <w:szCs w:val="20"/>
                <w:color w:val="auto"/>
              </w:rPr>
            </w:pPr>
            <w:r>
              <w:rPr>
                <w:rFonts w:ascii="Arial" w:cs="Arial" w:eastAsia="Arial" w:hAnsi="Arial"/>
                <w:sz w:val="18"/>
                <w:szCs w:val="18"/>
                <w:color w:val="auto"/>
              </w:rPr>
              <w:t>NM</w:t>
            </w:r>
          </w:p>
        </w:tc>
        <w:tc>
          <w:tcPr>
            <w:tcW w:w="1260" w:type="dxa"/>
            <w:vAlign w:val="bottom"/>
            <w:gridSpan w:val="3"/>
          </w:tcPr>
          <w:p>
            <w:pPr>
              <w:ind w:left="600"/>
              <w:spacing w:after="0"/>
              <w:rPr>
                <w:sz w:val="20"/>
                <w:szCs w:val="20"/>
                <w:color w:val="auto"/>
              </w:rPr>
            </w:pPr>
            <w:r>
              <w:rPr>
                <w:rFonts w:ascii="Arial" w:cs="Arial" w:eastAsia="Arial" w:hAnsi="Arial"/>
                <w:sz w:val="18"/>
                <w:szCs w:val="18"/>
                <w:color w:val="auto"/>
                <w:w w:val="99"/>
              </w:rPr>
              <w:t>110 bps</w:t>
            </w:r>
          </w:p>
        </w:tc>
      </w:tr>
      <w:tr>
        <w:trPr>
          <w:trHeight w:val="216"/>
        </w:trPr>
        <w:tc>
          <w:tcPr>
            <w:tcW w:w="5100" w:type="dxa"/>
            <w:vAlign w:val="bottom"/>
            <w:shd w:val="clear" w:color="auto" w:fill="CCEEFF"/>
          </w:tcPr>
          <w:p>
            <w:pPr>
              <w:spacing w:after="0"/>
              <w:rPr>
                <w:sz w:val="20"/>
                <w:szCs w:val="20"/>
                <w:color w:val="auto"/>
              </w:rPr>
            </w:pPr>
            <w:r>
              <w:rPr>
                <w:rFonts w:ascii="Arial" w:cs="Arial" w:eastAsia="Arial" w:hAnsi="Arial"/>
                <w:sz w:val="18"/>
                <w:szCs w:val="18"/>
                <w:color w:val="auto"/>
              </w:rPr>
              <w:t>Shipments (in tons)</w:t>
            </w:r>
          </w:p>
        </w:tc>
        <w:tc>
          <w:tcPr>
            <w:tcW w:w="2440" w:type="dxa"/>
            <w:vAlign w:val="bottom"/>
            <w:shd w:val="clear" w:color="auto" w:fill="CCEEFF"/>
          </w:tcPr>
          <w:p>
            <w:pPr>
              <w:jc w:val="right"/>
              <w:ind w:right="290"/>
              <w:spacing w:after="0"/>
              <w:rPr>
                <w:sz w:val="20"/>
                <w:szCs w:val="20"/>
                <w:color w:val="auto"/>
              </w:rPr>
            </w:pPr>
            <w:r>
              <w:rPr>
                <w:rFonts w:ascii="Arial" w:cs="Arial" w:eastAsia="Arial" w:hAnsi="Arial"/>
                <w:sz w:val="18"/>
                <w:szCs w:val="18"/>
                <w:b w:val="1"/>
                <w:bCs w:val="1"/>
                <w:color w:val="auto"/>
              </w:rPr>
              <w:t>654,988</w:t>
            </w:r>
          </w:p>
        </w:tc>
        <w:tc>
          <w:tcPr>
            <w:tcW w:w="1160" w:type="dxa"/>
            <w:vAlign w:val="bottom"/>
            <w:shd w:val="clear" w:color="auto" w:fill="CCEEFF"/>
          </w:tcPr>
          <w:p>
            <w:pPr>
              <w:jc w:val="right"/>
              <w:ind w:right="250"/>
              <w:spacing w:after="0"/>
              <w:rPr>
                <w:sz w:val="20"/>
                <w:szCs w:val="20"/>
                <w:color w:val="auto"/>
              </w:rPr>
            </w:pPr>
            <w:r>
              <w:rPr>
                <w:rFonts w:ascii="Arial" w:cs="Arial" w:eastAsia="Arial" w:hAnsi="Arial"/>
                <w:sz w:val="18"/>
                <w:szCs w:val="18"/>
                <w:color w:val="auto"/>
              </w:rPr>
              <w:t>786,186</w:t>
            </w:r>
          </w:p>
        </w:tc>
        <w:tc>
          <w:tcPr>
            <w:tcW w:w="300" w:type="dxa"/>
            <w:vAlign w:val="bottom"/>
            <w:shd w:val="clear" w:color="auto" w:fill="CCEEFF"/>
          </w:tcPr>
          <w:p>
            <w:pPr>
              <w:spacing w:after="0"/>
              <w:rPr>
                <w:sz w:val="18"/>
                <w:szCs w:val="18"/>
                <w:color w:val="auto"/>
              </w:rPr>
            </w:pPr>
          </w:p>
        </w:tc>
        <w:tc>
          <w:tcPr>
            <w:tcW w:w="1160" w:type="dxa"/>
            <w:vAlign w:val="bottom"/>
            <w:shd w:val="clear" w:color="auto" w:fill="CCEEFF"/>
          </w:tcPr>
          <w:p>
            <w:pPr>
              <w:jc w:val="right"/>
              <w:ind w:right="110"/>
              <w:spacing w:after="0"/>
              <w:rPr>
                <w:sz w:val="20"/>
                <w:szCs w:val="20"/>
                <w:color w:val="auto"/>
              </w:rPr>
            </w:pPr>
            <w:r>
              <w:rPr>
                <w:rFonts w:ascii="Arial" w:cs="Arial" w:eastAsia="Arial" w:hAnsi="Arial"/>
                <w:sz w:val="18"/>
                <w:szCs w:val="18"/>
                <w:color w:val="auto"/>
              </w:rPr>
              <w:t>(131,198)</w:t>
            </w:r>
          </w:p>
        </w:tc>
        <w:tc>
          <w:tcPr>
            <w:tcW w:w="11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(17)%</w:t>
            </w:r>
          </w:p>
        </w:tc>
        <w:tc>
          <w:tcPr>
            <w:tcW w:w="80" w:type="dxa"/>
            <w:vAlign w:val="bottom"/>
            <w:shd w:val="clear" w:color="auto" w:fill="CCEEFF"/>
          </w:tcPr>
          <w:p>
            <w:pPr>
              <w:spacing w:after="0"/>
              <w:rPr>
                <w:sz w:val="18"/>
                <w:szCs w:val="18"/>
                <w:color w:val="auto"/>
              </w:rPr>
            </w:pPr>
          </w:p>
        </w:tc>
      </w:tr>
      <w:tr>
        <w:trPr>
          <w:trHeight w:val="250"/>
        </w:trPr>
        <w:tc>
          <w:tcPr>
            <w:tcW w:w="510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Average selling price per ton, including surcharges</w:t>
            </w:r>
          </w:p>
        </w:tc>
        <w:tc>
          <w:tcPr>
            <w:tcW w:w="2440" w:type="dxa"/>
            <w:vAlign w:val="bottom"/>
            <w:tcBorders>
              <w:bottom w:val="single" w:sz="8" w:color="auto"/>
            </w:tcBorders>
          </w:tcPr>
          <w:p>
            <w:pPr>
              <w:jc w:val="right"/>
              <w:ind w:right="290"/>
              <w:spacing w:after="0"/>
              <w:rPr>
                <w:sz w:val="20"/>
                <w:szCs w:val="20"/>
                <w:color w:val="auto"/>
              </w:rPr>
            </w:pPr>
            <w:r>
              <w:rPr>
                <w:rFonts w:ascii="Arial" w:cs="Arial" w:eastAsia="Arial" w:hAnsi="Arial"/>
                <w:sz w:val="18"/>
                <w:szCs w:val="18"/>
                <w:b w:val="1"/>
                <w:bCs w:val="1"/>
                <w:color w:val="auto"/>
              </w:rPr>
              <w:t>$1,548</w:t>
            </w:r>
          </w:p>
        </w:tc>
        <w:tc>
          <w:tcPr>
            <w:tcW w:w="1160" w:type="dxa"/>
            <w:vAlign w:val="bottom"/>
            <w:tcBorders>
              <w:bottom w:val="single" w:sz="8" w:color="auto"/>
            </w:tcBorders>
          </w:tcPr>
          <w:p>
            <w:pPr>
              <w:jc w:val="right"/>
              <w:ind w:right="250"/>
              <w:spacing w:after="0"/>
              <w:rPr>
                <w:sz w:val="20"/>
                <w:szCs w:val="20"/>
                <w:color w:val="auto"/>
              </w:rPr>
            </w:pPr>
            <w:r>
              <w:rPr>
                <w:rFonts w:ascii="Arial" w:cs="Arial" w:eastAsia="Arial" w:hAnsi="Arial"/>
                <w:sz w:val="18"/>
                <w:szCs w:val="18"/>
                <w:color w:val="auto"/>
              </w:rPr>
              <w:t>$1,453</w:t>
            </w:r>
          </w:p>
        </w:tc>
        <w:tc>
          <w:tcPr>
            <w:tcW w:w="300" w:type="dxa"/>
            <w:vAlign w:val="bottom"/>
            <w:tcBorders>
              <w:bottom w:val="single" w:sz="8" w:color="auto"/>
            </w:tcBorders>
          </w:tcPr>
          <w:p>
            <w:pPr>
              <w:spacing w:after="0"/>
              <w:rPr>
                <w:sz w:val="21"/>
                <w:szCs w:val="21"/>
                <w:color w:val="auto"/>
              </w:rPr>
            </w:pPr>
          </w:p>
        </w:tc>
        <w:tc>
          <w:tcPr>
            <w:tcW w:w="1160" w:type="dxa"/>
            <w:vAlign w:val="bottom"/>
            <w:tcBorders>
              <w:bottom w:val="single" w:sz="8" w:color="auto"/>
            </w:tcBorders>
          </w:tcPr>
          <w:p>
            <w:pPr>
              <w:jc w:val="right"/>
              <w:ind w:right="150"/>
              <w:spacing w:after="0"/>
              <w:rPr>
                <w:sz w:val="20"/>
                <w:szCs w:val="20"/>
                <w:color w:val="auto"/>
              </w:rPr>
            </w:pPr>
            <w:r>
              <w:rPr>
                <w:rFonts w:ascii="Arial" w:cs="Arial" w:eastAsia="Arial" w:hAnsi="Arial"/>
                <w:sz w:val="18"/>
                <w:szCs w:val="18"/>
                <w:color w:val="auto"/>
              </w:rPr>
              <w:t>$95</w:t>
            </w:r>
          </w:p>
        </w:tc>
        <w:tc>
          <w:tcPr>
            <w:tcW w:w="1180" w:type="dxa"/>
            <w:vAlign w:val="bottom"/>
            <w:tcBorders>
              <w:bottom w:val="single" w:sz="8" w:color="auto"/>
            </w:tcBorders>
            <w:gridSpan w:val="2"/>
          </w:tcPr>
          <w:p>
            <w:pPr>
              <w:jc w:val="right"/>
              <w:ind w:right="20"/>
              <w:spacing w:after="0"/>
              <w:rPr>
                <w:sz w:val="20"/>
                <w:szCs w:val="20"/>
                <w:color w:val="auto"/>
              </w:rPr>
            </w:pPr>
            <w:r>
              <w:rPr>
                <w:rFonts w:ascii="Arial" w:cs="Arial" w:eastAsia="Arial" w:hAnsi="Arial"/>
                <w:sz w:val="18"/>
                <w:szCs w:val="18"/>
                <w:color w:val="auto"/>
              </w:rPr>
              <w:t>7 %</w:t>
            </w:r>
          </w:p>
        </w:tc>
        <w:tc>
          <w:tcPr>
            <w:tcW w:w="80" w:type="dxa"/>
            <w:vAlign w:val="bottom"/>
          </w:tcPr>
          <w:p>
            <w:pPr>
              <w:spacing w:after="0"/>
              <w:rPr>
                <w:sz w:val="21"/>
                <w:szCs w:val="21"/>
                <w:color w:val="auto"/>
              </w:rPr>
            </w:pPr>
          </w:p>
        </w:tc>
      </w:tr>
    </w:tbl>
    <w:p>
      <w:pPr>
        <w:spacing w:after="0" w:line="256" w:lineRule="exact"/>
        <w:rPr>
          <w:sz w:val="20"/>
          <w:szCs w:val="20"/>
          <w:color w:val="auto"/>
        </w:rPr>
      </w:pPr>
    </w:p>
    <w:p>
      <w:pPr>
        <w:ind w:right="280" w:firstLine="913"/>
        <w:spacing w:after="0" w:line="264" w:lineRule="auto"/>
        <w:rPr>
          <w:sz w:val="20"/>
          <w:szCs w:val="20"/>
          <w:color w:val="auto"/>
        </w:rPr>
      </w:pPr>
      <w:r>
        <w:rPr>
          <w:rFonts w:ascii="Arial" w:cs="Arial" w:eastAsia="Arial" w:hAnsi="Arial"/>
          <w:sz w:val="18"/>
          <w:szCs w:val="18"/>
          <w:color w:val="auto"/>
        </w:rPr>
        <w:t>Industrial &amp; Mobile segment net sales decreased 11% in 2012 compared to 2011. Excluding surcharges, net sales decreased 4%. The decrease was primarily driven by lower volume, partially offset by favorable pricing. The decrease in volume was driven by lower shipments to our industrial OE manufacturing end-market sector, as well as our mobile end-market sector.</w:t>
      </w:r>
    </w:p>
    <w:p>
      <w:pPr>
        <w:spacing w:after="0" w:line="222" w:lineRule="exact"/>
        <w:rPr>
          <w:sz w:val="20"/>
          <w:szCs w:val="20"/>
          <w:color w:val="auto"/>
        </w:rPr>
      </w:pPr>
    </w:p>
    <w:p>
      <w:pPr>
        <w:ind w:right="340" w:firstLine="913"/>
        <w:spacing w:after="0" w:line="277" w:lineRule="auto"/>
        <w:rPr>
          <w:sz w:val="20"/>
          <w:szCs w:val="20"/>
          <w:color w:val="auto"/>
        </w:rPr>
      </w:pPr>
      <w:r>
        <w:rPr>
          <w:rFonts w:ascii="Arial" w:cs="Arial" w:eastAsia="Arial" w:hAnsi="Arial"/>
          <w:sz w:val="18"/>
          <w:szCs w:val="18"/>
          <w:color w:val="auto"/>
        </w:rPr>
        <w:t>EBIT decreased by $1.4 million in 2012 compared to 2011 due to lower volume and higher manufacturing expense resulting from lower cost absorption, partially offset by higher pricing.</w:t>
      </w:r>
    </w:p>
    <w:p>
      <w:pPr>
        <w:spacing w:after="0" w:line="313" w:lineRule="exact"/>
        <w:rPr>
          <w:sz w:val="20"/>
          <w:szCs w:val="20"/>
          <w:color w:val="auto"/>
        </w:rPr>
      </w:pPr>
    </w:p>
    <w:tbl>
      <w:tblPr>
        <w:tblLayout w:type="fixed"/>
        <w:tblInd w:w="0" w:type="dxa"/>
        <w:tblCellMar>
          <w:top w:w="0" w:type="dxa"/>
          <w:left w:w="0" w:type="dxa"/>
          <w:bottom w:w="0" w:type="dxa"/>
          <w:right w:w="0" w:type="dxa"/>
        </w:tblCellMar>
      </w:tblPr>
      <w:tr>
        <w:trPr>
          <w:trHeight w:val="243"/>
        </w:trPr>
        <w:tc>
          <w:tcPr>
            <w:tcW w:w="524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b w:val="1"/>
                <w:bCs w:val="1"/>
                <w:color w:val="auto"/>
              </w:rPr>
              <w:t>Energy &amp; Distribution</w:t>
            </w:r>
          </w:p>
        </w:tc>
        <w:tc>
          <w:tcPr>
            <w:tcW w:w="2540" w:type="dxa"/>
            <w:vAlign w:val="bottom"/>
            <w:tcBorders>
              <w:top w:val="single" w:sz="8" w:color="auto"/>
              <w:bottom w:val="single" w:sz="8" w:color="auto"/>
            </w:tcBorders>
          </w:tcPr>
          <w:p>
            <w:pPr>
              <w:spacing w:after="0"/>
              <w:rPr>
                <w:sz w:val="21"/>
                <w:szCs w:val="21"/>
                <w:color w:val="auto"/>
              </w:rPr>
            </w:pPr>
          </w:p>
        </w:tc>
        <w:tc>
          <w:tcPr>
            <w:tcW w:w="2440" w:type="dxa"/>
            <w:vAlign w:val="bottom"/>
            <w:tcBorders>
              <w:top w:val="single" w:sz="8" w:color="auto"/>
              <w:bottom w:val="single" w:sz="8" w:color="auto"/>
            </w:tcBorders>
            <w:gridSpan w:val="2"/>
          </w:tcPr>
          <w:p>
            <w:pPr>
              <w:jc w:val="right"/>
              <w:ind w:right="50"/>
              <w:spacing w:after="0"/>
              <w:rPr>
                <w:sz w:val="20"/>
                <w:szCs w:val="20"/>
                <w:color w:val="auto"/>
              </w:rPr>
            </w:pPr>
            <w:r>
              <w:rPr>
                <w:rFonts w:ascii="Arial" w:cs="Arial" w:eastAsia="Arial" w:hAnsi="Arial"/>
                <w:sz w:val="18"/>
                <w:szCs w:val="18"/>
                <w:b w:val="1"/>
                <w:bCs w:val="1"/>
                <w:color w:val="auto"/>
                <w:w w:val="98"/>
              </w:rPr>
              <w:t>Years Ended December 31,</w:t>
            </w:r>
          </w:p>
        </w:tc>
        <w:tc>
          <w:tcPr>
            <w:tcW w:w="1100" w:type="dxa"/>
            <w:vAlign w:val="bottom"/>
            <w:tcBorders>
              <w:top w:val="single" w:sz="8" w:color="auto"/>
              <w:bottom w:val="single" w:sz="8" w:color="auto"/>
            </w:tcBorders>
          </w:tcPr>
          <w:p>
            <w:pPr>
              <w:spacing w:after="0"/>
              <w:rPr>
                <w:sz w:val="21"/>
                <w:szCs w:val="21"/>
                <w:color w:val="auto"/>
              </w:rPr>
            </w:pP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r>
      <w:tr>
        <w:trPr>
          <w:trHeight w:val="223"/>
        </w:trPr>
        <w:tc>
          <w:tcPr>
            <w:tcW w:w="5240" w:type="dxa"/>
            <w:vAlign w:val="bottom"/>
          </w:tcPr>
          <w:p>
            <w:pPr>
              <w:spacing w:after="0"/>
              <w:rPr>
                <w:sz w:val="19"/>
                <w:szCs w:val="19"/>
                <w:color w:val="auto"/>
              </w:rPr>
            </w:pPr>
          </w:p>
        </w:tc>
        <w:tc>
          <w:tcPr>
            <w:tcW w:w="2540" w:type="dxa"/>
            <w:vAlign w:val="bottom"/>
          </w:tcPr>
          <w:p>
            <w:pPr>
              <w:jc w:val="right"/>
              <w:ind w:right="490"/>
              <w:spacing w:after="0"/>
              <w:rPr>
                <w:sz w:val="20"/>
                <w:szCs w:val="20"/>
                <w:color w:val="auto"/>
              </w:rPr>
            </w:pPr>
            <w:r>
              <w:rPr>
                <w:rFonts w:ascii="Arial" w:cs="Arial" w:eastAsia="Arial" w:hAnsi="Arial"/>
                <w:sz w:val="18"/>
                <w:szCs w:val="18"/>
                <w:b w:val="1"/>
                <w:bCs w:val="1"/>
                <w:color w:val="auto"/>
              </w:rPr>
              <w:t>2012</w:t>
            </w:r>
          </w:p>
        </w:tc>
        <w:tc>
          <w:tcPr>
            <w:tcW w:w="1100" w:type="dxa"/>
            <w:vAlign w:val="bottom"/>
          </w:tcPr>
          <w:p>
            <w:pPr>
              <w:jc w:val="right"/>
              <w:ind w:right="430"/>
              <w:spacing w:after="0"/>
              <w:rPr>
                <w:sz w:val="20"/>
                <w:szCs w:val="20"/>
                <w:color w:val="auto"/>
              </w:rPr>
            </w:pPr>
            <w:r>
              <w:rPr>
                <w:rFonts w:ascii="Arial" w:cs="Arial" w:eastAsia="Arial" w:hAnsi="Arial"/>
                <w:sz w:val="18"/>
                <w:szCs w:val="18"/>
                <w:color w:val="auto"/>
              </w:rPr>
              <w:t>2011</w:t>
            </w:r>
          </w:p>
        </w:tc>
        <w:tc>
          <w:tcPr>
            <w:tcW w:w="1340" w:type="dxa"/>
            <w:vAlign w:val="bottom"/>
          </w:tcPr>
          <w:p>
            <w:pPr>
              <w:jc w:val="right"/>
              <w:ind w:right="390"/>
              <w:spacing w:after="0"/>
              <w:rPr>
                <w:sz w:val="20"/>
                <w:szCs w:val="20"/>
                <w:color w:val="auto"/>
              </w:rPr>
            </w:pPr>
            <w:r>
              <w:rPr>
                <w:rFonts w:ascii="Arial" w:cs="Arial" w:eastAsia="Arial" w:hAnsi="Arial"/>
                <w:sz w:val="18"/>
                <w:szCs w:val="18"/>
                <w:color w:val="auto"/>
              </w:rPr>
              <w:t>$ Change</w:t>
            </w:r>
          </w:p>
        </w:tc>
        <w:tc>
          <w:tcPr>
            <w:tcW w:w="1100" w:type="dxa"/>
            <w:vAlign w:val="bottom"/>
          </w:tcPr>
          <w:p>
            <w:pPr>
              <w:jc w:val="right"/>
              <w:ind w:right="130"/>
              <w:spacing w:after="0"/>
              <w:rPr>
                <w:sz w:val="20"/>
                <w:szCs w:val="20"/>
                <w:color w:val="auto"/>
              </w:rPr>
            </w:pPr>
            <w:r>
              <w:rPr>
                <w:rFonts w:ascii="Arial" w:cs="Arial" w:eastAsia="Arial" w:hAnsi="Arial"/>
                <w:sz w:val="18"/>
                <w:szCs w:val="18"/>
                <w:color w:val="auto"/>
              </w:rPr>
              <w:t>% Change</w:t>
            </w: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r>
      <w:tr>
        <w:trPr>
          <w:trHeight w:val="216"/>
        </w:trPr>
        <w:tc>
          <w:tcPr>
            <w:tcW w:w="5240" w:type="dxa"/>
            <w:vAlign w:val="bottom"/>
            <w:shd w:val="clear" w:color="auto" w:fill="CCEEFF"/>
          </w:tcPr>
          <w:p>
            <w:pPr>
              <w:spacing w:after="0"/>
              <w:rPr>
                <w:sz w:val="20"/>
                <w:szCs w:val="20"/>
                <w:color w:val="auto"/>
              </w:rPr>
            </w:pPr>
            <w:r>
              <w:rPr>
                <w:rFonts w:ascii="Arial" w:cs="Arial" w:eastAsia="Arial" w:hAnsi="Arial"/>
                <w:sz w:val="18"/>
                <w:szCs w:val="18"/>
                <w:color w:val="auto"/>
              </w:rPr>
              <w:t>Net sales, including intersegment sales</w:t>
            </w:r>
          </w:p>
        </w:tc>
        <w:tc>
          <w:tcPr>
            <w:tcW w:w="2540" w:type="dxa"/>
            <w:vAlign w:val="bottom"/>
            <w:shd w:val="clear" w:color="auto" w:fill="CCEEFF"/>
          </w:tcPr>
          <w:p>
            <w:pPr>
              <w:jc w:val="right"/>
              <w:ind w:right="290"/>
              <w:spacing w:after="0"/>
              <w:rPr>
                <w:sz w:val="20"/>
                <w:szCs w:val="20"/>
                <w:color w:val="auto"/>
              </w:rPr>
            </w:pPr>
            <w:r>
              <w:rPr>
                <w:rFonts w:ascii="Arial" w:cs="Arial" w:eastAsia="Arial" w:hAnsi="Arial"/>
                <w:sz w:val="18"/>
                <w:szCs w:val="18"/>
                <w:b w:val="1"/>
                <w:bCs w:val="1"/>
                <w:color w:val="auto"/>
              </w:rPr>
              <w:t>$714.6</w:t>
            </w:r>
          </w:p>
        </w:tc>
        <w:tc>
          <w:tcPr>
            <w:tcW w:w="1100" w:type="dxa"/>
            <w:vAlign w:val="bottom"/>
            <w:shd w:val="clear" w:color="auto" w:fill="CCEEFF"/>
          </w:tcPr>
          <w:p>
            <w:pPr>
              <w:jc w:val="right"/>
              <w:ind w:right="230"/>
              <w:spacing w:after="0"/>
              <w:rPr>
                <w:sz w:val="20"/>
                <w:szCs w:val="20"/>
                <w:color w:val="auto"/>
              </w:rPr>
            </w:pPr>
            <w:r>
              <w:rPr>
                <w:rFonts w:ascii="Arial" w:cs="Arial" w:eastAsia="Arial" w:hAnsi="Arial"/>
                <w:sz w:val="18"/>
                <w:szCs w:val="18"/>
                <w:color w:val="auto"/>
              </w:rPr>
              <w:t>$814.1</w:t>
            </w:r>
          </w:p>
        </w:tc>
        <w:tc>
          <w:tcPr>
            <w:tcW w:w="1340" w:type="dxa"/>
            <w:vAlign w:val="bottom"/>
            <w:shd w:val="clear" w:color="auto" w:fill="CCEEFF"/>
          </w:tcPr>
          <w:p>
            <w:pPr>
              <w:jc w:val="right"/>
              <w:ind w:right="170"/>
              <w:spacing w:after="0"/>
              <w:rPr>
                <w:sz w:val="20"/>
                <w:szCs w:val="20"/>
                <w:color w:val="auto"/>
              </w:rPr>
            </w:pPr>
            <w:r>
              <w:rPr>
                <w:rFonts w:ascii="Arial" w:cs="Arial" w:eastAsia="Arial" w:hAnsi="Arial"/>
                <w:sz w:val="18"/>
                <w:szCs w:val="18"/>
                <w:color w:val="auto"/>
              </w:rPr>
              <w:t>($99.5)</w:t>
            </w:r>
          </w:p>
        </w:tc>
        <w:tc>
          <w:tcPr>
            <w:tcW w:w="11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(12)%</w:t>
            </w:r>
          </w:p>
        </w:tc>
        <w:tc>
          <w:tcPr>
            <w:tcW w:w="80" w:type="dxa"/>
            <w:vAlign w:val="bottom"/>
            <w:shd w:val="clear" w:color="auto" w:fill="CCEEFF"/>
          </w:tcPr>
          <w:p>
            <w:pPr>
              <w:spacing w:after="0"/>
              <w:rPr>
                <w:sz w:val="18"/>
                <w:szCs w:val="18"/>
                <w:color w:val="auto"/>
              </w:rPr>
            </w:pPr>
          </w:p>
        </w:tc>
      </w:tr>
      <w:tr>
        <w:trPr>
          <w:trHeight w:val="216"/>
        </w:trPr>
        <w:tc>
          <w:tcPr>
            <w:tcW w:w="5240" w:type="dxa"/>
            <w:vAlign w:val="bottom"/>
          </w:tcPr>
          <w:p>
            <w:pPr>
              <w:spacing w:after="0"/>
              <w:rPr>
                <w:sz w:val="20"/>
                <w:szCs w:val="20"/>
                <w:color w:val="auto"/>
              </w:rPr>
            </w:pPr>
            <w:r>
              <w:rPr>
                <w:rFonts w:ascii="Arial" w:cs="Arial" w:eastAsia="Arial" w:hAnsi="Arial"/>
                <w:sz w:val="18"/>
                <w:szCs w:val="18"/>
                <w:color w:val="auto"/>
              </w:rPr>
              <w:t>Net sales, excluding surcharges</w:t>
            </w:r>
          </w:p>
        </w:tc>
        <w:tc>
          <w:tcPr>
            <w:tcW w:w="2540" w:type="dxa"/>
            <w:vAlign w:val="bottom"/>
          </w:tcPr>
          <w:p>
            <w:pPr>
              <w:jc w:val="right"/>
              <w:ind w:right="290"/>
              <w:spacing w:after="0"/>
              <w:rPr>
                <w:sz w:val="20"/>
                <w:szCs w:val="20"/>
                <w:color w:val="auto"/>
              </w:rPr>
            </w:pPr>
            <w:r>
              <w:rPr>
                <w:rFonts w:ascii="Arial" w:cs="Arial" w:eastAsia="Arial" w:hAnsi="Arial"/>
                <w:sz w:val="18"/>
                <w:szCs w:val="18"/>
                <w:b w:val="1"/>
                <w:bCs w:val="1"/>
                <w:color w:val="auto"/>
              </w:rPr>
              <w:t>537.5</w:t>
            </w:r>
          </w:p>
        </w:tc>
        <w:tc>
          <w:tcPr>
            <w:tcW w:w="1100" w:type="dxa"/>
            <w:vAlign w:val="bottom"/>
          </w:tcPr>
          <w:p>
            <w:pPr>
              <w:jc w:val="right"/>
              <w:ind w:right="230"/>
              <w:spacing w:after="0"/>
              <w:rPr>
                <w:sz w:val="20"/>
                <w:szCs w:val="20"/>
                <w:color w:val="auto"/>
              </w:rPr>
            </w:pPr>
            <w:r>
              <w:rPr>
                <w:rFonts w:ascii="Arial" w:cs="Arial" w:eastAsia="Arial" w:hAnsi="Arial"/>
                <w:sz w:val="18"/>
                <w:szCs w:val="18"/>
                <w:color w:val="auto"/>
              </w:rPr>
              <w:t>567.5</w:t>
            </w:r>
          </w:p>
        </w:tc>
        <w:tc>
          <w:tcPr>
            <w:tcW w:w="1340" w:type="dxa"/>
            <w:vAlign w:val="bottom"/>
          </w:tcPr>
          <w:p>
            <w:pPr>
              <w:jc w:val="right"/>
              <w:ind w:right="170"/>
              <w:spacing w:after="0"/>
              <w:rPr>
                <w:sz w:val="20"/>
                <w:szCs w:val="20"/>
                <w:color w:val="auto"/>
              </w:rPr>
            </w:pPr>
            <w:r>
              <w:rPr>
                <w:rFonts w:ascii="Arial" w:cs="Arial" w:eastAsia="Arial" w:hAnsi="Arial"/>
                <w:sz w:val="18"/>
                <w:szCs w:val="18"/>
                <w:color w:val="auto"/>
              </w:rPr>
              <w:t>(30.0)</w:t>
            </w:r>
          </w:p>
        </w:tc>
        <w:tc>
          <w:tcPr>
            <w:tcW w:w="1100" w:type="dxa"/>
            <w:vAlign w:val="bottom"/>
          </w:tcPr>
          <w:p>
            <w:pPr>
              <w:jc w:val="right"/>
              <w:spacing w:after="0"/>
              <w:rPr>
                <w:sz w:val="20"/>
                <w:szCs w:val="20"/>
                <w:color w:val="auto"/>
              </w:rPr>
            </w:pPr>
            <w:r>
              <w:rPr>
                <w:rFonts w:ascii="Arial" w:cs="Arial" w:eastAsia="Arial" w:hAnsi="Arial"/>
                <w:sz w:val="18"/>
                <w:szCs w:val="18"/>
                <w:color w:val="auto"/>
              </w:rPr>
              <w:t>(5)%</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r>
      <w:tr>
        <w:trPr>
          <w:trHeight w:val="216"/>
        </w:trPr>
        <w:tc>
          <w:tcPr>
            <w:tcW w:w="5240" w:type="dxa"/>
            <w:vAlign w:val="bottom"/>
            <w:shd w:val="clear" w:color="auto" w:fill="CCEEFF"/>
          </w:tcPr>
          <w:p>
            <w:pPr>
              <w:spacing w:after="0"/>
              <w:rPr>
                <w:sz w:val="20"/>
                <w:szCs w:val="20"/>
                <w:color w:val="auto"/>
              </w:rPr>
            </w:pPr>
            <w:r>
              <w:rPr>
                <w:rFonts w:ascii="Arial" w:cs="Arial" w:eastAsia="Arial" w:hAnsi="Arial"/>
                <w:sz w:val="18"/>
                <w:szCs w:val="18"/>
                <w:color w:val="auto"/>
              </w:rPr>
              <w:t>EBIT</w:t>
            </w:r>
          </w:p>
        </w:tc>
        <w:tc>
          <w:tcPr>
            <w:tcW w:w="2540" w:type="dxa"/>
            <w:vAlign w:val="bottom"/>
            <w:shd w:val="clear" w:color="auto" w:fill="CCEEFF"/>
          </w:tcPr>
          <w:p>
            <w:pPr>
              <w:jc w:val="right"/>
              <w:ind w:right="290"/>
              <w:spacing w:after="0"/>
              <w:rPr>
                <w:sz w:val="20"/>
                <w:szCs w:val="20"/>
                <w:color w:val="auto"/>
              </w:rPr>
            </w:pPr>
            <w:r>
              <w:rPr>
                <w:rFonts w:ascii="Arial" w:cs="Arial" w:eastAsia="Arial" w:hAnsi="Arial"/>
                <w:sz w:val="18"/>
                <w:szCs w:val="18"/>
                <w:b w:val="1"/>
                <w:bCs w:val="1"/>
                <w:color w:val="auto"/>
              </w:rPr>
              <w:t>146.1</w:t>
            </w:r>
          </w:p>
        </w:tc>
        <w:tc>
          <w:tcPr>
            <w:tcW w:w="1100" w:type="dxa"/>
            <w:vAlign w:val="bottom"/>
            <w:shd w:val="clear" w:color="auto" w:fill="CCEEFF"/>
          </w:tcPr>
          <w:p>
            <w:pPr>
              <w:jc w:val="right"/>
              <w:ind w:right="230"/>
              <w:spacing w:after="0"/>
              <w:rPr>
                <w:sz w:val="20"/>
                <w:szCs w:val="20"/>
                <w:color w:val="auto"/>
              </w:rPr>
            </w:pPr>
            <w:r>
              <w:rPr>
                <w:rFonts w:ascii="Arial" w:cs="Arial" w:eastAsia="Arial" w:hAnsi="Arial"/>
                <w:sz w:val="18"/>
                <w:szCs w:val="18"/>
                <w:color w:val="auto"/>
              </w:rPr>
              <w:t>162.6</w:t>
            </w:r>
          </w:p>
        </w:tc>
        <w:tc>
          <w:tcPr>
            <w:tcW w:w="1340" w:type="dxa"/>
            <w:vAlign w:val="bottom"/>
            <w:shd w:val="clear" w:color="auto" w:fill="CCEEFF"/>
          </w:tcPr>
          <w:p>
            <w:pPr>
              <w:jc w:val="right"/>
              <w:ind w:right="170"/>
              <w:spacing w:after="0"/>
              <w:rPr>
                <w:sz w:val="20"/>
                <w:szCs w:val="20"/>
                <w:color w:val="auto"/>
              </w:rPr>
            </w:pPr>
            <w:r>
              <w:rPr>
                <w:rFonts w:ascii="Arial" w:cs="Arial" w:eastAsia="Arial" w:hAnsi="Arial"/>
                <w:sz w:val="18"/>
                <w:szCs w:val="18"/>
                <w:color w:val="auto"/>
              </w:rPr>
              <w:t>(16.5)</w:t>
            </w:r>
          </w:p>
        </w:tc>
        <w:tc>
          <w:tcPr>
            <w:tcW w:w="11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(10)%</w:t>
            </w:r>
          </w:p>
        </w:tc>
        <w:tc>
          <w:tcPr>
            <w:tcW w:w="80" w:type="dxa"/>
            <w:vAlign w:val="bottom"/>
            <w:shd w:val="clear" w:color="auto" w:fill="CCEEFF"/>
          </w:tcPr>
          <w:p>
            <w:pPr>
              <w:spacing w:after="0"/>
              <w:rPr>
                <w:sz w:val="18"/>
                <w:szCs w:val="18"/>
                <w:color w:val="auto"/>
              </w:rPr>
            </w:pPr>
          </w:p>
        </w:tc>
      </w:tr>
      <w:tr>
        <w:trPr>
          <w:trHeight w:val="216"/>
        </w:trPr>
        <w:tc>
          <w:tcPr>
            <w:tcW w:w="5240" w:type="dxa"/>
            <w:vAlign w:val="bottom"/>
          </w:tcPr>
          <w:p>
            <w:pPr>
              <w:spacing w:after="0"/>
              <w:rPr>
                <w:sz w:val="20"/>
                <w:szCs w:val="20"/>
                <w:color w:val="auto"/>
              </w:rPr>
            </w:pPr>
            <w:r>
              <w:rPr>
                <w:rFonts w:ascii="Arial" w:cs="Arial" w:eastAsia="Arial" w:hAnsi="Arial"/>
                <w:sz w:val="18"/>
                <w:szCs w:val="18"/>
                <w:color w:val="auto"/>
              </w:rPr>
              <w:t>EBIT margin</w:t>
            </w:r>
          </w:p>
        </w:tc>
        <w:tc>
          <w:tcPr>
            <w:tcW w:w="2540" w:type="dxa"/>
            <w:vAlign w:val="bottom"/>
          </w:tcPr>
          <w:p>
            <w:pPr>
              <w:jc w:val="right"/>
              <w:ind w:right="110"/>
              <w:spacing w:after="0"/>
              <w:rPr>
                <w:sz w:val="20"/>
                <w:szCs w:val="20"/>
                <w:color w:val="auto"/>
              </w:rPr>
            </w:pPr>
            <w:r>
              <w:rPr>
                <w:rFonts w:ascii="Arial" w:cs="Arial" w:eastAsia="Arial" w:hAnsi="Arial"/>
                <w:sz w:val="18"/>
                <w:szCs w:val="18"/>
                <w:b w:val="1"/>
                <w:bCs w:val="1"/>
                <w:color w:val="auto"/>
              </w:rPr>
              <w:t>20.4%</w:t>
            </w:r>
          </w:p>
        </w:tc>
        <w:tc>
          <w:tcPr>
            <w:tcW w:w="1100" w:type="dxa"/>
            <w:vAlign w:val="bottom"/>
          </w:tcPr>
          <w:p>
            <w:pPr>
              <w:jc w:val="right"/>
              <w:ind w:right="90"/>
              <w:spacing w:after="0"/>
              <w:rPr>
                <w:sz w:val="20"/>
                <w:szCs w:val="20"/>
                <w:color w:val="auto"/>
              </w:rPr>
            </w:pPr>
            <w:r>
              <w:rPr>
                <w:rFonts w:ascii="Arial" w:cs="Arial" w:eastAsia="Arial" w:hAnsi="Arial"/>
                <w:sz w:val="18"/>
                <w:szCs w:val="18"/>
                <w:color w:val="auto"/>
              </w:rPr>
              <w:t>20.0%</w:t>
            </w:r>
          </w:p>
        </w:tc>
        <w:tc>
          <w:tcPr>
            <w:tcW w:w="1340" w:type="dxa"/>
            <w:vAlign w:val="bottom"/>
          </w:tcPr>
          <w:p>
            <w:pPr>
              <w:jc w:val="right"/>
              <w:ind w:right="210"/>
              <w:spacing w:after="0"/>
              <w:rPr>
                <w:sz w:val="20"/>
                <w:szCs w:val="20"/>
                <w:color w:val="auto"/>
              </w:rPr>
            </w:pPr>
            <w:r>
              <w:rPr>
                <w:rFonts w:ascii="Arial" w:cs="Arial" w:eastAsia="Arial" w:hAnsi="Arial"/>
                <w:sz w:val="18"/>
                <w:szCs w:val="18"/>
                <w:color w:val="auto"/>
              </w:rPr>
              <w:t>NM</w:t>
            </w:r>
          </w:p>
        </w:tc>
        <w:tc>
          <w:tcPr>
            <w:tcW w:w="1200" w:type="dxa"/>
            <w:vAlign w:val="bottom"/>
            <w:gridSpan w:val="3"/>
          </w:tcPr>
          <w:p>
            <w:pPr>
              <w:ind w:left="580"/>
              <w:spacing w:after="0"/>
              <w:rPr>
                <w:sz w:val="20"/>
                <w:szCs w:val="20"/>
                <w:color w:val="auto"/>
              </w:rPr>
            </w:pPr>
            <w:r>
              <w:rPr>
                <w:rFonts w:ascii="Arial" w:cs="Arial" w:eastAsia="Arial" w:hAnsi="Arial"/>
                <w:sz w:val="18"/>
                <w:szCs w:val="18"/>
                <w:color w:val="auto"/>
              </w:rPr>
              <w:t>40 bps</w:t>
            </w:r>
          </w:p>
        </w:tc>
      </w:tr>
      <w:tr>
        <w:trPr>
          <w:trHeight w:val="216"/>
        </w:trPr>
        <w:tc>
          <w:tcPr>
            <w:tcW w:w="5240" w:type="dxa"/>
            <w:vAlign w:val="bottom"/>
            <w:shd w:val="clear" w:color="auto" w:fill="CCEEFF"/>
          </w:tcPr>
          <w:p>
            <w:pPr>
              <w:spacing w:after="0"/>
              <w:rPr>
                <w:sz w:val="20"/>
                <w:szCs w:val="20"/>
                <w:color w:val="auto"/>
              </w:rPr>
            </w:pPr>
            <w:r>
              <w:rPr>
                <w:rFonts w:ascii="Arial" w:cs="Arial" w:eastAsia="Arial" w:hAnsi="Arial"/>
                <w:sz w:val="18"/>
                <w:szCs w:val="18"/>
                <w:color w:val="auto"/>
              </w:rPr>
              <w:t>Shipments (in tons)</w:t>
            </w:r>
          </w:p>
        </w:tc>
        <w:tc>
          <w:tcPr>
            <w:tcW w:w="2540" w:type="dxa"/>
            <w:vAlign w:val="bottom"/>
            <w:shd w:val="clear" w:color="auto" w:fill="CCEEFF"/>
          </w:tcPr>
          <w:p>
            <w:pPr>
              <w:jc w:val="right"/>
              <w:ind w:right="290"/>
              <w:spacing w:after="0"/>
              <w:rPr>
                <w:sz w:val="20"/>
                <w:szCs w:val="20"/>
                <w:color w:val="auto"/>
              </w:rPr>
            </w:pPr>
            <w:r>
              <w:rPr>
                <w:rFonts w:ascii="Arial" w:cs="Arial" w:eastAsia="Arial" w:hAnsi="Arial"/>
                <w:sz w:val="18"/>
                <w:szCs w:val="18"/>
                <w:b w:val="1"/>
                <w:bCs w:val="1"/>
                <w:color w:val="auto"/>
              </w:rPr>
              <w:t>415,392</w:t>
            </w:r>
          </w:p>
        </w:tc>
        <w:tc>
          <w:tcPr>
            <w:tcW w:w="1100" w:type="dxa"/>
            <w:vAlign w:val="bottom"/>
            <w:shd w:val="clear" w:color="auto" w:fill="CCEEFF"/>
          </w:tcPr>
          <w:p>
            <w:pPr>
              <w:jc w:val="right"/>
              <w:ind w:right="230"/>
              <w:spacing w:after="0"/>
              <w:rPr>
                <w:sz w:val="20"/>
                <w:szCs w:val="20"/>
                <w:color w:val="auto"/>
              </w:rPr>
            </w:pPr>
            <w:r>
              <w:rPr>
                <w:rFonts w:ascii="Arial" w:cs="Arial" w:eastAsia="Arial" w:hAnsi="Arial"/>
                <w:sz w:val="18"/>
                <w:szCs w:val="18"/>
                <w:color w:val="auto"/>
              </w:rPr>
              <w:t>499,522</w:t>
            </w:r>
          </w:p>
        </w:tc>
        <w:tc>
          <w:tcPr>
            <w:tcW w:w="1340" w:type="dxa"/>
            <w:vAlign w:val="bottom"/>
            <w:shd w:val="clear" w:color="auto" w:fill="CCEEFF"/>
          </w:tcPr>
          <w:p>
            <w:pPr>
              <w:jc w:val="right"/>
              <w:ind w:right="170"/>
              <w:spacing w:after="0"/>
              <w:rPr>
                <w:sz w:val="20"/>
                <w:szCs w:val="20"/>
                <w:color w:val="auto"/>
              </w:rPr>
            </w:pPr>
            <w:r>
              <w:rPr>
                <w:rFonts w:ascii="Arial" w:cs="Arial" w:eastAsia="Arial" w:hAnsi="Arial"/>
                <w:sz w:val="18"/>
                <w:szCs w:val="18"/>
                <w:color w:val="auto"/>
              </w:rPr>
              <w:t>(84,130)</w:t>
            </w:r>
          </w:p>
        </w:tc>
        <w:tc>
          <w:tcPr>
            <w:tcW w:w="11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(17)%</w:t>
            </w:r>
          </w:p>
        </w:tc>
        <w:tc>
          <w:tcPr>
            <w:tcW w:w="80" w:type="dxa"/>
            <w:vAlign w:val="bottom"/>
            <w:shd w:val="clear" w:color="auto" w:fill="CCEEFF"/>
          </w:tcPr>
          <w:p>
            <w:pPr>
              <w:spacing w:after="0"/>
              <w:rPr>
                <w:sz w:val="18"/>
                <w:szCs w:val="18"/>
                <w:color w:val="auto"/>
              </w:rPr>
            </w:pPr>
          </w:p>
        </w:tc>
      </w:tr>
      <w:tr>
        <w:trPr>
          <w:trHeight w:val="250"/>
        </w:trPr>
        <w:tc>
          <w:tcPr>
            <w:tcW w:w="52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Average selling price per ton, including surcharges</w:t>
            </w:r>
          </w:p>
        </w:tc>
        <w:tc>
          <w:tcPr>
            <w:tcW w:w="2540" w:type="dxa"/>
            <w:vAlign w:val="bottom"/>
            <w:tcBorders>
              <w:bottom w:val="single" w:sz="8" w:color="auto"/>
            </w:tcBorders>
          </w:tcPr>
          <w:p>
            <w:pPr>
              <w:jc w:val="right"/>
              <w:ind w:right="290"/>
              <w:spacing w:after="0"/>
              <w:rPr>
                <w:sz w:val="20"/>
                <w:szCs w:val="20"/>
                <w:color w:val="auto"/>
              </w:rPr>
            </w:pPr>
            <w:r>
              <w:rPr>
                <w:rFonts w:ascii="Arial" w:cs="Arial" w:eastAsia="Arial" w:hAnsi="Arial"/>
                <w:sz w:val="18"/>
                <w:szCs w:val="18"/>
                <w:b w:val="1"/>
                <w:bCs w:val="1"/>
                <w:color w:val="auto"/>
              </w:rPr>
              <w:t>$1,720</w:t>
            </w:r>
          </w:p>
        </w:tc>
        <w:tc>
          <w:tcPr>
            <w:tcW w:w="1100" w:type="dxa"/>
            <w:vAlign w:val="bottom"/>
            <w:tcBorders>
              <w:bottom w:val="single" w:sz="8" w:color="auto"/>
            </w:tcBorders>
          </w:tcPr>
          <w:p>
            <w:pPr>
              <w:jc w:val="right"/>
              <w:ind w:right="230"/>
              <w:spacing w:after="0"/>
              <w:rPr>
                <w:sz w:val="20"/>
                <w:szCs w:val="20"/>
                <w:color w:val="auto"/>
              </w:rPr>
            </w:pPr>
            <w:r>
              <w:rPr>
                <w:rFonts w:ascii="Arial" w:cs="Arial" w:eastAsia="Arial" w:hAnsi="Arial"/>
                <w:sz w:val="18"/>
                <w:szCs w:val="18"/>
                <w:color w:val="auto"/>
              </w:rPr>
              <w:t>$1,630</w:t>
            </w:r>
          </w:p>
        </w:tc>
        <w:tc>
          <w:tcPr>
            <w:tcW w:w="1340" w:type="dxa"/>
            <w:vAlign w:val="bottom"/>
            <w:tcBorders>
              <w:bottom w:val="single" w:sz="8" w:color="auto"/>
            </w:tcBorders>
          </w:tcPr>
          <w:p>
            <w:pPr>
              <w:jc w:val="right"/>
              <w:ind w:right="210"/>
              <w:spacing w:after="0"/>
              <w:rPr>
                <w:sz w:val="20"/>
                <w:szCs w:val="20"/>
                <w:color w:val="auto"/>
              </w:rPr>
            </w:pPr>
            <w:r>
              <w:rPr>
                <w:rFonts w:ascii="Arial" w:cs="Arial" w:eastAsia="Arial" w:hAnsi="Arial"/>
                <w:sz w:val="18"/>
                <w:szCs w:val="18"/>
                <w:color w:val="auto"/>
              </w:rPr>
              <w:t>$90</w:t>
            </w:r>
          </w:p>
        </w:tc>
        <w:tc>
          <w:tcPr>
            <w:tcW w:w="1120" w:type="dxa"/>
            <w:vAlign w:val="bottom"/>
            <w:tcBorders>
              <w:bottom w:val="single" w:sz="8" w:color="auto"/>
            </w:tcBorders>
            <w:gridSpan w:val="2"/>
          </w:tcPr>
          <w:p>
            <w:pPr>
              <w:jc w:val="right"/>
              <w:ind w:right="20"/>
              <w:spacing w:after="0"/>
              <w:rPr>
                <w:sz w:val="20"/>
                <w:szCs w:val="20"/>
                <w:color w:val="auto"/>
              </w:rPr>
            </w:pPr>
            <w:r>
              <w:rPr>
                <w:rFonts w:ascii="Arial" w:cs="Arial" w:eastAsia="Arial" w:hAnsi="Arial"/>
                <w:sz w:val="18"/>
                <w:szCs w:val="18"/>
                <w:color w:val="auto"/>
              </w:rPr>
              <w:t>6 %</w:t>
            </w:r>
          </w:p>
        </w:tc>
        <w:tc>
          <w:tcPr>
            <w:tcW w:w="80" w:type="dxa"/>
            <w:vAlign w:val="bottom"/>
          </w:tcPr>
          <w:p>
            <w:pPr>
              <w:spacing w:after="0"/>
              <w:rPr>
                <w:sz w:val="21"/>
                <w:szCs w:val="21"/>
                <w:color w:val="auto"/>
              </w:rPr>
            </w:pPr>
          </w:p>
        </w:tc>
      </w:tr>
    </w:tbl>
    <w:p>
      <w:pPr>
        <w:spacing w:after="0" w:line="242" w:lineRule="exact"/>
        <w:rPr>
          <w:sz w:val="20"/>
          <w:szCs w:val="20"/>
          <w:color w:val="auto"/>
        </w:rPr>
      </w:pPr>
    </w:p>
    <w:p>
      <w:pPr>
        <w:ind w:right="100" w:firstLine="913"/>
        <w:spacing w:after="0" w:line="264" w:lineRule="auto"/>
        <w:rPr>
          <w:sz w:val="20"/>
          <w:szCs w:val="20"/>
          <w:color w:val="auto"/>
        </w:rPr>
      </w:pPr>
      <w:r>
        <w:rPr>
          <w:rFonts w:ascii="Arial" w:cs="Arial" w:eastAsia="Arial" w:hAnsi="Arial"/>
          <w:sz w:val="18"/>
          <w:szCs w:val="18"/>
          <w:color w:val="auto"/>
        </w:rPr>
        <w:t>Energy &amp; Distribution segment net sales decreased 12% in 2012 compared to 2011. Excluding surcharges, net sales decreased 5%. The decrease was driven by lower volume, partially offset by favorable pricing and mix. The decrease in volume was primarily driven by lower shipments to our energy OE manufacturing end-market sector.</w:t>
      </w:r>
    </w:p>
    <w:p>
      <w:pPr>
        <w:spacing w:after="0" w:line="222" w:lineRule="exact"/>
        <w:rPr>
          <w:sz w:val="20"/>
          <w:szCs w:val="20"/>
          <w:color w:val="auto"/>
        </w:rPr>
      </w:pPr>
    </w:p>
    <w:p>
      <w:pPr>
        <w:ind w:right="380" w:firstLine="913"/>
        <w:spacing w:after="0" w:line="277" w:lineRule="auto"/>
        <w:rPr>
          <w:sz w:val="20"/>
          <w:szCs w:val="20"/>
          <w:color w:val="auto"/>
        </w:rPr>
      </w:pPr>
      <w:r>
        <w:rPr>
          <w:rFonts w:ascii="Arial" w:cs="Arial" w:eastAsia="Arial" w:hAnsi="Arial"/>
          <w:sz w:val="18"/>
          <w:szCs w:val="18"/>
          <w:color w:val="auto"/>
        </w:rPr>
        <w:t>EBIT declined by $16.5 million in 2012 compared to 2011, primarily due to lower volume and higher manufacturing expense resulting from lower cost absorption, partially offset by favorable pricing and mix.</w:t>
      </w:r>
    </w:p>
    <w:p>
      <w:pPr>
        <w:spacing w:after="0" w:line="170" w:lineRule="exact"/>
        <w:rPr>
          <w:sz w:val="20"/>
          <w:szCs w:val="20"/>
          <w:color w:val="auto"/>
        </w:rPr>
      </w:pPr>
    </w:p>
    <w:p>
      <w:pPr>
        <w:ind w:right="760" w:firstLine="913"/>
        <w:spacing w:after="0" w:line="277" w:lineRule="auto"/>
        <w:rPr>
          <w:sz w:val="20"/>
          <w:szCs w:val="20"/>
          <w:color w:val="auto"/>
        </w:rPr>
      </w:pPr>
      <w:r>
        <w:rPr>
          <w:rFonts w:ascii="Arial" w:cs="Arial" w:eastAsia="Arial" w:hAnsi="Arial"/>
          <w:sz w:val="18"/>
          <w:szCs w:val="18"/>
          <w:color w:val="auto"/>
        </w:rPr>
        <w:t>In 2012 and 2011, $3.2 million and $0.4 million, respectively, of segment EBIT was reclassified from Industrial &amp; Mobile to Energy &amp; Distribution to conform to 2013 presentation. Such amounts are related to our Mexico operations.</w:t>
      </w:r>
    </w:p>
    <w:p>
      <w:pPr>
        <w:spacing w:after="0" w:line="313" w:lineRule="exact"/>
        <w:rPr>
          <w:sz w:val="20"/>
          <w:szCs w:val="20"/>
          <w:color w:val="auto"/>
        </w:rPr>
      </w:pPr>
    </w:p>
    <w:tbl>
      <w:tblPr>
        <w:tblLayout w:type="fixed"/>
        <w:tblInd w:w="0" w:type="dxa"/>
        <w:tblCellMar>
          <w:top w:w="0" w:type="dxa"/>
          <w:left w:w="0" w:type="dxa"/>
          <w:bottom w:w="0" w:type="dxa"/>
          <w:right w:w="0" w:type="dxa"/>
        </w:tblCellMar>
      </w:tblPr>
      <w:tr>
        <w:trPr>
          <w:trHeight w:val="243"/>
        </w:trPr>
        <w:tc>
          <w:tcPr>
            <w:tcW w:w="442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b w:val="1"/>
                <w:bCs w:val="1"/>
                <w:color w:val="auto"/>
              </w:rPr>
              <w:t>Corporate</w:t>
            </w:r>
          </w:p>
        </w:tc>
        <w:tc>
          <w:tcPr>
            <w:tcW w:w="2980" w:type="dxa"/>
            <w:vAlign w:val="bottom"/>
            <w:tcBorders>
              <w:top w:val="single" w:sz="8" w:color="auto"/>
              <w:bottom w:val="single" w:sz="8" w:color="auto"/>
            </w:tcBorders>
          </w:tcPr>
          <w:p>
            <w:pPr>
              <w:spacing w:after="0"/>
              <w:rPr>
                <w:sz w:val="21"/>
                <w:szCs w:val="21"/>
                <w:color w:val="auto"/>
              </w:rPr>
            </w:pPr>
          </w:p>
        </w:tc>
        <w:tc>
          <w:tcPr>
            <w:tcW w:w="2740" w:type="dxa"/>
            <w:vAlign w:val="bottom"/>
            <w:tcBorders>
              <w:top w:val="single" w:sz="8" w:color="auto"/>
              <w:bottom w:val="single" w:sz="8" w:color="auto"/>
            </w:tcBorders>
            <w:gridSpan w:val="2"/>
          </w:tcPr>
          <w:p>
            <w:pPr>
              <w:jc w:val="right"/>
              <w:ind w:right="170"/>
              <w:spacing w:after="0"/>
              <w:rPr>
                <w:sz w:val="20"/>
                <w:szCs w:val="20"/>
                <w:color w:val="auto"/>
              </w:rPr>
            </w:pPr>
            <w:r>
              <w:rPr>
                <w:rFonts w:ascii="Arial" w:cs="Arial" w:eastAsia="Arial" w:hAnsi="Arial"/>
                <w:sz w:val="18"/>
                <w:szCs w:val="18"/>
                <w:b w:val="1"/>
                <w:bCs w:val="1"/>
                <w:color w:val="auto"/>
              </w:rPr>
              <w:t>Years Ended December 31,</w:t>
            </w:r>
          </w:p>
        </w:tc>
        <w:tc>
          <w:tcPr>
            <w:tcW w:w="1180" w:type="dxa"/>
            <w:vAlign w:val="bottom"/>
            <w:tcBorders>
              <w:top w:val="single" w:sz="8" w:color="auto"/>
              <w:bottom w:val="single" w:sz="8" w:color="auto"/>
            </w:tcBorders>
          </w:tcPr>
          <w:p>
            <w:pPr>
              <w:spacing w:after="0"/>
              <w:rPr>
                <w:sz w:val="21"/>
                <w:szCs w:val="21"/>
                <w:color w:val="auto"/>
              </w:rPr>
            </w:pPr>
          </w:p>
        </w:tc>
        <w:tc>
          <w:tcPr>
            <w:tcW w:w="100" w:type="dxa"/>
            <w:vAlign w:val="bottom"/>
          </w:tcPr>
          <w:p>
            <w:pPr>
              <w:spacing w:after="0"/>
              <w:rPr>
                <w:sz w:val="21"/>
                <w:szCs w:val="21"/>
                <w:color w:val="auto"/>
              </w:rPr>
            </w:pPr>
          </w:p>
        </w:tc>
      </w:tr>
      <w:tr>
        <w:trPr>
          <w:trHeight w:val="223"/>
        </w:trPr>
        <w:tc>
          <w:tcPr>
            <w:tcW w:w="4420" w:type="dxa"/>
            <w:vAlign w:val="bottom"/>
          </w:tcPr>
          <w:p>
            <w:pPr>
              <w:spacing w:after="0"/>
              <w:rPr>
                <w:sz w:val="19"/>
                <w:szCs w:val="19"/>
                <w:color w:val="auto"/>
              </w:rPr>
            </w:pPr>
          </w:p>
        </w:tc>
        <w:tc>
          <w:tcPr>
            <w:tcW w:w="2980" w:type="dxa"/>
            <w:vAlign w:val="bottom"/>
          </w:tcPr>
          <w:p>
            <w:pPr>
              <w:jc w:val="right"/>
              <w:ind w:right="570"/>
              <w:spacing w:after="0"/>
              <w:rPr>
                <w:sz w:val="20"/>
                <w:szCs w:val="20"/>
                <w:color w:val="auto"/>
              </w:rPr>
            </w:pPr>
            <w:r>
              <w:rPr>
                <w:rFonts w:ascii="Arial" w:cs="Arial" w:eastAsia="Arial" w:hAnsi="Arial"/>
                <w:sz w:val="18"/>
                <w:szCs w:val="18"/>
                <w:b w:val="1"/>
                <w:bCs w:val="1"/>
                <w:color w:val="auto"/>
              </w:rPr>
              <w:t>2012</w:t>
            </w:r>
          </w:p>
        </w:tc>
        <w:tc>
          <w:tcPr>
            <w:tcW w:w="1300" w:type="dxa"/>
            <w:vAlign w:val="bottom"/>
          </w:tcPr>
          <w:p>
            <w:pPr>
              <w:jc w:val="right"/>
              <w:ind w:right="550"/>
              <w:spacing w:after="0"/>
              <w:rPr>
                <w:sz w:val="20"/>
                <w:szCs w:val="20"/>
                <w:color w:val="auto"/>
              </w:rPr>
            </w:pPr>
            <w:r>
              <w:rPr>
                <w:rFonts w:ascii="Arial" w:cs="Arial" w:eastAsia="Arial" w:hAnsi="Arial"/>
                <w:sz w:val="18"/>
                <w:szCs w:val="18"/>
                <w:color w:val="auto"/>
              </w:rPr>
              <w:t>2011</w:t>
            </w:r>
          </w:p>
        </w:tc>
        <w:tc>
          <w:tcPr>
            <w:tcW w:w="1440" w:type="dxa"/>
            <w:vAlign w:val="bottom"/>
          </w:tcPr>
          <w:p>
            <w:pPr>
              <w:jc w:val="right"/>
              <w:ind w:right="410"/>
              <w:spacing w:after="0"/>
              <w:rPr>
                <w:sz w:val="20"/>
                <w:szCs w:val="20"/>
                <w:color w:val="auto"/>
              </w:rPr>
            </w:pPr>
            <w:r>
              <w:rPr>
                <w:rFonts w:ascii="Arial" w:cs="Arial" w:eastAsia="Arial" w:hAnsi="Arial"/>
                <w:sz w:val="18"/>
                <w:szCs w:val="18"/>
                <w:color w:val="auto"/>
              </w:rPr>
              <w:t>$ Change</w:t>
            </w:r>
          </w:p>
        </w:tc>
        <w:tc>
          <w:tcPr>
            <w:tcW w:w="1180" w:type="dxa"/>
            <w:vAlign w:val="bottom"/>
          </w:tcPr>
          <w:p>
            <w:pPr>
              <w:jc w:val="right"/>
              <w:ind w:right="90"/>
              <w:spacing w:after="0"/>
              <w:rPr>
                <w:sz w:val="20"/>
                <w:szCs w:val="20"/>
                <w:color w:val="auto"/>
              </w:rPr>
            </w:pPr>
            <w:r>
              <w:rPr>
                <w:rFonts w:ascii="Arial" w:cs="Arial" w:eastAsia="Arial" w:hAnsi="Arial"/>
                <w:sz w:val="18"/>
                <w:szCs w:val="18"/>
                <w:color w:val="auto"/>
              </w:rPr>
              <w:t>% Change</w:t>
            </w:r>
          </w:p>
        </w:tc>
        <w:tc>
          <w:tcPr>
            <w:tcW w:w="100" w:type="dxa"/>
            <w:vAlign w:val="bottom"/>
          </w:tcPr>
          <w:p>
            <w:pPr>
              <w:spacing w:after="0"/>
              <w:rPr>
                <w:sz w:val="19"/>
                <w:szCs w:val="19"/>
                <w:color w:val="auto"/>
              </w:rPr>
            </w:pPr>
          </w:p>
        </w:tc>
      </w:tr>
      <w:tr>
        <w:trPr>
          <w:trHeight w:val="216"/>
        </w:trPr>
        <w:tc>
          <w:tcPr>
            <w:tcW w:w="4420" w:type="dxa"/>
            <w:vAlign w:val="bottom"/>
            <w:shd w:val="clear" w:color="auto" w:fill="CCEEFF"/>
          </w:tcPr>
          <w:p>
            <w:pPr>
              <w:spacing w:after="0"/>
              <w:rPr>
                <w:sz w:val="20"/>
                <w:szCs w:val="20"/>
                <w:color w:val="auto"/>
              </w:rPr>
            </w:pPr>
            <w:r>
              <w:rPr>
                <w:rFonts w:ascii="Arial" w:cs="Arial" w:eastAsia="Arial" w:hAnsi="Arial"/>
                <w:sz w:val="18"/>
                <w:szCs w:val="18"/>
                <w:color w:val="auto"/>
              </w:rPr>
              <w:t>Corporate expenses</w:t>
            </w:r>
          </w:p>
        </w:tc>
        <w:tc>
          <w:tcPr>
            <w:tcW w:w="2980" w:type="dxa"/>
            <w:vAlign w:val="bottom"/>
            <w:shd w:val="clear" w:color="auto" w:fill="CCEEFF"/>
          </w:tcPr>
          <w:p>
            <w:pPr>
              <w:jc w:val="right"/>
              <w:ind w:right="390"/>
              <w:spacing w:after="0"/>
              <w:rPr>
                <w:sz w:val="20"/>
                <w:szCs w:val="20"/>
                <w:color w:val="auto"/>
              </w:rPr>
            </w:pPr>
            <w:r>
              <w:rPr>
                <w:rFonts w:ascii="Arial" w:cs="Arial" w:eastAsia="Arial" w:hAnsi="Arial"/>
                <w:sz w:val="18"/>
                <w:szCs w:val="18"/>
                <w:b w:val="1"/>
                <w:bCs w:val="1"/>
                <w:color w:val="auto"/>
              </w:rPr>
              <w:t>$24.3</w:t>
            </w:r>
          </w:p>
        </w:tc>
        <w:tc>
          <w:tcPr>
            <w:tcW w:w="1300" w:type="dxa"/>
            <w:vAlign w:val="bottom"/>
            <w:shd w:val="clear" w:color="auto" w:fill="CCEEFF"/>
          </w:tcPr>
          <w:p>
            <w:pPr>
              <w:jc w:val="right"/>
              <w:ind w:right="330"/>
              <w:spacing w:after="0"/>
              <w:rPr>
                <w:sz w:val="20"/>
                <w:szCs w:val="20"/>
                <w:color w:val="auto"/>
              </w:rPr>
            </w:pPr>
            <w:r>
              <w:rPr>
                <w:rFonts w:ascii="Arial" w:cs="Arial" w:eastAsia="Arial" w:hAnsi="Arial"/>
                <w:sz w:val="18"/>
                <w:szCs w:val="18"/>
                <w:color w:val="auto"/>
              </w:rPr>
              <w:t>$23.9</w:t>
            </w:r>
          </w:p>
        </w:tc>
        <w:tc>
          <w:tcPr>
            <w:tcW w:w="1440" w:type="dxa"/>
            <w:vAlign w:val="bottom"/>
            <w:shd w:val="clear" w:color="auto" w:fill="CCEEFF"/>
          </w:tcPr>
          <w:p>
            <w:pPr>
              <w:jc w:val="right"/>
              <w:ind w:right="270"/>
              <w:spacing w:after="0"/>
              <w:rPr>
                <w:sz w:val="20"/>
                <w:szCs w:val="20"/>
                <w:color w:val="auto"/>
              </w:rPr>
            </w:pPr>
            <w:r>
              <w:rPr>
                <w:rFonts w:ascii="Arial" w:cs="Arial" w:eastAsia="Arial" w:hAnsi="Arial"/>
                <w:sz w:val="18"/>
                <w:szCs w:val="18"/>
                <w:color w:val="auto"/>
              </w:rPr>
              <w:t>$0.4</w:t>
            </w:r>
          </w:p>
        </w:tc>
        <w:tc>
          <w:tcPr>
            <w:tcW w:w="11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w:t>
            </w:r>
          </w:p>
        </w:tc>
        <w:tc>
          <w:tcPr>
            <w:tcW w:w="100" w:type="dxa"/>
            <w:vAlign w:val="bottom"/>
            <w:shd w:val="clear" w:color="auto" w:fill="CCEEFF"/>
          </w:tcPr>
          <w:p>
            <w:pPr>
              <w:spacing w:after="0"/>
              <w:rPr>
                <w:sz w:val="18"/>
                <w:szCs w:val="18"/>
                <w:color w:val="auto"/>
              </w:rPr>
            </w:pPr>
          </w:p>
        </w:tc>
      </w:tr>
      <w:tr>
        <w:trPr>
          <w:trHeight w:val="216"/>
        </w:trPr>
        <w:tc>
          <w:tcPr>
            <w:tcW w:w="4420" w:type="dxa"/>
            <w:vAlign w:val="bottom"/>
          </w:tcPr>
          <w:p>
            <w:pPr>
              <w:spacing w:after="0"/>
              <w:rPr>
                <w:sz w:val="20"/>
                <w:szCs w:val="20"/>
                <w:color w:val="auto"/>
              </w:rPr>
            </w:pPr>
            <w:r>
              <w:rPr>
                <w:rFonts w:ascii="Arial" w:cs="Arial" w:eastAsia="Arial" w:hAnsi="Arial"/>
                <w:sz w:val="18"/>
                <w:szCs w:val="18"/>
                <w:color w:val="auto"/>
              </w:rPr>
              <w:t>Corporate expenses % to net sales</w:t>
            </w:r>
          </w:p>
        </w:tc>
        <w:tc>
          <w:tcPr>
            <w:tcW w:w="2980" w:type="dxa"/>
            <w:vAlign w:val="bottom"/>
          </w:tcPr>
          <w:p>
            <w:pPr>
              <w:jc w:val="right"/>
              <w:ind w:right="210"/>
              <w:spacing w:after="0"/>
              <w:rPr>
                <w:sz w:val="20"/>
                <w:szCs w:val="20"/>
                <w:color w:val="auto"/>
              </w:rPr>
            </w:pPr>
            <w:r>
              <w:rPr>
                <w:rFonts w:ascii="Arial" w:cs="Arial" w:eastAsia="Arial" w:hAnsi="Arial"/>
                <w:sz w:val="18"/>
                <w:szCs w:val="18"/>
                <w:b w:val="1"/>
                <w:bCs w:val="1"/>
                <w:color w:val="auto"/>
              </w:rPr>
              <w:t>1.4%</w:t>
            </w:r>
          </w:p>
        </w:tc>
        <w:tc>
          <w:tcPr>
            <w:tcW w:w="1300" w:type="dxa"/>
            <w:vAlign w:val="bottom"/>
          </w:tcPr>
          <w:p>
            <w:pPr>
              <w:jc w:val="right"/>
              <w:ind w:right="170"/>
              <w:spacing w:after="0"/>
              <w:rPr>
                <w:sz w:val="20"/>
                <w:szCs w:val="20"/>
                <w:color w:val="auto"/>
              </w:rPr>
            </w:pPr>
            <w:r>
              <w:rPr>
                <w:rFonts w:ascii="Arial" w:cs="Arial" w:eastAsia="Arial" w:hAnsi="Arial"/>
                <w:sz w:val="18"/>
                <w:szCs w:val="18"/>
                <w:color w:val="auto"/>
              </w:rPr>
              <w:t>1.2%</w:t>
            </w:r>
          </w:p>
        </w:tc>
        <w:tc>
          <w:tcPr>
            <w:tcW w:w="1440" w:type="dxa"/>
            <w:vAlign w:val="bottom"/>
          </w:tcPr>
          <w:p>
            <w:pPr>
              <w:jc w:val="right"/>
              <w:ind w:right="230"/>
              <w:spacing w:after="0"/>
              <w:rPr>
                <w:sz w:val="20"/>
                <w:szCs w:val="20"/>
                <w:color w:val="auto"/>
              </w:rPr>
            </w:pPr>
            <w:r>
              <w:rPr>
                <w:rFonts w:ascii="Arial" w:cs="Arial" w:eastAsia="Arial" w:hAnsi="Arial"/>
                <w:sz w:val="18"/>
                <w:szCs w:val="18"/>
                <w:color w:val="auto"/>
              </w:rPr>
              <w:t>NM</w:t>
            </w:r>
          </w:p>
        </w:tc>
        <w:tc>
          <w:tcPr>
            <w:tcW w:w="1280" w:type="dxa"/>
            <w:vAlign w:val="bottom"/>
            <w:gridSpan w:val="2"/>
          </w:tcPr>
          <w:p>
            <w:pPr>
              <w:jc w:val="right"/>
              <w:ind w:right="100"/>
              <w:spacing w:after="0"/>
              <w:rPr>
                <w:sz w:val="20"/>
                <w:szCs w:val="20"/>
                <w:color w:val="auto"/>
              </w:rPr>
            </w:pPr>
            <w:r>
              <w:rPr>
                <w:rFonts w:ascii="Arial" w:cs="Arial" w:eastAsia="Arial" w:hAnsi="Arial"/>
                <w:sz w:val="18"/>
                <w:szCs w:val="18"/>
                <w:color w:val="auto"/>
              </w:rPr>
              <w:t>20 bps</w:t>
            </w:r>
          </w:p>
        </w:tc>
      </w:tr>
      <w:tr>
        <w:trPr>
          <w:trHeight w:val="27"/>
        </w:trPr>
        <w:tc>
          <w:tcPr>
            <w:tcW w:w="4420" w:type="dxa"/>
            <w:vAlign w:val="bottom"/>
            <w:shd w:val="clear" w:color="auto" w:fill="000000"/>
          </w:tcPr>
          <w:p>
            <w:pPr>
              <w:spacing w:after="0"/>
              <w:rPr>
                <w:sz w:val="2"/>
                <w:szCs w:val="2"/>
                <w:color w:val="auto"/>
              </w:rPr>
            </w:pPr>
          </w:p>
        </w:tc>
        <w:tc>
          <w:tcPr>
            <w:tcW w:w="2980" w:type="dxa"/>
            <w:vAlign w:val="bottom"/>
            <w:shd w:val="clear" w:color="auto" w:fill="000000"/>
          </w:tcPr>
          <w:p>
            <w:pPr>
              <w:spacing w:after="0"/>
              <w:rPr>
                <w:sz w:val="2"/>
                <w:szCs w:val="2"/>
                <w:color w:val="auto"/>
              </w:rPr>
            </w:pPr>
          </w:p>
        </w:tc>
        <w:tc>
          <w:tcPr>
            <w:tcW w:w="1300" w:type="dxa"/>
            <w:vAlign w:val="bottom"/>
            <w:shd w:val="clear" w:color="auto" w:fill="000000"/>
          </w:tcPr>
          <w:p>
            <w:pPr>
              <w:spacing w:after="0"/>
              <w:rPr>
                <w:sz w:val="2"/>
                <w:szCs w:val="2"/>
                <w:color w:val="auto"/>
              </w:rPr>
            </w:pPr>
          </w:p>
        </w:tc>
        <w:tc>
          <w:tcPr>
            <w:tcW w:w="1440" w:type="dxa"/>
            <w:vAlign w:val="bottom"/>
            <w:shd w:val="clear" w:color="auto" w:fill="000000"/>
          </w:tcPr>
          <w:p>
            <w:pPr>
              <w:spacing w:after="0"/>
              <w:rPr>
                <w:sz w:val="2"/>
                <w:szCs w:val="2"/>
                <w:color w:val="auto"/>
              </w:rPr>
            </w:pPr>
          </w:p>
        </w:tc>
        <w:tc>
          <w:tcPr>
            <w:tcW w:w="118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r>
    </w:tbl>
    <w:p>
      <w:pPr>
        <w:spacing w:after="0" w:line="256" w:lineRule="exact"/>
        <w:rPr>
          <w:sz w:val="20"/>
          <w:szCs w:val="20"/>
          <w:color w:val="auto"/>
        </w:rPr>
      </w:pPr>
    </w:p>
    <w:p>
      <w:pPr>
        <w:ind w:right="60" w:firstLine="913"/>
        <w:spacing w:after="0" w:line="264" w:lineRule="auto"/>
        <w:rPr>
          <w:sz w:val="20"/>
          <w:szCs w:val="20"/>
          <w:color w:val="auto"/>
        </w:rPr>
      </w:pPr>
      <w:r>
        <w:rPr>
          <w:rFonts w:ascii="Arial" w:cs="Arial" w:eastAsia="Arial" w:hAnsi="Arial"/>
          <w:sz w:val="18"/>
          <w:szCs w:val="18"/>
          <w:color w:val="auto"/>
        </w:rPr>
        <w:t>Centrally incurred corporate costs are not allocated back to the operating segments. Unallocated items include compensation expenses associated with senior management, and compensation expenses and professional fees associated with corporate finance and legal services, as well as insurance programs.</w:t>
      </w:r>
    </w:p>
    <w:p>
      <w:pPr>
        <w:spacing w:after="0" w:line="1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40</w:t>
      </w:r>
    </w:p>
    <w:p>
      <w:pPr>
        <w:sectPr>
          <w:pgSz w:w="11900" w:h="16838" w:orient="portrait"/>
          <w:cols w:equalWidth="0" w:num="1">
            <w:col w:w="11420"/>
          </w:cols>
          <w:pgMar w:left="240" w:top="459" w:right="239" w:bottom="1440" w:gutter="0" w:footer="0" w:header="0"/>
        </w:sectPr>
      </w:pPr>
    </w:p>
    <w:bookmarkStart w:id="49" w:name="page50"/>
    <w:bookmarkEnd w:id="4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Non-GAAP Financial Measures</w:t>
      </w:r>
    </w:p>
    <w:p>
      <w:pPr>
        <w:spacing w:after="0" w:line="270" w:lineRule="exact"/>
        <w:rPr>
          <w:sz w:val="20"/>
          <w:szCs w:val="20"/>
          <w:color w:val="auto"/>
        </w:rPr>
      </w:pPr>
    </w:p>
    <w:p>
      <w:pPr>
        <w:ind w:left="920"/>
        <w:spacing w:after="0"/>
        <w:rPr>
          <w:sz w:val="20"/>
          <w:szCs w:val="20"/>
          <w:color w:val="auto"/>
        </w:rPr>
      </w:pPr>
      <w:r>
        <w:rPr>
          <w:rFonts w:ascii="Arial" w:cs="Arial" w:eastAsia="Arial" w:hAnsi="Arial"/>
          <w:sz w:val="18"/>
          <w:szCs w:val="18"/>
          <w:b w:val="1"/>
          <w:bCs w:val="1"/>
          <w:i w:val="1"/>
          <w:iCs w:val="1"/>
          <w:color w:val="auto"/>
        </w:rPr>
        <w:t>Net Sales Excluding Surcharges</w:t>
      </w:r>
    </w:p>
    <w:p>
      <w:pPr>
        <w:spacing w:after="0" w:line="266" w:lineRule="exact"/>
        <w:rPr>
          <w:sz w:val="20"/>
          <w:szCs w:val="20"/>
          <w:color w:val="auto"/>
        </w:rPr>
      </w:pPr>
    </w:p>
    <w:p>
      <w:pPr>
        <w:ind w:firstLine="913"/>
        <w:spacing w:after="0" w:line="255" w:lineRule="auto"/>
        <w:rPr>
          <w:sz w:val="20"/>
          <w:szCs w:val="20"/>
          <w:color w:val="auto"/>
        </w:rPr>
      </w:pPr>
      <w:r>
        <w:rPr>
          <w:rFonts w:ascii="Arial" w:cs="Arial" w:eastAsia="Arial" w:hAnsi="Arial"/>
          <w:sz w:val="18"/>
          <w:szCs w:val="18"/>
          <w:color w:val="auto"/>
        </w:rPr>
        <w:t>This Management’s Discussion and Analysis of Financial Condition and Results of Operations includes discussions of net sales adjusted to exclude raw material surcharges, which represents a financial measure that has not been determined in accordance with U.S. GAAP. Generally, as we experience fluctuations in our costs, we reflect them as price increases or surcharges to our customers with the goal of being essentially cost neutral. However, even if we are able to pass these steel surcharges or price increases on to our customers, there may be a time lag between the time a cost increase goes into effect and our ability to implement surcharges or price increases. We believe presenting net sales to exclude surcharges provides a more consistent basis for comparing our core operating results.</w:t>
      </w:r>
    </w:p>
    <w:p>
      <w:pPr>
        <w:spacing w:after="0" w:line="336" w:lineRule="exact"/>
        <w:rPr>
          <w:sz w:val="20"/>
          <w:szCs w:val="20"/>
          <w:color w:val="auto"/>
        </w:rPr>
      </w:pPr>
    </w:p>
    <w:tbl>
      <w:tblPr>
        <w:tblLayout w:type="fixed"/>
        <w:tblInd w:w="0" w:type="dxa"/>
        <w:tblCellMar>
          <w:top w:w="0" w:type="dxa"/>
          <w:left w:w="0" w:type="dxa"/>
          <w:bottom w:w="0" w:type="dxa"/>
          <w:right w:w="0" w:type="dxa"/>
        </w:tblCellMar>
      </w:tblPr>
      <w:tr>
        <w:trPr>
          <w:trHeight w:val="243"/>
        </w:trPr>
        <w:tc>
          <w:tcPr>
            <w:tcW w:w="3800" w:type="dxa"/>
            <w:vAlign w:val="bottom"/>
            <w:tcBorders>
              <w:top w:val="single" w:sz="8" w:color="auto"/>
            </w:tcBorders>
            <w:gridSpan w:val="2"/>
          </w:tcPr>
          <w:p>
            <w:pPr>
              <w:spacing w:after="0"/>
              <w:rPr>
                <w:sz w:val="20"/>
                <w:szCs w:val="20"/>
                <w:color w:val="auto"/>
              </w:rPr>
            </w:pPr>
            <w:r>
              <w:rPr>
                <w:rFonts w:ascii="Arial" w:cs="Arial" w:eastAsia="Arial" w:hAnsi="Arial"/>
                <w:sz w:val="18"/>
                <w:szCs w:val="18"/>
                <w:b w:val="1"/>
                <w:bCs w:val="1"/>
                <w:color w:val="auto"/>
              </w:rPr>
              <w:t>TimkenSteel</w:t>
            </w:r>
          </w:p>
        </w:tc>
        <w:tc>
          <w:tcPr>
            <w:tcW w:w="4300" w:type="dxa"/>
            <w:vAlign w:val="bottom"/>
            <w:tcBorders>
              <w:top w:val="single" w:sz="8" w:color="auto"/>
            </w:tcBorders>
            <w:gridSpan w:val="4"/>
          </w:tcPr>
          <w:p>
            <w:pPr>
              <w:jc w:val="right"/>
              <w:ind w:right="230"/>
              <w:spacing w:after="0"/>
              <w:rPr>
                <w:sz w:val="20"/>
                <w:szCs w:val="20"/>
                <w:color w:val="auto"/>
              </w:rPr>
            </w:pPr>
            <w:r>
              <w:rPr>
                <w:rFonts w:ascii="Arial" w:cs="Arial" w:eastAsia="Arial" w:hAnsi="Arial"/>
                <w:sz w:val="18"/>
                <w:szCs w:val="18"/>
                <w:b w:val="1"/>
                <w:bCs w:val="1"/>
                <w:color w:val="auto"/>
              </w:rPr>
              <w:t>Three Months Ended March 31,</w:t>
            </w:r>
          </w:p>
        </w:tc>
        <w:tc>
          <w:tcPr>
            <w:tcW w:w="360" w:type="dxa"/>
            <w:vAlign w:val="bottom"/>
            <w:tcBorders>
              <w:top w:val="single" w:sz="8" w:color="auto"/>
            </w:tcBorders>
          </w:tcPr>
          <w:p>
            <w:pPr>
              <w:spacing w:after="0"/>
              <w:rPr>
                <w:sz w:val="21"/>
                <w:szCs w:val="21"/>
                <w:color w:val="auto"/>
              </w:rPr>
            </w:pPr>
          </w:p>
        </w:tc>
        <w:tc>
          <w:tcPr>
            <w:tcW w:w="2860" w:type="dxa"/>
            <w:vAlign w:val="bottom"/>
            <w:tcBorders>
              <w:top w:val="single" w:sz="8" w:color="auto"/>
            </w:tcBorders>
            <w:gridSpan w:val="5"/>
          </w:tcPr>
          <w:p>
            <w:pPr>
              <w:jc w:val="center"/>
              <w:ind w:right="50"/>
              <w:spacing w:after="0"/>
              <w:rPr>
                <w:sz w:val="20"/>
                <w:szCs w:val="20"/>
                <w:color w:val="auto"/>
              </w:rPr>
            </w:pPr>
            <w:r>
              <w:rPr>
                <w:rFonts w:ascii="Arial" w:cs="Arial" w:eastAsia="Arial" w:hAnsi="Arial"/>
                <w:sz w:val="18"/>
                <w:szCs w:val="18"/>
                <w:b w:val="1"/>
                <w:bCs w:val="1"/>
                <w:color w:val="auto"/>
                <w:w w:val="89"/>
              </w:rPr>
              <w:t>Years Ended December 31,</w:t>
            </w:r>
          </w:p>
        </w:tc>
        <w:tc>
          <w:tcPr>
            <w:tcW w:w="100" w:type="dxa"/>
            <w:vAlign w:val="bottom"/>
          </w:tcPr>
          <w:p>
            <w:pPr>
              <w:spacing w:after="0"/>
              <w:rPr>
                <w:sz w:val="21"/>
                <w:szCs w:val="21"/>
                <w:color w:val="auto"/>
              </w:rPr>
            </w:pPr>
          </w:p>
        </w:tc>
      </w:tr>
      <w:tr>
        <w:trPr>
          <w:trHeight w:val="223"/>
        </w:trPr>
        <w:tc>
          <w:tcPr>
            <w:tcW w:w="20" w:type="dxa"/>
            <w:vAlign w:val="bottom"/>
          </w:tcPr>
          <w:p>
            <w:pPr>
              <w:spacing w:after="0"/>
              <w:rPr>
                <w:sz w:val="19"/>
                <w:szCs w:val="19"/>
                <w:color w:val="auto"/>
              </w:rPr>
            </w:pPr>
          </w:p>
        </w:tc>
        <w:tc>
          <w:tcPr>
            <w:tcW w:w="3780" w:type="dxa"/>
            <w:vAlign w:val="bottom"/>
            <w:tcBorders>
              <w:top w:val="single" w:sz="8" w:color="auto"/>
            </w:tcBorders>
          </w:tcPr>
          <w:p>
            <w:pPr>
              <w:spacing w:after="0"/>
              <w:rPr>
                <w:sz w:val="19"/>
                <w:szCs w:val="19"/>
                <w:color w:val="auto"/>
              </w:rPr>
            </w:pPr>
          </w:p>
        </w:tc>
        <w:tc>
          <w:tcPr>
            <w:tcW w:w="2820" w:type="dxa"/>
            <w:vAlign w:val="bottom"/>
            <w:tcBorders>
              <w:top w:val="single" w:sz="8" w:color="auto"/>
            </w:tcBorders>
            <w:gridSpan w:val="2"/>
          </w:tcPr>
          <w:p>
            <w:pPr>
              <w:ind w:left="1600"/>
              <w:spacing w:after="0"/>
              <w:rPr>
                <w:sz w:val="20"/>
                <w:szCs w:val="20"/>
                <w:color w:val="auto"/>
              </w:rPr>
            </w:pPr>
            <w:r>
              <w:rPr>
                <w:rFonts w:ascii="Arial" w:cs="Arial" w:eastAsia="Arial" w:hAnsi="Arial"/>
                <w:sz w:val="18"/>
                <w:szCs w:val="18"/>
                <w:b w:val="1"/>
                <w:bCs w:val="1"/>
                <w:color w:val="auto"/>
              </w:rPr>
              <w:t>2014</w:t>
            </w:r>
          </w:p>
        </w:tc>
        <w:tc>
          <w:tcPr>
            <w:tcW w:w="1480" w:type="dxa"/>
            <w:vAlign w:val="bottom"/>
            <w:tcBorders>
              <w:top w:val="single" w:sz="8" w:color="auto"/>
            </w:tcBorders>
            <w:gridSpan w:val="2"/>
          </w:tcPr>
          <w:p>
            <w:pPr>
              <w:ind w:left="360"/>
              <w:spacing w:after="0"/>
              <w:rPr>
                <w:sz w:val="20"/>
                <w:szCs w:val="20"/>
                <w:color w:val="auto"/>
              </w:rPr>
            </w:pPr>
            <w:r>
              <w:rPr>
                <w:rFonts w:ascii="Arial" w:cs="Arial" w:eastAsia="Arial" w:hAnsi="Arial"/>
                <w:sz w:val="18"/>
                <w:szCs w:val="18"/>
                <w:color w:val="auto"/>
              </w:rPr>
              <w:t>2013</w:t>
            </w:r>
          </w:p>
        </w:tc>
        <w:tc>
          <w:tcPr>
            <w:tcW w:w="1160" w:type="dxa"/>
            <w:vAlign w:val="bottom"/>
            <w:tcBorders>
              <w:top w:val="single" w:sz="8" w:color="auto"/>
            </w:tcBorders>
            <w:gridSpan w:val="2"/>
          </w:tcPr>
          <w:p>
            <w:pPr>
              <w:ind w:left="220"/>
              <w:spacing w:after="0"/>
              <w:rPr>
                <w:sz w:val="20"/>
                <w:szCs w:val="20"/>
                <w:color w:val="auto"/>
              </w:rPr>
            </w:pPr>
            <w:r>
              <w:rPr>
                <w:rFonts w:ascii="Arial" w:cs="Arial" w:eastAsia="Arial" w:hAnsi="Arial"/>
                <w:sz w:val="18"/>
                <w:szCs w:val="18"/>
                <w:b w:val="1"/>
                <w:bCs w:val="1"/>
                <w:color w:val="auto"/>
              </w:rPr>
              <w:t>2013</w:t>
            </w:r>
          </w:p>
        </w:tc>
        <w:tc>
          <w:tcPr>
            <w:tcW w:w="1140" w:type="dxa"/>
            <w:vAlign w:val="bottom"/>
            <w:tcBorders>
              <w:top w:val="single" w:sz="8" w:color="auto"/>
            </w:tcBorders>
            <w:gridSpan w:val="2"/>
          </w:tcPr>
          <w:p>
            <w:pPr>
              <w:ind w:left="200"/>
              <w:spacing w:after="0"/>
              <w:rPr>
                <w:sz w:val="20"/>
                <w:szCs w:val="20"/>
                <w:color w:val="auto"/>
              </w:rPr>
            </w:pPr>
            <w:r>
              <w:rPr>
                <w:rFonts w:ascii="Arial" w:cs="Arial" w:eastAsia="Arial" w:hAnsi="Arial"/>
                <w:sz w:val="18"/>
                <w:szCs w:val="18"/>
                <w:color w:val="auto"/>
              </w:rPr>
              <w:t>2012</w:t>
            </w:r>
          </w:p>
        </w:tc>
        <w:tc>
          <w:tcPr>
            <w:tcW w:w="920" w:type="dxa"/>
            <w:vAlign w:val="bottom"/>
            <w:tcBorders>
              <w:top w:val="single" w:sz="8" w:color="auto"/>
            </w:tcBorders>
            <w:gridSpan w:val="2"/>
          </w:tcPr>
          <w:p>
            <w:pPr>
              <w:ind w:left="220"/>
              <w:spacing w:after="0"/>
              <w:rPr>
                <w:sz w:val="20"/>
                <w:szCs w:val="20"/>
                <w:color w:val="auto"/>
              </w:rPr>
            </w:pPr>
            <w:r>
              <w:rPr>
                <w:rFonts w:ascii="Arial" w:cs="Arial" w:eastAsia="Arial" w:hAnsi="Arial"/>
                <w:sz w:val="18"/>
                <w:szCs w:val="18"/>
                <w:color w:val="auto"/>
              </w:rPr>
              <w:t>2011</w:t>
            </w:r>
          </w:p>
        </w:tc>
        <w:tc>
          <w:tcPr>
            <w:tcW w:w="100" w:type="dxa"/>
            <w:vAlign w:val="bottom"/>
          </w:tcPr>
          <w:p>
            <w:pPr>
              <w:spacing w:after="0"/>
              <w:rPr>
                <w:sz w:val="19"/>
                <w:szCs w:val="19"/>
                <w:color w:val="auto"/>
              </w:rPr>
            </w:pPr>
          </w:p>
        </w:tc>
      </w:tr>
      <w:tr>
        <w:trPr>
          <w:trHeight w:val="216"/>
        </w:trPr>
        <w:tc>
          <w:tcPr>
            <w:tcW w:w="20" w:type="dxa"/>
            <w:vAlign w:val="bottom"/>
          </w:tcPr>
          <w:p>
            <w:pPr>
              <w:spacing w:after="0"/>
              <w:rPr>
                <w:sz w:val="18"/>
                <w:szCs w:val="18"/>
                <w:color w:val="auto"/>
              </w:rPr>
            </w:pPr>
          </w:p>
        </w:tc>
        <w:tc>
          <w:tcPr>
            <w:tcW w:w="3780" w:type="dxa"/>
            <w:vAlign w:val="bottom"/>
            <w:shd w:val="clear" w:color="auto" w:fill="CCEEFF"/>
          </w:tcPr>
          <w:p>
            <w:pPr>
              <w:spacing w:after="0"/>
              <w:rPr>
                <w:sz w:val="20"/>
                <w:szCs w:val="20"/>
                <w:color w:val="auto"/>
              </w:rPr>
            </w:pPr>
            <w:r>
              <w:rPr>
                <w:rFonts w:ascii="Arial" w:cs="Arial" w:eastAsia="Arial" w:hAnsi="Arial"/>
                <w:sz w:val="18"/>
                <w:szCs w:val="18"/>
                <w:color w:val="auto"/>
              </w:rPr>
              <w:t>Net sales</w:t>
            </w:r>
          </w:p>
        </w:tc>
        <w:tc>
          <w:tcPr>
            <w:tcW w:w="1720" w:type="dxa"/>
            <w:vAlign w:val="bottom"/>
            <w:shd w:val="clear" w:color="auto" w:fill="CCEEFF"/>
          </w:tcPr>
          <w:p>
            <w:pPr>
              <w:ind w:left="1580"/>
              <w:spacing w:after="0"/>
              <w:rPr>
                <w:sz w:val="20"/>
                <w:szCs w:val="20"/>
                <w:color w:val="auto"/>
              </w:rPr>
            </w:pPr>
            <w:r>
              <w:rPr>
                <w:rFonts w:ascii="Arial" w:cs="Arial" w:eastAsia="Arial" w:hAnsi="Arial"/>
                <w:sz w:val="18"/>
                <w:szCs w:val="18"/>
                <w:b w:val="1"/>
                <w:bCs w:val="1"/>
                <w:color w:val="auto"/>
              </w:rPr>
              <w:t>$</w:t>
            </w:r>
          </w:p>
        </w:tc>
        <w:tc>
          <w:tcPr>
            <w:tcW w:w="1100" w:type="dxa"/>
            <w:vAlign w:val="bottom"/>
            <w:shd w:val="clear" w:color="auto" w:fill="CCEEFF"/>
          </w:tcPr>
          <w:p>
            <w:pPr>
              <w:jc w:val="right"/>
              <w:ind w:right="230"/>
              <w:spacing w:after="0"/>
              <w:rPr>
                <w:sz w:val="20"/>
                <w:szCs w:val="20"/>
                <w:color w:val="auto"/>
              </w:rPr>
            </w:pPr>
            <w:r>
              <w:rPr>
                <w:rFonts w:ascii="Arial" w:cs="Arial" w:eastAsia="Arial" w:hAnsi="Arial"/>
                <w:sz w:val="18"/>
                <w:szCs w:val="18"/>
                <w:b w:val="1"/>
                <w:bCs w:val="1"/>
                <w:color w:val="auto"/>
              </w:rPr>
              <w:t>389.5</w:t>
            </w:r>
          </w:p>
        </w:tc>
        <w:tc>
          <w:tcPr>
            <w:tcW w:w="480" w:type="dxa"/>
            <w:vAlign w:val="bottom"/>
            <w:shd w:val="clear" w:color="auto" w:fill="CCEEFF"/>
          </w:tcPr>
          <w:p>
            <w:pPr>
              <w:ind w:left="340"/>
              <w:spacing w:after="0"/>
              <w:rPr>
                <w:sz w:val="20"/>
                <w:szCs w:val="20"/>
                <w:color w:val="auto"/>
              </w:rPr>
            </w:pPr>
            <w:r>
              <w:rPr>
                <w:rFonts w:ascii="Arial" w:cs="Arial" w:eastAsia="Arial" w:hAnsi="Arial"/>
                <w:sz w:val="18"/>
                <w:szCs w:val="18"/>
                <w:color w:val="auto"/>
              </w:rPr>
              <w:t>$</w:t>
            </w:r>
          </w:p>
        </w:tc>
        <w:tc>
          <w:tcPr>
            <w:tcW w:w="1000" w:type="dxa"/>
            <w:vAlign w:val="bottom"/>
            <w:shd w:val="clear" w:color="auto" w:fill="CCEEFF"/>
          </w:tcPr>
          <w:p>
            <w:pPr>
              <w:jc w:val="right"/>
              <w:ind w:right="110"/>
              <w:spacing w:after="0"/>
              <w:rPr>
                <w:sz w:val="20"/>
                <w:szCs w:val="20"/>
                <w:color w:val="auto"/>
              </w:rPr>
            </w:pPr>
            <w:r>
              <w:rPr>
                <w:rFonts w:ascii="Arial" w:cs="Arial" w:eastAsia="Arial" w:hAnsi="Arial"/>
                <w:sz w:val="18"/>
                <w:szCs w:val="18"/>
                <w:color w:val="auto"/>
              </w:rPr>
              <w:t>346.3</w:t>
            </w:r>
          </w:p>
        </w:tc>
        <w:tc>
          <w:tcPr>
            <w:tcW w:w="360" w:type="dxa"/>
            <w:vAlign w:val="bottom"/>
            <w:shd w:val="clear" w:color="auto" w:fill="CCEEFF"/>
          </w:tcPr>
          <w:p>
            <w:pPr>
              <w:ind w:left="220"/>
              <w:spacing w:after="0"/>
              <w:rPr>
                <w:sz w:val="20"/>
                <w:szCs w:val="20"/>
                <w:color w:val="auto"/>
              </w:rPr>
            </w:pPr>
            <w:r>
              <w:rPr>
                <w:rFonts w:ascii="Arial" w:cs="Arial" w:eastAsia="Arial" w:hAnsi="Arial"/>
                <w:sz w:val="18"/>
                <w:szCs w:val="18"/>
                <w:b w:val="1"/>
                <w:bCs w:val="1"/>
                <w:color w:val="auto"/>
              </w:rPr>
              <w:t>$</w:t>
            </w:r>
          </w:p>
        </w:tc>
        <w:tc>
          <w:tcPr>
            <w:tcW w:w="800" w:type="dxa"/>
            <w:vAlign w:val="bottom"/>
            <w:shd w:val="clear" w:color="auto" w:fill="CCEEFF"/>
          </w:tcPr>
          <w:p>
            <w:pPr>
              <w:jc w:val="right"/>
              <w:ind w:right="130"/>
              <w:spacing w:after="0"/>
              <w:rPr>
                <w:sz w:val="20"/>
                <w:szCs w:val="20"/>
                <w:color w:val="auto"/>
              </w:rPr>
            </w:pPr>
            <w:r>
              <w:rPr>
                <w:rFonts w:ascii="Arial" w:cs="Arial" w:eastAsia="Arial" w:hAnsi="Arial"/>
                <w:sz w:val="18"/>
                <w:szCs w:val="18"/>
                <w:b w:val="1"/>
                <w:bCs w:val="1"/>
                <w:color w:val="auto"/>
                <w:w w:val="93"/>
              </w:rPr>
              <w:t>1,380.9</w:t>
            </w:r>
          </w:p>
        </w:tc>
        <w:tc>
          <w:tcPr>
            <w:tcW w:w="340" w:type="dxa"/>
            <w:vAlign w:val="bottom"/>
            <w:shd w:val="clear" w:color="auto" w:fill="CCEEFF"/>
          </w:tcPr>
          <w:p>
            <w:pPr>
              <w:ind w:left="200"/>
              <w:spacing w:after="0"/>
              <w:rPr>
                <w:sz w:val="20"/>
                <w:szCs w:val="20"/>
                <w:color w:val="auto"/>
              </w:rPr>
            </w:pPr>
            <w:r>
              <w:rPr>
                <w:rFonts w:ascii="Arial" w:cs="Arial" w:eastAsia="Arial" w:hAnsi="Arial"/>
                <w:sz w:val="18"/>
                <w:szCs w:val="18"/>
                <w:color w:val="auto"/>
              </w:rPr>
              <w:t>$</w:t>
            </w:r>
          </w:p>
        </w:tc>
        <w:tc>
          <w:tcPr>
            <w:tcW w:w="800" w:type="dxa"/>
            <w:vAlign w:val="bottom"/>
            <w:shd w:val="clear" w:color="auto" w:fill="CCEEFF"/>
          </w:tcPr>
          <w:p>
            <w:pPr>
              <w:jc w:val="right"/>
              <w:ind w:right="110"/>
              <w:spacing w:after="0"/>
              <w:rPr>
                <w:sz w:val="20"/>
                <w:szCs w:val="20"/>
                <w:color w:val="auto"/>
              </w:rPr>
            </w:pPr>
            <w:r>
              <w:rPr>
                <w:rFonts w:ascii="Arial" w:cs="Arial" w:eastAsia="Arial" w:hAnsi="Arial"/>
                <w:sz w:val="18"/>
                <w:szCs w:val="18"/>
                <w:color w:val="auto"/>
                <w:w w:val="96"/>
              </w:rPr>
              <w:t>1,728.7</w:t>
            </w:r>
          </w:p>
        </w:tc>
        <w:tc>
          <w:tcPr>
            <w:tcW w:w="340" w:type="dxa"/>
            <w:vAlign w:val="bottom"/>
            <w:shd w:val="clear" w:color="auto" w:fill="CCEEFF"/>
          </w:tcPr>
          <w:p>
            <w:pPr>
              <w:ind w:left="200"/>
              <w:spacing w:after="0"/>
              <w:rPr>
                <w:sz w:val="20"/>
                <w:szCs w:val="20"/>
                <w:color w:val="auto"/>
              </w:rPr>
            </w:pPr>
            <w:r>
              <w:rPr>
                <w:rFonts w:ascii="Arial" w:cs="Arial" w:eastAsia="Arial" w:hAnsi="Arial"/>
                <w:sz w:val="18"/>
                <w:szCs w:val="18"/>
                <w:color w:val="auto"/>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3"/>
              </w:rPr>
              <w:t>1,956.5</w:t>
            </w:r>
          </w:p>
        </w:tc>
        <w:tc>
          <w:tcPr>
            <w:tcW w:w="10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3780" w:type="dxa"/>
            <w:vAlign w:val="bottom"/>
          </w:tcPr>
          <w:p>
            <w:pPr>
              <w:spacing w:after="0"/>
              <w:rPr>
                <w:sz w:val="20"/>
                <w:szCs w:val="20"/>
                <w:color w:val="auto"/>
              </w:rPr>
            </w:pPr>
            <w:r>
              <w:rPr>
                <w:rFonts w:ascii="Arial" w:cs="Arial" w:eastAsia="Arial" w:hAnsi="Arial"/>
                <w:sz w:val="18"/>
                <w:szCs w:val="18"/>
                <w:color w:val="auto"/>
              </w:rPr>
              <w:t>Less: surcharge revenue</w:t>
            </w:r>
          </w:p>
        </w:tc>
        <w:tc>
          <w:tcPr>
            <w:tcW w:w="1720" w:type="dxa"/>
            <w:vAlign w:val="bottom"/>
          </w:tcPr>
          <w:p>
            <w:pPr>
              <w:spacing w:after="0"/>
              <w:rPr>
                <w:sz w:val="18"/>
                <w:szCs w:val="18"/>
                <w:color w:val="auto"/>
              </w:rPr>
            </w:pPr>
          </w:p>
        </w:tc>
        <w:tc>
          <w:tcPr>
            <w:tcW w:w="1100" w:type="dxa"/>
            <w:vAlign w:val="bottom"/>
          </w:tcPr>
          <w:p>
            <w:pPr>
              <w:jc w:val="right"/>
              <w:ind w:right="230"/>
              <w:spacing w:after="0"/>
              <w:rPr>
                <w:sz w:val="20"/>
                <w:szCs w:val="20"/>
                <w:color w:val="auto"/>
              </w:rPr>
            </w:pPr>
            <w:r>
              <w:rPr>
                <w:rFonts w:ascii="Arial" w:cs="Arial" w:eastAsia="Arial" w:hAnsi="Arial"/>
                <w:sz w:val="18"/>
                <w:szCs w:val="18"/>
                <w:b w:val="1"/>
                <w:bCs w:val="1"/>
                <w:color w:val="auto"/>
              </w:rPr>
              <w:t>89.5</w:t>
            </w:r>
          </w:p>
        </w:tc>
        <w:tc>
          <w:tcPr>
            <w:tcW w:w="480" w:type="dxa"/>
            <w:vAlign w:val="bottom"/>
          </w:tcPr>
          <w:p>
            <w:pPr>
              <w:spacing w:after="0"/>
              <w:rPr>
                <w:sz w:val="18"/>
                <w:szCs w:val="18"/>
                <w:color w:val="auto"/>
              </w:rPr>
            </w:pPr>
          </w:p>
        </w:tc>
        <w:tc>
          <w:tcPr>
            <w:tcW w:w="1000" w:type="dxa"/>
            <w:vAlign w:val="bottom"/>
          </w:tcPr>
          <w:p>
            <w:pPr>
              <w:jc w:val="right"/>
              <w:ind w:right="110"/>
              <w:spacing w:after="0"/>
              <w:rPr>
                <w:sz w:val="20"/>
                <w:szCs w:val="20"/>
                <w:color w:val="auto"/>
              </w:rPr>
            </w:pPr>
            <w:r>
              <w:rPr>
                <w:rFonts w:ascii="Arial" w:cs="Arial" w:eastAsia="Arial" w:hAnsi="Arial"/>
                <w:sz w:val="18"/>
                <w:szCs w:val="18"/>
                <w:color w:val="auto"/>
              </w:rPr>
              <w:t>72.7</w:t>
            </w:r>
          </w:p>
        </w:tc>
        <w:tc>
          <w:tcPr>
            <w:tcW w:w="360" w:type="dxa"/>
            <w:vAlign w:val="bottom"/>
          </w:tcPr>
          <w:p>
            <w:pPr>
              <w:spacing w:after="0"/>
              <w:rPr>
                <w:sz w:val="18"/>
                <w:szCs w:val="18"/>
                <w:color w:val="auto"/>
              </w:rPr>
            </w:pPr>
          </w:p>
        </w:tc>
        <w:tc>
          <w:tcPr>
            <w:tcW w:w="800" w:type="dxa"/>
            <w:vAlign w:val="bottom"/>
          </w:tcPr>
          <w:p>
            <w:pPr>
              <w:jc w:val="right"/>
              <w:ind w:right="130"/>
              <w:spacing w:after="0"/>
              <w:rPr>
                <w:sz w:val="20"/>
                <w:szCs w:val="20"/>
                <w:color w:val="auto"/>
              </w:rPr>
            </w:pPr>
            <w:r>
              <w:rPr>
                <w:rFonts w:ascii="Arial" w:cs="Arial" w:eastAsia="Arial" w:hAnsi="Arial"/>
                <w:sz w:val="18"/>
                <w:szCs w:val="18"/>
                <w:b w:val="1"/>
                <w:bCs w:val="1"/>
                <w:color w:val="auto"/>
              </w:rPr>
              <w:t>300.2</w:t>
            </w:r>
          </w:p>
        </w:tc>
        <w:tc>
          <w:tcPr>
            <w:tcW w:w="340" w:type="dxa"/>
            <w:vAlign w:val="bottom"/>
          </w:tcPr>
          <w:p>
            <w:pPr>
              <w:spacing w:after="0"/>
              <w:rPr>
                <w:sz w:val="18"/>
                <w:szCs w:val="18"/>
                <w:color w:val="auto"/>
              </w:rPr>
            </w:pPr>
          </w:p>
        </w:tc>
        <w:tc>
          <w:tcPr>
            <w:tcW w:w="800" w:type="dxa"/>
            <w:vAlign w:val="bottom"/>
          </w:tcPr>
          <w:p>
            <w:pPr>
              <w:jc w:val="right"/>
              <w:ind w:right="110"/>
              <w:spacing w:after="0"/>
              <w:rPr>
                <w:sz w:val="20"/>
                <w:szCs w:val="20"/>
                <w:color w:val="auto"/>
              </w:rPr>
            </w:pPr>
            <w:r>
              <w:rPr>
                <w:rFonts w:ascii="Arial" w:cs="Arial" w:eastAsia="Arial" w:hAnsi="Arial"/>
                <w:sz w:val="18"/>
                <w:szCs w:val="18"/>
                <w:color w:val="auto"/>
              </w:rPr>
              <w:t>417.0</w:t>
            </w:r>
          </w:p>
        </w:tc>
        <w:tc>
          <w:tcPr>
            <w:tcW w:w="34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581.8</w:t>
            </w:r>
          </w:p>
        </w:tc>
        <w:tc>
          <w:tcPr>
            <w:tcW w:w="100" w:type="dxa"/>
            <w:vAlign w:val="bottom"/>
          </w:tcPr>
          <w:p>
            <w:pPr>
              <w:spacing w:after="0"/>
              <w:rPr>
                <w:sz w:val="18"/>
                <w:szCs w:val="18"/>
                <w:color w:val="auto"/>
              </w:rPr>
            </w:pPr>
          </w:p>
        </w:tc>
      </w:tr>
      <w:tr>
        <w:trPr>
          <w:trHeight w:val="223"/>
        </w:trPr>
        <w:tc>
          <w:tcPr>
            <w:tcW w:w="20" w:type="dxa"/>
            <w:vAlign w:val="bottom"/>
          </w:tcPr>
          <w:p>
            <w:pPr>
              <w:spacing w:after="0"/>
              <w:rPr>
                <w:sz w:val="19"/>
                <w:szCs w:val="19"/>
                <w:color w:val="auto"/>
              </w:rPr>
            </w:pPr>
          </w:p>
        </w:tc>
        <w:tc>
          <w:tcPr>
            <w:tcW w:w="378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color w:val="auto"/>
              </w:rPr>
              <w:t>Net sales, excluding surcharges</w:t>
            </w:r>
          </w:p>
        </w:tc>
        <w:tc>
          <w:tcPr>
            <w:tcW w:w="1720" w:type="dxa"/>
            <w:vAlign w:val="bottom"/>
            <w:tcBorders>
              <w:bottom w:val="single" w:sz="8" w:color="auto"/>
            </w:tcBorders>
            <w:shd w:val="clear" w:color="auto" w:fill="CCEEFF"/>
          </w:tcPr>
          <w:p>
            <w:pPr>
              <w:ind w:left="1580"/>
              <w:spacing w:after="0"/>
              <w:rPr>
                <w:sz w:val="20"/>
                <w:szCs w:val="20"/>
                <w:color w:val="auto"/>
              </w:rPr>
            </w:pPr>
            <w:r>
              <w:rPr>
                <w:rFonts w:ascii="Arial" w:cs="Arial" w:eastAsia="Arial" w:hAnsi="Arial"/>
                <w:sz w:val="18"/>
                <w:szCs w:val="18"/>
                <w:b w:val="1"/>
                <w:bCs w:val="1"/>
                <w:color w:val="auto"/>
              </w:rPr>
              <w:t>$</w:t>
            </w:r>
          </w:p>
        </w:tc>
        <w:tc>
          <w:tcPr>
            <w:tcW w:w="1100" w:type="dxa"/>
            <w:vAlign w:val="bottom"/>
            <w:tcBorders>
              <w:bottom w:val="single" w:sz="8" w:color="auto"/>
            </w:tcBorders>
            <w:shd w:val="clear" w:color="auto" w:fill="CCEEFF"/>
          </w:tcPr>
          <w:p>
            <w:pPr>
              <w:jc w:val="right"/>
              <w:ind w:right="230"/>
              <w:spacing w:after="0"/>
              <w:rPr>
                <w:sz w:val="20"/>
                <w:szCs w:val="20"/>
                <w:color w:val="auto"/>
              </w:rPr>
            </w:pPr>
            <w:r>
              <w:rPr>
                <w:rFonts w:ascii="Arial" w:cs="Arial" w:eastAsia="Arial" w:hAnsi="Arial"/>
                <w:sz w:val="18"/>
                <w:szCs w:val="18"/>
                <w:b w:val="1"/>
                <w:bCs w:val="1"/>
                <w:color w:val="auto"/>
              </w:rPr>
              <w:t>300.0</w:t>
            </w:r>
          </w:p>
        </w:tc>
        <w:tc>
          <w:tcPr>
            <w:tcW w:w="480" w:type="dxa"/>
            <w:vAlign w:val="bottom"/>
            <w:tcBorders>
              <w:bottom w:val="single" w:sz="8" w:color="auto"/>
            </w:tcBorders>
            <w:shd w:val="clear" w:color="auto" w:fill="CCEEFF"/>
          </w:tcPr>
          <w:p>
            <w:pPr>
              <w:ind w:left="340"/>
              <w:spacing w:after="0"/>
              <w:rPr>
                <w:sz w:val="20"/>
                <w:szCs w:val="20"/>
                <w:color w:val="auto"/>
              </w:rPr>
            </w:pPr>
            <w:r>
              <w:rPr>
                <w:rFonts w:ascii="Arial" w:cs="Arial" w:eastAsia="Arial" w:hAnsi="Arial"/>
                <w:sz w:val="18"/>
                <w:szCs w:val="18"/>
                <w:color w:val="auto"/>
              </w:rPr>
              <w:t>$</w:t>
            </w:r>
          </w:p>
        </w:tc>
        <w:tc>
          <w:tcPr>
            <w:tcW w:w="1000" w:type="dxa"/>
            <w:vAlign w:val="bottom"/>
            <w:tcBorders>
              <w:bottom w:val="single" w:sz="8" w:color="auto"/>
            </w:tcBorders>
            <w:shd w:val="clear" w:color="auto" w:fill="CCEEFF"/>
          </w:tcPr>
          <w:p>
            <w:pPr>
              <w:jc w:val="right"/>
              <w:ind w:right="110"/>
              <w:spacing w:after="0"/>
              <w:rPr>
                <w:sz w:val="20"/>
                <w:szCs w:val="20"/>
                <w:color w:val="auto"/>
              </w:rPr>
            </w:pPr>
            <w:r>
              <w:rPr>
                <w:rFonts w:ascii="Arial" w:cs="Arial" w:eastAsia="Arial" w:hAnsi="Arial"/>
                <w:sz w:val="18"/>
                <w:szCs w:val="18"/>
                <w:color w:val="auto"/>
              </w:rPr>
              <w:t>273.6</w:t>
            </w:r>
          </w:p>
        </w:tc>
        <w:tc>
          <w:tcPr>
            <w:tcW w:w="360" w:type="dxa"/>
            <w:vAlign w:val="bottom"/>
            <w:tcBorders>
              <w:bottom w:val="single" w:sz="8" w:color="auto"/>
            </w:tcBorders>
            <w:shd w:val="clear" w:color="auto" w:fill="CCEEFF"/>
          </w:tcPr>
          <w:p>
            <w:pPr>
              <w:spacing w:after="0"/>
              <w:rPr>
                <w:sz w:val="19"/>
                <w:szCs w:val="19"/>
                <w:color w:val="auto"/>
              </w:rPr>
            </w:pPr>
          </w:p>
        </w:tc>
        <w:tc>
          <w:tcPr>
            <w:tcW w:w="800" w:type="dxa"/>
            <w:vAlign w:val="bottom"/>
            <w:tcBorders>
              <w:bottom w:val="single" w:sz="8" w:color="auto"/>
            </w:tcBorders>
            <w:shd w:val="clear" w:color="auto" w:fill="CCEEFF"/>
          </w:tcPr>
          <w:p>
            <w:pPr>
              <w:jc w:val="right"/>
              <w:ind w:right="130"/>
              <w:spacing w:after="0"/>
              <w:rPr>
                <w:sz w:val="20"/>
                <w:szCs w:val="20"/>
                <w:color w:val="auto"/>
              </w:rPr>
            </w:pPr>
            <w:r>
              <w:rPr>
                <w:rFonts w:ascii="Arial" w:cs="Arial" w:eastAsia="Arial" w:hAnsi="Arial"/>
                <w:sz w:val="18"/>
                <w:szCs w:val="18"/>
                <w:b w:val="1"/>
                <w:bCs w:val="1"/>
                <w:color w:val="auto"/>
                <w:w w:val="93"/>
              </w:rPr>
              <w:t>1,080.7</w:t>
            </w:r>
          </w:p>
        </w:tc>
        <w:tc>
          <w:tcPr>
            <w:tcW w:w="340" w:type="dxa"/>
            <w:vAlign w:val="bottom"/>
            <w:tcBorders>
              <w:bottom w:val="single" w:sz="8" w:color="auto"/>
            </w:tcBorders>
            <w:shd w:val="clear" w:color="auto" w:fill="CCEEFF"/>
          </w:tcPr>
          <w:p>
            <w:pPr>
              <w:spacing w:after="0"/>
              <w:rPr>
                <w:sz w:val="19"/>
                <w:szCs w:val="19"/>
                <w:color w:val="auto"/>
              </w:rPr>
            </w:pPr>
          </w:p>
        </w:tc>
        <w:tc>
          <w:tcPr>
            <w:tcW w:w="800" w:type="dxa"/>
            <w:vAlign w:val="bottom"/>
            <w:tcBorders>
              <w:bottom w:val="single" w:sz="8" w:color="auto"/>
            </w:tcBorders>
            <w:shd w:val="clear" w:color="auto" w:fill="CCEEFF"/>
          </w:tcPr>
          <w:p>
            <w:pPr>
              <w:jc w:val="right"/>
              <w:ind w:right="110"/>
              <w:spacing w:after="0"/>
              <w:rPr>
                <w:sz w:val="20"/>
                <w:szCs w:val="20"/>
                <w:color w:val="auto"/>
              </w:rPr>
            </w:pPr>
            <w:r>
              <w:rPr>
                <w:rFonts w:ascii="Arial" w:cs="Arial" w:eastAsia="Arial" w:hAnsi="Arial"/>
                <w:sz w:val="18"/>
                <w:szCs w:val="18"/>
                <w:color w:val="auto"/>
                <w:w w:val="96"/>
              </w:rPr>
              <w:t>1,311.7</w:t>
            </w:r>
          </w:p>
        </w:tc>
        <w:tc>
          <w:tcPr>
            <w:tcW w:w="340" w:type="dxa"/>
            <w:vAlign w:val="bottom"/>
            <w:tcBorders>
              <w:bottom w:val="single" w:sz="8" w:color="auto"/>
            </w:tcBorders>
            <w:shd w:val="clear" w:color="auto" w:fill="CCEEFF"/>
          </w:tcPr>
          <w:p>
            <w:pPr>
              <w:spacing w:after="0"/>
              <w:rPr>
                <w:sz w:val="19"/>
                <w:szCs w:val="19"/>
                <w:color w:val="auto"/>
              </w:rPr>
            </w:pPr>
          </w:p>
        </w:tc>
        <w:tc>
          <w:tcPr>
            <w:tcW w:w="5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3"/>
              </w:rPr>
              <w:t>1,374.7</w:t>
            </w:r>
          </w:p>
        </w:tc>
        <w:tc>
          <w:tcPr>
            <w:tcW w:w="100" w:type="dxa"/>
            <w:vAlign w:val="bottom"/>
            <w:shd w:val="clear" w:color="auto" w:fill="CCEEFF"/>
          </w:tcPr>
          <w:p>
            <w:pPr>
              <w:spacing w:after="0"/>
              <w:rPr>
                <w:sz w:val="19"/>
                <w:szCs w:val="19"/>
                <w:color w:val="auto"/>
              </w:rPr>
            </w:pPr>
          </w:p>
        </w:tc>
      </w:tr>
      <w:tr>
        <w:trPr>
          <w:trHeight w:val="378"/>
        </w:trPr>
        <w:tc>
          <w:tcPr>
            <w:tcW w:w="3800" w:type="dxa"/>
            <w:vAlign w:val="bottom"/>
            <w:gridSpan w:val="2"/>
          </w:tcPr>
          <w:p>
            <w:pPr>
              <w:spacing w:after="0"/>
              <w:rPr>
                <w:sz w:val="24"/>
                <w:szCs w:val="24"/>
                <w:color w:val="auto"/>
              </w:rPr>
            </w:pPr>
          </w:p>
        </w:tc>
        <w:tc>
          <w:tcPr>
            <w:tcW w:w="4300" w:type="dxa"/>
            <w:vAlign w:val="bottom"/>
            <w:gridSpan w:val="4"/>
          </w:tcPr>
          <w:p>
            <w:pPr>
              <w:spacing w:after="0"/>
              <w:rPr>
                <w:sz w:val="24"/>
                <w:szCs w:val="24"/>
                <w:color w:val="auto"/>
              </w:rPr>
            </w:pPr>
          </w:p>
        </w:tc>
        <w:tc>
          <w:tcPr>
            <w:tcW w:w="360" w:type="dxa"/>
            <w:vAlign w:val="bottom"/>
          </w:tcPr>
          <w:p>
            <w:pPr>
              <w:spacing w:after="0"/>
              <w:rPr>
                <w:sz w:val="24"/>
                <w:szCs w:val="24"/>
                <w:color w:val="auto"/>
              </w:rPr>
            </w:pPr>
          </w:p>
        </w:tc>
        <w:tc>
          <w:tcPr>
            <w:tcW w:w="2960" w:type="dxa"/>
            <w:vAlign w:val="bottom"/>
            <w:gridSpan w:val="6"/>
          </w:tcPr>
          <w:p>
            <w:pPr>
              <w:spacing w:after="0"/>
              <w:rPr>
                <w:sz w:val="24"/>
                <w:szCs w:val="24"/>
                <w:color w:val="auto"/>
              </w:rPr>
            </w:pPr>
          </w:p>
        </w:tc>
      </w:tr>
      <w:tr>
        <w:trPr>
          <w:trHeight w:val="223"/>
        </w:trPr>
        <w:tc>
          <w:tcPr>
            <w:tcW w:w="20" w:type="dxa"/>
            <w:vAlign w:val="bottom"/>
          </w:tcPr>
          <w:p>
            <w:pPr>
              <w:spacing w:after="0"/>
              <w:rPr>
                <w:sz w:val="19"/>
                <w:szCs w:val="19"/>
                <w:color w:val="auto"/>
              </w:rPr>
            </w:pPr>
          </w:p>
        </w:tc>
        <w:tc>
          <w:tcPr>
            <w:tcW w:w="378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b w:val="1"/>
                <w:bCs w:val="1"/>
                <w:color w:val="auto"/>
              </w:rPr>
              <w:t>Industrial &amp; Mobile</w:t>
            </w:r>
          </w:p>
        </w:tc>
        <w:tc>
          <w:tcPr>
            <w:tcW w:w="4300" w:type="dxa"/>
            <w:vAlign w:val="bottom"/>
            <w:tcBorders>
              <w:top w:val="single" w:sz="8" w:color="auto"/>
              <w:bottom w:val="single" w:sz="8" w:color="auto"/>
            </w:tcBorders>
            <w:gridSpan w:val="4"/>
          </w:tcPr>
          <w:p>
            <w:pPr>
              <w:jc w:val="right"/>
              <w:ind w:right="230"/>
              <w:spacing w:after="0"/>
              <w:rPr>
                <w:sz w:val="20"/>
                <w:szCs w:val="20"/>
                <w:color w:val="auto"/>
              </w:rPr>
            </w:pPr>
            <w:r>
              <w:rPr>
                <w:rFonts w:ascii="Arial" w:cs="Arial" w:eastAsia="Arial" w:hAnsi="Arial"/>
                <w:sz w:val="18"/>
                <w:szCs w:val="18"/>
                <w:b w:val="1"/>
                <w:bCs w:val="1"/>
                <w:color w:val="auto"/>
              </w:rPr>
              <w:t>Three Months Ended March 31,</w:t>
            </w:r>
          </w:p>
        </w:tc>
        <w:tc>
          <w:tcPr>
            <w:tcW w:w="360" w:type="dxa"/>
            <w:vAlign w:val="bottom"/>
            <w:tcBorders>
              <w:top w:val="single" w:sz="8" w:color="auto"/>
              <w:bottom w:val="single" w:sz="8" w:color="auto"/>
            </w:tcBorders>
          </w:tcPr>
          <w:p>
            <w:pPr>
              <w:spacing w:after="0"/>
              <w:rPr>
                <w:sz w:val="19"/>
                <w:szCs w:val="19"/>
                <w:color w:val="auto"/>
              </w:rPr>
            </w:pPr>
          </w:p>
        </w:tc>
        <w:tc>
          <w:tcPr>
            <w:tcW w:w="2860" w:type="dxa"/>
            <w:vAlign w:val="bottom"/>
            <w:tcBorders>
              <w:top w:val="single" w:sz="8" w:color="auto"/>
              <w:bottom w:val="single" w:sz="8" w:color="auto"/>
            </w:tcBorders>
            <w:gridSpan w:val="5"/>
          </w:tcPr>
          <w:p>
            <w:pPr>
              <w:jc w:val="center"/>
              <w:ind w:right="50"/>
              <w:spacing w:after="0"/>
              <w:rPr>
                <w:sz w:val="20"/>
                <w:szCs w:val="20"/>
                <w:color w:val="auto"/>
              </w:rPr>
            </w:pPr>
            <w:r>
              <w:rPr>
                <w:rFonts w:ascii="Arial" w:cs="Arial" w:eastAsia="Arial" w:hAnsi="Arial"/>
                <w:sz w:val="18"/>
                <w:szCs w:val="18"/>
                <w:b w:val="1"/>
                <w:bCs w:val="1"/>
                <w:color w:val="auto"/>
                <w:w w:val="89"/>
              </w:rPr>
              <w:t>Years Ended December 31,</w:t>
            </w:r>
          </w:p>
        </w:tc>
        <w:tc>
          <w:tcPr>
            <w:tcW w:w="100" w:type="dxa"/>
            <w:vAlign w:val="bottom"/>
          </w:tcPr>
          <w:p>
            <w:pPr>
              <w:spacing w:after="0"/>
              <w:rPr>
                <w:sz w:val="19"/>
                <w:szCs w:val="19"/>
                <w:color w:val="auto"/>
              </w:rPr>
            </w:pPr>
          </w:p>
        </w:tc>
      </w:tr>
      <w:tr>
        <w:trPr>
          <w:trHeight w:val="223"/>
        </w:trPr>
        <w:tc>
          <w:tcPr>
            <w:tcW w:w="20" w:type="dxa"/>
            <w:vAlign w:val="bottom"/>
          </w:tcPr>
          <w:p>
            <w:pPr>
              <w:spacing w:after="0"/>
              <w:rPr>
                <w:sz w:val="19"/>
                <w:szCs w:val="19"/>
                <w:color w:val="auto"/>
              </w:rPr>
            </w:pPr>
          </w:p>
        </w:tc>
        <w:tc>
          <w:tcPr>
            <w:tcW w:w="3780" w:type="dxa"/>
            <w:vAlign w:val="bottom"/>
          </w:tcPr>
          <w:p>
            <w:pPr>
              <w:spacing w:after="0"/>
              <w:rPr>
                <w:sz w:val="19"/>
                <w:szCs w:val="19"/>
                <w:color w:val="auto"/>
              </w:rPr>
            </w:pPr>
          </w:p>
        </w:tc>
        <w:tc>
          <w:tcPr>
            <w:tcW w:w="1720" w:type="dxa"/>
            <w:vAlign w:val="bottom"/>
          </w:tcPr>
          <w:p>
            <w:pPr>
              <w:spacing w:after="0"/>
              <w:rPr>
                <w:sz w:val="19"/>
                <w:szCs w:val="19"/>
                <w:color w:val="auto"/>
              </w:rPr>
            </w:pPr>
          </w:p>
        </w:tc>
        <w:tc>
          <w:tcPr>
            <w:tcW w:w="1100" w:type="dxa"/>
            <w:vAlign w:val="bottom"/>
          </w:tcPr>
          <w:p>
            <w:pPr>
              <w:jc w:val="right"/>
              <w:ind w:right="590"/>
              <w:spacing w:after="0"/>
              <w:rPr>
                <w:sz w:val="20"/>
                <w:szCs w:val="20"/>
                <w:color w:val="auto"/>
              </w:rPr>
            </w:pPr>
            <w:r>
              <w:rPr>
                <w:rFonts w:ascii="Arial" w:cs="Arial" w:eastAsia="Arial" w:hAnsi="Arial"/>
                <w:sz w:val="18"/>
                <w:szCs w:val="18"/>
                <w:b w:val="1"/>
                <w:bCs w:val="1"/>
                <w:color w:val="auto"/>
                <w:w w:val="99"/>
              </w:rPr>
              <w:t>2014</w:t>
            </w:r>
          </w:p>
        </w:tc>
        <w:tc>
          <w:tcPr>
            <w:tcW w:w="480" w:type="dxa"/>
            <w:vAlign w:val="bottom"/>
          </w:tcPr>
          <w:p>
            <w:pPr>
              <w:spacing w:after="0"/>
              <w:rPr>
                <w:sz w:val="19"/>
                <w:szCs w:val="19"/>
                <w:color w:val="auto"/>
              </w:rPr>
            </w:pPr>
          </w:p>
        </w:tc>
        <w:tc>
          <w:tcPr>
            <w:tcW w:w="1000" w:type="dxa"/>
            <w:vAlign w:val="bottom"/>
          </w:tcPr>
          <w:p>
            <w:pPr>
              <w:jc w:val="right"/>
              <w:ind w:right="490"/>
              <w:spacing w:after="0"/>
              <w:rPr>
                <w:sz w:val="20"/>
                <w:szCs w:val="20"/>
                <w:color w:val="auto"/>
              </w:rPr>
            </w:pPr>
            <w:r>
              <w:rPr>
                <w:rFonts w:ascii="Arial" w:cs="Arial" w:eastAsia="Arial" w:hAnsi="Arial"/>
                <w:sz w:val="18"/>
                <w:szCs w:val="18"/>
                <w:color w:val="auto"/>
                <w:w w:val="99"/>
              </w:rPr>
              <w:t>2013</w:t>
            </w:r>
          </w:p>
        </w:tc>
        <w:tc>
          <w:tcPr>
            <w:tcW w:w="360" w:type="dxa"/>
            <w:vAlign w:val="bottom"/>
          </w:tcPr>
          <w:p>
            <w:pPr>
              <w:spacing w:after="0"/>
              <w:rPr>
                <w:sz w:val="19"/>
                <w:szCs w:val="19"/>
                <w:color w:val="auto"/>
              </w:rPr>
            </w:pPr>
          </w:p>
        </w:tc>
        <w:tc>
          <w:tcPr>
            <w:tcW w:w="800" w:type="dxa"/>
            <w:vAlign w:val="bottom"/>
          </w:tcPr>
          <w:p>
            <w:pPr>
              <w:jc w:val="right"/>
              <w:ind w:right="310"/>
              <w:spacing w:after="0"/>
              <w:rPr>
                <w:sz w:val="20"/>
                <w:szCs w:val="20"/>
                <w:color w:val="auto"/>
              </w:rPr>
            </w:pPr>
            <w:r>
              <w:rPr>
                <w:rFonts w:ascii="Arial" w:cs="Arial" w:eastAsia="Arial" w:hAnsi="Arial"/>
                <w:sz w:val="18"/>
                <w:szCs w:val="18"/>
                <w:b w:val="1"/>
                <w:bCs w:val="1"/>
                <w:color w:val="auto"/>
                <w:w w:val="94"/>
              </w:rPr>
              <w:t>2013</w:t>
            </w:r>
          </w:p>
        </w:tc>
        <w:tc>
          <w:tcPr>
            <w:tcW w:w="340" w:type="dxa"/>
            <w:vAlign w:val="bottom"/>
          </w:tcPr>
          <w:p>
            <w:pPr>
              <w:spacing w:after="0"/>
              <w:rPr>
                <w:sz w:val="19"/>
                <w:szCs w:val="19"/>
                <w:color w:val="auto"/>
              </w:rPr>
            </w:pPr>
          </w:p>
        </w:tc>
        <w:tc>
          <w:tcPr>
            <w:tcW w:w="800" w:type="dxa"/>
            <w:vAlign w:val="bottom"/>
          </w:tcPr>
          <w:p>
            <w:pPr>
              <w:jc w:val="center"/>
              <w:ind w:right="270"/>
              <w:spacing w:after="0"/>
              <w:rPr>
                <w:sz w:val="20"/>
                <w:szCs w:val="20"/>
                <w:color w:val="auto"/>
              </w:rPr>
            </w:pPr>
            <w:r>
              <w:rPr>
                <w:rFonts w:ascii="Arial" w:cs="Arial" w:eastAsia="Arial" w:hAnsi="Arial"/>
                <w:sz w:val="18"/>
                <w:szCs w:val="18"/>
                <w:color w:val="auto"/>
                <w:w w:val="89"/>
              </w:rPr>
              <w:t>2012</w:t>
            </w:r>
          </w:p>
        </w:tc>
        <w:tc>
          <w:tcPr>
            <w:tcW w:w="340" w:type="dxa"/>
            <w:vAlign w:val="bottom"/>
          </w:tcPr>
          <w:p>
            <w:pPr>
              <w:spacing w:after="0"/>
              <w:rPr>
                <w:sz w:val="19"/>
                <w:szCs w:val="19"/>
                <w:color w:val="auto"/>
              </w:rPr>
            </w:pPr>
          </w:p>
        </w:tc>
        <w:tc>
          <w:tcPr>
            <w:tcW w:w="580" w:type="dxa"/>
            <w:vAlign w:val="bottom"/>
          </w:tcPr>
          <w:p>
            <w:pPr>
              <w:jc w:val="right"/>
              <w:ind w:right="90"/>
              <w:spacing w:after="0"/>
              <w:rPr>
                <w:sz w:val="20"/>
                <w:szCs w:val="20"/>
                <w:color w:val="auto"/>
              </w:rPr>
            </w:pPr>
            <w:r>
              <w:rPr>
                <w:rFonts w:ascii="Arial" w:cs="Arial" w:eastAsia="Arial" w:hAnsi="Arial"/>
                <w:sz w:val="18"/>
                <w:szCs w:val="18"/>
                <w:color w:val="auto"/>
                <w:w w:val="94"/>
              </w:rPr>
              <w:t>2011</w:t>
            </w:r>
          </w:p>
        </w:tc>
        <w:tc>
          <w:tcPr>
            <w:tcW w:w="100" w:type="dxa"/>
            <w:vAlign w:val="bottom"/>
          </w:tcPr>
          <w:p>
            <w:pPr>
              <w:spacing w:after="0"/>
              <w:rPr>
                <w:sz w:val="19"/>
                <w:szCs w:val="19"/>
                <w:color w:val="auto"/>
              </w:rPr>
            </w:pPr>
          </w:p>
        </w:tc>
      </w:tr>
      <w:tr>
        <w:trPr>
          <w:trHeight w:val="216"/>
        </w:trPr>
        <w:tc>
          <w:tcPr>
            <w:tcW w:w="20" w:type="dxa"/>
            <w:vAlign w:val="bottom"/>
          </w:tcPr>
          <w:p>
            <w:pPr>
              <w:spacing w:after="0"/>
              <w:rPr>
                <w:sz w:val="18"/>
                <w:szCs w:val="18"/>
                <w:color w:val="auto"/>
              </w:rPr>
            </w:pPr>
          </w:p>
        </w:tc>
        <w:tc>
          <w:tcPr>
            <w:tcW w:w="3780" w:type="dxa"/>
            <w:vAlign w:val="bottom"/>
            <w:shd w:val="clear" w:color="auto" w:fill="CCEEFF"/>
          </w:tcPr>
          <w:p>
            <w:pPr>
              <w:spacing w:after="0"/>
              <w:rPr>
                <w:sz w:val="20"/>
                <w:szCs w:val="20"/>
                <w:color w:val="auto"/>
              </w:rPr>
            </w:pPr>
            <w:r>
              <w:rPr>
                <w:rFonts w:ascii="Arial" w:cs="Arial" w:eastAsia="Arial" w:hAnsi="Arial"/>
                <w:sz w:val="18"/>
                <w:szCs w:val="18"/>
                <w:color w:val="auto"/>
              </w:rPr>
              <w:t>Net sales</w:t>
            </w:r>
          </w:p>
        </w:tc>
        <w:tc>
          <w:tcPr>
            <w:tcW w:w="1720" w:type="dxa"/>
            <w:vAlign w:val="bottom"/>
            <w:shd w:val="clear" w:color="auto" w:fill="CCEEFF"/>
          </w:tcPr>
          <w:p>
            <w:pPr>
              <w:ind w:left="1580"/>
              <w:spacing w:after="0"/>
              <w:rPr>
                <w:sz w:val="20"/>
                <w:szCs w:val="20"/>
                <w:color w:val="auto"/>
              </w:rPr>
            </w:pPr>
            <w:r>
              <w:rPr>
                <w:rFonts w:ascii="Arial" w:cs="Arial" w:eastAsia="Arial" w:hAnsi="Arial"/>
                <w:sz w:val="18"/>
                <w:szCs w:val="18"/>
                <w:b w:val="1"/>
                <w:bCs w:val="1"/>
                <w:color w:val="auto"/>
              </w:rPr>
              <w:t>$</w:t>
            </w:r>
          </w:p>
        </w:tc>
        <w:tc>
          <w:tcPr>
            <w:tcW w:w="1100" w:type="dxa"/>
            <w:vAlign w:val="bottom"/>
            <w:shd w:val="clear" w:color="auto" w:fill="CCEEFF"/>
          </w:tcPr>
          <w:p>
            <w:pPr>
              <w:jc w:val="right"/>
              <w:ind w:right="230"/>
              <w:spacing w:after="0"/>
              <w:rPr>
                <w:sz w:val="20"/>
                <w:szCs w:val="20"/>
                <w:color w:val="auto"/>
              </w:rPr>
            </w:pPr>
            <w:r>
              <w:rPr>
                <w:rFonts w:ascii="Arial" w:cs="Arial" w:eastAsia="Arial" w:hAnsi="Arial"/>
                <w:sz w:val="18"/>
                <w:szCs w:val="18"/>
                <w:b w:val="1"/>
                <w:bCs w:val="1"/>
                <w:color w:val="auto"/>
              </w:rPr>
              <w:t>231.8</w:t>
            </w:r>
          </w:p>
        </w:tc>
        <w:tc>
          <w:tcPr>
            <w:tcW w:w="480" w:type="dxa"/>
            <w:vAlign w:val="bottom"/>
            <w:shd w:val="clear" w:color="auto" w:fill="CCEEFF"/>
          </w:tcPr>
          <w:p>
            <w:pPr>
              <w:ind w:left="340"/>
              <w:spacing w:after="0"/>
              <w:rPr>
                <w:sz w:val="20"/>
                <w:szCs w:val="20"/>
                <w:color w:val="auto"/>
              </w:rPr>
            </w:pPr>
            <w:r>
              <w:rPr>
                <w:rFonts w:ascii="Arial" w:cs="Arial" w:eastAsia="Arial" w:hAnsi="Arial"/>
                <w:sz w:val="18"/>
                <w:szCs w:val="18"/>
                <w:color w:val="auto"/>
              </w:rPr>
              <w:t>$</w:t>
            </w:r>
          </w:p>
        </w:tc>
        <w:tc>
          <w:tcPr>
            <w:tcW w:w="1000" w:type="dxa"/>
            <w:vAlign w:val="bottom"/>
            <w:shd w:val="clear" w:color="auto" w:fill="CCEEFF"/>
          </w:tcPr>
          <w:p>
            <w:pPr>
              <w:jc w:val="right"/>
              <w:ind w:right="110"/>
              <w:spacing w:after="0"/>
              <w:rPr>
                <w:sz w:val="20"/>
                <w:szCs w:val="20"/>
                <w:color w:val="auto"/>
              </w:rPr>
            </w:pPr>
            <w:r>
              <w:rPr>
                <w:rFonts w:ascii="Arial" w:cs="Arial" w:eastAsia="Arial" w:hAnsi="Arial"/>
                <w:sz w:val="18"/>
                <w:szCs w:val="18"/>
                <w:color w:val="auto"/>
              </w:rPr>
              <w:t>217.8</w:t>
            </w:r>
          </w:p>
        </w:tc>
        <w:tc>
          <w:tcPr>
            <w:tcW w:w="360" w:type="dxa"/>
            <w:vAlign w:val="bottom"/>
            <w:shd w:val="clear" w:color="auto" w:fill="CCEEFF"/>
          </w:tcPr>
          <w:p>
            <w:pPr>
              <w:ind w:left="220"/>
              <w:spacing w:after="0"/>
              <w:rPr>
                <w:sz w:val="20"/>
                <w:szCs w:val="20"/>
                <w:color w:val="auto"/>
              </w:rPr>
            </w:pPr>
            <w:r>
              <w:rPr>
                <w:rFonts w:ascii="Arial" w:cs="Arial" w:eastAsia="Arial" w:hAnsi="Arial"/>
                <w:sz w:val="18"/>
                <w:szCs w:val="18"/>
                <w:b w:val="1"/>
                <w:bCs w:val="1"/>
                <w:color w:val="auto"/>
              </w:rPr>
              <w:t>$</w:t>
            </w:r>
          </w:p>
        </w:tc>
        <w:tc>
          <w:tcPr>
            <w:tcW w:w="800" w:type="dxa"/>
            <w:vAlign w:val="bottom"/>
            <w:shd w:val="clear" w:color="auto" w:fill="CCEEFF"/>
          </w:tcPr>
          <w:p>
            <w:pPr>
              <w:jc w:val="right"/>
              <w:ind w:right="130"/>
              <w:spacing w:after="0"/>
              <w:rPr>
                <w:sz w:val="20"/>
                <w:szCs w:val="20"/>
                <w:color w:val="auto"/>
              </w:rPr>
            </w:pPr>
            <w:r>
              <w:rPr>
                <w:rFonts w:ascii="Arial" w:cs="Arial" w:eastAsia="Arial" w:hAnsi="Arial"/>
                <w:sz w:val="18"/>
                <w:szCs w:val="18"/>
                <w:b w:val="1"/>
                <w:bCs w:val="1"/>
                <w:color w:val="auto"/>
              </w:rPr>
              <w:t>865.0</w:t>
            </w:r>
          </w:p>
        </w:tc>
        <w:tc>
          <w:tcPr>
            <w:tcW w:w="340" w:type="dxa"/>
            <w:vAlign w:val="bottom"/>
            <w:shd w:val="clear" w:color="auto" w:fill="CCEEFF"/>
          </w:tcPr>
          <w:p>
            <w:pPr>
              <w:ind w:left="200"/>
              <w:spacing w:after="0"/>
              <w:rPr>
                <w:sz w:val="20"/>
                <w:szCs w:val="20"/>
                <w:color w:val="auto"/>
              </w:rPr>
            </w:pPr>
            <w:r>
              <w:rPr>
                <w:rFonts w:ascii="Arial" w:cs="Arial" w:eastAsia="Arial" w:hAnsi="Arial"/>
                <w:sz w:val="18"/>
                <w:szCs w:val="18"/>
                <w:color w:val="auto"/>
              </w:rPr>
              <w:t>$</w:t>
            </w:r>
          </w:p>
        </w:tc>
        <w:tc>
          <w:tcPr>
            <w:tcW w:w="800" w:type="dxa"/>
            <w:vAlign w:val="bottom"/>
            <w:shd w:val="clear" w:color="auto" w:fill="CCEEFF"/>
          </w:tcPr>
          <w:p>
            <w:pPr>
              <w:jc w:val="right"/>
              <w:ind w:right="110"/>
              <w:spacing w:after="0"/>
              <w:rPr>
                <w:sz w:val="20"/>
                <w:szCs w:val="20"/>
                <w:color w:val="auto"/>
              </w:rPr>
            </w:pPr>
            <w:r>
              <w:rPr>
                <w:rFonts w:ascii="Arial" w:cs="Arial" w:eastAsia="Arial" w:hAnsi="Arial"/>
                <w:sz w:val="18"/>
                <w:szCs w:val="18"/>
                <w:color w:val="auto"/>
                <w:w w:val="96"/>
              </w:rPr>
              <w:t>1,014.1</w:t>
            </w:r>
          </w:p>
        </w:tc>
        <w:tc>
          <w:tcPr>
            <w:tcW w:w="340" w:type="dxa"/>
            <w:vAlign w:val="bottom"/>
            <w:shd w:val="clear" w:color="auto" w:fill="CCEEFF"/>
          </w:tcPr>
          <w:p>
            <w:pPr>
              <w:ind w:left="200"/>
              <w:spacing w:after="0"/>
              <w:rPr>
                <w:sz w:val="20"/>
                <w:szCs w:val="20"/>
                <w:color w:val="auto"/>
              </w:rPr>
            </w:pPr>
            <w:r>
              <w:rPr>
                <w:rFonts w:ascii="Arial" w:cs="Arial" w:eastAsia="Arial" w:hAnsi="Arial"/>
                <w:sz w:val="18"/>
                <w:szCs w:val="18"/>
                <w:color w:val="auto"/>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3"/>
              </w:rPr>
              <w:t>1,142.4</w:t>
            </w:r>
          </w:p>
        </w:tc>
        <w:tc>
          <w:tcPr>
            <w:tcW w:w="10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3780" w:type="dxa"/>
            <w:vAlign w:val="bottom"/>
          </w:tcPr>
          <w:p>
            <w:pPr>
              <w:spacing w:after="0"/>
              <w:rPr>
                <w:sz w:val="20"/>
                <w:szCs w:val="20"/>
                <w:color w:val="auto"/>
              </w:rPr>
            </w:pPr>
            <w:r>
              <w:rPr>
                <w:rFonts w:ascii="Arial" w:cs="Arial" w:eastAsia="Arial" w:hAnsi="Arial"/>
                <w:sz w:val="18"/>
                <w:szCs w:val="18"/>
                <w:color w:val="auto"/>
              </w:rPr>
              <w:t>Less: surcharge revenue</w:t>
            </w:r>
          </w:p>
        </w:tc>
        <w:tc>
          <w:tcPr>
            <w:tcW w:w="1720" w:type="dxa"/>
            <w:vAlign w:val="bottom"/>
          </w:tcPr>
          <w:p>
            <w:pPr>
              <w:spacing w:after="0"/>
              <w:rPr>
                <w:sz w:val="18"/>
                <w:szCs w:val="18"/>
                <w:color w:val="auto"/>
              </w:rPr>
            </w:pPr>
          </w:p>
        </w:tc>
        <w:tc>
          <w:tcPr>
            <w:tcW w:w="1100" w:type="dxa"/>
            <w:vAlign w:val="bottom"/>
          </w:tcPr>
          <w:p>
            <w:pPr>
              <w:jc w:val="right"/>
              <w:ind w:right="230"/>
              <w:spacing w:after="0"/>
              <w:rPr>
                <w:sz w:val="20"/>
                <w:szCs w:val="20"/>
                <w:color w:val="auto"/>
              </w:rPr>
            </w:pPr>
            <w:r>
              <w:rPr>
                <w:rFonts w:ascii="Arial" w:cs="Arial" w:eastAsia="Arial" w:hAnsi="Arial"/>
                <w:sz w:val="18"/>
                <w:szCs w:val="18"/>
                <w:b w:val="1"/>
                <w:bCs w:val="1"/>
                <w:color w:val="auto"/>
              </w:rPr>
              <w:t>52.5</w:t>
            </w:r>
          </w:p>
        </w:tc>
        <w:tc>
          <w:tcPr>
            <w:tcW w:w="480" w:type="dxa"/>
            <w:vAlign w:val="bottom"/>
          </w:tcPr>
          <w:p>
            <w:pPr>
              <w:spacing w:after="0"/>
              <w:rPr>
                <w:sz w:val="18"/>
                <w:szCs w:val="18"/>
                <w:color w:val="auto"/>
              </w:rPr>
            </w:pPr>
          </w:p>
        </w:tc>
        <w:tc>
          <w:tcPr>
            <w:tcW w:w="1000" w:type="dxa"/>
            <w:vAlign w:val="bottom"/>
          </w:tcPr>
          <w:p>
            <w:pPr>
              <w:jc w:val="right"/>
              <w:ind w:right="110"/>
              <w:spacing w:after="0"/>
              <w:rPr>
                <w:sz w:val="20"/>
                <w:szCs w:val="20"/>
                <w:color w:val="auto"/>
              </w:rPr>
            </w:pPr>
            <w:r>
              <w:rPr>
                <w:rFonts w:ascii="Arial" w:cs="Arial" w:eastAsia="Arial" w:hAnsi="Arial"/>
                <w:sz w:val="18"/>
                <w:szCs w:val="18"/>
                <w:color w:val="auto"/>
              </w:rPr>
              <w:t>44.3</w:t>
            </w:r>
          </w:p>
        </w:tc>
        <w:tc>
          <w:tcPr>
            <w:tcW w:w="360" w:type="dxa"/>
            <w:vAlign w:val="bottom"/>
          </w:tcPr>
          <w:p>
            <w:pPr>
              <w:spacing w:after="0"/>
              <w:rPr>
                <w:sz w:val="18"/>
                <w:szCs w:val="18"/>
                <w:color w:val="auto"/>
              </w:rPr>
            </w:pPr>
          </w:p>
        </w:tc>
        <w:tc>
          <w:tcPr>
            <w:tcW w:w="800" w:type="dxa"/>
            <w:vAlign w:val="bottom"/>
          </w:tcPr>
          <w:p>
            <w:pPr>
              <w:jc w:val="right"/>
              <w:ind w:right="130"/>
              <w:spacing w:after="0"/>
              <w:rPr>
                <w:sz w:val="20"/>
                <w:szCs w:val="20"/>
                <w:color w:val="auto"/>
              </w:rPr>
            </w:pPr>
            <w:r>
              <w:rPr>
                <w:rFonts w:ascii="Arial" w:cs="Arial" w:eastAsia="Arial" w:hAnsi="Arial"/>
                <w:sz w:val="18"/>
                <w:szCs w:val="18"/>
                <w:b w:val="1"/>
                <w:bCs w:val="1"/>
                <w:color w:val="auto"/>
              </w:rPr>
              <w:t>181.5</w:t>
            </w:r>
          </w:p>
        </w:tc>
        <w:tc>
          <w:tcPr>
            <w:tcW w:w="340" w:type="dxa"/>
            <w:vAlign w:val="bottom"/>
          </w:tcPr>
          <w:p>
            <w:pPr>
              <w:spacing w:after="0"/>
              <w:rPr>
                <w:sz w:val="18"/>
                <w:szCs w:val="18"/>
                <w:color w:val="auto"/>
              </w:rPr>
            </w:pPr>
          </w:p>
        </w:tc>
        <w:tc>
          <w:tcPr>
            <w:tcW w:w="800" w:type="dxa"/>
            <w:vAlign w:val="bottom"/>
          </w:tcPr>
          <w:p>
            <w:pPr>
              <w:jc w:val="right"/>
              <w:ind w:right="110"/>
              <w:spacing w:after="0"/>
              <w:rPr>
                <w:sz w:val="20"/>
                <w:szCs w:val="20"/>
                <w:color w:val="auto"/>
              </w:rPr>
            </w:pPr>
            <w:r>
              <w:rPr>
                <w:rFonts w:ascii="Arial" w:cs="Arial" w:eastAsia="Arial" w:hAnsi="Arial"/>
                <w:sz w:val="18"/>
                <w:szCs w:val="18"/>
                <w:color w:val="auto"/>
              </w:rPr>
              <w:t>239.9</w:t>
            </w:r>
          </w:p>
        </w:tc>
        <w:tc>
          <w:tcPr>
            <w:tcW w:w="34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335.2</w:t>
            </w:r>
          </w:p>
        </w:tc>
        <w:tc>
          <w:tcPr>
            <w:tcW w:w="100" w:type="dxa"/>
            <w:vAlign w:val="bottom"/>
          </w:tcPr>
          <w:p>
            <w:pPr>
              <w:spacing w:after="0"/>
              <w:rPr>
                <w:sz w:val="18"/>
                <w:szCs w:val="18"/>
                <w:color w:val="auto"/>
              </w:rPr>
            </w:pPr>
          </w:p>
        </w:tc>
      </w:tr>
      <w:tr>
        <w:trPr>
          <w:trHeight w:val="223"/>
        </w:trPr>
        <w:tc>
          <w:tcPr>
            <w:tcW w:w="20" w:type="dxa"/>
            <w:vAlign w:val="bottom"/>
          </w:tcPr>
          <w:p>
            <w:pPr>
              <w:spacing w:after="0"/>
              <w:rPr>
                <w:sz w:val="19"/>
                <w:szCs w:val="19"/>
                <w:color w:val="auto"/>
              </w:rPr>
            </w:pPr>
          </w:p>
        </w:tc>
        <w:tc>
          <w:tcPr>
            <w:tcW w:w="378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color w:val="auto"/>
              </w:rPr>
              <w:t>Net sales, excluding surcharges</w:t>
            </w:r>
          </w:p>
        </w:tc>
        <w:tc>
          <w:tcPr>
            <w:tcW w:w="1720" w:type="dxa"/>
            <w:vAlign w:val="bottom"/>
            <w:tcBorders>
              <w:bottom w:val="single" w:sz="8" w:color="auto"/>
            </w:tcBorders>
            <w:shd w:val="clear" w:color="auto" w:fill="CCEEFF"/>
          </w:tcPr>
          <w:p>
            <w:pPr>
              <w:ind w:left="1580"/>
              <w:spacing w:after="0"/>
              <w:rPr>
                <w:sz w:val="20"/>
                <w:szCs w:val="20"/>
                <w:color w:val="auto"/>
              </w:rPr>
            </w:pPr>
            <w:r>
              <w:rPr>
                <w:rFonts w:ascii="Arial" w:cs="Arial" w:eastAsia="Arial" w:hAnsi="Arial"/>
                <w:sz w:val="18"/>
                <w:szCs w:val="18"/>
                <w:b w:val="1"/>
                <w:bCs w:val="1"/>
                <w:color w:val="auto"/>
              </w:rPr>
              <w:t>$</w:t>
            </w:r>
          </w:p>
        </w:tc>
        <w:tc>
          <w:tcPr>
            <w:tcW w:w="1100" w:type="dxa"/>
            <w:vAlign w:val="bottom"/>
            <w:tcBorders>
              <w:bottom w:val="single" w:sz="8" w:color="auto"/>
            </w:tcBorders>
            <w:shd w:val="clear" w:color="auto" w:fill="CCEEFF"/>
          </w:tcPr>
          <w:p>
            <w:pPr>
              <w:jc w:val="right"/>
              <w:ind w:right="230"/>
              <w:spacing w:after="0"/>
              <w:rPr>
                <w:sz w:val="20"/>
                <w:szCs w:val="20"/>
                <w:color w:val="auto"/>
              </w:rPr>
            </w:pPr>
            <w:r>
              <w:rPr>
                <w:rFonts w:ascii="Arial" w:cs="Arial" w:eastAsia="Arial" w:hAnsi="Arial"/>
                <w:sz w:val="18"/>
                <w:szCs w:val="18"/>
                <w:b w:val="1"/>
                <w:bCs w:val="1"/>
                <w:color w:val="auto"/>
              </w:rPr>
              <w:t>179.3</w:t>
            </w:r>
          </w:p>
        </w:tc>
        <w:tc>
          <w:tcPr>
            <w:tcW w:w="480" w:type="dxa"/>
            <w:vAlign w:val="bottom"/>
            <w:tcBorders>
              <w:bottom w:val="single" w:sz="8" w:color="auto"/>
            </w:tcBorders>
            <w:shd w:val="clear" w:color="auto" w:fill="CCEEFF"/>
          </w:tcPr>
          <w:p>
            <w:pPr>
              <w:ind w:left="340"/>
              <w:spacing w:after="0"/>
              <w:rPr>
                <w:sz w:val="20"/>
                <w:szCs w:val="20"/>
                <w:color w:val="auto"/>
              </w:rPr>
            </w:pPr>
            <w:r>
              <w:rPr>
                <w:rFonts w:ascii="Arial" w:cs="Arial" w:eastAsia="Arial" w:hAnsi="Arial"/>
                <w:sz w:val="18"/>
                <w:szCs w:val="18"/>
                <w:color w:val="auto"/>
              </w:rPr>
              <w:t>$</w:t>
            </w:r>
          </w:p>
        </w:tc>
        <w:tc>
          <w:tcPr>
            <w:tcW w:w="1000" w:type="dxa"/>
            <w:vAlign w:val="bottom"/>
            <w:tcBorders>
              <w:bottom w:val="single" w:sz="8" w:color="auto"/>
            </w:tcBorders>
            <w:shd w:val="clear" w:color="auto" w:fill="CCEEFF"/>
          </w:tcPr>
          <w:p>
            <w:pPr>
              <w:jc w:val="right"/>
              <w:ind w:right="110"/>
              <w:spacing w:after="0"/>
              <w:rPr>
                <w:sz w:val="20"/>
                <w:szCs w:val="20"/>
                <w:color w:val="auto"/>
              </w:rPr>
            </w:pPr>
            <w:r>
              <w:rPr>
                <w:rFonts w:ascii="Arial" w:cs="Arial" w:eastAsia="Arial" w:hAnsi="Arial"/>
                <w:sz w:val="18"/>
                <w:szCs w:val="18"/>
                <w:color w:val="auto"/>
              </w:rPr>
              <w:t>173.5</w:t>
            </w:r>
          </w:p>
        </w:tc>
        <w:tc>
          <w:tcPr>
            <w:tcW w:w="360" w:type="dxa"/>
            <w:vAlign w:val="bottom"/>
            <w:tcBorders>
              <w:bottom w:val="single" w:sz="8" w:color="auto"/>
            </w:tcBorders>
            <w:shd w:val="clear" w:color="auto" w:fill="CCEEFF"/>
          </w:tcPr>
          <w:p>
            <w:pPr>
              <w:ind w:left="220"/>
              <w:spacing w:after="0"/>
              <w:rPr>
                <w:sz w:val="20"/>
                <w:szCs w:val="20"/>
                <w:color w:val="auto"/>
              </w:rPr>
            </w:pPr>
            <w:r>
              <w:rPr>
                <w:rFonts w:ascii="Arial" w:cs="Arial" w:eastAsia="Arial" w:hAnsi="Arial"/>
                <w:sz w:val="18"/>
                <w:szCs w:val="18"/>
                <w:b w:val="1"/>
                <w:bCs w:val="1"/>
                <w:color w:val="auto"/>
              </w:rPr>
              <w:t>$</w:t>
            </w:r>
          </w:p>
        </w:tc>
        <w:tc>
          <w:tcPr>
            <w:tcW w:w="800" w:type="dxa"/>
            <w:vAlign w:val="bottom"/>
            <w:tcBorders>
              <w:bottom w:val="single" w:sz="8" w:color="auto"/>
            </w:tcBorders>
            <w:shd w:val="clear" w:color="auto" w:fill="CCEEFF"/>
          </w:tcPr>
          <w:p>
            <w:pPr>
              <w:jc w:val="right"/>
              <w:ind w:right="130"/>
              <w:spacing w:after="0"/>
              <w:rPr>
                <w:sz w:val="20"/>
                <w:szCs w:val="20"/>
                <w:color w:val="auto"/>
              </w:rPr>
            </w:pPr>
            <w:r>
              <w:rPr>
                <w:rFonts w:ascii="Arial" w:cs="Arial" w:eastAsia="Arial" w:hAnsi="Arial"/>
                <w:sz w:val="18"/>
                <w:szCs w:val="18"/>
                <w:b w:val="1"/>
                <w:bCs w:val="1"/>
                <w:color w:val="auto"/>
              </w:rPr>
              <w:t>683.5</w:t>
            </w:r>
          </w:p>
        </w:tc>
        <w:tc>
          <w:tcPr>
            <w:tcW w:w="340" w:type="dxa"/>
            <w:vAlign w:val="bottom"/>
            <w:tcBorders>
              <w:bottom w:val="single" w:sz="8" w:color="auto"/>
            </w:tcBorders>
            <w:shd w:val="clear" w:color="auto" w:fill="CCEEFF"/>
          </w:tcPr>
          <w:p>
            <w:pPr>
              <w:ind w:left="200"/>
              <w:spacing w:after="0"/>
              <w:rPr>
                <w:sz w:val="20"/>
                <w:szCs w:val="20"/>
                <w:color w:val="auto"/>
              </w:rPr>
            </w:pPr>
            <w:r>
              <w:rPr>
                <w:rFonts w:ascii="Arial" w:cs="Arial" w:eastAsia="Arial" w:hAnsi="Arial"/>
                <w:sz w:val="18"/>
                <w:szCs w:val="18"/>
                <w:color w:val="auto"/>
              </w:rPr>
              <w:t>$</w:t>
            </w:r>
          </w:p>
        </w:tc>
        <w:tc>
          <w:tcPr>
            <w:tcW w:w="800" w:type="dxa"/>
            <w:vAlign w:val="bottom"/>
            <w:tcBorders>
              <w:bottom w:val="single" w:sz="8" w:color="auto"/>
            </w:tcBorders>
            <w:shd w:val="clear" w:color="auto" w:fill="CCEEFF"/>
          </w:tcPr>
          <w:p>
            <w:pPr>
              <w:jc w:val="right"/>
              <w:ind w:right="110"/>
              <w:spacing w:after="0"/>
              <w:rPr>
                <w:sz w:val="20"/>
                <w:szCs w:val="20"/>
                <w:color w:val="auto"/>
              </w:rPr>
            </w:pPr>
            <w:r>
              <w:rPr>
                <w:rFonts w:ascii="Arial" w:cs="Arial" w:eastAsia="Arial" w:hAnsi="Arial"/>
                <w:sz w:val="18"/>
                <w:szCs w:val="18"/>
                <w:color w:val="auto"/>
              </w:rPr>
              <w:t>774.2</w:t>
            </w:r>
          </w:p>
        </w:tc>
        <w:tc>
          <w:tcPr>
            <w:tcW w:w="340" w:type="dxa"/>
            <w:vAlign w:val="bottom"/>
            <w:tcBorders>
              <w:bottom w:val="single" w:sz="8" w:color="auto"/>
            </w:tcBorders>
            <w:shd w:val="clear" w:color="auto" w:fill="CCEEFF"/>
          </w:tcPr>
          <w:p>
            <w:pPr>
              <w:ind w:left="200"/>
              <w:spacing w:after="0"/>
              <w:rPr>
                <w:sz w:val="20"/>
                <w:szCs w:val="20"/>
                <w:color w:val="auto"/>
              </w:rPr>
            </w:pPr>
            <w:r>
              <w:rPr>
                <w:rFonts w:ascii="Arial" w:cs="Arial" w:eastAsia="Arial" w:hAnsi="Arial"/>
                <w:sz w:val="18"/>
                <w:szCs w:val="18"/>
                <w:color w:val="auto"/>
              </w:rPr>
              <w:t>$</w:t>
            </w:r>
          </w:p>
        </w:tc>
        <w:tc>
          <w:tcPr>
            <w:tcW w:w="5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807.2</w:t>
            </w:r>
          </w:p>
        </w:tc>
        <w:tc>
          <w:tcPr>
            <w:tcW w:w="100" w:type="dxa"/>
            <w:vAlign w:val="bottom"/>
            <w:shd w:val="clear" w:color="auto" w:fill="CCEEFF"/>
          </w:tcPr>
          <w:p>
            <w:pPr>
              <w:spacing w:after="0"/>
              <w:rPr>
                <w:sz w:val="19"/>
                <w:szCs w:val="19"/>
                <w:color w:val="auto"/>
              </w:rPr>
            </w:pPr>
          </w:p>
        </w:tc>
      </w:tr>
      <w:tr>
        <w:trPr>
          <w:trHeight w:val="378"/>
        </w:trPr>
        <w:tc>
          <w:tcPr>
            <w:tcW w:w="3800" w:type="dxa"/>
            <w:vAlign w:val="bottom"/>
            <w:gridSpan w:val="2"/>
          </w:tcPr>
          <w:p>
            <w:pPr>
              <w:spacing w:after="0"/>
              <w:rPr>
                <w:sz w:val="24"/>
                <w:szCs w:val="24"/>
                <w:color w:val="auto"/>
              </w:rPr>
            </w:pPr>
          </w:p>
        </w:tc>
        <w:tc>
          <w:tcPr>
            <w:tcW w:w="4300" w:type="dxa"/>
            <w:vAlign w:val="bottom"/>
            <w:gridSpan w:val="4"/>
          </w:tcPr>
          <w:p>
            <w:pPr>
              <w:spacing w:after="0"/>
              <w:rPr>
                <w:sz w:val="24"/>
                <w:szCs w:val="24"/>
                <w:color w:val="auto"/>
              </w:rPr>
            </w:pPr>
          </w:p>
        </w:tc>
        <w:tc>
          <w:tcPr>
            <w:tcW w:w="360" w:type="dxa"/>
            <w:vAlign w:val="bottom"/>
          </w:tcPr>
          <w:p>
            <w:pPr>
              <w:spacing w:after="0"/>
              <w:rPr>
                <w:sz w:val="24"/>
                <w:szCs w:val="24"/>
                <w:color w:val="auto"/>
              </w:rPr>
            </w:pPr>
          </w:p>
        </w:tc>
        <w:tc>
          <w:tcPr>
            <w:tcW w:w="2960" w:type="dxa"/>
            <w:vAlign w:val="bottom"/>
            <w:gridSpan w:val="6"/>
          </w:tcPr>
          <w:p>
            <w:pPr>
              <w:spacing w:after="0"/>
              <w:rPr>
                <w:sz w:val="24"/>
                <w:szCs w:val="24"/>
                <w:color w:val="auto"/>
              </w:rPr>
            </w:pPr>
          </w:p>
        </w:tc>
      </w:tr>
      <w:tr>
        <w:trPr>
          <w:trHeight w:val="223"/>
        </w:trPr>
        <w:tc>
          <w:tcPr>
            <w:tcW w:w="20" w:type="dxa"/>
            <w:vAlign w:val="bottom"/>
          </w:tcPr>
          <w:p>
            <w:pPr>
              <w:spacing w:after="0"/>
              <w:rPr>
                <w:sz w:val="19"/>
                <w:szCs w:val="19"/>
                <w:color w:val="auto"/>
              </w:rPr>
            </w:pPr>
          </w:p>
        </w:tc>
        <w:tc>
          <w:tcPr>
            <w:tcW w:w="378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b w:val="1"/>
                <w:bCs w:val="1"/>
                <w:color w:val="auto"/>
              </w:rPr>
              <w:t>Energy &amp; Distribution</w:t>
            </w:r>
          </w:p>
        </w:tc>
        <w:tc>
          <w:tcPr>
            <w:tcW w:w="4300" w:type="dxa"/>
            <w:vAlign w:val="bottom"/>
            <w:tcBorders>
              <w:top w:val="single" w:sz="8" w:color="auto"/>
              <w:bottom w:val="single" w:sz="8" w:color="auto"/>
            </w:tcBorders>
            <w:gridSpan w:val="4"/>
          </w:tcPr>
          <w:p>
            <w:pPr>
              <w:jc w:val="right"/>
              <w:ind w:right="230"/>
              <w:spacing w:after="0"/>
              <w:rPr>
                <w:sz w:val="20"/>
                <w:szCs w:val="20"/>
                <w:color w:val="auto"/>
              </w:rPr>
            </w:pPr>
            <w:r>
              <w:rPr>
                <w:rFonts w:ascii="Arial" w:cs="Arial" w:eastAsia="Arial" w:hAnsi="Arial"/>
                <w:sz w:val="18"/>
                <w:szCs w:val="18"/>
                <w:b w:val="1"/>
                <w:bCs w:val="1"/>
                <w:color w:val="auto"/>
              </w:rPr>
              <w:t>Three Months Ended March 31,</w:t>
            </w:r>
          </w:p>
        </w:tc>
        <w:tc>
          <w:tcPr>
            <w:tcW w:w="360" w:type="dxa"/>
            <w:vAlign w:val="bottom"/>
            <w:tcBorders>
              <w:top w:val="single" w:sz="8" w:color="auto"/>
              <w:bottom w:val="single" w:sz="8" w:color="auto"/>
            </w:tcBorders>
          </w:tcPr>
          <w:p>
            <w:pPr>
              <w:spacing w:after="0"/>
              <w:rPr>
                <w:sz w:val="19"/>
                <w:szCs w:val="19"/>
                <w:color w:val="auto"/>
              </w:rPr>
            </w:pPr>
          </w:p>
        </w:tc>
        <w:tc>
          <w:tcPr>
            <w:tcW w:w="2860" w:type="dxa"/>
            <w:vAlign w:val="bottom"/>
            <w:tcBorders>
              <w:top w:val="single" w:sz="8" w:color="auto"/>
              <w:bottom w:val="single" w:sz="8" w:color="auto"/>
            </w:tcBorders>
            <w:gridSpan w:val="5"/>
          </w:tcPr>
          <w:p>
            <w:pPr>
              <w:jc w:val="center"/>
              <w:ind w:right="50"/>
              <w:spacing w:after="0"/>
              <w:rPr>
                <w:sz w:val="20"/>
                <w:szCs w:val="20"/>
                <w:color w:val="auto"/>
              </w:rPr>
            </w:pPr>
            <w:r>
              <w:rPr>
                <w:rFonts w:ascii="Arial" w:cs="Arial" w:eastAsia="Arial" w:hAnsi="Arial"/>
                <w:sz w:val="18"/>
                <w:szCs w:val="18"/>
                <w:b w:val="1"/>
                <w:bCs w:val="1"/>
                <w:color w:val="auto"/>
                <w:w w:val="89"/>
              </w:rPr>
              <w:t>Years Ended December 31,</w:t>
            </w:r>
          </w:p>
        </w:tc>
        <w:tc>
          <w:tcPr>
            <w:tcW w:w="100" w:type="dxa"/>
            <w:vAlign w:val="bottom"/>
          </w:tcPr>
          <w:p>
            <w:pPr>
              <w:spacing w:after="0"/>
              <w:rPr>
                <w:sz w:val="19"/>
                <w:szCs w:val="19"/>
                <w:color w:val="auto"/>
              </w:rPr>
            </w:pPr>
          </w:p>
        </w:tc>
      </w:tr>
      <w:tr>
        <w:trPr>
          <w:trHeight w:val="223"/>
        </w:trPr>
        <w:tc>
          <w:tcPr>
            <w:tcW w:w="20" w:type="dxa"/>
            <w:vAlign w:val="bottom"/>
          </w:tcPr>
          <w:p>
            <w:pPr>
              <w:spacing w:after="0"/>
              <w:rPr>
                <w:sz w:val="19"/>
                <w:szCs w:val="19"/>
                <w:color w:val="auto"/>
              </w:rPr>
            </w:pPr>
          </w:p>
        </w:tc>
        <w:tc>
          <w:tcPr>
            <w:tcW w:w="3780" w:type="dxa"/>
            <w:vAlign w:val="bottom"/>
          </w:tcPr>
          <w:p>
            <w:pPr>
              <w:spacing w:after="0"/>
              <w:rPr>
                <w:sz w:val="19"/>
                <w:szCs w:val="19"/>
                <w:color w:val="auto"/>
              </w:rPr>
            </w:pPr>
          </w:p>
        </w:tc>
        <w:tc>
          <w:tcPr>
            <w:tcW w:w="1720" w:type="dxa"/>
            <w:vAlign w:val="bottom"/>
          </w:tcPr>
          <w:p>
            <w:pPr>
              <w:spacing w:after="0"/>
              <w:rPr>
                <w:sz w:val="19"/>
                <w:szCs w:val="19"/>
                <w:color w:val="auto"/>
              </w:rPr>
            </w:pPr>
          </w:p>
        </w:tc>
        <w:tc>
          <w:tcPr>
            <w:tcW w:w="1100" w:type="dxa"/>
            <w:vAlign w:val="bottom"/>
          </w:tcPr>
          <w:p>
            <w:pPr>
              <w:jc w:val="right"/>
              <w:ind w:right="590"/>
              <w:spacing w:after="0"/>
              <w:rPr>
                <w:sz w:val="20"/>
                <w:szCs w:val="20"/>
                <w:color w:val="auto"/>
              </w:rPr>
            </w:pPr>
            <w:r>
              <w:rPr>
                <w:rFonts w:ascii="Arial" w:cs="Arial" w:eastAsia="Arial" w:hAnsi="Arial"/>
                <w:sz w:val="18"/>
                <w:szCs w:val="18"/>
                <w:b w:val="1"/>
                <w:bCs w:val="1"/>
                <w:color w:val="auto"/>
                <w:w w:val="99"/>
              </w:rPr>
              <w:t>2014</w:t>
            </w:r>
          </w:p>
        </w:tc>
        <w:tc>
          <w:tcPr>
            <w:tcW w:w="480" w:type="dxa"/>
            <w:vAlign w:val="bottom"/>
          </w:tcPr>
          <w:p>
            <w:pPr>
              <w:spacing w:after="0"/>
              <w:rPr>
                <w:sz w:val="19"/>
                <w:szCs w:val="19"/>
                <w:color w:val="auto"/>
              </w:rPr>
            </w:pPr>
          </w:p>
        </w:tc>
        <w:tc>
          <w:tcPr>
            <w:tcW w:w="1000" w:type="dxa"/>
            <w:vAlign w:val="bottom"/>
          </w:tcPr>
          <w:p>
            <w:pPr>
              <w:jc w:val="right"/>
              <w:ind w:right="490"/>
              <w:spacing w:after="0"/>
              <w:rPr>
                <w:sz w:val="20"/>
                <w:szCs w:val="20"/>
                <w:color w:val="auto"/>
              </w:rPr>
            </w:pPr>
            <w:r>
              <w:rPr>
                <w:rFonts w:ascii="Arial" w:cs="Arial" w:eastAsia="Arial" w:hAnsi="Arial"/>
                <w:sz w:val="18"/>
                <w:szCs w:val="18"/>
                <w:color w:val="auto"/>
                <w:w w:val="99"/>
              </w:rPr>
              <w:t>2013</w:t>
            </w:r>
          </w:p>
        </w:tc>
        <w:tc>
          <w:tcPr>
            <w:tcW w:w="360" w:type="dxa"/>
            <w:vAlign w:val="bottom"/>
          </w:tcPr>
          <w:p>
            <w:pPr>
              <w:spacing w:after="0"/>
              <w:rPr>
                <w:sz w:val="19"/>
                <w:szCs w:val="19"/>
                <w:color w:val="auto"/>
              </w:rPr>
            </w:pPr>
          </w:p>
        </w:tc>
        <w:tc>
          <w:tcPr>
            <w:tcW w:w="800" w:type="dxa"/>
            <w:vAlign w:val="bottom"/>
          </w:tcPr>
          <w:p>
            <w:pPr>
              <w:jc w:val="right"/>
              <w:ind w:right="310"/>
              <w:spacing w:after="0"/>
              <w:rPr>
                <w:sz w:val="20"/>
                <w:szCs w:val="20"/>
                <w:color w:val="auto"/>
              </w:rPr>
            </w:pPr>
            <w:r>
              <w:rPr>
                <w:rFonts w:ascii="Arial" w:cs="Arial" w:eastAsia="Arial" w:hAnsi="Arial"/>
                <w:sz w:val="18"/>
                <w:szCs w:val="18"/>
                <w:b w:val="1"/>
                <w:bCs w:val="1"/>
                <w:color w:val="auto"/>
                <w:w w:val="94"/>
              </w:rPr>
              <w:t>2013</w:t>
            </w:r>
          </w:p>
        </w:tc>
        <w:tc>
          <w:tcPr>
            <w:tcW w:w="340" w:type="dxa"/>
            <w:vAlign w:val="bottom"/>
          </w:tcPr>
          <w:p>
            <w:pPr>
              <w:spacing w:after="0"/>
              <w:rPr>
                <w:sz w:val="19"/>
                <w:szCs w:val="19"/>
                <w:color w:val="auto"/>
              </w:rPr>
            </w:pPr>
          </w:p>
        </w:tc>
        <w:tc>
          <w:tcPr>
            <w:tcW w:w="800" w:type="dxa"/>
            <w:vAlign w:val="bottom"/>
          </w:tcPr>
          <w:p>
            <w:pPr>
              <w:jc w:val="center"/>
              <w:ind w:right="270"/>
              <w:spacing w:after="0"/>
              <w:rPr>
                <w:sz w:val="20"/>
                <w:szCs w:val="20"/>
                <w:color w:val="auto"/>
              </w:rPr>
            </w:pPr>
            <w:r>
              <w:rPr>
                <w:rFonts w:ascii="Arial" w:cs="Arial" w:eastAsia="Arial" w:hAnsi="Arial"/>
                <w:sz w:val="18"/>
                <w:szCs w:val="18"/>
                <w:color w:val="auto"/>
                <w:w w:val="89"/>
              </w:rPr>
              <w:t>2012</w:t>
            </w:r>
          </w:p>
        </w:tc>
        <w:tc>
          <w:tcPr>
            <w:tcW w:w="340" w:type="dxa"/>
            <w:vAlign w:val="bottom"/>
          </w:tcPr>
          <w:p>
            <w:pPr>
              <w:spacing w:after="0"/>
              <w:rPr>
                <w:sz w:val="19"/>
                <w:szCs w:val="19"/>
                <w:color w:val="auto"/>
              </w:rPr>
            </w:pPr>
          </w:p>
        </w:tc>
        <w:tc>
          <w:tcPr>
            <w:tcW w:w="580" w:type="dxa"/>
            <w:vAlign w:val="bottom"/>
          </w:tcPr>
          <w:p>
            <w:pPr>
              <w:jc w:val="right"/>
              <w:ind w:right="90"/>
              <w:spacing w:after="0"/>
              <w:rPr>
                <w:sz w:val="20"/>
                <w:szCs w:val="20"/>
                <w:color w:val="auto"/>
              </w:rPr>
            </w:pPr>
            <w:r>
              <w:rPr>
                <w:rFonts w:ascii="Arial" w:cs="Arial" w:eastAsia="Arial" w:hAnsi="Arial"/>
                <w:sz w:val="18"/>
                <w:szCs w:val="18"/>
                <w:color w:val="auto"/>
                <w:w w:val="94"/>
              </w:rPr>
              <w:t>2011</w:t>
            </w:r>
          </w:p>
        </w:tc>
        <w:tc>
          <w:tcPr>
            <w:tcW w:w="100" w:type="dxa"/>
            <w:vAlign w:val="bottom"/>
          </w:tcPr>
          <w:p>
            <w:pPr>
              <w:spacing w:after="0"/>
              <w:rPr>
                <w:sz w:val="19"/>
                <w:szCs w:val="19"/>
                <w:color w:val="auto"/>
              </w:rPr>
            </w:pPr>
          </w:p>
        </w:tc>
      </w:tr>
      <w:tr>
        <w:trPr>
          <w:trHeight w:val="216"/>
        </w:trPr>
        <w:tc>
          <w:tcPr>
            <w:tcW w:w="20" w:type="dxa"/>
            <w:vAlign w:val="bottom"/>
          </w:tcPr>
          <w:p>
            <w:pPr>
              <w:spacing w:after="0"/>
              <w:rPr>
                <w:sz w:val="18"/>
                <w:szCs w:val="18"/>
                <w:color w:val="auto"/>
              </w:rPr>
            </w:pPr>
          </w:p>
        </w:tc>
        <w:tc>
          <w:tcPr>
            <w:tcW w:w="3780" w:type="dxa"/>
            <w:vAlign w:val="bottom"/>
            <w:shd w:val="clear" w:color="auto" w:fill="CCEEFF"/>
          </w:tcPr>
          <w:p>
            <w:pPr>
              <w:spacing w:after="0"/>
              <w:rPr>
                <w:sz w:val="20"/>
                <w:szCs w:val="20"/>
                <w:color w:val="auto"/>
              </w:rPr>
            </w:pPr>
            <w:r>
              <w:rPr>
                <w:rFonts w:ascii="Arial" w:cs="Arial" w:eastAsia="Arial" w:hAnsi="Arial"/>
                <w:sz w:val="18"/>
                <w:szCs w:val="18"/>
                <w:color w:val="auto"/>
              </w:rPr>
              <w:t>Net sales</w:t>
            </w:r>
          </w:p>
        </w:tc>
        <w:tc>
          <w:tcPr>
            <w:tcW w:w="1720" w:type="dxa"/>
            <w:vAlign w:val="bottom"/>
            <w:shd w:val="clear" w:color="auto" w:fill="CCEEFF"/>
          </w:tcPr>
          <w:p>
            <w:pPr>
              <w:ind w:left="1580"/>
              <w:spacing w:after="0"/>
              <w:rPr>
                <w:sz w:val="20"/>
                <w:szCs w:val="20"/>
                <w:color w:val="auto"/>
              </w:rPr>
            </w:pPr>
            <w:r>
              <w:rPr>
                <w:rFonts w:ascii="Arial" w:cs="Arial" w:eastAsia="Arial" w:hAnsi="Arial"/>
                <w:sz w:val="18"/>
                <w:szCs w:val="18"/>
                <w:b w:val="1"/>
                <w:bCs w:val="1"/>
                <w:color w:val="auto"/>
              </w:rPr>
              <w:t>$</w:t>
            </w:r>
          </w:p>
        </w:tc>
        <w:tc>
          <w:tcPr>
            <w:tcW w:w="1100" w:type="dxa"/>
            <w:vAlign w:val="bottom"/>
            <w:shd w:val="clear" w:color="auto" w:fill="CCEEFF"/>
          </w:tcPr>
          <w:p>
            <w:pPr>
              <w:jc w:val="right"/>
              <w:ind w:right="230"/>
              <w:spacing w:after="0"/>
              <w:rPr>
                <w:sz w:val="20"/>
                <w:szCs w:val="20"/>
                <w:color w:val="auto"/>
              </w:rPr>
            </w:pPr>
            <w:r>
              <w:rPr>
                <w:rFonts w:ascii="Arial" w:cs="Arial" w:eastAsia="Arial" w:hAnsi="Arial"/>
                <w:sz w:val="18"/>
                <w:szCs w:val="18"/>
                <w:b w:val="1"/>
                <w:bCs w:val="1"/>
                <w:color w:val="auto"/>
              </w:rPr>
              <w:t>157.7</w:t>
            </w:r>
          </w:p>
        </w:tc>
        <w:tc>
          <w:tcPr>
            <w:tcW w:w="480" w:type="dxa"/>
            <w:vAlign w:val="bottom"/>
            <w:shd w:val="clear" w:color="auto" w:fill="CCEEFF"/>
          </w:tcPr>
          <w:p>
            <w:pPr>
              <w:ind w:left="340"/>
              <w:spacing w:after="0"/>
              <w:rPr>
                <w:sz w:val="20"/>
                <w:szCs w:val="20"/>
                <w:color w:val="auto"/>
              </w:rPr>
            </w:pPr>
            <w:r>
              <w:rPr>
                <w:rFonts w:ascii="Arial" w:cs="Arial" w:eastAsia="Arial" w:hAnsi="Arial"/>
                <w:sz w:val="18"/>
                <w:szCs w:val="18"/>
                <w:color w:val="auto"/>
              </w:rPr>
              <w:t>$</w:t>
            </w:r>
          </w:p>
        </w:tc>
        <w:tc>
          <w:tcPr>
            <w:tcW w:w="1000" w:type="dxa"/>
            <w:vAlign w:val="bottom"/>
            <w:shd w:val="clear" w:color="auto" w:fill="CCEEFF"/>
          </w:tcPr>
          <w:p>
            <w:pPr>
              <w:jc w:val="right"/>
              <w:ind w:right="110"/>
              <w:spacing w:after="0"/>
              <w:rPr>
                <w:sz w:val="20"/>
                <w:szCs w:val="20"/>
                <w:color w:val="auto"/>
              </w:rPr>
            </w:pPr>
            <w:r>
              <w:rPr>
                <w:rFonts w:ascii="Arial" w:cs="Arial" w:eastAsia="Arial" w:hAnsi="Arial"/>
                <w:sz w:val="18"/>
                <w:szCs w:val="18"/>
                <w:color w:val="auto"/>
              </w:rPr>
              <w:t>128.5</w:t>
            </w:r>
          </w:p>
        </w:tc>
        <w:tc>
          <w:tcPr>
            <w:tcW w:w="360" w:type="dxa"/>
            <w:vAlign w:val="bottom"/>
            <w:shd w:val="clear" w:color="auto" w:fill="CCEEFF"/>
          </w:tcPr>
          <w:p>
            <w:pPr>
              <w:ind w:left="220"/>
              <w:spacing w:after="0"/>
              <w:rPr>
                <w:sz w:val="20"/>
                <w:szCs w:val="20"/>
                <w:color w:val="auto"/>
              </w:rPr>
            </w:pPr>
            <w:r>
              <w:rPr>
                <w:rFonts w:ascii="Arial" w:cs="Arial" w:eastAsia="Arial" w:hAnsi="Arial"/>
                <w:sz w:val="18"/>
                <w:szCs w:val="18"/>
                <w:b w:val="1"/>
                <w:bCs w:val="1"/>
                <w:color w:val="auto"/>
              </w:rPr>
              <w:t>$</w:t>
            </w:r>
          </w:p>
        </w:tc>
        <w:tc>
          <w:tcPr>
            <w:tcW w:w="800" w:type="dxa"/>
            <w:vAlign w:val="bottom"/>
            <w:shd w:val="clear" w:color="auto" w:fill="CCEEFF"/>
          </w:tcPr>
          <w:p>
            <w:pPr>
              <w:jc w:val="right"/>
              <w:ind w:right="130"/>
              <w:spacing w:after="0"/>
              <w:rPr>
                <w:sz w:val="20"/>
                <w:szCs w:val="20"/>
                <w:color w:val="auto"/>
              </w:rPr>
            </w:pPr>
            <w:r>
              <w:rPr>
                <w:rFonts w:ascii="Arial" w:cs="Arial" w:eastAsia="Arial" w:hAnsi="Arial"/>
                <w:sz w:val="18"/>
                <w:szCs w:val="18"/>
                <w:b w:val="1"/>
                <w:bCs w:val="1"/>
                <w:color w:val="auto"/>
              </w:rPr>
              <w:t>515.9</w:t>
            </w:r>
          </w:p>
        </w:tc>
        <w:tc>
          <w:tcPr>
            <w:tcW w:w="340" w:type="dxa"/>
            <w:vAlign w:val="bottom"/>
            <w:shd w:val="clear" w:color="auto" w:fill="CCEEFF"/>
          </w:tcPr>
          <w:p>
            <w:pPr>
              <w:ind w:left="200"/>
              <w:spacing w:after="0"/>
              <w:rPr>
                <w:sz w:val="20"/>
                <w:szCs w:val="20"/>
                <w:color w:val="auto"/>
              </w:rPr>
            </w:pPr>
            <w:r>
              <w:rPr>
                <w:rFonts w:ascii="Arial" w:cs="Arial" w:eastAsia="Arial" w:hAnsi="Arial"/>
                <w:sz w:val="18"/>
                <w:szCs w:val="18"/>
                <w:color w:val="auto"/>
              </w:rPr>
              <w:t>$</w:t>
            </w:r>
          </w:p>
        </w:tc>
        <w:tc>
          <w:tcPr>
            <w:tcW w:w="800" w:type="dxa"/>
            <w:vAlign w:val="bottom"/>
            <w:shd w:val="clear" w:color="auto" w:fill="CCEEFF"/>
          </w:tcPr>
          <w:p>
            <w:pPr>
              <w:jc w:val="right"/>
              <w:ind w:right="110"/>
              <w:spacing w:after="0"/>
              <w:rPr>
                <w:sz w:val="20"/>
                <w:szCs w:val="20"/>
                <w:color w:val="auto"/>
              </w:rPr>
            </w:pPr>
            <w:r>
              <w:rPr>
                <w:rFonts w:ascii="Arial" w:cs="Arial" w:eastAsia="Arial" w:hAnsi="Arial"/>
                <w:sz w:val="18"/>
                <w:szCs w:val="18"/>
                <w:color w:val="auto"/>
              </w:rPr>
              <w:t>714.6</w:t>
            </w:r>
          </w:p>
        </w:tc>
        <w:tc>
          <w:tcPr>
            <w:tcW w:w="340" w:type="dxa"/>
            <w:vAlign w:val="bottom"/>
            <w:shd w:val="clear" w:color="auto" w:fill="CCEEFF"/>
          </w:tcPr>
          <w:p>
            <w:pPr>
              <w:ind w:left="200"/>
              <w:spacing w:after="0"/>
              <w:rPr>
                <w:sz w:val="20"/>
                <w:szCs w:val="20"/>
                <w:color w:val="auto"/>
              </w:rPr>
            </w:pPr>
            <w:r>
              <w:rPr>
                <w:rFonts w:ascii="Arial" w:cs="Arial" w:eastAsia="Arial" w:hAnsi="Arial"/>
                <w:sz w:val="18"/>
                <w:szCs w:val="18"/>
                <w:color w:val="auto"/>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814.1</w:t>
            </w:r>
          </w:p>
        </w:tc>
        <w:tc>
          <w:tcPr>
            <w:tcW w:w="10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3780" w:type="dxa"/>
            <w:vAlign w:val="bottom"/>
          </w:tcPr>
          <w:p>
            <w:pPr>
              <w:spacing w:after="0"/>
              <w:rPr>
                <w:sz w:val="20"/>
                <w:szCs w:val="20"/>
                <w:color w:val="auto"/>
              </w:rPr>
            </w:pPr>
            <w:r>
              <w:rPr>
                <w:rFonts w:ascii="Arial" w:cs="Arial" w:eastAsia="Arial" w:hAnsi="Arial"/>
                <w:sz w:val="18"/>
                <w:szCs w:val="18"/>
                <w:color w:val="auto"/>
              </w:rPr>
              <w:t>Less: surcharge revenue</w:t>
            </w:r>
          </w:p>
        </w:tc>
        <w:tc>
          <w:tcPr>
            <w:tcW w:w="1720" w:type="dxa"/>
            <w:vAlign w:val="bottom"/>
          </w:tcPr>
          <w:p>
            <w:pPr>
              <w:spacing w:after="0"/>
              <w:rPr>
                <w:sz w:val="18"/>
                <w:szCs w:val="18"/>
                <w:color w:val="auto"/>
              </w:rPr>
            </w:pPr>
          </w:p>
        </w:tc>
        <w:tc>
          <w:tcPr>
            <w:tcW w:w="1100" w:type="dxa"/>
            <w:vAlign w:val="bottom"/>
          </w:tcPr>
          <w:p>
            <w:pPr>
              <w:jc w:val="right"/>
              <w:ind w:right="230"/>
              <w:spacing w:after="0"/>
              <w:rPr>
                <w:sz w:val="20"/>
                <w:szCs w:val="20"/>
                <w:color w:val="auto"/>
              </w:rPr>
            </w:pPr>
            <w:r>
              <w:rPr>
                <w:rFonts w:ascii="Arial" w:cs="Arial" w:eastAsia="Arial" w:hAnsi="Arial"/>
                <w:sz w:val="18"/>
                <w:szCs w:val="18"/>
                <w:b w:val="1"/>
                <w:bCs w:val="1"/>
                <w:color w:val="auto"/>
              </w:rPr>
              <w:t>37.0</w:t>
            </w:r>
          </w:p>
        </w:tc>
        <w:tc>
          <w:tcPr>
            <w:tcW w:w="480" w:type="dxa"/>
            <w:vAlign w:val="bottom"/>
          </w:tcPr>
          <w:p>
            <w:pPr>
              <w:spacing w:after="0"/>
              <w:rPr>
                <w:sz w:val="18"/>
                <w:szCs w:val="18"/>
                <w:color w:val="auto"/>
              </w:rPr>
            </w:pPr>
          </w:p>
        </w:tc>
        <w:tc>
          <w:tcPr>
            <w:tcW w:w="1000" w:type="dxa"/>
            <w:vAlign w:val="bottom"/>
          </w:tcPr>
          <w:p>
            <w:pPr>
              <w:jc w:val="right"/>
              <w:ind w:right="110"/>
              <w:spacing w:after="0"/>
              <w:rPr>
                <w:sz w:val="20"/>
                <w:szCs w:val="20"/>
                <w:color w:val="auto"/>
              </w:rPr>
            </w:pPr>
            <w:r>
              <w:rPr>
                <w:rFonts w:ascii="Arial" w:cs="Arial" w:eastAsia="Arial" w:hAnsi="Arial"/>
                <w:sz w:val="18"/>
                <w:szCs w:val="18"/>
                <w:color w:val="auto"/>
              </w:rPr>
              <w:t>28.4</w:t>
            </w:r>
          </w:p>
        </w:tc>
        <w:tc>
          <w:tcPr>
            <w:tcW w:w="360" w:type="dxa"/>
            <w:vAlign w:val="bottom"/>
          </w:tcPr>
          <w:p>
            <w:pPr>
              <w:spacing w:after="0"/>
              <w:rPr>
                <w:sz w:val="18"/>
                <w:szCs w:val="18"/>
                <w:color w:val="auto"/>
              </w:rPr>
            </w:pPr>
          </w:p>
        </w:tc>
        <w:tc>
          <w:tcPr>
            <w:tcW w:w="800" w:type="dxa"/>
            <w:vAlign w:val="bottom"/>
          </w:tcPr>
          <w:p>
            <w:pPr>
              <w:jc w:val="right"/>
              <w:ind w:right="130"/>
              <w:spacing w:after="0"/>
              <w:rPr>
                <w:sz w:val="20"/>
                <w:szCs w:val="20"/>
                <w:color w:val="auto"/>
              </w:rPr>
            </w:pPr>
            <w:r>
              <w:rPr>
                <w:rFonts w:ascii="Arial" w:cs="Arial" w:eastAsia="Arial" w:hAnsi="Arial"/>
                <w:sz w:val="18"/>
                <w:szCs w:val="18"/>
                <w:b w:val="1"/>
                <w:bCs w:val="1"/>
                <w:color w:val="auto"/>
              </w:rPr>
              <w:t>118.7</w:t>
            </w:r>
          </w:p>
        </w:tc>
        <w:tc>
          <w:tcPr>
            <w:tcW w:w="340" w:type="dxa"/>
            <w:vAlign w:val="bottom"/>
          </w:tcPr>
          <w:p>
            <w:pPr>
              <w:spacing w:after="0"/>
              <w:rPr>
                <w:sz w:val="18"/>
                <w:szCs w:val="18"/>
                <w:color w:val="auto"/>
              </w:rPr>
            </w:pPr>
          </w:p>
        </w:tc>
        <w:tc>
          <w:tcPr>
            <w:tcW w:w="800" w:type="dxa"/>
            <w:vAlign w:val="bottom"/>
          </w:tcPr>
          <w:p>
            <w:pPr>
              <w:jc w:val="right"/>
              <w:ind w:right="110"/>
              <w:spacing w:after="0"/>
              <w:rPr>
                <w:sz w:val="20"/>
                <w:szCs w:val="20"/>
                <w:color w:val="auto"/>
              </w:rPr>
            </w:pPr>
            <w:r>
              <w:rPr>
                <w:rFonts w:ascii="Arial" w:cs="Arial" w:eastAsia="Arial" w:hAnsi="Arial"/>
                <w:sz w:val="18"/>
                <w:szCs w:val="18"/>
                <w:color w:val="auto"/>
              </w:rPr>
              <w:t>177.1</w:t>
            </w:r>
          </w:p>
        </w:tc>
        <w:tc>
          <w:tcPr>
            <w:tcW w:w="34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246.6</w:t>
            </w:r>
          </w:p>
        </w:tc>
        <w:tc>
          <w:tcPr>
            <w:tcW w:w="100" w:type="dxa"/>
            <w:vAlign w:val="bottom"/>
          </w:tcPr>
          <w:p>
            <w:pPr>
              <w:spacing w:after="0"/>
              <w:rPr>
                <w:sz w:val="18"/>
                <w:szCs w:val="18"/>
                <w:color w:val="auto"/>
              </w:rPr>
            </w:pPr>
          </w:p>
        </w:tc>
      </w:tr>
      <w:tr>
        <w:trPr>
          <w:trHeight w:val="223"/>
        </w:trPr>
        <w:tc>
          <w:tcPr>
            <w:tcW w:w="20" w:type="dxa"/>
            <w:vAlign w:val="bottom"/>
          </w:tcPr>
          <w:p>
            <w:pPr>
              <w:spacing w:after="0"/>
              <w:rPr>
                <w:sz w:val="19"/>
                <w:szCs w:val="19"/>
                <w:color w:val="auto"/>
              </w:rPr>
            </w:pPr>
          </w:p>
        </w:tc>
        <w:tc>
          <w:tcPr>
            <w:tcW w:w="378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color w:val="auto"/>
              </w:rPr>
              <w:t>Net sales, excluding surcharges</w:t>
            </w:r>
          </w:p>
        </w:tc>
        <w:tc>
          <w:tcPr>
            <w:tcW w:w="1720" w:type="dxa"/>
            <w:vAlign w:val="bottom"/>
            <w:tcBorders>
              <w:bottom w:val="single" w:sz="8" w:color="auto"/>
            </w:tcBorders>
            <w:shd w:val="clear" w:color="auto" w:fill="CCEEFF"/>
          </w:tcPr>
          <w:p>
            <w:pPr>
              <w:ind w:left="1580"/>
              <w:spacing w:after="0"/>
              <w:rPr>
                <w:sz w:val="20"/>
                <w:szCs w:val="20"/>
                <w:color w:val="auto"/>
              </w:rPr>
            </w:pPr>
            <w:r>
              <w:rPr>
                <w:rFonts w:ascii="Arial" w:cs="Arial" w:eastAsia="Arial" w:hAnsi="Arial"/>
                <w:sz w:val="18"/>
                <w:szCs w:val="18"/>
                <w:b w:val="1"/>
                <w:bCs w:val="1"/>
                <w:color w:val="auto"/>
              </w:rPr>
              <w:t>$</w:t>
            </w:r>
          </w:p>
        </w:tc>
        <w:tc>
          <w:tcPr>
            <w:tcW w:w="1100" w:type="dxa"/>
            <w:vAlign w:val="bottom"/>
            <w:tcBorders>
              <w:bottom w:val="single" w:sz="8" w:color="auto"/>
            </w:tcBorders>
            <w:shd w:val="clear" w:color="auto" w:fill="CCEEFF"/>
          </w:tcPr>
          <w:p>
            <w:pPr>
              <w:jc w:val="right"/>
              <w:ind w:right="230"/>
              <w:spacing w:after="0"/>
              <w:rPr>
                <w:sz w:val="20"/>
                <w:szCs w:val="20"/>
                <w:color w:val="auto"/>
              </w:rPr>
            </w:pPr>
            <w:r>
              <w:rPr>
                <w:rFonts w:ascii="Arial" w:cs="Arial" w:eastAsia="Arial" w:hAnsi="Arial"/>
                <w:sz w:val="18"/>
                <w:szCs w:val="18"/>
                <w:b w:val="1"/>
                <w:bCs w:val="1"/>
                <w:color w:val="auto"/>
              </w:rPr>
              <w:t>120.7</w:t>
            </w:r>
          </w:p>
        </w:tc>
        <w:tc>
          <w:tcPr>
            <w:tcW w:w="480" w:type="dxa"/>
            <w:vAlign w:val="bottom"/>
            <w:tcBorders>
              <w:bottom w:val="single" w:sz="8" w:color="auto"/>
            </w:tcBorders>
            <w:shd w:val="clear" w:color="auto" w:fill="CCEEFF"/>
          </w:tcPr>
          <w:p>
            <w:pPr>
              <w:ind w:left="340"/>
              <w:spacing w:after="0"/>
              <w:rPr>
                <w:sz w:val="20"/>
                <w:szCs w:val="20"/>
                <w:color w:val="auto"/>
              </w:rPr>
            </w:pPr>
            <w:r>
              <w:rPr>
                <w:rFonts w:ascii="Arial" w:cs="Arial" w:eastAsia="Arial" w:hAnsi="Arial"/>
                <w:sz w:val="18"/>
                <w:szCs w:val="18"/>
                <w:color w:val="auto"/>
              </w:rPr>
              <w:t>$</w:t>
            </w:r>
          </w:p>
        </w:tc>
        <w:tc>
          <w:tcPr>
            <w:tcW w:w="1000" w:type="dxa"/>
            <w:vAlign w:val="bottom"/>
            <w:tcBorders>
              <w:bottom w:val="single" w:sz="8" w:color="auto"/>
            </w:tcBorders>
            <w:shd w:val="clear" w:color="auto" w:fill="CCEEFF"/>
          </w:tcPr>
          <w:p>
            <w:pPr>
              <w:jc w:val="right"/>
              <w:ind w:right="110"/>
              <w:spacing w:after="0"/>
              <w:rPr>
                <w:sz w:val="20"/>
                <w:szCs w:val="20"/>
                <w:color w:val="auto"/>
              </w:rPr>
            </w:pPr>
            <w:r>
              <w:rPr>
                <w:rFonts w:ascii="Arial" w:cs="Arial" w:eastAsia="Arial" w:hAnsi="Arial"/>
                <w:sz w:val="18"/>
                <w:szCs w:val="18"/>
                <w:color w:val="auto"/>
              </w:rPr>
              <w:t>100.1</w:t>
            </w:r>
          </w:p>
        </w:tc>
        <w:tc>
          <w:tcPr>
            <w:tcW w:w="360" w:type="dxa"/>
            <w:vAlign w:val="bottom"/>
            <w:tcBorders>
              <w:bottom w:val="single" w:sz="8" w:color="auto"/>
            </w:tcBorders>
            <w:shd w:val="clear" w:color="auto" w:fill="CCEEFF"/>
          </w:tcPr>
          <w:p>
            <w:pPr>
              <w:ind w:left="220"/>
              <w:spacing w:after="0"/>
              <w:rPr>
                <w:sz w:val="20"/>
                <w:szCs w:val="20"/>
                <w:color w:val="auto"/>
              </w:rPr>
            </w:pPr>
            <w:r>
              <w:rPr>
                <w:rFonts w:ascii="Arial" w:cs="Arial" w:eastAsia="Arial" w:hAnsi="Arial"/>
                <w:sz w:val="18"/>
                <w:szCs w:val="18"/>
                <w:b w:val="1"/>
                <w:bCs w:val="1"/>
                <w:color w:val="auto"/>
              </w:rPr>
              <w:t>$</w:t>
            </w:r>
          </w:p>
        </w:tc>
        <w:tc>
          <w:tcPr>
            <w:tcW w:w="800" w:type="dxa"/>
            <w:vAlign w:val="bottom"/>
            <w:tcBorders>
              <w:bottom w:val="single" w:sz="8" w:color="auto"/>
            </w:tcBorders>
            <w:shd w:val="clear" w:color="auto" w:fill="CCEEFF"/>
          </w:tcPr>
          <w:p>
            <w:pPr>
              <w:jc w:val="right"/>
              <w:ind w:right="130"/>
              <w:spacing w:after="0"/>
              <w:rPr>
                <w:sz w:val="20"/>
                <w:szCs w:val="20"/>
                <w:color w:val="auto"/>
              </w:rPr>
            </w:pPr>
            <w:r>
              <w:rPr>
                <w:rFonts w:ascii="Arial" w:cs="Arial" w:eastAsia="Arial" w:hAnsi="Arial"/>
                <w:sz w:val="18"/>
                <w:szCs w:val="18"/>
                <w:b w:val="1"/>
                <w:bCs w:val="1"/>
                <w:color w:val="auto"/>
              </w:rPr>
              <w:t>397.2</w:t>
            </w:r>
          </w:p>
        </w:tc>
        <w:tc>
          <w:tcPr>
            <w:tcW w:w="340" w:type="dxa"/>
            <w:vAlign w:val="bottom"/>
            <w:tcBorders>
              <w:bottom w:val="single" w:sz="8" w:color="auto"/>
            </w:tcBorders>
            <w:shd w:val="clear" w:color="auto" w:fill="CCEEFF"/>
          </w:tcPr>
          <w:p>
            <w:pPr>
              <w:ind w:left="200"/>
              <w:spacing w:after="0"/>
              <w:rPr>
                <w:sz w:val="20"/>
                <w:szCs w:val="20"/>
                <w:color w:val="auto"/>
              </w:rPr>
            </w:pPr>
            <w:r>
              <w:rPr>
                <w:rFonts w:ascii="Arial" w:cs="Arial" w:eastAsia="Arial" w:hAnsi="Arial"/>
                <w:sz w:val="18"/>
                <w:szCs w:val="18"/>
                <w:color w:val="auto"/>
              </w:rPr>
              <w:t>$</w:t>
            </w:r>
          </w:p>
        </w:tc>
        <w:tc>
          <w:tcPr>
            <w:tcW w:w="800" w:type="dxa"/>
            <w:vAlign w:val="bottom"/>
            <w:tcBorders>
              <w:bottom w:val="single" w:sz="8" w:color="auto"/>
            </w:tcBorders>
            <w:shd w:val="clear" w:color="auto" w:fill="CCEEFF"/>
          </w:tcPr>
          <w:p>
            <w:pPr>
              <w:jc w:val="right"/>
              <w:ind w:right="110"/>
              <w:spacing w:after="0"/>
              <w:rPr>
                <w:sz w:val="20"/>
                <w:szCs w:val="20"/>
                <w:color w:val="auto"/>
              </w:rPr>
            </w:pPr>
            <w:r>
              <w:rPr>
                <w:rFonts w:ascii="Arial" w:cs="Arial" w:eastAsia="Arial" w:hAnsi="Arial"/>
                <w:sz w:val="18"/>
                <w:szCs w:val="18"/>
                <w:color w:val="auto"/>
              </w:rPr>
              <w:t>537.5</w:t>
            </w:r>
          </w:p>
        </w:tc>
        <w:tc>
          <w:tcPr>
            <w:tcW w:w="340" w:type="dxa"/>
            <w:vAlign w:val="bottom"/>
            <w:tcBorders>
              <w:bottom w:val="single" w:sz="8" w:color="auto"/>
            </w:tcBorders>
            <w:shd w:val="clear" w:color="auto" w:fill="CCEEFF"/>
          </w:tcPr>
          <w:p>
            <w:pPr>
              <w:ind w:left="200"/>
              <w:spacing w:after="0"/>
              <w:rPr>
                <w:sz w:val="20"/>
                <w:szCs w:val="20"/>
                <w:color w:val="auto"/>
              </w:rPr>
            </w:pPr>
            <w:r>
              <w:rPr>
                <w:rFonts w:ascii="Arial" w:cs="Arial" w:eastAsia="Arial" w:hAnsi="Arial"/>
                <w:sz w:val="18"/>
                <w:szCs w:val="18"/>
                <w:color w:val="auto"/>
              </w:rPr>
              <w:t>$</w:t>
            </w:r>
          </w:p>
        </w:tc>
        <w:tc>
          <w:tcPr>
            <w:tcW w:w="5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567.5</w:t>
            </w:r>
          </w:p>
        </w:tc>
        <w:tc>
          <w:tcPr>
            <w:tcW w:w="100" w:type="dxa"/>
            <w:vAlign w:val="bottom"/>
            <w:shd w:val="clear" w:color="auto" w:fill="CCEEFF"/>
          </w:tcPr>
          <w:p>
            <w:pPr>
              <w:spacing w:after="0"/>
              <w:rPr>
                <w:sz w:val="19"/>
                <w:szCs w:val="19"/>
                <w:color w:val="auto"/>
              </w:rPr>
            </w:pPr>
          </w:p>
        </w:tc>
      </w:tr>
    </w:tbl>
    <w:p>
      <w:pPr>
        <w:spacing w:after="0" w:line="23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Liquidity and Capital Resources</w:t>
      </w:r>
    </w:p>
    <w:p>
      <w:pPr>
        <w:spacing w:after="0" w:line="270" w:lineRule="exact"/>
        <w:rPr>
          <w:sz w:val="20"/>
          <w:szCs w:val="20"/>
          <w:color w:val="auto"/>
        </w:rPr>
      </w:pPr>
    </w:p>
    <w:p>
      <w:pPr>
        <w:ind w:firstLine="913"/>
        <w:spacing w:after="0" w:line="264" w:lineRule="auto"/>
        <w:rPr>
          <w:sz w:val="20"/>
          <w:szCs w:val="20"/>
          <w:color w:val="auto"/>
        </w:rPr>
      </w:pPr>
      <w:r>
        <w:rPr>
          <w:rFonts w:ascii="Arial" w:cs="Arial" w:eastAsia="Arial" w:hAnsi="Arial"/>
          <w:sz w:val="18"/>
          <w:szCs w:val="18"/>
          <w:color w:val="auto"/>
        </w:rPr>
        <w:t>The primary source of liquidity for our business is cash flow provided by operations, which has historically been transferred to Timken to support its overall cash management strategy. Transfers of cash to and from Timken’s cash management system have been reflected in Net Parent Investment in the historical Consolidated Balance Sheets, Statements of Cash Flows and Statements of Parent Equity.</w:t>
      </w:r>
    </w:p>
    <w:p>
      <w:pPr>
        <w:spacing w:after="0" w:line="222" w:lineRule="exact"/>
        <w:rPr>
          <w:sz w:val="20"/>
          <w:szCs w:val="20"/>
          <w:color w:val="auto"/>
        </w:rPr>
      </w:pPr>
    </w:p>
    <w:p>
      <w:pPr>
        <w:ind w:right="40" w:firstLine="913"/>
        <w:spacing w:after="0" w:line="289" w:lineRule="auto"/>
        <w:rPr>
          <w:sz w:val="20"/>
          <w:szCs w:val="20"/>
          <w:color w:val="auto"/>
        </w:rPr>
      </w:pPr>
      <w:r>
        <w:rPr>
          <w:rFonts w:ascii="Arial" w:cs="Arial" w:eastAsia="Arial" w:hAnsi="Arial"/>
          <w:sz w:val="16"/>
          <w:szCs w:val="16"/>
          <w:color w:val="auto"/>
        </w:rPr>
        <w:t>Upon completion of the spinoff, our capital structure and sources of liquidity will change significantly from our historical capital structure. Our businesses will no longer participate in cash management and funding arrangements with Timken. Our internally generated cash flow will be used to invest in new product development, fund capital expenditures and fund working capital requirements, and is expected to be adequate to service any future debt, pay expected future dividends, fund any share repurchases and fund future acquisitions, if any. Our ability to fund these capital needs will depend on our ongoing ability to generate cash from operations and to access our borrowing facilities and capital markets. We believe that our future cash from operations, together with our access to cash and cash equivalents, and cash expected to be available through borrowing facilities and capital markets, will provide adequate resources to fund our operating and financing needs for at least the next twelve months. We have entered into a commitment letter with two lead arranger banks to secure a credit facility prior to the completion of the spinoff. The credit facility is anticipated to be for approximately $300 million, and we are currently in the process of negotiating and initiating the syndication process with two lead arranger banks and several other banks.</w:t>
      </w:r>
    </w:p>
    <w:p>
      <w:pPr>
        <w:spacing w:after="0" w:line="194" w:lineRule="exact"/>
        <w:rPr>
          <w:sz w:val="20"/>
          <w:szCs w:val="20"/>
          <w:color w:val="auto"/>
        </w:rPr>
      </w:pPr>
    </w:p>
    <w:p>
      <w:pPr>
        <w:ind w:left="920"/>
        <w:spacing w:after="0"/>
        <w:rPr>
          <w:sz w:val="20"/>
          <w:szCs w:val="20"/>
          <w:color w:val="auto"/>
        </w:rPr>
      </w:pPr>
      <w:r>
        <w:rPr>
          <w:rFonts w:ascii="Arial" w:cs="Arial" w:eastAsia="Arial" w:hAnsi="Arial"/>
          <w:sz w:val="16"/>
          <w:szCs w:val="16"/>
          <w:color w:val="auto"/>
        </w:rPr>
        <w:t>The following tables contain several key measures to gauge our financial condition and liquidity as of March 31, 2014, December 31, 2013 and</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December 31, 2012:</w:t>
      </w:r>
    </w:p>
    <w:p>
      <w:pPr>
        <w:sectPr>
          <w:pgSz w:w="11900" w:h="16838" w:orient="portrait"/>
          <w:cols w:equalWidth="0" w:num="1">
            <w:col w:w="11420"/>
          </w:cols>
          <w:pgMar w:left="240" w:top="459" w:right="239" w:bottom="1440" w:gutter="0" w:footer="0" w:header="0"/>
        </w:sectPr>
      </w:pPr>
    </w:p>
    <w:bookmarkStart w:id="50" w:name="page51"/>
    <w:bookmarkEnd w:id="50"/>
    <w:tbl>
      <w:tblPr>
        <w:tblLayout w:type="fixed"/>
        <w:tblInd w:w="0" w:type="dxa"/>
        <w:tblCellMar>
          <w:top w:w="0" w:type="dxa"/>
          <w:left w:w="0" w:type="dxa"/>
          <w:bottom w:w="0" w:type="dxa"/>
          <w:right w:w="0" w:type="dxa"/>
        </w:tblCellMar>
      </w:tblPr>
      <w:tr>
        <w:trPr>
          <w:trHeight w:val="243"/>
        </w:trPr>
        <w:tc>
          <w:tcPr>
            <w:tcW w:w="566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b w:val="1"/>
                <w:bCs w:val="1"/>
                <w:color w:val="auto"/>
              </w:rPr>
              <w:t>Current Assets</w:t>
            </w:r>
          </w:p>
        </w:tc>
        <w:tc>
          <w:tcPr>
            <w:tcW w:w="1500" w:type="dxa"/>
            <w:vAlign w:val="bottom"/>
            <w:tcBorders>
              <w:top w:val="single" w:sz="8" w:color="auto"/>
              <w:bottom w:val="single" w:sz="8" w:color="auto"/>
            </w:tcBorders>
          </w:tcPr>
          <w:p>
            <w:pPr>
              <w:spacing w:after="0"/>
              <w:rPr>
                <w:sz w:val="21"/>
                <w:szCs w:val="21"/>
                <w:color w:val="auto"/>
              </w:rPr>
            </w:pPr>
          </w:p>
        </w:tc>
        <w:tc>
          <w:tcPr>
            <w:tcW w:w="1240" w:type="dxa"/>
            <w:vAlign w:val="bottom"/>
            <w:tcBorders>
              <w:top w:val="single" w:sz="8" w:color="auto"/>
              <w:bottom w:val="single" w:sz="8" w:color="auto"/>
            </w:tcBorders>
          </w:tcPr>
          <w:p>
            <w:pPr>
              <w:jc w:val="right"/>
              <w:ind w:right="270"/>
              <w:spacing w:after="0"/>
              <w:rPr>
                <w:sz w:val="20"/>
                <w:szCs w:val="20"/>
                <w:color w:val="auto"/>
              </w:rPr>
            </w:pPr>
            <w:r>
              <w:rPr>
                <w:rFonts w:ascii="Arial" w:cs="Arial" w:eastAsia="Arial" w:hAnsi="Arial"/>
                <w:sz w:val="18"/>
                <w:szCs w:val="18"/>
                <w:b w:val="1"/>
                <w:bCs w:val="1"/>
                <w:color w:val="auto"/>
              </w:rPr>
              <w:t>March 31,</w:t>
            </w:r>
          </w:p>
        </w:tc>
        <w:tc>
          <w:tcPr>
            <w:tcW w:w="980" w:type="dxa"/>
            <w:vAlign w:val="bottom"/>
            <w:tcBorders>
              <w:top w:val="single" w:sz="8" w:color="auto"/>
              <w:bottom w:val="single" w:sz="8" w:color="auto"/>
            </w:tcBorders>
          </w:tcPr>
          <w:p>
            <w:pPr>
              <w:spacing w:after="0"/>
              <w:rPr>
                <w:sz w:val="21"/>
                <w:szCs w:val="21"/>
                <w:color w:val="auto"/>
              </w:rPr>
            </w:pPr>
          </w:p>
        </w:tc>
        <w:tc>
          <w:tcPr>
            <w:tcW w:w="1100" w:type="dxa"/>
            <w:vAlign w:val="bottom"/>
            <w:tcBorders>
              <w:top w:val="single" w:sz="8" w:color="auto"/>
              <w:bottom w:val="single" w:sz="8" w:color="auto"/>
            </w:tcBorders>
            <w:gridSpan w:val="2"/>
          </w:tcPr>
          <w:p>
            <w:pPr>
              <w:jc w:val="right"/>
              <w:spacing w:after="0"/>
              <w:rPr>
                <w:sz w:val="20"/>
                <w:szCs w:val="20"/>
                <w:color w:val="auto"/>
              </w:rPr>
            </w:pPr>
            <w:r>
              <w:rPr>
                <w:rFonts w:ascii="Arial" w:cs="Arial" w:eastAsia="Arial" w:hAnsi="Arial"/>
                <w:sz w:val="18"/>
                <w:szCs w:val="18"/>
                <w:b w:val="1"/>
                <w:bCs w:val="1"/>
                <w:color w:val="auto"/>
                <w:w w:val="88"/>
              </w:rPr>
              <w:t>December 31,</w:t>
            </w:r>
          </w:p>
        </w:tc>
        <w:tc>
          <w:tcPr>
            <w:tcW w:w="840" w:type="dxa"/>
            <w:vAlign w:val="bottom"/>
            <w:tcBorders>
              <w:top w:val="single" w:sz="8" w:color="auto"/>
              <w:bottom w:val="single" w:sz="8" w:color="auto"/>
            </w:tcBorders>
          </w:tcPr>
          <w:p>
            <w:pPr>
              <w:spacing w:after="0"/>
              <w:rPr>
                <w:sz w:val="21"/>
                <w:szCs w:val="21"/>
                <w:color w:val="auto"/>
              </w:rPr>
            </w:pPr>
          </w:p>
        </w:tc>
        <w:tc>
          <w:tcPr>
            <w:tcW w:w="100" w:type="dxa"/>
            <w:vAlign w:val="bottom"/>
          </w:tcPr>
          <w:p>
            <w:pPr>
              <w:spacing w:after="0"/>
              <w:rPr>
                <w:sz w:val="21"/>
                <w:szCs w:val="21"/>
                <w:color w:val="auto"/>
              </w:rPr>
            </w:pPr>
          </w:p>
        </w:tc>
      </w:tr>
      <w:tr>
        <w:trPr>
          <w:trHeight w:val="223"/>
        </w:trPr>
        <w:tc>
          <w:tcPr>
            <w:tcW w:w="5660" w:type="dxa"/>
            <w:vAlign w:val="bottom"/>
          </w:tcPr>
          <w:p>
            <w:pPr>
              <w:spacing w:after="0"/>
              <w:rPr>
                <w:sz w:val="19"/>
                <w:szCs w:val="19"/>
                <w:color w:val="auto"/>
              </w:rPr>
            </w:pPr>
          </w:p>
        </w:tc>
        <w:tc>
          <w:tcPr>
            <w:tcW w:w="1500" w:type="dxa"/>
            <w:vAlign w:val="bottom"/>
          </w:tcPr>
          <w:p>
            <w:pPr>
              <w:spacing w:after="0"/>
              <w:rPr>
                <w:sz w:val="19"/>
                <w:szCs w:val="19"/>
                <w:color w:val="auto"/>
              </w:rPr>
            </w:pPr>
          </w:p>
        </w:tc>
        <w:tc>
          <w:tcPr>
            <w:tcW w:w="1240" w:type="dxa"/>
            <w:vAlign w:val="bottom"/>
          </w:tcPr>
          <w:p>
            <w:pPr>
              <w:jc w:val="right"/>
              <w:ind w:right="450"/>
              <w:spacing w:after="0"/>
              <w:rPr>
                <w:sz w:val="20"/>
                <w:szCs w:val="20"/>
                <w:color w:val="auto"/>
              </w:rPr>
            </w:pPr>
            <w:r>
              <w:rPr>
                <w:rFonts w:ascii="Arial" w:cs="Arial" w:eastAsia="Arial" w:hAnsi="Arial"/>
                <w:sz w:val="18"/>
                <w:szCs w:val="18"/>
                <w:b w:val="1"/>
                <w:bCs w:val="1"/>
                <w:color w:val="auto"/>
              </w:rPr>
              <w:t>2014</w:t>
            </w:r>
          </w:p>
        </w:tc>
        <w:tc>
          <w:tcPr>
            <w:tcW w:w="980" w:type="dxa"/>
            <w:vAlign w:val="bottom"/>
          </w:tcPr>
          <w:p>
            <w:pPr>
              <w:jc w:val="right"/>
              <w:spacing w:after="0"/>
              <w:rPr>
                <w:sz w:val="20"/>
                <w:szCs w:val="20"/>
                <w:color w:val="auto"/>
              </w:rPr>
            </w:pPr>
            <w:r>
              <w:rPr>
                <w:rFonts w:ascii="Arial" w:cs="Arial" w:eastAsia="Arial" w:hAnsi="Arial"/>
                <w:sz w:val="18"/>
                <w:szCs w:val="18"/>
                <w:b w:val="1"/>
                <w:bCs w:val="1"/>
                <w:color w:val="auto"/>
              </w:rPr>
              <w:t>2013</w:t>
            </w:r>
          </w:p>
        </w:tc>
        <w:tc>
          <w:tcPr>
            <w:tcW w:w="54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840" w:type="dxa"/>
            <w:vAlign w:val="bottom"/>
          </w:tcPr>
          <w:p>
            <w:pPr>
              <w:jc w:val="right"/>
              <w:ind w:right="350"/>
              <w:spacing w:after="0"/>
              <w:rPr>
                <w:sz w:val="20"/>
                <w:szCs w:val="20"/>
                <w:color w:val="auto"/>
              </w:rPr>
            </w:pPr>
            <w:r>
              <w:rPr>
                <w:rFonts w:ascii="Arial" w:cs="Arial" w:eastAsia="Arial" w:hAnsi="Arial"/>
                <w:sz w:val="18"/>
                <w:szCs w:val="18"/>
                <w:color w:val="auto"/>
                <w:w w:val="94"/>
              </w:rPr>
              <w:t>2012</w:t>
            </w:r>
          </w:p>
        </w:tc>
        <w:tc>
          <w:tcPr>
            <w:tcW w:w="100" w:type="dxa"/>
            <w:vAlign w:val="bottom"/>
          </w:tcPr>
          <w:p>
            <w:pPr>
              <w:spacing w:after="0"/>
              <w:rPr>
                <w:sz w:val="19"/>
                <w:szCs w:val="19"/>
                <w:color w:val="auto"/>
              </w:rPr>
            </w:pPr>
          </w:p>
        </w:tc>
      </w:tr>
      <w:tr>
        <w:trPr>
          <w:trHeight w:val="216"/>
        </w:trPr>
        <w:tc>
          <w:tcPr>
            <w:tcW w:w="5660" w:type="dxa"/>
            <w:vAlign w:val="bottom"/>
            <w:shd w:val="clear" w:color="auto" w:fill="CCEEFF"/>
          </w:tcPr>
          <w:p>
            <w:pPr>
              <w:spacing w:after="0"/>
              <w:rPr>
                <w:sz w:val="20"/>
                <w:szCs w:val="20"/>
                <w:color w:val="auto"/>
              </w:rPr>
            </w:pPr>
            <w:r>
              <w:rPr>
                <w:rFonts w:ascii="Arial" w:cs="Arial" w:eastAsia="Arial" w:hAnsi="Arial"/>
                <w:sz w:val="18"/>
                <w:szCs w:val="18"/>
                <w:color w:val="auto"/>
              </w:rPr>
              <w:t>Cash and cash equivalents</w:t>
            </w:r>
          </w:p>
        </w:tc>
        <w:tc>
          <w:tcPr>
            <w:tcW w:w="15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1240" w:type="dxa"/>
            <w:vAlign w:val="bottom"/>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w:t>
            </w:r>
          </w:p>
        </w:tc>
        <w:tc>
          <w:tcPr>
            <w:tcW w:w="980" w:type="dxa"/>
            <w:vAlign w:val="bottom"/>
            <w:shd w:val="clear" w:color="auto" w:fill="CCEEFF"/>
          </w:tcPr>
          <w:p>
            <w:pPr>
              <w:jc w:val="right"/>
              <w:ind w:right="690"/>
              <w:spacing w:after="0"/>
              <w:rPr>
                <w:sz w:val="20"/>
                <w:szCs w:val="20"/>
                <w:color w:val="auto"/>
              </w:rPr>
            </w:pPr>
            <w:r>
              <w:rPr>
                <w:rFonts w:ascii="Arial" w:cs="Arial" w:eastAsia="Arial" w:hAnsi="Arial"/>
                <w:sz w:val="18"/>
                <w:szCs w:val="18"/>
                <w:b w:val="1"/>
                <w:bCs w:val="1"/>
                <w:color w:val="auto"/>
              </w:rPr>
              <w:t>$</w:t>
            </w:r>
          </w:p>
        </w:tc>
        <w:tc>
          <w:tcPr>
            <w:tcW w:w="540" w:type="dxa"/>
            <w:vAlign w:val="bottom"/>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w:t>
            </w:r>
          </w:p>
        </w:tc>
        <w:tc>
          <w:tcPr>
            <w:tcW w:w="560" w:type="dxa"/>
            <w:vAlign w:val="bottom"/>
            <w:shd w:val="clear" w:color="auto" w:fill="CCEEFF"/>
          </w:tcPr>
          <w:p>
            <w:pPr>
              <w:jc w:val="right"/>
              <w:ind w:right="290"/>
              <w:spacing w:after="0"/>
              <w:rPr>
                <w:sz w:val="20"/>
                <w:szCs w:val="20"/>
                <w:color w:val="auto"/>
              </w:rPr>
            </w:pPr>
            <w:r>
              <w:rPr>
                <w:rFonts w:ascii="Arial" w:cs="Arial" w:eastAsia="Arial" w:hAnsi="Arial"/>
                <w:sz w:val="18"/>
                <w:szCs w:val="18"/>
                <w:color w:val="auto"/>
              </w:rPr>
              <w:t>$</w:t>
            </w:r>
          </w:p>
        </w:tc>
        <w:tc>
          <w:tcPr>
            <w:tcW w:w="9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r>
      <w:tr>
        <w:trPr>
          <w:trHeight w:val="216"/>
        </w:trPr>
        <w:tc>
          <w:tcPr>
            <w:tcW w:w="5660" w:type="dxa"/>
            <w:vAlign w:val="bottom"/>
          </w:tcPr>
          <w:p>
            <w:pPr>
              <w:spacing w:after="0"/>
              <w:rPr>
                <w:sz w:val="20"/>
                <w:szCs w:val="20"/>
                <w:color w:val="auto"/>
              </w:rPr>
            </w:pPr>
            <w:r>
              <w:rPr>
                <w:rFonts w:ascii="Arial" w:cs="Arial" w:eastAsia="Arial" w:hAnsi="Arial"/>
                <w:sz w:val="18"/>
                <w:szCs w:val="18"/>
                <w:color w:val="auto"/>
              </w:rPr>
              <w:t>Accounts receivable, net, including due from related parties</w:t>
            </w:r>
          </w:p>
        </w:tc>
        <w:tc>
          <w:tcPr>
            <w:tcW w:w="1500" w:type="dxa"/>
            <w:vAlign w:val="bottom"/>
          </w:tcPr>
          <w:p>
            <w:pPr>
              <w:spacing w:after="0"/>
              <w:rPr>
                <w:sz w:val="18"/>
                <w:szCs w:val="18"/>
                <w:color w:val="auto"/>
              </w:rPr>
            </w:pPr>
          </w:p>
        </w:tc>
        <w:tc>
          <w:tcPr>
            <w:tcW w:w="1240" w:type="dxa"/>
            <w:vAlign w:val="bottom"/>
          </w:tcPr>
          <w:p>
            <w:pPr>
              <w:jc w:val="right"/>
              <w:ind w:right="10"/>
              <w:spacing w:after="0"/>
              <w:rPr>
                <w:sz w:val="20"/>
                <w:szCs w:val="20"/>
                <w:color w:val="auto"/>
              </w:rPr>
            </w:pPr>
            <w:r>
              <w:rPr>
                <w:rFonts w:ascii="Arial" w:cs="Arial" w:eastAsia="Arial" w:hAnsi="Arial"/>
                <w:sz w:val="18"/>
                <w:szCs w:val="18"/>
                <w:b w:val="1"/>
                <w:bCs w:val="1"/>
                <w:color w:val="auto"/>
              </w:rPr>
              <w:t>178.5</w:t>
            </w:r>
          </w:p>
        </w:tc>
        <w:tc>
          <w:tcPr>
            <w:tcW w:w="980" w:type="dxa"/>
            <w:vAlign w:val="bottom"/>
          </w:tcPr>
          <w:p>
            <w:pPr>
              <w:spacing w:after="0"/>
              <w:rPr>
                <w:sz w:val="18"/>
                <w:szCs w:val="18"/>
                <w:color w:val="auto"/>
              </w:rPr>
            </w:pPr>
          </w:p>
        </w:tc>
        <w:tc>
          <w:tcPr>
            <w:tcW w:w="540" w:type="dxa"/>
            <w:vAlign w:val="bottom"/>
          </w:tcPr>
          <w:p>
            <w:pPr>
              <w:jc w:val="right"/>
              <w:ind w:right="10"/>
              <w:spacing w:after="0"/>
              <w:rPr>
                <w:sz w:val="20"/>
                <w:szCs w:val="20"/>
                <w:color w:val="auto"/>
              </w:rPr>
            </w:pPr>
            <w:r>
              <w:rPr>
                <w:rFonts w:ascii="Arial" w:cs="Arial" w:eastAsia="Arial" w:hAnsi="Arial"/>
                <w:sz w:val="18"/>
                <w:szCs w:val="18"/>
                <w:b w:val="1"/>
                <w:bCs w:val="1"/>
                <w:color w:val="auto"/>
                <w:w w:val="93"/>
              </w:rPr>
              <w:t>149.4</w:t>
            </w:r>
          </w:p>
        </w:tc>
        <w:tc>
          <w:tcPr>
            <w:tcW w:w="56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137.7</w:t>
            </w:r>
          </w:p>
        </w:tc>
        <w:tc>
          <w:tcPr>
            <w:tcW w:w="100" w:type="dxa"/>
            <w:vAlign w:val="bottom"/>
          </w:tcPr>
          <w:p>
            <w:pPr>
              <w:spacing w:after="0"/>
              <w:rPr>
                <w:sz w:val="18"/>
                <w:szCs w:val="18"/>
                <w:color w:val="auto"/>
              </w:rPr>
            </w:pPr>
          </w:p>
        </w:tc>
      </w:tr>
      <w:tr>
        <w:trPr>
          <w:trHeight w:val="216"/>
        </w:trPr>
        <w:tc>
          <w:tcPr>
            <w:tcW w:w="5660" w:type="dxa"/>
            <w:vAlign w:val="bottom"/>
            <w:shd w:val="clear" w:color="auto" w:fill="CCEEFF"/>
          </w:tcPr>
          <w:p>
            <w:pPr>
              <w:spacing w:after="0"/>
              <w:rPr>
                <w:sz w:val="20"/>
                <w:szCs w:val="20"/>
                <w:color w:val="auto"/>
              </w:rPr>
            </w:pPr>
            <w:r>
              <w:rPr>
                <w:rFonts w:ascii="Arial" w:cs="Arial" w:eastAsia="Arial" w:hAnsi="Arial"/>
                <w:sz w:val="18"/>
                <w:szCs w:val="18"/>
                <w:color w:val="auto"/>
              </w:rPr>
              <w:t>Inventories</w:t>
            </w:r>
          </w:p>
        </w:tc>
        <w:tc>
          <w:tcPr>
            <w:tcW w:w="1500" w:type="dxa"/>
            <w:vAlign w:val="bottom"/>
            <w:shd w:val="clear" w:color="auto" w:fill="CCEEFF"/>
          </w:tcPr>
          <w:p>
            <w:pPr>
              <w:spacing w:after="0"/>
              <w:rPr>
                <w:sz w:val="18"/>
                <w:szCs w:val="18"/>
                <w:color w:val="auto"/>
              </w:rPr>
            </w:pPr>
          </w:p>
        </w:tc>
        <w:tc>
          <w:tcPr>
            <w:tcW w:w="1240" w:type="dxa"/>
            <w:vAlign w:val="bottom"/>
            <w:shd w:val="clear" w:color="auto" w:fill="CCEEFF"/>
          </w:tcPr>
          <w:p>
            <w:pPr>
              <w:jc w:val="right"/>
              <w:ind w:right="50"/>
              <w:spacing w:after="0"/>
              <w:rPr>
                <w:sz w:val="20"/>
                <w:szCs w:val="20"/>
                <w:color w:val="auto"/>
              </w:rPr>
            </w:pPr>
            <w:r>
              <w:rPr>
                <w:rFonts w:ascii="Arial" w:cs="Arial" w:eastAsia="Arial" w:hAnsi="Arial"/>
                <w:sz w:val="18"/>
                <w:szCs w:val="18"/>
                <w:b w:val="1"/>
                <w:bCs w:val="1"/>
                <w:color w:val="auto"/>
              </w:rPr>
              <w:t>229.3</w:t>
            </w:r>
          </w:p>
        </w:tc>
        <w:tc>
          <w:tcPr>
            <w:tcW w:w="980" w:type="dxa"/>
            <w:vAlign w:val="bottom"/>
            <w:shd w:val="clear" w:color="auto" w:fill="CCEEFF"/>
          </w:tcPr>
          <w:p>
            <w:pPr>
              <w:spacing w:after="0"/>
              <w:rPr>
                <w:sz w:val="18"/>
                <w:szCs w:val="18"/>
                <w:color w:val="auto"/>
              </w:rPr>
            </w:pPr>
          </w:p>
        </w:tc>
        <w:tc>
          <w:tcPr>
            <w:tcW w:w="540" w:type="dxa"/>
            <w:vAlign w:val="bottom"/>
            <w:shd w:val="clear" w:color="auto" w:fill="CCEEFF"/>
          </w:tcPr>
          <w:p>
            <w:pPr>
              <w:jc w:val="right"/>
              <w:ind w:right="10"/>
              <w:spacing w:after="0"/>
              <w:rPr>
                <w:sz w:val="20"/>
                <w:szCs w:val="20"/>
                <w:color w:val="auto"/>
              </w:rPr>
            </w:pPr>
            <w:r>
              <w:rPr>
                <w:rFonts w:ascii="Arial" w:cs="Arial" w:eastAsia="Arial" w:hAnsi="Arial"/>
                <w:sz w:val="18"/>
                <w:szCs w:val="18"/>
                <w:b w:val="1"/>
                <w:bCs w:val="1"/>
                <w:color w:val="auto"/>
                <w:w w:val="93"/>
              </w:rPr>
              <w:t>227.0</w:t>
            </w:r>
          </w:p>
        </w:tc>
        <w:tc>
          <w:tcPr>
            <w:tcW w:w="56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251.6</w:t>
            </w:r>
          </w:p>
        </w:tc>
        <w:tc>
          <w:tcPr>
            <w:tcW w:w="100" w:type="dxa"/>
            <w:vAlign w:val="bottom"/>
            <w:shd w:val="clear" w:color="auto" w:fill="CCEEFF"/>
          </w:tcPr>
          <w:p>
            <w:pPr>
              <w:spacing w:after="0"/>
              <w:rPr>
                <w:sz w:val="18"/>
                <w:szCs w:val="18"/>
                <w:color w:val="auto"/>
              </w:rPr>
            </w:pPr>
          </w:p>
        </w:tc>
      </w:tr>
      <w:tr>
        <w:trPr>
          <w:trHeight w:val="216"/>
        </w:trPr>
        <w:tc>
          <w:tcPr>
            <w:tcW w:w="5660" w:type="dxa"/>
            <w:vAlign w:val="bottom"/>
          </w:tcPr>
          <w:p>
            <w:pPr>
              <w:spacing w:after="0"/>
              <w:rPr>
                <w:sz w:val="20"/>
                <w:szCs w:val="20"/>
                <w:color w:val="auto"/>
              </w:rPr>
            </w:pPr>
            <w:r>
              <w:rPr>
                <w:rFonts w:ascii="Arial" w:cs="Arial" w:eastAsia="Arial" w:hAnsi="Arial"/>
                <w:sz w:val="18"/>
                <w:szCs w:val="18"/>
                <w:color w:val="auto"/>
              </w:rPr>
              <w:t>Deferred income taxes</w:t>
            </w:r>
          </w:p>
        </w:tc>
        <w:tc>
          <w:tcPr>
            <w:tcW w:w="1500" w:type="dxa"/>
            <w:vAlign w:val="bottom"/>
          </w:tcPr>
          <w:p>
            <w:pPr>
              <w:spacing w:after="0"/>
              <w:rPr>
                <w:sz w:val="18"/>
                <w:szCs w:val="18"/>
                <w:color w:val="auto"/>
              </w:rPr>
            </w:pPr>
          </w:p>
        </w:tc>
        <w:tc>
          <w:tcPr>
            <w:tcW w:w="1240" w:type="dxa"/>
            <w:vAlign w:val="bottom"/>
          </w:tcPr>
          <w:p>
            <w:pPr>
              <w:jc w:val="right"/>
              <w:ind w:right="10"/>
              <w:spacing w:after="0"/>
              <w:rPr>
                <w:sz w:val="20"/>
                <w:szCs w:val="20"/>
                <w:color w:val="auto"/>
              </w:rPr>
            </w:pPr>
            <w:r>
              <w:rPr>
                <w:rFonts w:ascii="Arial" w:cs="Arial" w:eastAsia="Arial" w:hAnsi="Arial"/>
                <w:sz w:val="18"/>
                <w:szCs w:val="18"/>
                <w:b w:val="1"/>
                <w:bCs w:val="1"/>
                <w:color w:val="auto"/>
              </w:rPr>
              <w:t>1.7</w:t>
            </w:r>
          </w:p>
        </w:tc>
        <w:tc>
          <w:tcPr>
            <w:tcW w:w="980" w:type="dxa"/>
            <w:vAlign w:val="bottom"/>
          </w:tcPr>
          <w:p>
            <w:pPr>
              <w:spacing w:after="0"/>
              <w:rPr>
                <w:sz w:val="18"/>
                <w:szCs w:val="18"/>
                <w:color w:val="auto"/>
              </w:rPr>
            </w:pPr>
          </w:p>
        </w:tc>
        <w:tc>
          <w:tcPr>
            <w:tcW w:w="540" w:type="dxa"/>
            <w:vAlign w:val="bottom"/>
          </w:tcPr>
          <w:p>
            <w:pPr>
              <w:jc w:val="right"/>
              <w:ind w:right="10"/>
              <w:spacing w:after="0"/>
              <w:rPr>
                <w:sz w:val="20"/>
                <w:szCs w:val="20"/>
                <w:color w:val="auto"/>
              </w:rPr>
            </w:pPr>
            <w:r>
              <w:rPr>
                <w:rFonts w:ascii="Arial" w:cs="Arial" w:eastAsia="Arial" w:hAnsi="Arial"/>
                <w:sz w:val="18"/>
                <w:szCs w:val="18"/>
                <w:b w:val="1"/>
                <w:bCs w:val="1"/>
                <w:color w:val="auto"/>
              </w:rPr>
              <w:t>1.7</w:t>
            </w:r>
          </w:p>
        </w:tc>
        <w:tc>
          <w:tcPr>
            <w:tcW w:w="56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2.4</w:t>
            </w:r>
          </w:p>
        </w:tc>
        <w:tc>
          <w:tcPr>
            <w:tcW w:w="100" w:type="dxa"/>
            <w:vAlign w:val="bottom"/>
          </w:tcPr>
          <w:p>
            <w:pPr>
              <w:spacing w:after="0"/>
              <w:rPr>
                <w:sz w:val="18"/>
                <w:szCs w:val="18"/>
                <w:color w:val="auto"/>
              </w:rPr>
            </w:pPr>
          </w:p>
        </w:tc>
      </w:tr>
      <w:tr>
        <w:trPr>
          <w:trHeight w:val="216"/>
        </w:trPr>
        <w:tc>
          <w:tcPr>
            <w:tcW w:w="5660" w:type="dxa"/>
            <w:vAlign w:val="bottom"/>
            <w:shd w:val="clear" w:color="auto" w:fill="CCEEFF"/>
          </w:tcPr>
          <w:p>
            <w:pPr>
              <w:spacing w:after="0"/>
              <w:rPr>
                <w:sz w:val="20"/>
                <w:szCs w:val="20"/>
                <w:color w:val="auto"/>
              </w:rPr>
            </w:pPr>
            <w:r>
              <w:rPr>
                <w:rFonts w:ascii="Arial" w:cs="Arial" w:eastAsia="Arial" w:hAnsi="Arial"/>
                <w:sz w:val="18"/>
                <w:szCs w:val="18"/>
                <w:color w:val="auto"/>
              </w:rPr>
              <w:t>Deferred charges and prepaid expenses</w:t>
            </w:r>
          </w:p>
        </w:tc>
        <w:tc>
          <w:tcPr>
            <w:tcW w:w="1500" w:type="dxa"/>
            <w:vAlign w:val="bottom"/>
            <w:shd w:val="clear" w:color="auto" w:fill="CCEEFF"/>
          </w:tcPr>
          <w:p>
            <w:pPr>
              <w:spacing w:after="0"/>
              <w:rPr>
                <w:sz w:val="18"/>
                <w:szCs w:val="18"/>
                <w:color w:val="auto"/>
              </w:rPr>
            </w:pPr>
          </w:p>
        </w:tc>
        <w:tc>
          <w:tcPr>
            <w:tcW w:w="1240" w:type="dxa"/>
            <w:vAlign w:val="bottom"/>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0.7</w:t>
            </w:r>
          </w:p>
        </w:tc>
        <w:tc>
          <w:tcPr>
            <w:tcW w:w="980" w:type="dxa"/>
            <w:vAlign w:val="bottom"/>
            <w:shd w:val="clear" w:color="auto" w:fill="CCEEFF"/>
          </w:tcPr>
          <w:p>
            <w:pPr>
              <w:spacing w:after="0"/>
              <w:rPr>
                <w:sz w:val="18"/>
                <w:szCs w:val="18"/>
                <w:color w:val="auto"/>
              </w:rPr>
            </w:pPr>
          </w:p>
        </w:tc>
        <w:tc>
          <w:tcPr>
            <w:tcW w:w="540" w:type="dxa"/>
            <w:vAlign w:val="bottom"/>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0.8</w:t>
            </w:r>
          </w:p>
        </w:tc>
        <w:tc>
          <w:tcPr>
            <w:tcW w:w="56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w:t>
            </w:r>
          </w:p>
        </w:tc>
        <w:tc>
          <w:tcPr>
            <w:tcW w:w="100" w:type="dxa"/>
            <w:vAlign w:val="bottom"/>
            <w:shd w:val="clear" w:color="auto" w:fill="CCEEFF"/>
          </w:tcPr>
          <w:p>
            <w:pPr>
              <w:spacing w:after="0"/>
              <w:rPr>
                <w:sz w:val="18"/>
                <w:szCs w:val="18"/>
                <w:color w:val="auto"/>
              </w:rPr>
            </w:pPr>
          </w:p>
        </w:tc>
      </w:tr>
      <w:tr>
        <w:trPr>
          <w:trHeight w:val="216"/>
        </w:trPr>
        <w:tc>
          <w:tcPr>
            <w:tcW w:w="5660" w:type="dxa"/>
            <w:vAlign w:val="bottom"/>
          </w:tcPr>
          <w:p>
            <w:pPr>
              <w:spacing w:after="0"/>
              <w:rPr>
                <w:sz w:val="20"/>
                <w:szCs w:val="20"/>
                <w:color w:val="auto"/>
              </w:rPr>
            </w:pPr>
            <w:r>
              <w:rPr>
                <w:rFonts w:ascii="Arial" w:cs="Arial" w:eastAsia="Arial" w:hAnsi="Arial"/>
                <w:sz w:val="18"/>
                <w:szCs w:val="18"/>
                <w:color w:val="auto"/>
              </w:rPr>
              <w:t>Other current assets</w:t>
            </w:r>
          </w:p>
        </w:tc>
        <w:tc>
          <w:tcPr>
            <w:tcW w:w="1500" w:type="dxa"/>
            <w:vAlign w:val="bottom"/>
          </w:tcPr>
          <w:p>
            <w:pPr>
              <w:spacing w:after="0"/>
              <w:rPr>
                <w:sz w:val="18"/>
                <w:szCs w:val="18"/>
                <w:color w:val="auto"/>
              </w:rPr>
            </w:pPr>
          </w:p>
        </w:tc>
        <w:tc>
          <w:tcPr>
            <w:tcW w:w="1240" w:type="dxa"/>
            <w:vAlign w:val="bottom"/>
          </w:tcPr>
          <w:p>
            <w:pPr>
              <w:jc w:val="right"/>
              <w:ind w:right="10"/>
              <w:spacing w:after="0"/>
              <w:rPr>
                <w:sz w:val="20"/>
                <w:szCs w:val="20"/>
                <w:color w:val="auto"/>
              </w:rPr>
            </w:pPr>
            <w:r>
              <w:rPr>
                <w:rFonts w:ascii="Arial" w:cs="Arial" w:eastAsia="Arial" w:hAnsi="Arial"/>
                <w:sz w:val="18"/>
                <w:szCs w:val="18"/>
                <w:b w:val="1"/>
                <w:bCs w:val="1"/>
                <w:color w:val="auto"/>
              </w:rPr>
              <w:t>3.0</w:t>
            </w:r>
          </w:p>
        </w:tc>
        <w:tc>
          <w:tcPr>
            <w:tcW w:w="980" w:type="dxa"/>
            <w:vAlign w:val="bottom"/>
          </w:tcPr>
          <w:p>
            <w:pPr>
              <w:spacing w:after="0"/>
              <w:rPr>
                <w:sz w:val="18"/>
                <w:szCs w:val="18"/>
                <w:color w:val="auto"/>
              </w:rPr>
            </w:pPr>
          </w:p>
        </w:tc>
        <w:tc>
          <w:tcPr>
            <w:tcW w:w="540" w:type="dxa"/>
            <w:vAlign w:val="bottom"/>
          </w:tcPr>
          <w:p>
            <w:pPr>
              <w:jc w:val="right"/>
              <w:ind w:right="10"/>
              <w:spacing w:after="0"/>
              <w:rPr>
                <w:sz w:val="20"/>
                <w:szCs w:val="20"/>
                <w:color w:val="auto"/>
              </w:rPr>
            </w:pPr>
            <w:r>
              <w:rPr>
                <w:rFonts w:ascii="Arial" w:cs="Arial" w:eastAsia="Arial" w:hAnsi="Arial"/>
                <w:sz w:val="18"/>
                <w:szCs w:val="18"/>
                <w:b w:val="1"/>
                <w:bCs w:val="1"/>
                <w:color w:val="auto"/>
              </w:rPr>
              <w:t>4.2</w:t>
            </w:r>
          </w:p>
        </w:tc>
        <w:tc>
          <w:tcPr>
            <w:tcW w:w="56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2.8</w:t>
            </w:r>
          </w:p>
        </w:tc>
        <w:tc>
          <w:tcPr>
            <w:tcW w:w="100" w:type="dxa"/>
            <w:vAlign w:val="bottom"/>
          </w:tcPr>
          <w:p>
            <w:pPr>
              <w:spacing w:after="0"/>
              <w:rPr>
                <w:sz w:val="18"/>
                <w:szCs w:val="18"/>
                <w:color w:val="auto"/>
              </w:rPr>
            </w:pPr>
          </w:p>
        </w:tc>
      </w:tr>
      <w:tr>
        <w:trPr>
          <w:trHeight w:val="223"/>
        </w:trPr>
        <w:tc>
          <w:tcPr>
            <w:tcW w:w="566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b w:val="1"/>
                <w:bCs w:val="1"/>
                <w:color w:val="auto"/>
              </w:rPr>
              <w:t>Total Current Assets</w:t>
            </w:r>
          </w:p>
        </w:tc>
        <w:tc>
          <w:tcPr>
            <w:tcW w:w="15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124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413.2</w:t>
            </w:r>
          </w:p>
        </w:tc>
        <w:tc>
          <w:tcPr>
            <w:tcW w:w="980" w:type="dxa"/>
            <w:vAlign w:val="bottom"/>
            <w:tcBorders>
              <w:bottom w:val="single" w:sz="8" w:color="auto"/>
            </w:tcBorders>
            <w:shd w:val="clear" w:color="auto" w:fill="CCEEFF"/>
          </w:tcPr>
          <w:p>
            <w:pPr>
              <w:jc w:val="right"/>
              <w:ind w:right="690"/>
              <w:spacing w:after="0"/>
              <w:rPr>
                <w:sz w:val="20"/>
                <w:szCs w:val="20"/>
                <w:color w:val="auto"/>
              </w:rPr>
            </w:pPr>
            <w:r>
              <w:rPr>
                <w:rFonts w:ascii="Arial" w:cs="Arial" w:eastAsia="Arial" w:hAnsi="Arial"/>
                <w:sz w:val="18"/>
                <w:szCs w:val="18"/>
                <w:b w:val="1"/>
                <w:bCs w:val="1"/>
                <w:color w:val="auto"/>
              </w:rPr>
              <w:t>$</w:t>
            </w:r>
          </w:p>
        </w:tc>
        <w:tc>
          <w:tcPr>
            <w:tcW w:w="54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w w:val="93"/>
              </w:rPr>
              <w:t>383.1</w:t>
            </w:r>
          </w:p>
        </w:tc>
        <w:tc>
          <w:tcPr>
            <w:tcW w:w="560" w:type="dxa"/>
            <w:vAlign w:val="bottom"/>
            <w:tcBorders>
              <w:bottom w:val="single" w:sz="8" w:color="auto"/>
            </w:tcBorders>
            <w:shd w:val="clear" w:color="auto" w:fill="CCEEFF"/>
          </w:tcPr>
          <w:p>
            <w:pPr>
              <w:jc w:val="right"/>
              <w:ind w:right="290"/>
              <w:spacing w:after="0"/>
              <w:rPr>
                <w:sz w:val="20"/>
                <w:szCs w:val="20"/>
                <w:color w:val="auto"/>
              </w:rPr>
            </w:pPr>
            <w:r>
              <w:rPr>
                <w:rFonts w:ascii="Arial" w:cs="Arial" w:eastAsia="Arial" w:hAnsi="Arial"/>
                <w:sz w:val="18"/>
                <w:szCs w:val="18"/>
                <w:color w:val="auto"/>
              </w:rPr>
              <w:t>$</w:t>
            </w: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395.6</w:t>
            </w:r>
          </w:p>
        </w:tc>
        <w:tc>
          <w:tcPr>
            <w:tcW w:w="100" w:type="dxa"/>
            <w:vAlign w:val="bottom"/>
            <w:shd w:val="clear" w:color="auto" w:fill="CCEEFF"/>
          </w:tcPr>
          <w:p>
            <w:pPr>
              <w:spacing w:after="0"/>
              <w:rPr>
                <w:sz w:val="19"/>
                <w:szCs w:val="19"/>
                <w:color w:val="auto"/>
              </w:rPr>
            </w:pPr>
          </w:p>
        </w:tc>
      </w:tr>
    </w:tbl>
    <w:p>
      <w:pPr>
        <w:spacing w:after="0" w:line="256" w:lineRule="exact"/>
        <w:rPr>
          <w:sz w:val="20"/>
          <w:szCs w:val="20"/>
          <w:color w:val="auto"/>
        </w:rPr>
      </w:pPr>
    </w:p>
    <w:p>
      <w:pPr>
        <w:ind w:right="20" w:firstLine="913"/>
        <w:spacing w:after="0" w:line="286" w:lineRule="auto"/>
        <w:rPr>
          <w:sz w:val="20"/>
          <w:szCs w:val="20"/>
          <w:color w:val="auto"/>
        </w:rPr>
      </w:pPr>
      <w:r>
        <w:rPr>
          <w:rFonts w:ascii="Arial" w:cs="Arial" w:eastAsia="Arial" w:hAnsi="Arial"/>
          <w:sz w:val="17"/>
          <w:szCs w:val="17"/>
          <w:color w:val="auto"/>
        </w:rPr>
        <w:t>Accounts receivable, net, including due from related parties as of March 31, 2014 increased $29.1 million from December 31, 2013, as a result of the timing of sales in the first quarter of 2014 compared to the fourth quarter of 2013, with higher sales during the month of March 2014 compared to December 2013. Inventories increased $2.3 million as of March 31, 2014 compared to December 31, 2013 to match higher sales demand.</w:t>
      </w:r>
    </w:p>
    <w:p>
      <w:pPr>
        <w:spacing w:after="0" w:line="193" w:lineRule="exact"/>
        <w:rPr>
          <w:sz w:val="20"/>
          <w:szCs w:val="20"/>
          <w:color w:val="auto"/>
        </w:rPr>
      </w:pPr>
    </w:p>
    <w:p>
      <w:pPr>
        <w:ind w:right="520" w:firstLine="913"/>
        <w:spacing w:after="0" w:line="264" w:lineRule="auto"/>
        <w:rPr>
          <w:sz w:val="20"/>
          <w:szCs w:val="20"/>
          <w:color w:val="auto"/>
        </w:rPr>
      </w:pPr>
      <w:r>
        <w:rPr>
          <w:rFonts w:ascii="Arial" w:cs="Arial" w:eastAsia="Arial" w:hAnsi="Arial"/>
          <w:sz w:val="18"/>
          <w:szCs w:val="18"/>
          <w:color w:val="auto"/>
        </w:rPr>
        <w:t>Accounts receivable, net, including due from related parties as of December 31, 2013 increased $11.7 million from the balance as of December 31, 2012 due to higher sales during the month of December 2013 compared to the month of December 2012. Inventories decreased by $24.6 million to match lower sales demand.</w:t>
      </w:r>
    </w:p>
    <w:p>
      <w:pPr>
        <w:spacing w:after="0" w:line="324" w:lineRule="exact"/>
        <w:rPr>
          <w:sz w:val="20"/>
          <w:szCs w:val="20"/>
          <w:color w:val="auto"/>
        </w:rPr>
      </w:pPr>
    </w:p>
    <w:tbl>
      <w:tblPr>
        <w:tblLayout w:type="fixed"/>
        <w:tblInd w:w="0" w:type="dxa"/>
        <w:tblCellMar>
          <w:top w:w="0" w:type="dxa"/>
          <w:left w:w="0" w:type="dxa"/>
          <w:bottom w:w="0" w:type="dxa"/>
          <w:right w:w="0" w:type="dxa"/>
        </w:tblCellMar>
      </w:tblPr>
      <w:tr>
        <w:trPr>
          <w:trHeight w:val="243"/>
        </w:trPr>
        <w:tc>
          <w:tcPr>
            <w:tcW w:w="406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b w:val="1"/>
                <w:bCs w:val="1"/>
                <w:color w:val="auto"/>
              </w:rPr>
              <w:t>Property, Plant and Equipment</w:t>
            </w:r>
          </w:p>
        </w:tc>
        <w:tc>
          <w:tcPr>
            <w:tcW w:w="3100" w:type="dxa"/>
            <w:vAlign w:val="bottom"/>
            <w:tcBorders>
              <w:top w:val="single" w:sz="8" w:color="auto"/>
              <w:bottom w:val="single" w:sz="8" w:color="auto"/>
            </w:tcBorders>
          </w:tcPr>
          <w:p>
            <w:pPr>
              <w:spacing w:after="0"/>
              <w:rPr>
                <w:sz w:val="21"/>
                <w:szCs w:val="21"/>
                <w:color w:val="auto"/>
              </w:rPr>
            </w:pPr>
          </w:p>
        </w:tc>
        <w:tc>
          <w:tcPr>
            <w:tcW w:w="1240" w:type="dxa"/>
            <w:vAlign w:val="bottom"/>
            <w:tcBorders>
              <w:top w:val="single" w:sz="8" w:color="auto"/>
              <w:bottom w:val="single" w:sz="8" w:color="auto"/>
            </w:tcBorders>
          </w:tcPr>
          <w:p>
            <w:pPr>
              <w:jc w:val="right"/>
              <w:ind w:right="270"/>
              <w:spacing w:after="0"/>
              <w:rPr>
                <w:sz w:val="20"/>
                <w:szCs w:val="20"/>
                <w:color w:val="auto"/>
              </w:rPr>
            </w:pPr>
            <w:r>
              <w:rPr>
                <w:rFonts w:ascii="Arial" w:cs="Arial" w:eastAsia="Arial" w:hAnsi="Arial"/>
                <w:sz w:val="18"/>
                <w:szCs w:val="18"/>
                <w:b w:val="1"/>
                <w:bCs w:val="1"/>
                <w:color w:val="auto"/>
              </w:rPr>
              <w:t>March 31,</w:t>
            </w:r>
          </w:p>
        </w:tc>
        <w:tc>
          <w:tcPr>
            <w:tcW w:w="380" w:type="dxa"/>
            <w:vAlign w:val="bottom"/>
            <w:tcBorders>
              <w:top w:val="single" w:sz="8" w:color="auto"/>
              <w:bottom w:val="single" w:sz="8" w:color="auto"/>
            </w:tcBorders>
          </w:tcPr>
          <w:p>
            <w:pPr>
              <w:spacing w:after="0"/>
              <w:rPr>
                <w:sz w:val="21"/>
                <w:szCs w:val="21"/>
                <w:color w:val="auto"/>
              </w:rPr>
            </w:pPr>
          </w:p>
        </w:tc>
        <w:tc>
          <w:tcPr>
            <w:tcW w:w="1700" w:type="dxa"/>
            <w:vAlign w:val="bottom"/>
            <w:tcBorders>
              <w:top w:val="single" w:sz="8" w:color="auto"/>
              <w:bottom w:val="single" w:sz="8" w:color="auto"/>
            </w:tcBorders>
            <w:gridSpan w:val="2"/>
          </w:tcPr>
          <w:p>
            <w:pPr>
              <w:ind w:left="600"/>
              <w:spacing w:after="0"/>
              <w:rPr>
                <w:sz w:val="20"/>
                <w:szCs w:val="20"/>
                <w:color w:val="auto"/>
              </w:rPr>
            </w:pPr>
            <w:r>
              <w:rPr>
                <w:rFonts w:ascii="Arial" w:cs="Arial" w:eastAsia="Arial" w:hAnsi="Arial"/>
                <w:sz w:val="18"/>
                <w:szCs w:val="18"/>
                <w:b w:val="1"/>
                <w:bCs w:val="1"/>
                <w:color w:val="auto"/>
                <w:w w:val="92"/>
              </w:rPr>
              <w:t>December 31,</w:t>
            </w:r>
          </w:p>
        </w:tc>
        <w:tc>
          <w:tcPr>
            <w:tcW w:w="840" w:type="dxa"/>
            <w:vAlign w:val="bottom"/>
            <w:tcBorders>
              <w:top w:val="single" w:sz="8" w:color="auto"/>
              <w:bottom w:val="single" w:sz="8" w:color="auto"/>
            </w:tcBorders>
          </w:tcPr>
          <w:p>
            <w:pPr>
              <w:spacing w:after="0"/>
              <w:rPr>
                <w:sz w:val="21"/>
                <w:szCs w:val="21"/>
                <w:color w:val="auto"/>
              </w:rPr>
            </w:pPr>
          </w:p>
        </w:tc>
        <w:tc>
          <w:tcPr>
            <w:tcW w:w="100" w:type="dxa"/>
            <w:vAlign w:val="bottom"/>
          </w:tcPr>
          <w:p>
            <w:pPr>
              <w:spacing w:after="0"/>
              <w:rPr>
                <w:sz w:val="21"/>
                <w:szCs w:val="21"/>
                <w:color w:val="auto"/>
              </w:rPr>
            </w:pPr>
          </w:p>
        </w:tc>
      </w:tr>
      <w:tr>
        <w:trPr>
          <w:trHeight w:val="223"/>
        </w:trPr>
        <w:tc>
          <w:tcPr>
            <w:tcW w:w="4060" w:type="dxa"/>
            <w:vAlign w:val="bottom"/>
          </w:tcPr>
          <w:p>
            <w:pPr>
              <w:spacing w:after="0"/>
              <w:rPr>
                <w:sz w:val="19"/>
                <w:szCs w:val="19"/>
                <w:color w:val="auto"/>
              </w:rPr>
            </w:pPr>
          </w:p>
        </w:tc>
        <w:tc>
          <w:tcPr>
            <w:tcW w:w="3100" w:type="dxa"/>
            <w:vAlign w:val="bottom"/>
          </w:tcPr>
          <w:p>
            <w:pPr>
              <w:spacing w:after="0"/>
              <w:rPr>
                <w:sz w:val="19"/>
                <w:szCs w:val="19"/>
                <w:color w:val="auto"/>
              </w:rPr>
            </w:pPr>
          </w:p>
        </w:tc>
        <w:tc>
          <w:tcPr>
            <w:tcW w:w="1240" w:type="dxa"/>
            <w:vAlign w:val="bottom"/>
          </w:tcPr>
          <w:p>
            <w:pPr>
              <w:jc w:val="right"/>
              <w:ind w:right="450"/>
              <w:spacing w:after="0"/>
              <w:rPr>
                <w:sz w:val="20"/>
                <w:szCs w:val="20"/>
                <w:color w:val="auto"/>
              </w:rPr>
            </w:pPr>
            <w:r>
              <w:rPr>
                <w:rFonts w:ascii="Arial" w:cs="Arial" w:eastAsia="Arial" w:hAnsi="Arial"/>
                <w:sz w:val="18"/>
                <w:szCs w:val="18"/>
                <w:b w:val="1"/>
                <w:bCs w:val="1"/>
                <w:color w:val="auto"/>
              </w:rPr>
              <w:t>2014</w:t>
            </w:r>
          </w:p>
        </w:tc>
        <w:tc>
          <w:tcPr>
            <w:tcW w:w="380" w:type="dxa"/>
            <w:vAlign w:val="bottom"/>
          </w:tcPr>
          <w:p>
            <w:pPr>
              <w:spacing w:after="0"/>
              <w:rPr>
                <w:sz w:val="19"/>
                <w:szCs w:val="19"/>
                <w:color w:val="auto"/>
              </w:rPr>
            </w:pPr>
          </w:p>
        </w:tc>
        <w:tc>
          <w:tcPr>
            <w:tcW w:w="1120" w:type="dxa"/>
            <w:vAlign w:val="bottom"/>
          </w:tcPr>
          <w:p>
            <w:pPr>
              <w:jc w:val="right"/>
              <w:ind w:right="470"/>
              <w:spacing w:after="0"/>
              <w:rPr>
                <w:sz w:val="20"/>
                <w:szCs w:val="20"/>
                <w:color w:val="auto"/>
              </w:rPr>
            </w:pPr>
            <w:r>
              <w:rPr>
                <w:rFonts w:ascii="Arial" w:cs="Arial" w:eastAsia="Arial" w:hAnsi="Arial"/>
                <w:sz w:val="18"/>
                <w:szCs w:val="18"/>
                <w:b w:val="1"/>
                <w:bCs w:val="1"/>
                <w:color w:val="auto"/>
              </w:rPr>
              <w:t>2013</w:t>
            </w:r>
          </w:p>
        </w:tc>
        <w:tc>
          <w:tcPr>
            <w:tcW w:w="580" w:type="dxa"/>
            <w:vAlign w:val="bottom"/>
          </w:tcPr>
          <w:p>
            <w:pPr>
              <w:spacing w:after="0"/>
              <w:rPr>
                <w:sz w:val="19"/>
                <w:szCs w:val="19"/>
                <w:color w:val="auto"/>
              </w:rPr>
            </w:pPr>
          </w:p>
        </w:tc>
        <w:tc>
          <w:tcPr>
            <w:tcW w:w="840" w:type="dxa"/>
            <w:vAlign w:val="bottom"/>
          </w:tcPr>
          <w:p>
            <w:pPr>
              <w:jc w:val="right"/>
              <w:ind w:right="350"/>
              <w:spacing w:after="0"/>
              <w:rPr>
                <w:sz w:val="20"/>
                <w:szCs w:val="20"/>
                <w:color w:val="auto"/>
              </w:rPr>
            </w:pPr>
            <w:r>
              <w:rPr>
                <w:rFonts w:ascii="Arial" w:cs="Arial" w:eastAsia="Arial" w:hAnsi="Arial"/>
                <w:sz w:val="18"/>
                <w:szCs w:val="18"/>
                <w:color w:val="auto"/>
                <w:w w:val="94"/>
              </w:rPr>
              <w:t>2012</w:t>
            </w:r>
          </w:p>
        </w:tc>
        <w:tc>
          <w:tcPr>
            <w:tcW w:w="100" w:type="dxa"/>
            <w:vAlign w:val="bottom"/>
          </w:tcPr>
          <w:p>
            <w:pPr>
              <w:spacing w:after="0"/>
              <w:rPr>
                <w:sz w:val="19"/>
                <w:szCs w:val="19"/>
                <w:color w:val="auto"/>
              </w:rPr>
            </w:pPr>
          </w:p>
        </w:tc>
      </w:tr>
      <w:tr>
        <w:trPr>
          <w:trHeight w:val="216"/>
        </w:trPr>
        <w:tc>
          <w:tcPr>
            <w:tcW w:w="4060" w:type="dxa"/>
            <w:vAlign w:val="bottom"/>
            <w:shd w:val="clear" w:color="auto" w:fill="CCEEFF"/>
          </w:tcPr>
          <w:p>
            <w:pPr>
              <w:spacing w:after="0"/>
              <w:rPr>
                <w:sz w:val="20"/>
                <w:szCs w:val="20"/>
                <w:color w:val="auto"/>
              </w:rPr>
            </w:pPr>
            <w:r>
              <w:rPr>
                <w:rFonts w:ascii="Arial" w:cs="Arial" w:eastAsia="Arial" w:hAnsi="Arial"/>
                <w:sz w:val="18"/>
                <w:szCs w:val="18"/>
                <w:color w:val="auto"/>
              </w:rPr>
              <w:t>Property, plant and equipment, net</w:t>
            </w:r>
          </w:p>
        </w:tc>
        <w:tc>
          <w:tcPr>
            <w:tcW w:w="31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1240" w:type="dxa"/>
            <w:vAlign w:val="bottom"/>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701.0</w:t>
            </w:r>
          </w:p>
        </w:tc>
        <w:tc>
          <w:tcPr>
            <w:tcW w:w="380" w:type="dxa"/>
            <w:vAlign w:val="bottom"/>
            <w:shd w:val="clear" w:color="auto" w:fill="CCEEFF"/>
          </w:tcPr>
          <w:p>
            <w:pPr>
              <w:jc w:val="right"/>
              <w:ind w:right="110"/>
              <w:spacing w:after="0"/>
              <w:rPr>
                <w:sz w:val="20"/>
                <w:szCs w:val="20"/>
                <w:color w:val="auto"/>
              </w:rPr>
            </w:pPr>
            <w:r>
              <w:rPr>
                <w:rFonts w:ascii="Arial" w:cs="Arial" w:eastAsia="Arial" w:hAnsi="Arial"/>
                <w:sz w:val="18"/>
                <w:szCs w:val="18"/>
                <w:b w:val="1"/>
                <w:bCs w:val="1"/>
                <w:color w:val="auto"/>
              </w:rPr>
              <w:t>$</w:t>
            </w:r>
          </w:p>
        </w:tc>
        <w:tc>
          <w:tcPr>
            <w:tcW w:w="1120" w:type="dxa"/>
            <w:vAlign w:val="bottom"/>
            <w:shd w:val="clear" w:color="auto" w:fill="CCEEFF"/>
          </w:tcPr>
          <w:p>
            <w:pPr>
              <w:ind w:left="620"/>
              <w:spacing w:after="0"/>
              <w:rPr>
                <w:sz w:val="20"/>
                <w:szCs w:val="20"/>
                <w:color w:val="auto"/>
              </w:rPr>
            </w:pPr>
            <w:r>
              <w:rPr>
                <w:rFonts w:ascii="Arial" w:cs="Arial" w:eastAsia="Arial" w:hAnsi="Arial"/>
                <w:sz w:val="18"/>
                <w:szCs w:val="18"/>
                <w:b w:val="1"/>
                <w:bCs w:val="1"/>
                <w:color w:val="auto"/>
              </w:rPr>
              <w:t>682.6</w:t>
            </w:r>
          </w:p>
        </w:tc>
        <w:tc>
          <w:tcPr>
            <w:tcW w:w="580" w:type="dxa"/>
            <w:vAlign w:val="bottom"/>
            <w:shd w:val="clear" w:color="auto" w:fill="CCEEFF"/>
          </w:tcPr>
          <w:p>
            <w:pPr>
              <w:jc w:val="right"/>
              <w:ind w:right="290"/>
              <w:spacing w:after="0"/>
              <w:rPr>
                <w:sz w:val="20"/>
                <w:szCs w:val="20"/>
                <w:color w:val="auto"/>
              </w:rPr>
            </w:pPr>
            <w:r>
              <w:rPr>
                <w:rFonts w:ascii="Arial" w:cs="Arial" w:eastAsia="Arial" w:hAnsi="Arial"/>
                <w:sz w:val="18"/>
                <w:szCs w:val="18"/>
                <w:color w:val="auto"/>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550.1</w:t>
            </w:r>
          </w:p>
        </w:tc>
        <w:tc>
          <w:tcPr>
            <w:tcW w:w="100" w:type="dxa"/>
            <w:vAlign w:val="bottom"/>
            <w:shd w:val="clear" w:color="auto" w:fill="CCEEFF"/>
          </w:tcPr>
          <w:p>
            <w:pPr>
              <w:spacing w:after="0"/>
              <w:rPr>
                <w:sz w:val="18"/>
                <w:szCs w:val="18"/>
                <w:color w:val="auto"/>
              </w:rPr>
            </w:pPr>
          </w:p>
        </w:tc>
      </w:tr>
      <w:tr>
        <w:trPr>
          <w:trHeight w:val="513"/>
        </w:trPr>
        <w:tc>
          <w:tcPr>
            <w:tcW w:w="4060" w:type="dxa"/>
            <w:vAlign w:val="bottom"/>
          </w:tcPr>
          <w:p>
            <w:pPr>
              <w:spacing w:after="0"/>
              <w:rPr>
                <w:sz w:val="24"/>
                <w:szCs w:val="24"/>
                <w:color w:val="auto"/>
              </w:rPr>
            </w:pPr>
          </w:p>
        </w:tc>
        <w:tc>
          <w:tcPr>
            <w:tcW w:w="3100" w:type="dxa"/>
            <w:vAlign w:val="bottom"/>
          </w:tcPr>
          <w:p>
            <w:pPr>
              <w:jc w:val="right"/>
              <w:ind w:right="1270"/>
              <w:spacing w:after="0"/>
              <w:rPr>
                <w:sz w:val="20"/>
                <w:szCs w:val="20"/>
                <w:color w:val="auto"/>
              </w:rPr>
            </w:pPr>
            <w:r>
              <w:rPr>
                <w:rFonts w:ascii="Arial" w:cs="Arial" w:eastAsia="Arial" w:hAnsi="Arial"/>
                <w:sz w:val="18"/>
                <w:szCs w:val="18"/>
                <w:color w:val="auto"/>
              </w:rPr>
              <w:t>41</w:t>
            </w:r>
          </w:p>
        </w:tc>
        <w:tc>
          <w:tcPr>
            <w:tcW w:w="124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100" w:type="dxa"/>
            <w:vAlign w:val="bottom"/>
          </w:tcPr>
          <w:p>
            <w:pPr>
              <w:spacing w:after="0"/>
              <w:rPr>
                <w:sz w:val="24"/>
                <w:szCs w:val="24"/>
                <w:color w:val="auto"/>
              </w:rPr>
            </w:pPr>
          </w:p>
        </w:tc>
      </w:tr>
    </w:tbl>
    <w:p>
      <w:pPr>
        <w:sectPr>
          <w:pgSz w:w="11900" w:h="16838" w:orient="portrait"/>
          <w:cols w:equalWidth="0" w:num="1">
            <w:col w:w="11420"/>
          </w:cols>
          <w:pgMar w:left="240" w:top="484" w:right="239" w:bottom="1440" w:gutter="0" w:footer="0" w:header="0"/>
        </w:sectPr>
      </w:pPr>
    </w:p>
    <w:bookmarkStart w:id="51" w:name="page52"/>
    <w:bookmarkEnd w:id="5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40" w:firstLine="913"/>
        <w:spacing w:after="0" w:line="259" w:lineRule="auto"/>
        <w:rPr>
          <w:sz w:val="20"/>
          <w:szCs w:val="20"/>
          <w:color w:val="auto"/>
        </w:rPr>
      </w:pPr>
      <w:r>
        <w:rPr>
          <w:rFonts w:ascii="Arial" w:cs="Arial" w:eastAsia="Arial" w:hAnsi="Arial"/>
          <w:sz w:val="18"/>
          <w:szCs w:val="18"/>
          <w:color w:val="auto"/>
        </w:rPr>
        <w:t>Property, plant and equipment, net increased $18.4 million for the quarter ended March 31, 2014 compared to December 31, 2013. Property, plant and equipment, net increased $132.5 million for the year ended December 31, 2013. The increase in property, plant and equipment, net, in both periods was primarily due to capital expenditures exceeding depreciation expense. Capital expenditures in 2013 and the first quarter of 2014 included the investments made in the vertical continuous caster and the IFL.</w:t>
      </w:r>
    </w:p>
    <w:p>
      <w:pPr>
        <w:spacing w:after="0" w:line="330" w:lineRule="exact"/>
        <w:rPr>
          <w:sz w:val="20"/>
          <w:szCs w:val="20"/>
          <w:color w:val="auto"/>
        </w:rPr>
      </w:pPr>
    </w:p>
    <w:tbl>
      <w:tblPr>
        <w:tblLayout w:type="fixed"/>
        <w:tblInd w:w="0" w:type="dxa"/>
        <w:tblCellMar>
          <w:top w:w="0" w:type="dxa"/>
          <w:left w:w="0" w:type="dxa"/>
          <w:bottom w:w="0" w:type="dxa"/>
          <w:right w:w="0" w:type="dxa"/>
        </w:tblCellMar>
      </w:tblPr>
      <w:tr>
        <w:trPr>
          <w:trHeight w:val="243"/>
        </w:trPr>
        <w:tc>
          <w:tcPr>
            <w:tcW w:w="4060" w:type="dxa"/>
            <w:vAlign w:val="bottom"/>
            <w:tcBorders>
              <w:top w:val="single" w:sz="8" w:color="auto"/>
            </w:tcBorders>
            <w:gridSpan w:val="2"/>
          </w:tcPr>
          <w:p>
            <w:pPr>
              <w:spacing w:after="0"/>
              <w:rPr>
                <w:sz w:val="20"/>
                <w:szCs w:val="20"/>
                <w:color w:val="auto"/>
              </w:rPr>
            </w:pPr>
            <w:r>
              <w:rPr>
                <w:rFonts w:ascii="Arial" w:cs="Arial" w:eastAsia="Arial" w:hAnsi="Arial"/>
                <w:sz w:val="18"/>
                <w:szCs w:val="18"/>
                <w:b w:val="1"/>
                <w:bCs w:val="1"/>
                <w:color w:val="auto"/>
              </w:rPr>
              <w:t>Long-term Assets</w:t>
            </w:r>
          </w:p>
        </w:tc>
        <w:tc>
          <w:tcPr>
            <w:tcW w:w="3380" w:type="dxa"/>
            <w:vAlign w:val="bottom"/>
            <w:tcBorders>
              <w:top w:val="single" w:sz="8" w:color="auto"/>
            </w:tcBorders>
            <w:gridSpan w:val="2"/>
          </w:tcPr>
          <w:p>
            <w:pPr>
              <w:ind w:left="1760"/>
              <w:spacing w:after="0"/>
              <w:rPr>
                <w:sz w:val="20"/>
                <w:szCs w:val="20"/>
                <w:color w:val="auto"/>
              </w:rPr>
            </w:pPr>
            <w:r>
              <w:rPr>
                <w:rFonts w:ascii="Arial" w:cs="Arial" w:eastAsia="Arial" w:hAnsi="Arial"/>
                <w:sz w:val="18"/>
                <w:szCs w:val="18"/>
                <w:b w:val="1"/>
                <w:bCs w:val="1"/>
                <w:color w:val="auto"/>
              </w:rPr>
              <w:t>March 31,</w:t>
            </w:r>
          </w:p>
        </w:tc>
        <w:tc>
          <w:tcPr>
            <w:tcW w:w="700" w:type="dxa"/>
            <w:vAlign w:val="bottom"/>
            <w:tcBorders>
              <w:top w:val="single" w:sz="8" w:color="auto"/>
            </w:tcBorders>
          </w:tcPr>
          <w:p>
            <w:pPr>
              <w:spacing w:after="0"/>
              <w:rPr>
                <w:sz w:val="21"/>
                <w:szCs w:val="21"/>
                <w:color w:val="auto"/>
              </w:rPr>
            </w:pPr>
          </w:p>
        </w:tc>
        <w:tc>
          <w:tcPr>
            <w:tcW w:w="2200" w:type="dxa"/>
            <w:vAlign w:val="bottom"/>
            <w:tcBorders>
              <w:top w:val="single" w:sz="8" w:color="auto"/>
            </w:tcBorders>
            <w:gridSpan w:val="2"/>
          </w:tcPr>
          <w:p>
            <w:pPr>
              <w:jc w:val="right"/>
              <w:ind w:right="150"/>
              <w:spacing w:after="0"/>
              <w:rPr>
                <w:sz w:val="20"/>
                <w:szCs w:val="20"/>
                <w:color w:val="auto"/>
              </w:rPr>
            </w:pPr>
            <w:r>
              <w:rPr>
                <w:rFonts w:ascii="Arial" w:cs="Arial" w:eastAsia="Arial" w:hAnsi="Arial"/>
                <w:sz w:val="18"/>
                <w:szCs w:val="18"/>
                <w:b w:val="1"/>
                <w:bCs w:val="1"/>
                <w:color w:val="auto"/>
              </w:rPr>
              <w:t>December 31,</w:t>
            </w:r>
          </w:p>
        </w:tc>
        <w:tc>
          <w:tcPr>
            <w:tcW w:w="980" w:type="dxa"/>
            <w:vAlign w:val="bottom"/>
            <w:tcBorders>
              <w:top w:val="single" w:sz="8" w:color="auto"/>
            </w:tcBorders>
          </w:tcPr>
          <w:p>
            <w:pPr>
              <w:spacing w:after="0"/>
              <w:rPr>
                <w:sz w:val="21"/>
                <w:szCs w:val="21"/>
                <w:color w:val="auto"/>
              </w:rPr>
            </w:pPr>
          </w:p>
        </w:tc>
        <w:tc>
          <w:tcPr>
            <w:tcW w:w="100" w:type="dxa"/>
            <w:vAlign w:val="bottom"/>
          </w:tcPr>
          <w:p>
            <w:pPr>
              <w:spacing w:after="0"/>
              <w:rPr>
                <w:sz w:val="21"/>
                <w:szCs w:val="21"/>
                <w:color w:val="auto"/>
              </w:rPr>
            </w:pPr>
          </w:p>
        </w:tc>
      </w:tr>
      <w:tr>
        <w:trPr>
          <w:trHeight w:val="223"/>
        </w:trPr>
        <w:tc>
          <w:tcPr>
            <w:tcW w:w="20" w:type="dxa"/>
            <w:vAlign w:val="bottom"/>
          </w:tcPr>
          <w:p>
            <w:pPr>
              <w:spacing w:after="0"/>
              <w:rPr>
                <w:sz w:val="19"/>
                <w:szCs w:val="19"/>
                <w:color w:val="auto"/>
              </w:rPr>
            </w:pPr>
          </w:p>
        </w:tc>
        <w:tc>
          <w:tcPr>
            <w:tcW w:w="4040" w:type="dxa"/>
            <w:vAlign w:val="bottom"/>
            <w:tcBorders>
              <w:top w:val="single" w:sz="8" w:color="auto"/>
            </w:tcBorders>
          </w:tcPr>
          <w:p>
            <w:pPr>
              <w:spacing w:after="0"/>
              <w:rPr>
                <w:sz w:val="19"/>
                <w:szCs w:val="19"/>
                <w:color w:val="auto"/>
              </w:rPr>
            </w:pPr>
          </w:p>
        </w:tc>
        <w:tc>
          <w:tcPr>
            <w:tcW w:w="1900" w:type="dxa"/>
            <w:vAlign w:val="bottom"/>
            <w:tcBorders>
              <w:top w:val="single" w:sz="8" w:color="auto"/>
            </w:tcBorders>
          </w:tcPr>
          <w:p>
            <w:pPr>
              <w:spacing w:after="0"/>
              <w:rPr>
                <w:sz w:val="19"/>
                <w:szCs w:val="19"/>
                <w:color w:val="auto"/>
              </w:rPr>
            </w:pPr>
          </w:p>
        </w:tc>
        <w:tc>
          <w:tcPr>
            <w:tcW w:w="1480" w:type="dxa"/>
            <w:vAlign w:val="bottom"/>
            <w:tcBorders>
              <w:top w:val="single" w:sz="8" w:color="auto"/>
            </w:tcBorders>
          </w:tcPr>
          <w:p>
            <w:pPr>
              <w:jc w:val="right"/>
              <w:ind w:right="970"/>
              <w:spacing w:after="0"/>
              <w:rPr>
                <w:sz w:val="20"/>
                <w:szCs w:val="20"/>
                <w:color w:val="auto"/>
              </w:rPr>
            </w:pPr>
            <w:r>
              <w:rPr>
                <w:rFonts w:ascii="Arial" w:cs="Arial" w:eastAsia="Arial" w:hAnsi="Arial"/>
                <w:sz w:val="18"/>
                <w:szCs w:val="18"/>
                <w:b w:val="1"/>
                <w:bCs w:val="1"/>
                <w:color w:val="auto"/>
                <w:w w:val="99"/>
              </w:rPr>
              <w:t>2014</w:t>
            </w:r>
          </w:p>
        </w:tc>
        <w:tc>
          <w:tcPr>
            <w:tcW w:w="700" w:type="dxa"/>
            <w:vAlign w:val="bottom"/>
            <w:tcBorders>
              <w:top w:val="single" w:sz="8" w:color="auto"/>
            </w:tcBorders>
          </w:tcPr>
          <w:p>
            <w:pPr>
              <w:spacing w:after="0"/>
              <w:rPr>
                <w:sz w:val="19"/>
                <w:szCs w:val="19"/>
                <w:color w:val="auto"/>
              </w:rPr>
            </w:pPr>
          </w:p>
        </w:tc>
        <w:tc>
          <w:tcPr>
            <w:tcW w:w="1500" w:type="dxa"/>
            <w:vAlign w:val="bottom"/>
            <w:tcBorders>
              <w:top w:val="single" w:sz="8" w:color="auto"/>
            </w:tcBorders>
          </w:tcPr>
          <w:p>
            <w:pPr>
              <w:jc w:val="right"/>
              <w:ind w:right="930"/>
              <w:spacing w:after="0"/>
              <w:rPr>
                <w:sz w:val="20"/>
                <w:szCs w:val="20"/>
                <w:color w:val="auto"/>
              </w:rPr>
            </w:pPr>
            <w:r>
              <w:rPr>
                <w:rFonts w:ascii="Arial" w:cs="Arial" w:eastAsia="Arial" w:hAnsi="Arial"/>
                <w:sz w:val="18"/>
                <w:szCs w:val="18"/>
                <w:b w:val="1"/>
                <w:bCs w:val="1"/>
                <w:color w:val="auto"/>
              </w:rPr>
              <w:t>2013</w:t>
            </w:r>
          </w:p>
        </w:tc>
        <w:tc>
          <w:tcPr>
            <w:tcW w:w="700" w:type="dxa"/>
            <w:vAlign w:val="bottom"/>
            <w:tcBorders>
              <w:top w:val="single" w:sz="8" w:color="auto"/>
            </w:tcBorders>
          </w:tcPr>
          <w:p>
            <w:pPr>
              <w:spacing w:after="0"/>
              <w:rPr>
                <w:sz w:val="19"/>
                <w:szCs w:val="19"/>
                <w:color w:val="auto"/>
              </w:rPr>
            </w:pPr>
          </w:p>
        </w:tc>
        <w:tc>
          <w:tcPr>
            <w:tcW w:w="980" w:type="dxa"/>
            <w:vAlign w:val="bottom"/>
            <w:tcBorders>
              <w:top w:val="single" w:sz="8" w:color="auto"/>
            </w:tcBorders>
          </w:tcPr>
          <w:p>
            <w:pPr>
              <w:jc w:val="right"/>
              <w:ind w:right="350"/>
              <w:spacing w:after="0"/>
              <w:rPr>
                <w:sz w:val="20"/>
                <w:szCs w:val="20"/>
                <w:color w:val="auto"/>
              </w:rPr>
            </w:pPr>
            <w:r>
              <w:rPr>
                <w:rFonts w:ascii="Arial" w:cs="Arial" w:eastAsia="Arial" w:hAnsi="Arial"/>
                <w:sz w:val="18"/>
                <w:szCs w:val="18"/>
                <w:color w:val="auto"/>
              </w:rPr>
              <w:t>2012</w:t>
            </w:r>
          </w:p>
        </w:tc>
        <w:tc>
          <w:tcPr>
            <w:tcW w:w="100" w:type="dxa"/>
            <w:vAlign w:val="bottom"/>
          </w:tcPr>
          <w:p>
            <w:pPr>
              <w:spacing w:after="0"/>
              <w:rPr>
                <w:sz w:val="19"/>
                <w:szCs w:val="19"/>
                <w:color w:val="auto"/>
              </w:rPr>
            </w:pPr>
          </w:p>
        </w:tc>
      </w:tr>
      <w:tr>
        <w:trPr>
          <w:trHeight w:val="216"/>
        </w:trPr>
        <w:tc>
          <w:tcPr>
            <w:tcW w:w="20" w:type="dxa"/>
            <w:vAlign w:val="bottom"/>
          </w:tcPr>
          <w:p>
            <w:pPr>
              <w:spacing w:after="0"/>
              <w:rPr>
                <w:sz w:val="18"/>
                <w:szCs w:val="18"/>
                <w:color w:val="auto"/>
              </w:rPr>
            </w:pPr>
          </w:p>
        </w:tc>
        <w:tc>
          <w:tcPr>
            <w:tcW w:w="4040" w:type="dxa"/>
            <w:vAlign w:val="bottom"/>
            <w:shd w:val="clear" w:color="auto" w:fill="CCEEFF"/>
          </w:tcPr>
          <w:p>
            <w:pPr>
              <w:spacing w:after="0"/>
              <w:rPr>
                <w:sz w:val="20"/>
                <w:szCs w:val="20"/>
                <w:color w:val="auto"/>
              </w:rPr>
            </w:pPr>
            <w:r>
              <w:rPr>
                <w:rFonts w:ascii="Arial" w:cs="Arial" w:eastAsia="Arial" w:hAnsi="Arial"/>
                <w:sz w:val="18"/>
                <w:szCs w:val="18"/>
                <w:color w:val="auto"/>
              </w:rPr>
              <w:t>Other assets</w:t>
            </w:r>
          </w:p>
        </w:tc>
        <w:tc>
          <w:tcPr>
            <w:tcW w:w="1900" w:type="dxa"/>
            <w:vAlign w:val="bottom"/>
            <w:shd w:val="clear" w:color="auto" w:fill="CCEEFF"/>
          </w:tcPr>
          <w:p>
            <w:pPr>
              <w:jc w:val="right"/>
              <w:ind w:right="210"/>
              <w:spacing w:after="0"/>
              <w:rPr>
                <w:sz w:val="20"/>
                <w:szCs w:val="20"/>
                <w:color w:val="auto"/>
              </w:rPr>
            </w:pPr>
            <w:r>
              <w:rPr>
                <w:rFonts w:ascii="Arial" w:cs="Arial" w:eastAsia="Arial" w:hAnsi="Arial"/>
                <w:sz w:val="18"/>
                <w:szCs w:val="18"/>
                <w:b w:val="1"/>
                <w:bCs w:val="1"/>
                <w:color w:val="auto"/>
              </w:rPr>
              <w:t>$</w:t>
            </w:r>
          </w:p>
        </w:tc>
        <w:tc>
          <w:tcPr>
            <w:tcW w:w="1480" w:type="dxa"/>
            <w:vAlign w:val="bottom"/>
            <w:shd w:val="clear" w:color="auto" w:fill="CCEEFF"/>
          </w:tcPr>
          <w:p>
            <w:pPr>
              <w:jc w:val="right"/>
              <w:ind w:right="510"/>
              <w:spacing w:after="0"/>
              <w:rPr>
                <w:sz w:val="20"/>
                <w:szCs w:val="20"/>
                <w:color w:val="auto"/>
              </w:rPr>
            </w:pPr>
            <w:r>
              <w:rPr>
                <w:rFonts w:ascii="Arial" w:cs="Arial" w:eastAsia="Arial" w:hAnsi="Arial"/>
                <w:sz w:val="18"/>
                <w:szCs w:val="18"/>
                <w:b w:val="1"/>
                <w:bCs w:val="1"/>
                <w:color w:val="auto"/>
              </w:rPr>
              <w:t>12.3</w:t>
            </w:r>
          </w:p>
        </w:tc>
        <w:tc>
          <w:tcPr>
            <w:tcW w:w="700" w:type="dxa"/>
            <w:vAlign w:val="bottom"/>
            <w:shd w:val="clear" w:color="auto" w:fill="CCEEFF"/>
          </w:tcPr>
          <w:p>
            <w:pPr>
              <w:jc w:val="right"/>
              <w:ind w:right="150"/>
              <w:spacing w:after="0"/>
              <w:rPr>
                <w:sz w:val="20"/>
                <w:szCs w:val="20"/>
                <w:color w:val="auto"/>
              </w:rPr>
            </w:pPr>
            <w:r>
              <w:rPr>
                <w:rFonts w:ascii="Arial" w:cs="Arial" w:eastAsia="Arial" w:hAnsi="Arial"/>
                <w:sz w:val="18"/>
                <w:szCs w:val="18"/>
                <w:b w:val="1"/>
                <w:bCs w:val="1"/>
                <w:color w:val="auto"/>
              </w:rPr>
              <w:t>$</w:t>
            </w:r>
          </w:p>
        </w:tc>
        <w:tc>
          <w:tcPr>
            <w:tcW w:w="1500" w:type="dxa"/>
            <w:vAlign w:val="bottom"/>
            <w:shd w:val="clear" w:color="auto" w:fill="CCEEFF"/>
          </w:tcPr>
          <w:p>
            <w:pPr>
              <w:jc w:val="right"/>
              <w:ind w:right="470"/>
              <w:spacing w:after="0"/>
              <w:rPr>
                <w:sz w:val="20"/>
                <w:szCs w:val="20"/>
                <w:color w:val="auto"/>
              </w:rPr>
            </w:pPr>
            <w:r>
              <w:rPr>
                <w:rFonts w:ascii="Arial" w:cs="Arial" w:eastAsia="Arial" w:hAnsi="Arial"/>
                <w:sz w:val="18"/>
                <w:szCs w:val="18"/>
                <w:b w:val="1"/>
                <w:bCs w:val="1"/>
                <w:color w:val="auto"/>
              </w:rPr>
              <w:t>13.1</w:t>
            </w:r>
          </w:p>
        </w:tc>
        <w:tc>
          <w:tcPr>
            <w:tcW w:w="700" w:type="dxa"/>
            <w:vAlign w:val="bottom"/>
            <w:shd w:val="clear" w:color="auto" w:fill="CCEEFF"/>
          </w:tcPr>
          <w:p>
            <w:pPr>
              <w:jc w:val="right"/>
              <w:ind w:right="110"/>
              <w:spacing w:after="0"/>
              <w:rPr>
                <w:sz w:val="20"/>
                <w:szCs w:val="20"/>
                <w:color w:val="auto"/>
              </w:rPr>
            </w:pPr>
            <w:r>
              <w:rPr>
                <w:rFonts w:ascii="Arial" w:cs="Arial" w:eastAsia="Arial" w:hAnsi="Arial"/>
                <w:sz w:val="18"/>
                <w:szCs w:val="18"/>
                <w:color w:val="auto"/>
              </w:rPr>
              <w:t>$</w:t>
            </w: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15.0</w:t>
            </w:r>
          </w:p>
        </w:tc>
        <w:tc>
          <w:tcPr>
            <w:tcW w:w="100" w:type="dxa"/>
            <w:vAlign w:val="bottom"/>
            <w:shd w:val="clear" w:color="auto" w:fill="CCEEFF"/>
          </w:tcPr>
          <w:p>
            <w:pPr>
              <w:spacing w:after="0"/>
              <w:rPr>
                <w:sz w:val="18"/>
                <w:szCs w:val="18"/>
                <w:color w:val="auto"/>
              </w:rPr>
            </w:pPr>
          </w:p>
        </w:tc>
      </w:tr>
      <w:tr>
        <w:trPr>
          <w:trHeight w:val="223"/>
        </w:trPr>
        <w:tc>
          <w:tcPr>
            <w:tcW w:w="20" w:type="dxa"/>
            <w:vAlign w:val="bottom"/>
            <w:tcBorders>
              <w:bottom w:val="single" w:sz="8" w:color="auto"/>
            </w:tcBorders>
          </w:tcPr>
          <w:p>
            <w:pPr>
              <w:spacing w:after="0"/>
              <w:rPr>
                <w:sz w:val="19"/>
                <w:szCs w:val="19"/>
                <w:color w:val="auto"/>
              </w:rPr>
            </w:pPr>
          </w:p>
        </w:tc>
        <w:tc>
          <w:tcPr>
            <w:tcW w:w="4040" w:type="dxa"/>
            <w:vAlign w:val="bottom"/>
            <w:tcBorders>
              <w:bottom w:val="single" w:sz="8" w:color="auto"/>
            </w:tcBorders>
          </w:tcPr>
          <w:p>
            <w:pPr>
              <w:spacing w:after="0"/>
              <w:rPr>
                <w:sz w:val="20"/>
                <w:szCs w:val="20"/>
                <w:color w:val="auto"/>
              </w:rPr>
            </w:pPr>
            <w:r>
              <w:rPr>
                <w:rFonts w:ascii="Arial" w:cs="Arial" w:eastAsia="Arial" w:hAnsi="Arial"/>
                <w:sz w:val="18"/>
                <w:szCs w:val="18"/>
                <w:b w:val="1"/>
                <w:bCs w:val="1"/>
                <w:color w:val="auto"/>
              </w:rPr>
              <w:t>Total Long-term Assets</w:t>
            </w:r>
          </w:p>
        </w:tc>
        <w:tc>
          <w:tcPr>
            <w:tcW w:w="1900" w:type="dxa"/>
            <w:vAlign w:val="bottom"/>
            <w:tcBorders>
              <w:bottom w:val="single" w:sz="8" w:color="auto"/>
            </w:tcBorders>
          </w:tcPr>
          <w:p>
            <w:pPr>
              <w:jc w:val="right"/>
              <w:ind w:right="210"/>
              <w:spacing w:after="0"/>
              <w:rPr>
                <w:sz w:val="20"/>
                <w:szCs w:val="20"/>
                <w:color w:val="auto"/>
              </w:rPr>
            </w:pPr>
            <w:r>
              <w:rPr>
                <w:rFonts w:ascii="Arial" w:cs="Arial" w:eastAsia="Arial" w:hAnsi="Arial"/>
                <w:sz w:val="18"/>
                <w:szCs w:val="18"/>
                <w:b w:val="1"/>
                <w:bCs w:val="1"/>
                <w:color w:val="auto"/>
              </w:rPr>
              <w:t>$</w:t>
            </w:r>
          </w:p>
        </w:tc>
        <w:tc>
          <w:tcPr>
            <w:tcW w:w="1480" w:type="dxa"/>
            <w:vAlign w:val="bottom"/>
            <w:tcBorders>
              <w:bottom w:val="single" w:sz="8" w:color="auto"/>
            </w:tcBorders>
          </w:tcPr>
          <w:p>
            <w:pPr>
              <w:jc w:val="right"/>
              <w:ind w:right="510"/>
              <w:spacing w:after="0"/>
              <w:rPr>
                <w:sz w:val="20"/>
                <w:szCs w:val="20"/>
                <w:color w:val="auto"/>
              </w:rPr>
            </w:pPr>
            <w:r>
              <w:rPr>
                <w:rFonts w:ascii="Arial" w:cs="Arial" w:eastAsia="Arial" w:hAnsi="Arial"/>
                <w:sz w:val="18"/>
                <w:szCs w:val="18"/>
                <w:b w:val="1"/>
                <w:bCs w:val="1"/>
                <w:color w:val="auto"/>
              </w:rPr>
              <w:t>12.3</w:t>
            </w:r>
          </w:p>
        </w:tc>
        <w:tc>
          <w:tcPr>
            <w:tcW w:w="700" w:type="dxa"/>
            <w:vAlign w:val="bottom"/>
            <w:tcBorders>
              <w:bottom w:val="single" w:sz="8" w:color="auto"/>
            </w:tcBorders>
          </w:tcPr>
          <w:p>
            <w:pPr>
              <w:jc w:val="right"/>
              <w:ind w:right="150"/>
              <w:spacing w:after="0"/>
              <w:rPr>
                <w:sz w:val="20"/>
                <w:szCs w:val="20"/>
                <w:color w:val="auto"/>
              </w:rPr>
            </w:pPr>
            <w:r>
              <w:rPr>
                <w:rFonts w:ascii="Arial" w:cs="Arial" w:eastAsia="Arial" w:hAnsi="Arial"/>
                <w:sz w:val="18"/>
                <w:szCs w:val="18"/>
                <w:b w:val="1"/>
                <w:bCs w:val="1"/>
                <w:color w:val="auto"/>
              </w:rPr>
              <w:t>$</w:t>
            </w:r>
          </w:p>
        </w:tc>
        <w:tc>
          <w:tcPr>
            <w:tcW w:w="1500" w:type="dxa"/>
            <w:vAlign w:val="bottom"/>
            <w:tcBorders>
              <w:bottom w:val="single" w:sz="8" w:color="auto"/>
            </w:tcBorders>
          </w:tcPr>
          <w:p>
            <w:pPr>
              <w:jc w:val="right"/>
              <w:ind w:right="470"/>
              <w:spacing w:after="0"/>
              <w:rPr>
                <w:sz w:val="20"/>
                <w:szCs w:val="20"/>
                <w:color w:val="auto"/>
              </w:rPr>
            </w:pPr>
            <w:r>
              <w:rPr>
                <w:rFonts w:ascii="Arial" w:cs="Arial" w:eastAsia="Arial" w:hAnsi="Arial"/>
                <w:sz w:val="18"/>
                <w:szCs w:val="18"/>
                <w:b w:val="1"/>
                <w:bCs w:val="1"/>
                <w:color w:val="auto"/>
              </w:rPr>
              <w:t>13.1</w:t>
            </w:r>
          </w:p>
        </w:tc>
        <w:tc>
          <w:tcPr>
            <w:tcW w:w="700" w:type="dxa"/>
            <w:vAlign w:val="bottom"/>
            <w:tcBorders>
              <w:bottom w:val="single" w:sz="8" w:color="auto"/>
            </w:tcBorders>
          </w:tcPr>
          <w:p>
            <w:pPr>
              <w:jc w:val="right"/>
              <w:ind w:right="110"/>
              <w:spacing w:after="0"/>
              <w:rPr>
                <w:sz w:val="20"/>
                <w:szCs w:val="20"/>
                <w:color w:val="auto"/>
              </w:rPr>
            </w:pPr>
            <w:r>
              <w:rPr>
                <w:rFonts w:ascii="Arial" w:cs="Arial" w:eastAsia="Arial" w:hAnsi="Arial"/>
                <w:sz w:val="18"/>
                <w:szCs w:val="18"/>
                <w:color w:val="auto"/>
              </w:rPr>
              <w:t>$</w:t>
            </w: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15.0</w:t>
            </w:r>
          </w:p>
        </w:tc>
        <w:tc>
          <w:tcPr>
            <w:tcW w:w="100" w:type="dxa"/>
            <w:vAlign w:val="bottom"/>
          </w:tcPr>
          <w:p>
            <w:pPr>
              <w:spacing w:after="0"/>
              <w:rPr>
                <w:sz w:val="19"/>
                <w:szCs w:val="19"/>
                <w:color w:val="auto"/>
              </w:rPr>
            </w:pPr>
          </w:p>
        </w:tc>
      </w:tr>
      <w:tr>
        <w:trPr>
          <w:trHeight w:val="378"/>
        </w:trPr>
        <w:tc>
          <w:tcPr>
            <w:tcW w:w="4060" w:type="dxa"/>
            <w:vAlign w:val="bottom"/>
            <w:gridSpan w:val="2"/>
          </w:tcPr>
          <w:p>
            <w:pPr>
              <w:spacing w:after="0"/>
              <w:rPr>
                <w:sz w:val="24"/>
                <w:szCs w:val="24"/>
                <w:color w:val="auto"/>
              </w:rPr>
            </w:pPr>
          </w:p>
        </w:tc>
        <w:tc>
          <w:tcPr>
            <w:tcW w:w="190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200" w:type="dxa"/>
            <w:vAlign w:val="bottom"/>
            <w:gridSpan w:val="2"/>
          </w:tcPr>
          <w:p>
            <w:pPr>
              <w:spacing w:after="0"/>
              <w:rPr>
                <w:sz w:val="24"/>
                <w:szCs w:val="24"/>
                <w:color w:val="auto"/>
              </w:rPr>
            </w:pPr>
          </w:p>
        </w:tc>
        <w:tc>
          <w:tcPr>
            <w:tcW w:w="98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223"/>
        </w:trPr>
        <w:tc>
          <w:tcPr>
            <w:tcW w:w="20" w:type="dxa"/>
            <w:vAlign w:val="bottom"/>
          </w:tcPr>
          <w:p>
            <w:pPr>
              <w:spacing w:after="0"/>
              <w:rPr>
                <w:sz w:val="19"/>
                <w:szCs w:val="19"/>
                <w:color w:val="auto"/>
              </w:rPr>
            </w:pPr>
          </w:p>
        </w:tc>
        <w:tc>
          <w:tcPr>
            <w:tcW w:w="404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b w:val="1"/>
                <w:bCs w:val="1"/>
                <w:color w:val="auto"/>
              </w:rPr>
              <w:t>Liabilities and Equity</w:t>
            </w:r>
          </w:p>
        </w:tc>
        <w:tc>
          <w:tcPr>
            <w:tcW w:w="1900" w:type="dxa"/>
            <w:vAlign w:val="bottom"/>
            <w:tcBorders>
              <w:top w:val="single" w:sz="8" w:color="auto"/>
              <w:bottom w:val="single" w:sz="8" w:color="auto"/>
            </w:tcBorders>
          </w:tcPr>
          <w:p>
            <w:pPr>
              <w:spacing w:after="0"/>
              <w:rPr>
                <w:sz w:val="19"/>
                <w:szCs w:val="19"/>
                <w:color w:val="auto"/>
              </w:rPr>
            </w:pPr>
          </w:p>
        </w:tc>
        <w:tc>
          <w:tcPr>
            <w:tcW w:w="1480" w:type="dxa"/>
            <w:vAlign w:val="bottom"/>
            <w:tcBorders>
              <w:top w:val="single" w:sz="8" w:color="auto"/>
              <w:bottom w:val="single" w:sz="8" w:color="auto"/>
            </w:tcBorders>
          </w:tcPr>
          <w:p>
            <w:pPr>
              <w:jc w:val="right"/>
              <w:ind w:right="510"/>
              <w:spacing w:after="0"/>
              <w:rPr>
                <w:sz w:val="20"/>
                <w:szCs w:val="20"/>
                <w:color w:val="auto"/>
              </w:rPr>
            </w:pPr>
            <w:r>
              <w:rPr>
                <w:rFonts w:ascii="Arial" w:cs="Arial" w:eastAsia="Arial" w:hAnsi="Arial"/>
                <w:sz w:val="18"/>
                <w:szCs w:val="18"/>
                <w:b w:val="1"/>
                <w:bCs w:val="1"/>
                <w:color w:val="auto"/>
              </w:rPr>
              <w:t>March 31,</w:t>
            </w:r>
          </w:p>
        </w:tc>
        <w:tc>
          <w:tcPr>
            <w:tcW w:w="700" w:type="dxa"/>
            <w:vAlign w:val="bottom"/>
            <w:tcBorders>
              <w:top w:val="single" w:sz="8" w:color="auto"/>
              <w:bottom w:val="single" w:sz="8" w:color="auto"/>
            </w:tcBorders>
          </w:tcPr>
          <w:p>
            <w:pPr>
              <w:spacing w:after="0"/>
              <w:rPr>
                <w:sz w:val="19"/>
                <w:szCs w:val="19"/>
                <w:color w:val="auto"/>
              </w:rPr>
            </w:pPr>
          </w:p>
        </w:tc>
        <w:tc>
          <w:tcPr>
            <w:tcW w:w="2200" w:type="dxa"/>
            <w:vAlign w:val="bottom"/>
            <w:tcBorders>
              <w:top w:val="single" w:sz="8" w:color="auto"/>
              <w:bottom w:val="single" w:sz="8" w:color="auto"/>
            </w:tcBorders>
            <w:gridSpan w:val="2"/>
          </w:tcPr>
          <w:p>
            <w:pPr>
              <w:jc w:val="right"/>
              <w:ind w:right="90"/>
              <w:spacing w:after="0"/>
              <w:rPr>
                <w:sz w:val="20"/>
                <w:szCs w:val="20"/>
                <w:color w:val="auto"/>
              </w:rPr>
            </w:pPr>
            <w:r>
              <w:rPr>
                <w:rFonts w:ascii="Arial" w:cs="Arial" w:eastAsia="Arial" w:hAnsi="Arial"/>
                <w:sz w:val="18"/>
                <w:szCs w:val="18"/>
                <w:b w:val="1"/>
                <w:bCs w:val="1"/>
                <w:color w:val="auto"/>
              </w:rPr>
              <w:t>December 31,</w:t>
            </w:r>
          </w:p>
        </w:tc>
        <w:tc>
          <w:tcPr>
            <w:tcW w:w="980" w:type="dxa"/>
            <w:vAlign w:val="bottom"/>
            <w:tcBorders>
              <w:top w:val="single" w:sz="8" w:color="auto"/>
              <w:bottom w:val="single" w:sz="8" w:color="auto"/>
            </w:tcBorders>
          </w:tcPr>
          <w:p>
            <w:pPr>
              <w:spacing w:after="0"/>
              <w:rPr>
                <w:sz w:val="19"/>
                <w:szCs w:val="19"/>
                <w:color w:val="auto"/>
              </w:rPr>
            </w:pPr>
          </w:p>
        </w:tc>
        <w:tc>
          <w:tcPr>
            <w:tcW w:w="100" w:type="dxa"/>
            <w:vAlign w:val="bottom"/>
          </w:tcPr>
          <w:p>
            <w:pPr>
              <w:spacing w:after="0"/>
              <w:rPr>
                <w:sz w:val="19"/>
                <w:szCs w:val="19"/>
                <w:color w:val="auto"/>
              </w:rPr>
            </w:pPr>
          </w:p>
        </w:tc>
      </w:tr>
      <w:tr>
        <w:trPr>
          <w:trHeight w:val="223"/>
        </w:trPr>
        <w:tc>
          <w:tcPr>
            <w:tcW w:w="20" w:type="dxa"/>
            <w:vAlign w:val="bottom"/>
          </w:tcPr>
          <w:p>
            <w:pPr>
              <w:spacing w:after="0"/>
              <w:rPr>
                <w:sz w:val="19"/>
                <w:szCs w:val="19"/>
                <w:color w:val="auto"/>
              </w:rPr>
            </w:pPr>
          </w:p>
        </w:tc>
        <w:tc>
          <w:tcPr>
            <w:tcW w:w="4040" w:type="dxa"/>
            <w:vAlign w:val="bottom"/>
          </w:tcPr>
          <w:p>
            <w:pPr>
              <w:spacing w:after="0"/>
              <w:rPr>
                <w:sz w:val="19"/>
                <w:szCs w:val="19"/>
                <w:color w:val="auto"/>
              </w:rPr>
            </w:pPr>
          </w:p>
        </w:tc>
        <w:tc>
          <w:tcPr>
            <w:tcW w:w="1900" w:type="dxa"/>
            <w:vAlign w:val="bottom"/>
          </w:tcPr>
          <w:p>
            <w:pPr>
              <w:spacing w:after="0"/>
              <w:rPr>
                <w:sz w:val="19"/>
                <w:szCs w:val="19"/>
                <w:color w:val="auto"/>
              </w:rPr>
            </w:pPr>
          </w:p>
        </w:tc>
        <w:tc>
          <w:tcPr>
            <w:tcW w:w="1480" w:type="dxa"/>
            <w:vAlign w:val="bottom"/>
          </w:tcPr>
          <w:p>
            <w:pPr>
              <w:jc w:val="right"/>
              <w:ind w:right="710"/>
              <w:spacing w:after="0"/>
              <w:rPr>
                <w:sz w:val="20"/>
                <w:szCs w:val="20"/>
                <w:color w:val="auto"/>
              </w:rPr>
            </w:pPr>
            <w:r>
              <w:rPr>
                <w:rFonts w:ascii="Arial" w:cs="Arial" w:eastAsia="Arial" w:hAnsi="Arial"/>
                <w:sz w:val="18"/>
                <w:szCs w:val="18"/>
                <w:b w:val="1"/>
                <w:bCs w:val="1"/>
                <w:color w:val="auto"/>
              </w:rPr>
              <w:t>2014</w:t>
            </w:r>
          </w:p>
        </w:tc>
        <w:tc>
          <w:tcPr>
            <w:tcW w:w="700" w:type="dxa"/>
            <w:vAlign w:val="bottom"/>
          </w:tcPr>
          <w:p>
            <w:pPr>
              <w:spacing w:after="0"/>
              <w:rPr>
                <w:sz w:val="19"/>
                <w:szCs w:val="19"/>
                <w:color w:val="auto"/>
              </w:rPr>
            </w:pPr>
          </w:p>
        </w:tc>
        <w:tc>
          <w:tcPr>
            <w:tcW w:w="1500" w:type="dxa"/>
            <w:vAlign w:val="bottom"/>
          </w:tcPr>
          <w:p>
            <w:pPr>
              <w:jc w:val="right"/>
              <w:ind w:right="790"/>
              <w:spacing w:after="0"/>
              <w:rPr>
                <w:sz w:val="20"/>
                <w:szCs w:val="20"/>
                <w:color w:val="auto"/>
              </w:rPr>
            </w:pPr>
            <w:r>
              <w:rPr>
                <w:rFonts w:ascii="Arial" w:cs="Arial" w:eastAsia="Arial" w:hAnsi="Arial"/>
                <w:sz w:val="18"/>
                <w:szCs w:val="18"/>
                <w:b w:val="1"/>
                <w:bCs w:val="1"/>
                <w:color w:val="auto"/>
              </w:rPr>
              <w:t>2013</w:t>
            </w:r>
          </w:p>
        </w:tc>
        <w:tc>
          <w:tcPr>
            <w:tcW w:w="700" w:type="dxa"/>
            <w:vAlign w:val="bottom"/>
          </w:tcPr>
          <w:p>
            <w:pPr>
              <w:spacing w:after="0"/>
              <w:rPr>
                <w:sz w:val="19"/>
                <w:szCs w:val="19"/>
                <w:color w:val="auto"/>
              </w:rPr>
            </w:pPr>
          </w:p>
        </w:tc>
        <w:tc>
          <w:tcPr>
            <w:tcW w:w="980" w:type="dxa"/>
            <w:vAlign w:val="bottom"/>
          </w:tcPr>
          <w:p>
            <w:pPr>
              <w:jc w:val="right"/>
              <w:ind w:right="350"/>
              <w:spacing w:after="0"/>
              <w:rPr>
                <w:sz w:val="20"/>
                <w:szCs w:val="20"/>
                <w:color w:val="auto"/>
              </w:rPr>
            </w:pPr>
            <w:r>
              <w:rPr>
                <w:rFonts w:ascii="Arial" w:cs="Arial" w:eastAsia="Arial" w:hAnsi="Arial"/>
                <w:sz w:val="18"/>
                <w:szCs w:val="18"/>
                <w:color w:val="auto"/>
              </w:rPr>
              <w:t>2012</w:t>
            </w:r>
          </w:p>
        </w:tc>
        <w:tc>
          <w:tcPr>
            <w:tcW w:w="100" w:type="dxa"/>
            <w:vAlign w:val="bottom"/>
          </w:tcPr>
          <w:p>
            <w:pPr>
              <w:spacing w:after="0"/>
              <w:rPr>
                <w:sz w:val="19"/>
                <w:szCs w:val="19"/>
                <w:color w:val="auto"/>
              </w:rPr>
            </w:pPr>
          </w:p>
        </w:tc>
      </w:tr>
      <w:tr>
        <w:trPr>
          <w:trHeight w:val="216"/>
        </w:trPr>
        <w:tc>
          <w:tcPr>
            <w:tcW w:w="20" w:type="dxa"/>
            <w:vAlign w:val="bottom"/>
          </w:tcPr>
          <w:p>
            <w:pPr>
              <w:spacing w:after="0"/>
              <w:rPr>
                <w:sz w:val="18"/>
                <w:szCs w:val="18"/>
                <w:color w:val="auto"/>
              </w:rPr>
            </w:pPr>
          </w:p>
        </w:tc>
        <w:tc>
          <w:tcPr>
            <w:tcW w:w="4040" w:type="dxa"/>
            <w:vAlign w:val="bottom"/>
            <w:shd w:val="clear" w:color="auto" w:fill="CCEEFF"/>
          </w:tcPr>
          <w:p>
            <w:pPr>
              <w:spacing w:after="0"/>
              <w:rPr>
                <w:sz w:val="20"/>
                <w:szCs w:val="20"/>
                <w:color w:val="auto"/>
              </w:rPr>
            </w:pPr>
            <w:r>
              <w:rPr>
                <w:rFonts w:ascii="Arial" w:cs="Arial" w:eastAsia="Arial" w:hAnsi="Arial"/>
                <w:sz w:val="18"/>
                <w:szCs w:val="18"/>
                <w:color w:val="auto"/>
              </w:rPr>
              <w:t>Current liabilities</w:t>
            </w:r>
          </w:p>
        </w:tc>
        <w:tc>
          <w:tcPr>
            <w:tcW w:w="1900" w:type="dxa"/>
            <w:vAlign w:val="bottom"/>
            <w:shd w:val="clear" w:color="auto" w:fill="CCEEFF"/>
          </w:tcPr>
          <w:p>
            <w:pPr>
              <w:ind w:left="1760"/>
              <w:spacing w:after="0"/>
              <w:rPr>
                <w:sz w:val="20"/>
                <w:szCs w:val="20"/>
                <w:color w:val="auto"/>
              </w:rPr>
            </w:pPr>
            <w:r>
              <w:rPr>
                <w:rFonts w:ascii="Arial" w:cs="Arial" w:eastAsia="Arial" w:hAnsi="Arial"/>
                <w:sz w:val="18"/>
                <w:szCs w:val="18"/>
                <w:b w:val="1"/>
                <w:bCs w:val="1"/>
                <w:color w:val="auto"/>
              </w:rPr>
              <w:t>$</w:t>
            </w:r>
          </w:p>
        </w:tc>
        <w:tc>
          <w:tcPr>
            <w:tcW w:w="1480" w:type="dxa"/>
            <w:vAlign w:val="bottom"/>
            <w:shd w:val="clear" w:color="auto" w:fill="CCEEFF"/>
          </w:tcPr>
          <w:p>
            <w:pPr>
              <w:jc w:val="right"/>
              <w:ind w:right="270"/>
              <w:spacing w:after="0"/>
              <w:rPr>
                <w:sz w:val="20"/>
                <w:szCs w:val="20"/>
                <w:color w:val="auto"/>
              </w:rPr>
            </w:pPr>
            <w:r>
              <w:rPr>
                <w:rFonts w:ascii="Arial" w:cs="Arial" w:eastAsia="Arial" w:hAnsi="Arial"/>
                <w:sz w:val="18"/>
                <w:szCs w:val="18"/>
                <w:b w:val="1"/>
                <w:bCs w:val="1"/>
                <w:color w:val="auto"/>
              </w:rPr>
              <w:t>181.0</w:t>
            </w:r>
          </w:p>
        </w:tc>
        <w:tc>
          <w:tcPr>
            <w:tcW w:w="700" w:type="dxa"/>
            <w:vAlign w:val="bottom"/>
            <w:shd w:val="clear" w:color="auto" w:fill="CCEEFF"/>
          </w:tcPr>
          <w:p>
            <w:pPr>
              <w:jc w:val="right"/>
              <w:ind w:right="30"/>
              <w:spacing w:after="0"/>
              <w:rPr>
                <w:sz w:val="20"/>
                <w:szCs w:val="20"/>
                <w:color w:val="auto"/>
              </w:rPr>
            </w:pPr>
            <w:r>
              <w:rPr>
                <w:rFonts w:ascii="Arial" w:cs="Arial" w:eastAsia="Arial" w:hAnsi="Arial"/>
                <w:sz w:val="18"/>
                <w:szCs w:val="18"/>
                <w:b w:val="1"/>
                <w:bCs w:val="1"/>
                <w:color w:val="auto"/>
              </w:rPr>
              <w:t>$</w:t>
            </w:r>
          </w:p>
        </w:tc>
        <w:tc>
          <w:tcPr>
            <w:tcW w:w="1500" w:type="dxa"/>
            <w:vAlign w:val="bottom"/>
            <w:shd w:val="clear" w:color="auto" w:fill="CCEEFF"/>
          </w:tcPr>
          <w:p>
            <w:pPr>
              <w:jc w:val="right"/>
              <w:ind w:right="350"/>
              <w:spacing w:after="0"/>
              <w:rPr>
                <w:sz w:val="20"/>
                <w:szCs w:val="20"/>
                <w:color w:val="auto"/>
              </w:rPr>
            </w:pPr>
            <w:r>
              <w:rPr>
                <w:rFonts w:ascii="Arial" w:cs="Arial" w:eastAsia="Arial" w:hAnsi="Arial"/>
                <w:sz w:val="18"/>
                <w:szCs w:val="18"/>
                <w:b w:val="1"/>
                <w:bCs w:val="1"/>
                <w:color w:val="auto"/>
              </w:rPr>
              <w:t>154.9</w:t>
            </w:r>
          </w:p>
        </w:tc>
        <w:tc>
          <w:tcPr>
            <w:tcW w:w="700" w:type="dxa"/>
            <w:vAlign w:val="bottom"/>
            <w:shd w:val="clear" w:color="auto" w:fill="CCEEFF"/>
          </w:tcPr>
          <w:p>
            <w:pPr>
              <w:jc w:val="right"/>
              <w:ind w:right="110"/>
              <w:spacing w:after="0"/>
              <w:rPr>
                <w:sz w:val="20"/>
                <w:szCs w:val="20"/>
                <w:color w:val="auto"/>
              </w:rPr>
            </w:pPr>
            <w:r>
              <w:rPr>
                <w:rFonts w:ascii="Arial" w:cs="Arial" w:eastAsia="Arial" w:hAnsi="Arial"/>
                <w:sz w:val="18"/>
                <w:szCs w:val="18"/>
                <w:color w:val="auto"/>
              </w:rPr>
              <w:t>$</w:t>
            </w: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153.5</w:t>
            </w:r>
          </w:p>
        </w:tc>
        <w:tc>
          <w:tcPr>
            <w:tcW w:w="10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4040" w:type="dxa"/>
            <w:vAlign w:val="bottom"/>
          </w:tcPr>
          <w:p>
            <w:pPr>
              <w:spacing w:after="0"/>
              <w:rPr>
                <w:sz w:val="20"/>
                <w:szCs w:val="20"/>
                <w:color w:val="auto"/>
              </w:rPr>
            </w:pPr>
            <w:r>
              <w:rPr>
                <w:rFonts w:ascii="Arial" w:cs="Arial" w:eastAsia="Arial" w:hAnsi="Arial"/>
                <w:sz w:val="18"/>
                <w:szCs w:val="18"/>
                <w:color w:val="auto"/>
              </w:rPr>
              <w:t>Long term debt</w:t>
            </w:r>
          </w:p>
        </w:tc>
        <w:tc>
          <w:tcPr>
            <w:tcW w:w="1900" w:type="dxa"/>
            <w:vAlign w:val="bottom"/>
          </w:tcPr>
          <w:p>
            <w:pPr>
              <w:spacing w:after="0"/>
              <w:rPr>
                <w:sz w:val="18"/>
                <w:szCs w:val="18"/>
                <w:color w:val="auto"/>
              </w:rPr>
            </w:pPr>
          </w:p>
        </w:tc>
        <w:tc>
          <w:tcPr>
            <w:tcW w:w="1480" w:type="dxa"/>
            <w:vAlign w:val="bottom"/>
          </w:tcPr>
          <w:p>
            <w:pPr>
              <w:jc w:val="right"/>
              <w:ind w:right="270"/>
              <w:spacing w:after="0"/>
              <w:rPr>
                <w:sz w:val="20"/>
                <w:szCs w:val="20"/>
                <w:color w:val="auto"/>
              </w:rPr>
            </w:pPr>
            <w:r>
              <w:rPr>
                <w:rFonts w:ascii="Arial" w:cs="Arial" w:eastAsia="Arial" w:hAnsi="Arial"/>
                <w:sz w:val="18"/>
                <w:szCs w:val="18"/>
                <w:b w:val="1"/>
                <w:bCs w:val="1"/>
                <w:color w:val="auto"/>
              </w:rPr>
              <w:t>30.2</w:t>
            </w:r>
          </w:p>
        </w:tc>
        <w:tc>
          <w:tcPr>
            <w:tcW w:w="700" w:type="dxa"/>
            <w:vAlign w:val="bottom"/>
          </w:tcPr>
          <w:p>
            <w:pPr>
              <w:spacing w:after="0"/>
              <w:rPr>
                <w:sz w:val="18"/>
                <w:szCs w:val="18"/>
                <w:color w:val="auto"/>
              </w:rPr>
            </w:pPr>
          </w:p>
        </w:tc>
        <w:tc>
          <w:tcPr>
            <w:tcW w:w="1500" w:type="dxa"/>
            <w:vAlign w:val="bottom"/>
          </w:tcPr>
          <w:p>
            <w:pPr>
              <w:jc w:val="right"/>
              <w:ind w:right="350"/>
              <w:spacing w:after="0"/>
              <w:rPr>
                <w:sz w:val="20"/>
                <w:szCs w:val="20"/>
                <w:color w:val="auto"/>
              </w:rPr>
            </w:pPr>
            <w:r>
              <w:rPr>
                <w:rFonts w:ascii="Arial" w:cs="Arial" w:eastAsia="Arial" w:hAnsi="Arial"/>
                <w:sz w:val="18"/>
                <w:szCs w:val="18"/>
                <w:b w:val="1"/>
                <w:bCs w:val="1"/>
                <w:color w:val="auto"/>
              </w:rPr>
              <w:t>30.2</w:t>
            </w:r>
          </w:p>
        </w:tc>
        <w:tc>
          <w:tcPr>
            <w:tcW w:w="700" w:type="dxa"/>
            <w:vAlign w:val="bottom"/>
          </w:tcPr>
          <w:p>
            <w:pPr>
              <w:spacing w:after="0"/>
              <w:rPr>
                <w:sz w:val="18"/>
                <w:szCs w:val="18"/>
                <w:color w:val="auto"/>
              </w:rPr>
            </w:pPr>
          </w:p>
        </w:tc>
        <w:tc>
          <w:tcPr>
            <w:tcW w:w="1080" w:type="dxa"/>
            <w:vAlign w:val="bottom"/>
            <w:gridSpan w:val="2"/>
          </w:tcPr>
          <w:p>
            <w:pPr>
              <w:jc w:val="right"/>
              <w:ind w:right="100"/>
              <w:spacing w:after="0"/>
              <w:rPr>
                <w:sz w:val="20"/>
                <w:szCs w:val="20"/>
                <w:color w:val="auto"/>
              </w:rPr>
            </w:pPr>
            <w:r>
              <w:rPr>
                <w:rFonts w:ascii="Arial" w:cs="Arial" w:eastAsia="Arial" w:hAnsi="Arial"/>
                <w:sz w:val="18"/>
                <w:szCs w:val="18"/>
                <w:color w:val="auto"/>
              </w:rPr>
              <w:t>30.2</w:t>
            </w:r>
          </w:p>
        </w:tc>
      </w:tr>
      <w:tr>
        <w:trPr>
          <w:trHeight w:val="216"/>
        </w:trPr>
        <w:tc>
          <w:tcPr>
            <w:tcW w:w="20" w:type="dxa"/>
            <w:vAlign w:val="bottom"/>
          </w:tcPr>
          <w:p>
            <w:pPr>
              <w:spacing w:after="0"/>
              <w:rPr>
                <w:sz w:val="18"/>
                <w:szCs w:val="18"/>
                <w:color w:val="auto"/>
              </w:rPr>
            </w:pPr>
          </w:p>
        </w:tc>
        <w:tc>
          <w:tcPr>
            <w:tcW w:w="4040" w:type="dxa"/>
            <w:vAlign w:val="bottom"/>
            <w:shd w:val="clear" w:color="auto" w:fill="CCEEFF"/>
          </w:tcPr>
          <w:p>
            <w:pPr>
              <w:spacing w:after="0"/>
              <w:rPr>
                <w:sz w:val="20"/>
                <w:szCs w:val="20"/>
                <w:color w:val="auto"/>
              </w:rPr>
            </w:pPr>
            <w:r>
              <w:rPr>
                <w:rFonts w:ascii="Arial" w:cs="Arial" w:eastAsia="Arial" w:hAnsi="Arial"/>
                <w:sz w:val="18"/>
                <w:szCs w:val="18"/>
                <w:color w:val="auto"/>
              </w:rPr>
              <w:t>Deferred income taxes</w:t>
            </w:r>
          </w:p>
        </w:tc>
        <w:tc>
          <w:tcPr>
            <w:tcW w:w="1900" w:type="dxa"/>
            <w:vAlign w:val="bottom"/>
            <w:shd w:val="clear" w:color="auto" w:fill="CCEEFF"/>
          </w:tcPr>
          <w:p>
            <w:pPr>
              <w:spacing w:after="0"/>
              <w:rPr>
                <w:sz w:val="18"/>
                <w:szCs w:val="18"/>
                <w:color w:val="auto"/>
              </w:rPr>
            </w:pPr>
          </w:p>
        </w:tc>
        <w:tc>
          <w:tcPr>
            <w:tcW w:w="1480" w:type="dxa"/>
            <w:vAlign w:val="bottom"/>
            <w:shd w:val="clear" w:color="auto" w:fill="CCEEFF"/>
          </w:tcPr>
          <w:p>
            <w:pPr>
              <w:jc w:val="right"/>
              <w:ind w:right="270"/>
              <w:spacing w:after="0"/>
              <w:rPr>
                <w:sz w:val="20"/>
                <w:szCs w:val="20"/>
                <w:color w:val="auto"/>
              </w:rPr>
            </w:pPr>
            <w:r>
              <w:rPr>
                <w:rFonts w:ascii="Arial" w:cs="Arial" w:eastAsia="Arial" w:hAnsi="Arial"/>
                <w:sz w:val="18"/>
                <w:szCs w:val="18"/>
                <w:b w:val="1"/>
                <w:bCs w:val="1"/>
                <w:color w:val="auto"/>
              </w:rPr>
              <w:t>86.1</w:t>
            </w:r>
          </w:p>
        </w:tc>
        <w:tc>
          <w:tcPr>
            <w:tcW w:w="700" w:type="dxa"/>
            <w:vAlign w:val="bottom"/>
            <w:shd w:val="clear" w:color="auto" w:fill="CCEEFF"/>
          </w:tcPr>
          <w:p>
            <w:pPr>
              <w:spacing w:after="0"/>
              <w:rPr>
                <w:sz w:val="18"/>
                <w:szCs w:val="18"/>
                <w:color w:val="auto"/>
              </w:rPr>
            </w:pPr>
          </w:p>
        </w:tc>
        <w:tc>
          <w:tcPr>
            <w:tcW w:w="1500" w:type="dxa"/>
            <w:vAlign w:val="bottom"/>
            <w:shd w:val="clear" w:color="auto" w:fill="CCEEFF"/>
          </w:tcPr>
          <w:p>
            <w:pPr>
              <w:jc w:val="right"/>
              <w:ind w:right="350"/>
              <w:spacing w:after="0"/>
              <w:rPr>
                <w:sz w:val="20"/>
                <w:szCs w:val="20"/>
                <w:color w:val="auto"/>
              </w:rPr>
            </w:pPr>
            <w:r>
              <w:rPr>
                <w:rFonts w:ascii="Arial" w:cs="Arial" w:eastAsia="Arial" w:hAnsi="Arial"/>
                <w:sz w:val="18"/>
                <w:szCs w:val="18"/>
                <w:b w:val="1"/>
                <w:bCs w:val="1"/>
                <w:color w:val="auto"/>
              </w:rPr>
              <w:t>86.1</w:t>
            </w:r>
          </w:p>
        </w:tc>
        <w:tc>
          <w:tcPr>
            <w:tcW w:w="70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70.7</w:t>
            </w:r>
          </w:p>
        </w:tc>
      </w:tr>
      <w:tr>
        <w:trPr>
          <w:trHeight w:val="216"/>
        </w:trPr>
        <w:tc>
          <w:tcPr>
            <w:tcW w:w="20" w:type="dxa"/>
            <w:vAlign w:val="bottom"/>
          </w:tcPr>
          <w:p>
            <w:pPr>
              <w:spacing w:after="0"/>
              <w:rPr>
                <w:sz w:val="18"/>
                <w:szCs w:val="18"/>
                <w:color w:val="auto"/>
              </w:rPr>
            </w:pPr>
          </w:p>
        </w:tc>
        <w:tc>
          <w:tcPr>
            <w:tcW w:w="4040" w:type="dxa"/>
            <w:vAlign w:val="bottom"/>
          </w:tcPr>
          <w:p>
            <w:pPr>
              <w:spacing w:after="0"/>
              <w:rPr>
                <w:sz w:val="20"/>
                <w:szCs w:val="20"/>
                <w:color w:val="auto"/>
              </w:rPr>
            </w:pPr>
            <w:r>
              <w:rPr>
                <w:rFonts w:ascii="Arial" w:cs="Arial" w:eastAsia="Arial" w:hAnsi="Arial"/>
                <w:sz w:val="18"/>
                <w:szCs w:val="18"/>
                <w:color w:val="auto"/>
              </w:rPr>
              <w:t>Other non-current liabilities</w:t>
            </w:r>
          </w:p>
        </w:tc>
        <w:tc>
          <w:tcPr>
            <w:tcW w:w="1900" w:type="dxa"/>
            <w:vAlign w:val="bottom"/>
          </w:tcPr>
          <w:p>
            <w:pPr>
              <w:spacing w:after="0"/>
              <w:rPr>
                <w:sz w:val="18"/>
                <w:szCs w:val="18"/>
                <w:color w:val="auto"/>
              </w:rPr>
            </w:pPr>
          </w:p>
        </w:tc>
        <w:tc>
          <w:tcPr>
            <w:tcW w:w="1480" w:type="dxa"/>
            <w:vAlign w:val="bottom"/>
          </w:tcPr>
          <w:p>
            <w:pPr>
              <w:jc w:val="right"/>
              <w:ind w:right="270"/>
              <w:spacing w:after="0"/>
              <w:rPr>
                <w:sz w:val="20"/>
                <w:szCs w:val="20"/>
                <w:color w:val="auto"/>
              </w:rPr>
            </w:pPr>
            <w:r>
              <w:rPr>
                <w:rFonts w:ascii="Arial" w:cs="Arial" w:eastAsia="Arial" w:hAnsi="Arial"/>
                <w:sz w:val="18"/>
                <w:szCs w:val="18"/>
                <w:b w:val="1"/>
                <w:bCs w:val="1"/>
                <w:color w:val="auto"/>
              </w:rPr>
              <w:t>6.5</w:t>
            </w:r>
          </w:p>
        </w:tc>
        <w:tc>
          <w:tcPr>
            <w:tcW w:w="700" w:type="dxa"/>
            <w:vAlign w:val="bottom"/>
          </w:tcPr>
          <w:p>
            <w:pPr>
              <w:spacing w:after="0"/>
              <w:rPr>
                <w:sz w:val="18"/>
                <w:szCs w:val="18"/>
                <w:color w:val="auto"/>
              </w:rPr>
            </w:pPr>
          </w:p>
        </w:tc>
        <w:tc>
          <w:tcPr>
            <w:tcW w:w="1500" w:type="dxa"/>
            <w:vAlign w:val="bottom"/>
          </w:tcPr>
          <w:p>
            <w:pPr>
              <w:jc w:val="right"/>
              <w:ind w:right="350"/>
              <w:spacing w:after="0"/>
              <w:rPr>
                <w:sz w:val="20"/>
                <w:szCs w:val="20"/>
                <w:color w:val="auto"/>
              </w:rPr>
            </w:pPr>
            <w:r>
              <w:rPr>
                <w:rFonts w:ascii="Arial" w:cs="Arial" w:eastAsia="Arial" w:hAnsi="Arial"/>
                <w:sz w:val="18"/>
                <w:szCs w:val="18"/>
                <w:b w:val="1"/>
                <w:bCs w:val="1"/>
                <w:color w:val="auto"/>
              </w:rPr>
              <w:t>6.8</w:t>
            </w:r>
          </w:p>
        </w:tc>
        <w:tc>
          <w:tcPr>
            <w:tcW w:w="70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6.5</w:t>
            </w:r>
          </w:p>
        </w:tc>
        <w:tc>
          <w:tcPr>
            <w:tcW w:w="10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4040" w:type="dxa"/>
            <w:vAlign w:val="bottom"/>
            <w:shd w:val="clear" w:color="auto" w:fill="CCEEFF"/>
          </w:tcPr>
          <w:p>
            <w:pPr>
              <w:spacing w:after="0"/>
              <w:rPr>
                <w:sz w:val="20"/>
                <w:szCs w:val="20"/>
                <w:color w:val="auto"/>
              </w:rPr>
            </w:pPr>
            <w:r>
              <w:rPr>
                <w:rFonts w:ascii="Arial" w:cs="Arial" w:eastAsia="Arial" w:hAnsi="Arial"/>
                <w:sz w:val="18"/>
                <w:szCs w:val="18"/>
                <w:color w:val="auto"/>
              </w:rPr>
              <w:t>Parent Equity</w:t>
            </w:r>
          </w:p>
        </w:tc>
        <w:tc>
          <w:tcPr>
            <w:tcW w:w="1900" w:type="dxa"/>
            <w:vAlign w:val="bottom"/>
            <w:shd w:val="clear" w:color="auto" w:fill="CCEEFF"/>
          </w:tcPr>
          <w:p>
            <w:pPr>
              <w:spacing w:after="0"/>
              <w:rPr>
                <w:sz w:val="18"/>
                <w:szCs w:val="18"/>
                <w:color w:val="auto"/>
              </w:rPr>
            </w:pPr>
          </w:p>
        </w:tc>
        <w:tc>
          <w:tcPr>
            <w:tcW w:w="1480" w:type="dxa"/>
            <w:vAlign w:val="bottom"/>
            <w:shd w:val="clear" w:color="auto" w:fill="CCEEFF"/>
          </w:tcPr>
          <w:p>
            <w:pPr>
              <w:jc w:val="right"/>
              <w:ind w:right="270"/>
              <w:spacing w:after="0"/>
              <w:rPr>
                <w:sz w:val="20"/>
                <w:szCs w:val="20"/>
                <w:color w:val="auto"/>
              </w:rPr>
            </w:pPr>
            <w:r>
              <w:rPr>
                <w:rFonts w:ascii="Arial" w:cs="Arial" w:eastAsia="Arial" w:hAnsi="Arial"/>
                <w:sz w:val="18"/>
                <w:szCs w:val="18"/>
                <w:b w:val="1"/>
                <w:bCs w:val="1"/>
                <w:color w:val="auto"/>
              </w:rPr>
              <w:t>822.7</w:t>
            </w:r>
          </w:p>
        </w:tc>
        <w:tc>
          <w:tcPr>
            <w:tcW w:w="700" w:type="dxa"/>
            <w:vAlign w:val="bottom"/>
            <w:shd w:val="clear" w:color="auto" w:fill="CCEEFF"/>
          </w:tcPr>
          <w:p>
            <w:pPr>
              <w:spacing w:after="0"/>
              <w:rPr>
                <w:sz w:val="18"/>
                <w:szCs w:val="18"/>
                <w:color w:val="auto"/>
              </w:rPr>
            </w:pPr>
          </w:p>
        </w:tc>
        <w:tc>
          <w:tcPr>
            <w:tcW w:w="1500" w:type="dxa"/>
            <w:vAlign w:val="bottom"/>
            <w:shd w:val="clear" w:color="auto" w:fill="CCEEFF"/>
          </w:tcPr>
          <w:p>
            <w:pPr>
              <w:jc w:val="right"/>
              <w:ind w:right="350"/>
              <w:spacing w:after="0"/>
              <w:rPr>
                <w:sz w:val="20"/>
                <w:szCs w:val="20"/>
                <w:color w:val="auto"/>
              </w:rPr>
            </w:pPr>
            <w:r>
              <w:rPr>
                <w:rFonts w:ascii="Arial" w:cs="Arial" w:eastAsia="Arial" w:hAnsi="Arial"/>
                <w:sz w:val="18"/>
                <w:szCs w:val="18"/>
                <w:b w:val="1"/>
                <w:bCs w:val="1"/>
                <w:color w:val="auto"/>
              </w:rPr>
              <w:t>800.8</w:t>
            </w:r>
          </w:p>
        </w:tc>
        <w:tc>
          <w:tcPr>
            <w:tcW w:w="70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699.8</w:t>
            </w:r>
          </w:p>
        </w:tc>
        <w:tc>
          <w:tcPr>
            <w:tcW w:w="100" w:type="dxa"/>
            <w:vAlign w:val="bottom"/>
            <w:shd w:val="clear" w:color="auto" w:fill="CCEEFF"/>
          </w:tcPr>
          <w:p>
            <w:pPr>
              <w:spacing w:after="0"/>
              <w:rPr>
                <w:sz w:val="18"/>
                <w:szCs w:val="18"/>
                <w:color w:val="auto"/>
              </w:rPr>
            </w:pPr>
          </w:p>
        </w:tc>
      </w:tr>
      <w:tr>
        <w:trPr>
          <w:trHeight w:val="223"/>
        </w:trPr>
        <w:tc>
          <w:tcPr>
            <w:tcW w:w="20" w:type="dxa"/>
            <w:vAlign w:val="bottom"/>
            <w:tcBorders>
              <w:bottom w:val="single" w:sz="8" w:color="auto"/>
            </w:tcBorders>
          </w:tcPr>
          <w:p>
            <w:pPr>
              <w:spacing w:after="0"/>
              <w:rPr>
                <w:sz w:val="19"/>
                <w:szCs w:val="19"/>
                <w:color w:val="auto"/>
              </w:rPr>
            </w:pPr>
          </w:p>
        </w:tc>
        <w:tc>
          <w:tcPr>
            <w:tcW w:w="4040" w:type="dxa"/>
            <w:vAlign w:val="bottom"/>
            <w:tcBorders>
              <w:bottom w:val="single" w:sz="8" w:color="auto"/>
            </w:tcBorders>
          </w:tcPr>
          <w:p>
            <w:pPr>
              <w:spacing w:after="0"/>
              <w:rPr>
                <w:sz w:val="20"/>
                <w:szCs w:val="20"/>
                <w:color w:val="auto"/>
              </w:rPr>
            </w:pPr>
            <w:r>
              <w:rPr>
                <w:rFonts w:ascii="Arial" w:cs="Arial" w:eastAsia="Arial" w:hAnsi="Arial"/>
                <w:sz w:val="18"/>
                <w:szCs w:val="18"/>
                <w:b w:val="1"/>
                <w:bCs w:val="1"/>
                <w:color w:val="auto"/>
              </w:rPr>
              <w:t>Total liabilities and parent equity</w:t>
            </w:r>
          </w:p>
        </w:tc>
        <w:tc>
          <w:tcPr>
            <w:tcW w:w="1900" w:type="dxa"/>
            <w:vAlign w:val="bottom"/>
            <w:tcBorders>
              <w:bottom w:val="single" w:sz="8" w:color="auto"/>
            </w:tcBorders>
          </w:tcPr>
          <w:p>
            <w:pPr>
              <w:ind w:left="1760"/>
              <w:spacing w:after="0"/>
              <w:rPr>
                <w:sz w:val="20"/>
                <w:szCs w:val="20"/>
                <w:color w:val="auto"/>
              </w:rPr>
            </w:pPr>
            <w:r>
              <w:rPr>
                <w:rFonts w:ascii="Arial" w:cs="Arial" w:eastAsia="Arial" w:hAnsi="Arial"/>
                <w:sz w:val="18"/>
                <w:szCs w:val="18"/>
                <w:b w:val="1"/>
                <w:bCs w:val="1"/>
                <w:color w:val="auto"/>
              </w:rPr>
              <w:t>$</w:t>
            </w:r>
          </w:p>
        </w:tc>
        <w:tc>
          <w:tcPr>
            <w:tcW w:w="1480" w:type="dxa"/>
            <w:vAlign w:val="bottom"/>
            <w:tcBorders>
              <w:bottom w:val="single" w:sz="8" w:color="auto"/>
            </w:tcBorders>
          </w:tcPr>
          <w:p>
            <w:pPr>
              <w:jc w:val="right"/>
              <w:ind w:right="270"/>
              <w:spacing w:after="0"/>
              <w:rPr>
                <w:sz w:val="20"/>
                <w:szCs w:val="20"/>
                <w:color w:val="auto"/>
              </w:rPr>
            </w:pPr>
            <w:r>
              <w:rPr>
                <w:rFonts w:ascii="Arial" w:cs="Arial" w:eastAsia="Arial" w:hAnsi="Arial"/>
                <w:sz w:val="18"/>
                <w:szCs w:val="18"/>
                <w:b w:val="1"/>
                <w:bCs w:val="1"/>
                <w:color w:val="auto"/>
              </w:rPr>
              <w:t>1,126.5</w:t>
            </w:r>
          </w:p>
        </w:tc>
        <w:tc>
          <w:tcPr>
            <w:tcW w:w="70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b w:val="1"/>
                <w:bCs w:val="1"/>
                <w:color w:val="auto"/>
              </w:rPr>
              <w:t>$</w:t>
            </w:r>
          </w:p>
        </w:tc>
        <w:tc>
          <w:tcPr>
            <w:tcW w:w="1500" w:type="dxa"/>
            <w:vAlign w:val="bottom"/>
            <w:tcBorders>
              <w:bottom w:val="single" w:sz="8" w:color="auto"/>
            </w:tcBorders>
          </w:tcPr>
          <w:p>
            <w:pPr>
              <w:jc w:val="right"/>
              <w:ind w:right="350"/>
              <w:spacing w:after="0"/>
              <w:rPr>
                <w:sz w:val="20"/>
                <w:szCs w:val="20"/>
                <w:color w:val="auto"/>
              </w:rPr>
            </w:pPr>
            <w:r>
              <w:rPr>
                <w:rFonts w:ascii="Arial" w:cs="Arial" w:eastAsia="Arial" w:hAnsi="Arial"/>
                <w:sz w:val="18"/>
                <w:szCs w:val="18"/>
                <w:b w:val="1"/>
                <w:bCs w:val="1"/>
                <w:color w:val="auto"/>
              </w:rPr>
              <w:t>1,078.8</w:t>
            </w:r>
          </w:p>
        </w:tc>
        <w:tc>
          <w:tcPr>
            <w:tcW w:w="700" w:type="dxa"/>
            <w:vAlign w:val="bottom"/>
            <w:tcBorders>
              <w:bottom w:val="single" w:sz="8" w:color="auto"/>
            </w:tcBorders>
          </w:tcPr>
          <w:p>
            <w:pPr>
              <w:jc w:val="right"/>
              <w:ind w:right="110"/>
              <w:spacing w:after="0"/>
              <w:rPr>
                <w:sz w:val="20"/>
                <w:szCs w:val="20"/>
                <w:color w:val="auto"/>
              </w:rPr>
            </w:pPr>
            <w:r>
              <w:rPr>
                <w:rFonts w:ascii="Arial" w:cs="Arial" w:eastAsia="Arial" w:hAnsi="Arial"/>
                <w:sz w:val="18"/>
                <w:szCs w:val="18"/>
                <w:color w:val="auto"/>
              </w:rPr>
              <w:t>$</w:t>
            </w: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960.7</w:t>
            </w:r>
          </w:p>
        </w:tc>
        <w:tc>
          <w:tcPr>
            <w:tcW w:w="100" w:type="dxa"/>
            <w:vAlign w:val="bottom"/>
          </w:tcPr>
          <w:p>
            <w:pPr>
              <w:spacing w:after="0"/>
              <w:rPr>
                <w:sz w:val="19"/>
                <w:szCs w:val="19"/>
                <w:color w:val="auto"/>
              </w:rPr>
            </w:pPr>
          </w:p>
        </w:tc>
      </w:tr>
    </w:tbl>
    <w:p>
      <w:pPr>
        <w:spacing w:after="0" w:line="256" w:lineRule="exact"/>
        <w:rPr>
          <w:sz w:val="20"/>
          <w:szCs w:val="20"/>
          <w:color w:val="auto"/>
        </w:rPr>
      </w:pPr>
    </w:p>
    <w:p>
      <w:pPr>
        <w:ind w:right="80" w:firstLine="913"/>
        <w:spacing w:after="0" w:line="259" w:lineRule="auto"/>
        <w:rPr>
          <w:sz w:val="20"/>
          <w:szCs w:val="20"/>
          <w:color w:val="auto"/>
        </w:rPr>
      </w:pPr>
      <w:r>
        <w:rPr>
          <w:rFonts w:ascii="Arial" w:cs="Arial" w:eastAsia="Arial" w:hAnsi="Arial"/>
          <w:sz w:val="18"/>
          <w:szCs w:val="18"/>
          <w:color w:val="auto"/>
        </w:rPr>
        <w:t>Current liabilities increased to $181.0 million as of March 31, 2014, up $26.1 million from December 31, 2013. The increase was driven by higher accounts payable, partially offset by lower accrued salaries, wages and benefits. The increase in accounts payable was due to higher purchases to meet production requirements. Lower accrued salaries, wages, and benefits were a result of the payout of the 2013 performance-based compensation, partially offset by accruals in 2014 for performance-based compensation.</w:t>
      </w:r>
    </w:p>
    <w:p>
      <w:pPr>
        <w:spacing w:after="0" w:line="227" w:lineRule="exact"/>
        <w:rPr>
          <w:sz w:val="20"/>
          <w:szCs w:val="20"/>
          <w:color w:val="auto"/>
        </w:rPr>
      </w:pPr>
    </w:p>
    <w:p>
      <w:pPr>
        <w:ind w:right="180" w:firstLine="913"/>
        <w:spacing w:after="0" w:line="277" w:lineRule="auto"/>
        <w:rPr>
          <w:sz w:val="20"/>
          <w:szCs w:val="20"/>
          <w:color w:val="auto"/>
        </w:rPr>
      </w:pPr>
      <w:r>
        <w:rPr>
          <w:rFonts w:ascii="Arial" w:cs="Arial" w:eastAsia="Arial" w:hAnsi="Arial"/>
          <w:sz w:val="18"/>
          <w:szCs w:val="18"/>
          <w:color w:val="auto"/>
        </w:rPr>
        <w:t>Deferred income taxes increased as of December 31, 2013 as compared to December 31, 2012 primarily due to the tax impact from accelerated tax depreciation.</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Cash Flows</w:t>
      </w:r>
    </w:p>
    <w:p>
      <w:pPr>
        <w:spacing w:after="0" w:line="270" w:lineRule="exact"/>
        <w:rPr>
          <w:sz w:val="20"/>
          <w:szCs w:val="20"/>
          <w:color w:val="auto"/>
        </w:rPr>
      </w:pPr>
    </w:p>
    <w:p>
      <w:pPr>
        <w:ind w:right="60" w:firstLine="913"/>
        <w:spacing w:after="0" w:line="264" w:lineRule="auto"/>
        <w:rPr>
          <w:sz w:val="20"/>
          <w:szCs w:val="20"/>
          <w:color w:val="auto"/>
        </w:rPr>
      </w:pPr>
      <w:r>
        <w:rPr>
          <w:rFonts w:ascii="Arial" w:cs="Arial" w:eastAsia="Arial" w:hAnsi="Arial"/>
          <w:sz w:val="18"/>
          <w:szCs w:val="18"/>
          <w:color w:val="auto"/>
        </w:rPr>
        <w:t>The following table reflects the major categories of cash flows for the three months ended March 31, 2014 and 2013 and the years ended December 31, 2013, 2012 and 2011. For additional details, please see the Consolidated Statements of Cash Flows in the Audited and Unaudited Consolidated Financial Statements contained elsewhere in this prospectus.</w:t>
      </w:r>
    </w:p>
    <w:p>
      <w:pPr>
        <w:spacing w:after="0" w:line="324" w:lineRule="exact"/>
        <w:rPr>
          <w:sz w:val="20"/>
          <w:szCs w:val="20"/>
          <w:color w:val="auto"/>
        </w:rPr>
      </w:pPr>
    </w:p>
    <w:tbl>
      <w:tblPr>
        <w:tblLayout w:type="fixed"/>
        <w:tblInd w:w="0" w:type="dxa"/>
        <w:tblCellMar>
          <w:top w:w="0" w:type="dxa"/>
          <w:left w:w="0" w:type="dxa"/>
          <w:bottom w:w="0" w:type="dxa"/>
          <w:right w:w="0" w:type="dxa"/>
        </w:tblCellMar>
      </w:tblPr>
      <w:tr>
        <w:trPr>
          <w:trHeight w:val="243"/>
        </w:trPr>
        <w:tc>
          <w:tcPr>
            <w:tcW w:w="438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b w:val="1"/>
                <w:bCs w:val="1"/>
                <w:color w:val="auto"/>
              </w:rPr>
              <w:t>Cash Flows</w:t>
            </w:r>
          </w:p>
        </w:tc>
        <w:tc>
          <w:tcPr>
            <w:tcW w:w="3600" w:type="dxa"/>
            <w:vAlign w:val="bottom"/>
            <w:tcBorders>
              <w:top w:val="single" w:sz="8" w:color="auto"/>
              <w:bottom w:val="single" w:sz="8" w:color="auto"/>
            </w:tcBorders>
            <w:gridSpan w:val="4"/>
          </w:tcPr>
          <w:p>
            <w:pPr>
              <w:ind w:left="700"/>
              <w:spacing w:after="0"/>
              <w:rPr>
                <w:sz w:val="20"/>
                <w:szCs w:val="20"/>
                <w:color w:val="auto"/>
              </w:rPr>
            </w:pPr>
            <w:r>
              <w:rPr>
                <w:rFonts w:ascii="Arial" w:cs="Arial" w:eastAsia="Arial" w:hAnsi="Arial"/>
                <w:sz w:val="18"/>
                <w:szCs w:val="18"/>
                <w:b w:val="1"/>
                <w:bCs w:val="1"/>
                <w:color w:val="auto"/>
              </w:rPr>
              <w:t>Three Months Ended March 31,</w:t>
            </w:r>
          </w:p>
        </w:tc>
        <w:tc>
          <w:tcPr>
            <w:tcW w:w="380" w:type="dxa"/>
            <w:vAlign w:val="bottom"/>
            <w:tcBorders>
              <w:top w:val="single" w:sz="8" w:color="auto"/>
              <w:bottom w:val="single" w:sz="8" w:color="auto"/>
            </w:tcBorders>
          </w:tcPr>
          <w:p>
            <w:pPr>
              <w:spacing w:after="0"/>
              <w:rPr>
                <w:sz w:val="21"/>
                <w:szCs w:val="21"/>
                <w:color w:val="auto"/>
              </w:rPr>
            </w:pPr>
          </w:p>
        </w:tc>
        <w:tc>
          <w:tcPr>
            <w:tcW w:w="2480" w:type="dxa"/>
            <w:vAlign w:val="bottom"/>
            <w:tcBorders>
              <w:top w:val="single" w:sz="8" w:color="auto"/>
              <w:bottom w:val="single" w:sz="8" w:color="auto"/>
            </w:tcBorders>
            <w:gridSpan w:val="4"/>
          </w:tcPr>
          <w:p>
            <w:pPr>
              <w:ind w:left="360"/>
              <w:spacing w:after="0"/>
              <w:rPr>
                <w:sz w:val="20"/>
                <w:szCs w:val="20"/>
                <w:color w:val="auto"/>
              </w:rPr>
            </w:pPr>
            <w:r>
              <w:rPr>
                <w:rFonts w:ascii="Arial" w:cs="Arial" w:eastAsia="Arial" w:hAnsi="Arial"/>
                <w:sz w:val="18"/>
                <w:szCs w:val="18"/>
                <w:b w:val="1"/>
                <w:bCs w:val="1"/>
                <w:color w:val="auto"/>
                <w:w w:val="90"/>
              </w:rPr>
              <w:t>Years Ended December 31,</w:t>
            </w:r>
          </w:p>
        </w:tc>
        <w:tc>
          <w:tcPr>
            <w:tcW w:w="480" w:type="dxa"/>
            <w:vAlign w:val="bottom"/>
            <w:tcBorders>
              <w:top w:val="single" w:sz="8" w:color="auto"/>
              <w:bottom w:val="single" w:sz="8" w:color="auto"/>
            </w:tcBorders>
          </w:tcPr>
          <w:p>
            <w:pPr>
              <w:spacing w:after="0"/>
              <w:rPr>
                <w:sz w:val="21"/>
                <w:szCs w:val="21"/>
                <w:color w:val="auto"/>
              </w:rPr>
            </w:pPr>
          </w:p>
        </w:tc>
        <w:tc>
          <w:tcPr>
            <w:tcW w:w="100" w:type="dxa"/>
            <w:vAlign w:val="bottom"/>
          </w:tcPr>
          <w:p>
            <w:pPr>
              <w:spacing w:after="0"/>
              <w:rPr>
                <w:sz w:val="21"/>
                <w:szCs w:val="21"/>
                <w:color w:val="auto"/>
              </w:rPr>
            </w:pPr>
          </w:p>
        </w:tc>
      </w:tr>
      <w:tr>
        <w:trPr>
          <w:trHeight w:val="223"/>
        </w:trPr>
        <w:tc>
          <w:tcPr>
            <w:tcW w:w="4380" w:type="dxa"/>
            <w:vAlign w:val="bottom"/>
          </w:tcPr>
          <w:p>
            <w:pPr>
              <w:spacing w:after="0"/>
              <w:rPr>
                <w:sz w:val="19"/>
                <w:szCs w:val="19"/>
                <w:color w:val="auto"/>
              </w:rPr>
            </w:pPr>
          </w:p>
        </w:tc>
        <w:tc>
          <w:tcPr>
            <w:tcW w:w="1180" w:type="dxa"/>
            <w:vAlign w:val="bottom"/>
          </w:tcPr>
          <w:p>
            <w:pPr>
              <w:jc w:val="right"/>
              <w:spacing w:after="0"/>
              <w:rPr>
                <w:sz w:val="20"/>
                <w:szCs w:val="20"/>
                <w:color w:val="auto"/>
              </w:rPr>
            </w:pPr>
            <w:r>
              <w:rPr>
                <w:rFonts w:ascii="Arial" w:cs="Arial" w:eastAsia="Arial" w:hAnsi="Arial"/>
                <w:sz w:val="18"/>
                <w:szCs w:val="18"/>
                <w:b w:val="1"/>
                <w:bCs w:val="1"/>
                <w:color w:val="auto"/>
              </w:rPr>
              <w:t>2014</w:t>
            </w:r>
          </w:p>
        </w:tc>
        <w:tc>
          <w:tcPr>
            <w:tcW w:w="860" w:type="dxa"/>
            <w:vAlign w:val="bottom"/>
          </w:tcPr>
          <w:p>
            <w:pPr>
              <w:spacing w:after="0"/>
              <w:rPr>
                <w:sz w:val="19"/>
                <w:szCs w:val="19"/>
                <w:color w:val="auto"/>
              </w:rPr>
            </w:pPr>
          </w:p>
        </w:tc>
        <w:tc>
          <w:tcPr>
            <w:tcW w:w="820" w:type="dxa"/>
            <w:vAlign w:val="bottom"/>
          </w:tcPr>
          <w:p>
            <w:pPr>
              <w:jc w:val="right"/>
              <w:ind w:right="10"/>
              <w:spacing w:after="0"/>
              <w:rPr>
                <w:sz w:val="20"/>
                <w:szCs w:val="20"/>
                <w:color w:val="auto"/>
              </w:rPr>
            </w:pPr>
            <w:r>
              <w:rPr>
                <w:rFonts w:ascii="Arial" w:cs="Arial" w:eastAsia="Arial" w:hAnsi="Arial"/>
                <w:sz w:val="18"/>
                <w:szCs w:val="18"/>
                <w:color w:val="auto"/>
              </w:rPr>
              <w:t>2013</w:t>
            </w:r>
          </w:p>
        </w:tc>
        <w:tc>
          <w:tcPr>
            <w:tcW w:w="740" w:type="dxa"/>
            <w:vAlign w:val="bottom"/>
          </w:tcPr>
          <w:p>
            <w:pPr>
              <w:spacing w:after="0"/>
              <w:rPr>
                <w:sz w:val="19"/>
                <w:szCs w:val="19"/>
                <w:color w:val="auto"/>
              </w:rPr>
            </w:pPr>
          </w:p>
        </w:tc>
        <w:tc>
          <w:tcPr>
            <w:tcW w:w="1200" w:type="dxa"/>
            <w:vAlign w:val="bottom"/>
            <w:gridSpan w:val="2"/>
          </w:tcPr>
          <w:p>
            <w:pPr>
              <w:ind w:left="220"/>
              <w:spacing w:after="0"/>
              <w:rPr>
                <w:sz w:val="20"/>
                <w:szCs w:val="20"/>
                <w:color w:val="auto"/>
              </w:rPr>
            </w:pPr>
            <w:r>
              <w:rPr>
                <w:rFonts w:ascii="Arial" w:cs="Arial" w:eastAsia="Arial" w:hAnsi="Arial"/>
                <w:sz w:val="18"/>
                <w:szCs w:val="18"/>
                <w:b w:val="1"/>
                <w:bCs w:val="1"/>
                <w:color w:val="auto"/>
              </w:rPr>
              <w:t>2013</w:t>
            </w:r>
          </w:p>
        </w:tc>
        <w:tc>
          <w:tcPr>
            <w:tcW w:w="1200" w:type="dxa"/>
            <w:vAlign w:val="bottom"/>
            <w:gridSpan w:val="2"/>
          </w:tcPr>
          <w:p>
            <w:pPr>
              <w:ind w:left="220"/>
              <w:spacing w:after="0"/>
              <w:rPr>
                <w:sz w:val="20"/>
                <w:szCs w:val="20"/>
                <w:color w:val="auto"/>
              </w:rPr>
            </w:pPr>
            <w:r>
              <w:rPr>
                <w:rFonts w:ascii="Arial" w:cs="Arial" w:eastAsia="Arial" w:hAnsi="Arial"/>
                <w:sz w:val="18"/>
                <w:szCs w:val="18"/>
                <w:color w:val="auto"/>
              </w:rPr>
              <w:t>2012</w:t>
            </w:r>
          </w:p>
        </w:tc>
        <w:tc>
          <w:tcPr>
            <w:tcW w:w="940" w:type="dxa"/>
            <w:vAlign w:val="bottom"/>
            <w:gridSpan w:val="2"/>
          </w:tcPr>
          <w:p>
            <w:pPr>
              <w:ind w:left="220"/>
              <w:spacing w:after="0"/>
              <w:rPr>
                <w:sz w:val="20"/>
                <w:szCs w:val="20"/>
                <w:color w:val="auto"/>
              </w:rPr>
            </w:pPr>
            <w:r>
              <w:rPr>
                <w:rFonts w:ascii="Arial" w:cs="Arial" w:eastAsia="Arial" w:hAnsi="Arial"/>
                <w:sz w:val="18"/>
                <w:szCs w:val="18"/>
                <w:color w:val="auto"/>
              </w:rPr>
              <w:t>2011</w:t>
            </w:r>
          </w:p>
        </w:tc>
        <w:tc>
          <w:tcPr>
            <w:tcW w:w="100" w:type="dxa"/>
            <w:vAlign w:val="bottom"/>
          </w:tcPr>
          <w:p>
            <w:pPr>
              <w:spacing w:after="0"/>
              <w:rPr>
                <w:sz w:val="19"/>
                <w:szCs w:val="19"/>
                <w:color w:val="auto"/>
              </w:rPr>
            </w:pPr>
          </w:p>
        </w:tc>
      </w:tr>
      <w:tr>
        <w:trPr>
          <w:trHeight w:val="216"/>
        </w:trPr>
        <w:tc>
          <w:tcPr>
            <w:tcW w:w="4380" w:type="dxa"/>
            <w:vAlign w:val="bottom"/>
            <w:shd w:val="clear" w:color="auto" w:fill="CCEEFF"/>
          </w:tcPr>
          <w:p>
            <w:pPr>
              <w:spacing w:after="0"/>
              <w:rPr>
                <w:sz w:val="20"/>
                <w:szCs w:val="20"/>
                <w:color w:val="auto"/>
              </w:rPr>
            </w:pPr>
            <w:r>
              <w:rPr>
                <w:rFonts w:ascii="Arial" w:cs="Arial" w:eastAsia="Arial" w:hAnsi="Arial"/>
                <w:sz w:val="18"/>
                <w:szCs w:val="18"/>
                <w:color w:val="auto"/>
              </w:rPr>
              <w:t>Net cash provided by operating activities</w:t>
            </w:r>
          </w:p>
        </w:tc>
        <w:tc>
          <w:tcPr>
            <w:tcW w:w="1180" w:type="dxa"/>
            <w:vAlign w:val="bottom"/>
            <w:shd w:val="clear" w:color="auto" w:fill="CCEEFF"/>
          </w:tcPr>
          <w:p>
            <w:pPr>
              <w:ind w:left="720"/>
              <w:spacing w:after="0"/>
              <w:rPr>
                <w:sz w:val="20"/>
                <w:szCs w:val="20"/>
                <w:color w:val="auto"/>
              </w:rPr>
            </w:pPr>
            <w:r>
              <w:rPr>
                <w:rFonts w:ascii="Arial" w:cs="Arial" w:eastAsia="Arial" w:hAnsi="Arial"/>
                <w:sz w:val="18"/>
                <w:szCs w:val="18"/>
                <w:b w:val="1"/>
                <w:bCs w:val="1"/>
                <w:color w:val="auto"/>
              </w:rPr>
              <w:t>$</w:t>
            </w:r>
          </w:p>
        </w:tc>
        <w:tc>
          <w:tcPr>
            <w:tcW w:w="860" w:type="dxa"/>
            <w:vAlign w:val="bottom"/>
            <w:shd w:val="clear" w:color="auto" w:fill="CCEEFF"/>
          </w:tcPr>
          <w:p>
            <w:pPr>
              <w:jc w:val="right"/>
              <w:ind w:right="290"/>
              <w:spacing w:after="0"/>
              <w:rPr>
                <w:sz w:val="20"/>
                <w:szCs w:val="20"/>
                <w:color w:val="auto"/>
              </w:rPr>
            </w:pPr>
            <w:r>
              <w:rPr>
                <w:rFonts w:ascii="Arial" w:cs="Arial" w:eastAsia="Arial" w:hAnsi="Arial"/>
                <w:sz w:val="18"/>
                <w:szCs w:val="18"/>
                <w:b w:val="1"/>
                <w:bCs w:val="1"/>
                <w:color w:val="auto"/>
              </w:rPr>
              <w:t>45.4</w:t>
            </w:r>
          </w:p>
        </w:tc>
        <w:tc>
          <w:tcPr>
            <w:tcW w:w="820" w:type="dxa"/>
            <w:vAlign w:val="bottom"/>
            <w:shd w:val="clear" w:color="auto" w:fill="CCEEFF"/>
          </w:tcPr>
          <w:p>
            <w:pPr>
              <w:jc w:val="right"/>
              <w:ind w:right="310"/>
              <w:spacing w:after="0"/>
              <w:rPr>
                <w:sz w:val="20"/>
                <w:szCs w:val="20"/>
                <w:color w:val="auto"/>
              </w:rPr>
            </w:pPr>
            <w:r>
              <w:rPr>
                <w:rFonts w:ascii="Arial" w:cs="Arial" w:eastAsia="Arial" w:hAnsi="Arial"/>
                <w:sz w:val="18"/>
                <w:szCs w:val="18"/>
                <w:color w:val="auto"/>
              </w:rPr>
              <w:t>$</w:t>
            </w:r>
          </w:p>
        </w:tc>
        <w:tc>
          <w:tcPr>
            <w:tcW w:w="740" w:type="dxa"/>
            <w:vAlign w:val="bottom"/>
            <w:shd w:val="clear" w:color="auto" w:fill="CCEEFF"/>
          </w:tcPr>
          <w:p>
            <w:pPr>
              <w:jc w:val="right"/>
              <w:ind w:right="170"/>
              <w:spacing w:after="0"/>
              <w:rPr>
                <w:sz w:val="20"/>
                <w:szCs w:val="20"/>
                <w:color w:val="auto"/>
              </w:rPr>
            </w:pPr>
            <w:r>
              <w:rPr>
                <w:rFonts w:ascii="Arial" w:cs="Arial" w:eastAsia="Arial" w:hAnsi="Arial"/>
                <w:sz w:val="18"/>
                <w:szCs w:val="18"/>
                <w:color w:val="auto"/>
              </w:rPr>
              <w:t>42.7</w:t>
            </w:r>
          </w:p>
        </w:tc>
        <w:tc>
          <w:tcPr>
            <w:tcW w:w="380" w:type="dxa"/>
            <w:vAlign w:val="bottom"/>
            <w:shd w:val="clear" w:color="auto" w:fill="CCEEFF"/>
          </w:tcPr>
          <w:p>
            <w:pPr>
              <w:ind w:left="220"/>
              <w:spacing w:after="0"/>
              <w:rPr>
                <w:sz w:val="20"/>
                <w:szCs w:val="20"/>
                <w:color w:val="auto"/>
              </w:rPr>
            </w:pPr>
            <w:r>
              <w:rPr>
                <w:rFonts w:ascii="Arial" w:cs="Arial" w:eastAsia="Arial" w:hAnsi="Arial"/>
                <w:sz w:val="18"/>
                <w:szCs w:val="18"/>
                <w:b w:val="1"/>
                <w:bCs w:val="1"/>
                <w:color w:val="auto"/>
              </w:rPr>
              <w:t>$</w:t>
            </w:r>
          </w:p>
        </w:tc>
        <w:tc>
          <w:tcPr>
            <w:tcW w:w="820" w:type="dxa"/>
            <w:vAlign w:val="bottom"/>
            <w:shd w:val="clear" w:color="auto" w:fill="CCEEFF"/>
          </w:tcPr>
          <w:p>
            <w:pPr>
              <w:jc w:val="right"/>
              <w:ind w:right="170"/>
              <w:spacing w:after="0"/>
              <w:rPr>
                <w:sz w:val="20"/>
                <w:szCs w:val="20"/>
                <w:color w:val="auto"/>
              </w:rPr>
            </w:pPr>
            <w:r>
              <w:rPr>
                <w:rFonts w:ascii="Arial" w:cs="Arial" w:eastAsia="Arial" w:hAnsi="Arial"/>
                <w:sz w:val="18"/>
                <w:szCs w:val="18"/>
                <w:b w:val="1"/>
                <w:bCs w:val="1"/>
                <w:color w:val="auto"/>
              </w:rPr>
              <w:t>175.6</w:t>
            </w:r>
          </w:p>
        </w:tc>
        <w:tc>
          <w:tcPr>
            <w:tcW w:w="400" w:type="dxa"/>
            <w:vAlign w:val="bottom"/>
            <w:shd w:val="clear" w:color="auto" w:fill="CCEEFF"/>
          </w:tcPr>
          <w:p>
            <w:pPr>
              <w:ind w:left="220"/>
              <w:spacing w:after="0"/>
              <w:rPr>
                <w:sz w:val="20"/>
                <w:szCs w:val="20"/>
                <w:color w:val="auto"/>
              </w:rPr>
            </w:pPr>
            <w:r>
              <w:rPr>
                <w:rFonts w:ascii="Arial" w:cs="Arial" w:eastAsia="Arial" w:hAnsi="Arial"/>
                <w:sz w:val="18"/>
                <w:szCs w:val="18"/>
                <w:color w:val="auto"/>
              </w:rPr>
              <w:t>$</w:t>
            </w:r>
          </w:p>
        </w:tc>
        <w:tc>
          <w:tcPr>
            <w:tcW w:w="800" w:type="dxa"/>
            <w:vAlign w:val="bottom"/>
            <w:shd w:val="clear" w:color="auto" w:fill="CCEEFF"/>
          </w:tcPr>
          <w:p>
            <w:pPr>
              <w:jc w:val="right"/>
              <w:ind w:right="170"/>
              <w:spacing w:after="0"/>
              <w:rPr>
                <w:sz w:val="20"/>
                <w:szCs w:val="20"/>
                <w:color w:val="auto"/>
              </w:rPr>
            </w:pPr>
            <w:r>
              <w:rPr>
                <w:rFonts w:ascii="Arial" w:cs="Arial" w:eastAsia="Arial" w:hAnsi="Arial"/>
                <w:sz w:val="18"/>
                <w:szCs w:val="18"/>
                <w:color w:val="auto"/>
              </w:rPr>
              <w:t>296.6</w:t>
            </w:r>
          </w:p>
        </w:tc>
        <w:tc>
          <w:tcPr>
            <w:tcW w:w="460" w:type="dxa"/>
            <w:vAlign w:val="bottom"/>
            <w:shd w:val="clear" w:color="auto" w:fill="CCEEFF"/>
          </w:tcPr>
          <w:p>
            <w:pPr>
              <w:ind w:left="220"/>
              <w:spacing w:after="0"/>
              <w:rPr>
                <w:sz w:val="20"/>
                <w:szCs w:val="20"/>
                <w:color w:val="auto"/>
              </w:rPr>
            </w:pPr>
            <w:r>
              <w:rPr>
                <w:rFonts w:ascii="Arial" w:cs="Arial" w:eastAsia="Arial" w:hAnsi="Arial"/>
                <w:sz w:val="18"/>
                <w:szCs w:val="18"/>
                <w:color w:val="auto"/>
              </w:rPr>
              <w:t>$</w:t>
            </w: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135.6</w:t>
            </w:r>
          </w:p>
        </w:tc>
        <w:tc>
          <w:tcPr>
            <w:tcW w:w="100" w:type="dxa"/>
            <w:vAlign w:val="bottom"/>
            <w:shd w:val="clear" w:color="auto" w:fill="CCEEFF"/>
          </w:tcPr>
          <w:p>
            <w:pPr>
              <w:spacing w:after="0"/>
              <w:rPr>
                <w:sz w:val="18"/>
                <w:szCs w:val="18"/>
                <w:color w:val="auto"/>
              </w:rPr>
            </w:pPr>
          </w:p>
        </w:tc>
      </w:tr>
      <w:tr>
        <w:trPr>
          <w:trHeight w:val="216"/>
        </w:trPr>
        <w:tc>
          <w:tcPr>
            <w:tcW w:w="4380" w:type="dxa"/>
            <w:vAlign w:val="bottom"/>
          </w:tcPr>
          <w:p>
            <w:pPr>
              <w:spacing w:after="0"/>
              <w:rPr>
                <w:sz w:val="20"/>
                <w:szCs w:val="20"/>
                <w:color w:val="auto"/>
              </w:rPr>
            </w:pPr>
            <w:r>
              <w:rPr>
                <w:rFonts w:ascii="Arial" w:cs="Arial" w:eastAsia="Arial" w:hAnsi="Arial"/>
                <w:sz w:val="18"/>
                <w:szCs w:val="18"/>
                <w:color w:val="auto"/>
              </w:rPr>
              <w:t>Net cash (used) by investing activities</w:t>
            </w:r>
          </w:p>
        </w:tc>
        <w:tc>
          <w:tcPr>
            <w:tcW w:w="1180" w:type="dxa"/>
            <w:vAlign w:val="bottom"/>
          </w:tcPr>
          <w:p>
            <w:pPr>
              <w:spacing w:after="0"/>
              <w:rPr>
                <w:sz w:val="18"/>
                <w:szCs w:val="18"/>
                <w:color w:val="auto"/>
              </w:rPr>
            </w:pPr>
          </w:p>
        </w:tc>
        <w:tc>
          <w:tcPr>
            <w:tcW w:w="860" w:type="dxa"/>
            <w:vAlign w:val="bottom"/>
          </w:tcPr>
          <w:p>
            <w:pPr>
              <w:jc w:val="right"/>
              <w:ind w:right="230"/>
              <w:spacing w:after="0"/>
              <w:rPr>
                <w:sz w:val="20"/>
                <w:szCs w:val="20"/>
                <w:color w:val="auto"/>
              </w:rPr>
            </w:pPr>
            <w:r>
              <w:rPr>
                <w:rFonts w:ascii="Arial" w:cs="Arial" w:eastAsia="Arial" w:hAnsi="Arial"/>
                <w:sz w:val="18"/>
                <w:szCs w:val="18"/>
                <w:b w:val="1"/>
                <w:bCs w:val="1"/>
                <w:color w:val="auto"/>
              </w:rPr>
              <w:t>(33.0)</w:t>
            </w:r>
          </w:p>
        </w:tc>
        <w:tc>
          <w:tcPr>
            <w:tcW w:w="820" w:type="dxa"/>
            <w:vAlign w:val="bottom"/>
          </w:tcPr>
          <w:p>
            <w:pPr>
              <w:spacing w:after="0"/>
              <w:rPr>
                <w:sz w:val="18"/>
                <w:szCs w:val="18"/>
                <w:color w:val="auto"/>
              </w:rPr>
            </w:pPr>
          </w:p>
        </w:tc>
        <w:tc>
          <w:tcPr>
            <w:tcW w:w="740" w:type="dxa"/>
            <w:vAlign w:val="bottom"/>
          </w:tcPr>
          <w:p>
            <w:pPr>
              <w:jc w:val="right"/>
              <w:ind w:right="110"/>
              <w:spacing w:after="0"/>
              <w:rPr>
                <w:sz w:val="20"/>
                <w:szCs w:val="20"/>
                <w:color w:val="auto"/>
              </w:rPr>
            </w:pPr>
            <w:r>
              <w:rPr>
                <w:rFonts w:ascii="Arial" w:cs="Arial" w:eastAsia="Arial" w:hAnsi="Arial"/>
                <w:sz w:val="18"/>
                <w:szCs w:val="18"/>
                <w:color w:val="auto"/>
              </w:rPr>
              <w:t>(40.9)</w:t>
            </w:r>
          </w:p>
        </w:tc>
        <w:tc>
          <w:tcPr>
            <w:tcW w:w="380" w:type="dxa"/>
            <w:vAlign w:val="bottom"/>
          </w:tcPr>
          <w:p>
            <w:pPr>
              <w:spacing w:after="0"/>
              <w:rPr>
                <w:sz w:val="18"/>
                <w:szCs w:val="18"/>
                <w:color w:val="auto"/>
              </w:rPr>
            </w:pPr>
          </w:p>
        </w:tc>
        <w:tc>
          <w:tcPr>
            <w:tcW w:w="820" w:type="dxa"/>
            <w:vAlign w:val="bottom"/>
          </w:tcPr>
          <w:p>
            <w:pPr>
              <w:jc w:val="right"/>
              <w:ind w:right="110"/>
              <w:spacing w:after="0"/>
              <w:rPr>
                <w:sz w:val="20"/>
                <w:szCs w:val="20"/>
                <w:color w:val="auto"/>
              </w:rPr>
            </w:pPr>
            <w:r>
              <w:rPr>
                <w:rFonts w:ascii="Arial" w:cs="Arial" w:eastAsia="Arial" w:hAnsi="Arial"/>
                <w:sz w:val="18"/>
                <w:szCs w:val="18"/>
                <w:b w:val="1"/>
                <w:bCs w:val="1"/>
                <w:color w:val="auto"/>
              </w:rPr>
              <w:t>(183.6)</w:t>
            </w:r>
          </w:p>
        </w:tc>
        <w:tc>
          <w:tcPr>
            <w:tcW w:w="400" w:type="dxa"/>
            <w:vAlign w:val="bottom"/>
          </w:tcPr>
          <w:p>
            <w:pPr>
              <w:spacing w:after="0"/>
              <w:rPr>
                <w:sz w:val="18"/>
                <w:szCs w:val="18"/>
                <w:color w:val="auto"/>
              </w:rPr>
            </w:pPr>
          </w:p>
        </w:tc>
        <w:tc>
          <w:tcPr>
            <w:tcW w:w="800" w:type="dxa"/>
            <w:vAlign w:val="bottom"/>
          </w:tcPr>
          <w:p>
            <w:pPr>
              <w:jc w:val="right"/>
              <w:ind w:right="110"/>
              <w:spacing w:after="0"/>
              <w:rPr>
                <w:sz w:val="20"/>
                <w:szCs w:val="20"/>
                <w:color w:val="auto"/>
              </w:rPr>
            </w:pPr>
            <w:r>
              <w:rPr>
                <w:rFonts w:ascii="Arial" w:cs="Arial" w:eastAsia="Arial" w:hAnsi="Arial"/>
                <w:sz w:val="18"/>
                <w:szCs w:val="18"/>
                <w:color w:val="auto"/>
              </w:rPr>
              <w:t>(167.0)</w:t>
            </w:r>
          </w:p>
        </w:tc>
        <w:tc>
          <w:tcPr>
            <w:tcW w:w="460" w:type="dxa"/>
            <w:vAlign w:val="bottom"/>
          </w:tcPr>
          <w:p>
            <w:pPr>
              <w:spacing w:after="0"/>
              <w:rPr>
                <w:sz w:val="18"/>
                <w:szCs w:val="18"/>
                <w:color w:val="auto"/>
              </w:rPr>
            </w:pPr>
          </w:p>
        </w:tc>
        <w:tc>
          <w:tcPr>
            <w:tcW w:w="580" w:type="dxa"/>
            <w:vAlign w:val="bottom"/>
            <w:gridSpan w:val="2"/>
          </w:tcPr>
          <w:p>
            <w:pPr>
              <w:jc w:val="right"/>
              <w:ind w:right="40"/>
              <w:spacing w:after="0"/>
              <w:rPr>
                <w:sz w:val="20"/>
                <w:szCs w:val="20"/>
                <w:color w:val="auto"/>
              </w:rPr>
            </w:pPr>
            <w:r>
              <w:rPr>
                <w:rFonts w:ascii="Arial" w:cs="Arial" w:eastAsia="Arial" w:hAnsi="Arial"/>
                <w:sz w:val="18"/>
                <w:szCs w:val="18"/>
                <w:color w:val="auto"/>
              </w:rPr>
              <w:t>(90.4)</w:t>
            </w:r>
          </w:p>
        </w:tc>
      </w:tr>
      <w:tr>
        <w:trPr>
          <w:trHeight w:val="216"/>
        </w:trPr>
        <w:tc>
          <w:tcPr>
            <w:tcW w:w="4380" w:type="dxa"/>
            <w:vAlign w:val="bottom"/>
            <w:shd w:val="clear" w:color="auto" w:fill="CCEEFF"/>
          </w:tcPr>
          <w:p>
            <w:pPr>
              <w:spacing w:after="0"/>
              <w:rPr>
                <w:sz w:val="20"/>
                <w:szCs w:val="20"/>
                <w:color w:val="auto"/>
              </w:rPr>
            </w:pPr>
            <w:r>
              <w:rPr>
                <w:rFonts w:ascii="Arial" w:cs="Arial" w:eastAsia="Arial" w:hAnsi="Arial"/>
                <w:sz w:val="18"/>
                <w:szCs w:val="18"/>
                <w:color w:val="auto"/>
              </w:rPr>
              <w:t>Net cash provided (used) by financing activities</w:t>
            </w:r>
          </w:p>
        </w:tc>
        <w:tc>
          <w:tcPr>
            <w:tcW w:w="1180" w:type="dxa"/>
            <w:vAlign w:val="bottom"/>
            <w:shd w:val="clear" w:color="auto" w:fill="CCEEFF"/>
          </w:tcPr>
          <w:p>
            <w:pPr>
              <w:spacing w:after="0"/>
              <w:rPr>
                <w:sz w:val="18"/>
                <w:szCs w:val="18"/>
                <w:color w:val="auto"/>
              </w:rPr>
            </w:pPr>
          </w:p>
        </w:tc>
        <w:tc>
          <w:tcPr>
            <w:tcW w:w="860" w:type="dxa"/>
            <w:vAlign w:val="bottom"/>
            <w:shd w:val="clear" w:color="auto" w:fill="CCEEFF"/>
          </w:tcPr>
          <w:p>
            <w:pPr>
              <w:jc w:val="right"/>
              <w:ind w:right="230"/>
              <w:spacing w:after="0"/>
              <w:rPr>
                <w:sz w:val="20"/>
                <w:szCs w:val="20"/>
                <w:color w:val="auto"/>
              </w:rPr>
            </w:pPr>
            <w:r>
              <w:rPr>
                <w:rFonts w:ascii="Arial" w:cs="Arial" w:eastAsia="Arial" w:hAnsi="Arial"/>
                <w:sz w:val="18"/>
                <w:szCs w:val="18"/>
                <w:b w:val="1"/>
                <w:bCs w:val="1"/>
                <w:color w:val="auto"/>
              </w:rPr>
              <w:t>(12.4)</w:t>
            </w:r>
          </w:p>
        </w:tc>
        <w:tc>
          <w:tcPr>
            <w:tcW w:w="820" w:type="dxa"/>
            <w:vAlign w:val="bottom"/>
            <w:shd w:val="clear" w:color="auto" w:fill="CCEEFF"/>
          </w:tcPr>
          <w:p>
            <w:pPr>
              <w:spacing w:after="0"/>
              <w:rPr>
                <w:sz w:val="18"/>
                <w:szCs w:val="18"/>
                <w:color w:val="auto"/>
              </w:rPr>
            </w:pPr>
          </w:p>
        </w:tc>
        <w:tc>
          <w:tcPr>
            <w:tcW w:w="740" w:type="dxa"/>
            <w:vAlign w:val="bottom"/>
            <w:shd w:val="clear" w:color="auto" w:fill="CCEEFF"/>
          </w:tcPr>
          <w:p>
            <w:pPr>
              <w:jc w:val="right"/>
              <w:ind w:right="110"/>
              <w:spacing w:after="0"/>
              <w:rPr>
                <w:sz w:val="20"/>
                <w:szCs w:val="20"/>
                <w:color w:val="auto"/>
              </w:rPr>
            </w:pPr>
            <w:r>
              <w:rPr>
                <w:rFonts w:ascii="Arial" w:cs="Arial" w:eastAsia="Arial" w:hAnsi="Arial"/>
                <w:sz w:val="18"/>
                <w:szCs w:val="18"/>
                <w:color w:val="auto"/>
              </w:rPr>
              <w:t>(1.8)</w:t>
            </w:r>
          </w:p>
        </w:tc>
        <w:tc>
          <w:tcPr>
            <w:tcW w:w="380" w:type="dxa"/>
            <w:vAlign w:val="bottom"/>
            <w:shd w:val="clear" w:color="auto" w:fill="CCEEFF"/>
          </w:tcPr>
          <w:p>
            <w:pPr>
              <w:spacing w:after="0"/>
              <w:rPr>
                <w:sz w:val="18"/>
                <w:szCs w:val="18"/>
                <w:color w:val="auto"/>
              </w:rPr>
            </w:pPr>
          </w:p>
        </w:tc>
        <w:tc>
          <w:tcPr>
            <w:tcW w:w="820" w:type="dxa"/>
            <w:vAlign w:val="bottom"/>
            <w:shd w:val="clear" w:color="auto" w:fill="CCEEFF"/>
          </w:tcPr>
          <w:p>
            <w:pPr>
              <w:jc w:val="right"/>
              <w:ind w:right="170"/>
              <w:spacing w:after="0"/>
              <w:rPr>
                <w:sz w:val="20"/>
                <w:szCs w:val="20"/>
                <w:color w:val="auto"/>
              </w:rPr>
            </w:pPr>
            <w:r>
              <w:rPr>
                <w:rFonts w:ascii="Arial" w:cs="Arial" w:eastAsia="Arial" w:hAnsi="Arial"/>
                <w:sz w:val="18"/>
                <w:szCs w:val="18"/>
                <w:b w:val="1"/>
                <w:bCs w:val="1"/>
                <w:color w:val="auto"/>
              </w:rPr>
              <w:t>8.0</w:t>
            </w:r>
          </w:p>
        </w:tc>
        <w:tc>
          <w:tcPr>
            <w:tcW w:w="400" w:type="dxa"/>
            <w:vAlign w:val="bottom"/>
            <w:shd w:val="clear" w:color="auto" w:fill="CCEEFF"/>
          </w:tcPr>
          <w:p>
            <w:pPr>
              <w:spacing w:after="0"/>
              <w:rPr>
                <w:sz w:val="18"/>
                <w:szCs w:val="18"/>
                <w:color w:val="auto"/>
              </w:rPr>
            </w:pPr>
          </w:p>
        </w:tc>
        <w:tc>
          <w:tcPr>
            <w:tcW w:w="800" w:type="dxa"/>
            <w:vAlign w:val="bottom"/>
            <w:shd w:val="clear" w:color="auto" w:fill="CCEEFF"/>
          </w:tcPr>
          <w:p>
            <w:pPr>
              <w:jc w:val="right"/>
              <w:ind w:right="110"/>
              <w:spacing w:after="0"/>
              <w:rPr>
                <w:sz w:val="20"/>
                <w:szCs w:val="20"/>
                <w:color w:val="auto"/>
              </w:rPr>
            </w:pPr>
            <w:r>
              <w:rPr>
                <w:rFonts w:ascii="Arial" w:cs="Arial" w:eastAsia="Arial" w:hAnsi="Arial"/>
                <w:sz w:val="18"/>
                <w:szCs w:val="18"/>
                <w:color w:val="auto"/>
              </w:rPr>
              <w:t>(129.6)</w:t>
            </w:r>
          </w:p>
        </w:tc>
        <w:tc>
          <w:tcPr>
            <w:tcW w:w="460" w:type="dxa"/>
            <w:vAlign w:val="bottom"/>
            <w:shd w:val="clear" w:color="auto" w:fill="CCEEFF"/>
          </w:tcPr>
          <w:p>
            <w:pPr>
              <w:spacing w:after="0"/>
              <w:rPr>
                <w:sz w:val="18"/>
                <w:szCs w:val="18"/>
                <w:color w:val="auto"/>
              </w:rPr>
            </w:pPr>
          </w:p>
        </w:tc>
        <w:tc>
          <w:tcPr>
            <w:tcW w:w="5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(45.2)</w:t>
            </w:r>
          </w:p>
        </w:tc>
      </w:tr>
      <w:tr>
        <w:trPr>
          <w:trHeight w:val="223"/>
        </w:trPr>
        <w:tc>
          <w:tcPr>
            <w:tcW w:w="4380" w:type="dxa"/>
            <w:vAlign w:val="bottom"/>
            <w:tcBorders>
              <w:bottom w:val="single" w:sz="8" w:color="auto"/>
            </w:tcBorders>
          </w:tcPr>
          <w:p>
            <w:pPr>
              <w:ind w:left="180"/>
              <w:spacing w:after="0"/>
              <w:rPr>
                <w:sz w:val="20"/>
                <w:szCs w:val="20"/>
                <w:color w:val="auto"/>
              </w:rPr>
            </w:pPr>
            <w:r>
              <w:rPr>
                <w:rFonts w:ascii="Arial" w:cs="Arial" w:eastAsia="Arial" w:hAnsi="Arial"/>
                <w:sz w:val="18"/>
                <w:szCs w:val="18"/>
                <w:color w:val="auto"/>
              </w:rPr>
              <w:t>Increase (decrease) in cash and cash equivalents</w:t>
            </w:r>
          </w:p>
        </w:tc>
        <w:tc>
          <w:tcPr>
            <w:tcW w:w="1180" w:type="dxa"/>
            <w:vAlign w:val="bottom"/>
            <w:tcBorders>
              <w:bottom w:val="single" w:sz="8" w:color="auto"/>
            </w:tcBorders>
          </w:tcPr>
          <w:p>
            <w:pPr>
              <w:ind w:left="720"/>
              <w:spacing w:after="0"/>
              <w:rPr>
                <w:sz w:val="20"/>
                <w:szCs w:val="20"/>
                <w:color w:val="auto"/>
              </w:rPr>
            </w:pPr>
            <w:r>
              <w:rPr>
                <w:rFonts w:ascii="Arial" w:cs="Arial" w:eastAsia="Arial" w:hAnsi="Arial"/>
                <w:sz w:val="18"/>
                <w:szCs w:val="18"/>
                <w:b w:val="1"/>
                <w:bCs w:val="1"/>
                <w:color w:val="auto"/>
              </w:rPr>
              <w:t>$</w:t>
            </w:r>
          </w:p>
        </w:tc>
        <w:tc>
          <w:tcPr>
            <w:tcW w:w="860" w:type="dxa"/>
            <w:vAlign w:val="bottom"/>
            <w:tcBorders>
              <w:bottom w:val="single" w:sz="8" w:color="auto"/>
            </w:tcBorders>
          </w:tcPr>
          <w:p>
            <w:pPr>
              <w:jc w:val="right"/>
              <w:ind w:right="290"/>
              <w:spacing w:after="0"/>
              <w:rPr>
                <w:sz w:val="20"/>
                <w:szCs w:val="20"/>
                <w:color w:val="auto"/>
              </w:rPr>
            </w:pPr>
            <w:r>
              <w:rPr>
                <w:rFonts w:ascii="Arial" w:cs="Arial" w:eastAsia="Arial" w:hAnsi="Arial"/>
                <w:sz w:val="18"/>
                <w:szCs w:val="18"/>
                <w:b w:val="1"/>
                <w:bCs w:val="1"/>
                <w:color w:val="auto"/>
              </w:rPr>
              <w:t>—</w:t>
            </w:r>
          </w:p>
        </w:tc>
        <w:tc>
          <w:tcPr>
            <w:tcW w:w="820" w:type="dxa"/>
            <w:vAlign w:val="bottom"/>
            <w:tcBorders>
              <w:bottom w:val="single" w:sz="8" w:color="auto"/>
            </w:tcBorders>
          </w:tcPr>
          <w:p>
            <w:pPr>
              <w:jc w:val="right"/>
              <w:ind w:right="310"/>
              <w:spacing w:after="0"/>
              <w:rPr>
                <w:sz w:val="20"/>
                <w:szCs w:val="20"/>
                <w:color w:val="auto"/>
              </w:rPr>
            </w:pPr>
            <w:r>
              <w:rPr>
                <w:rFonts w:ascii="Arial" w:cs="Arial" w:eastAsia="Arial" w:hAnsi="Arial"/>
                <w:sz w:val="18"/>
                <w:szCs w:val="18"/>
                <w:color w:val="auto"/>
              </w:rPr>
              <w:t>$</w:t>
            </w:r>
          </w:p>
        </w:tc>
        <w:tc>
          <w:tcPr>
            <w:tcW w:w="740" w:type="dxa"/>
            <w:vAlign w:val="bottom"/>
            <w:tcBorders>
              <w:bottom w:val="single" w:sz="8" w:color="auto"/>
            </w:tcBorders>
          </w:tcPr>
          <w:p>
            <w:pPr>
              <w:jc w:val="right"/>
              <w:ind w:right="170"/>
              <w:spacing w:after="0"/>
              <w:rPr>
                <w:sz w:val="20"/>
                <w:szCs w:val="20"/>
                <w:color w:val="auto"/>
              </w:rPr>
            </w:pPr>
            <w:r>
              <w:rPr>
                <w:rFonts w:ascii="Arial" w:cs="Arial" w:eastAsia="Arial" w:hAnsi="Arial"/>
                <w:sz w:val="18"/>
                <w:szCs w:val="18"/>
                <w:color w:val="auto"/>
              </w:rPr>
              <w:t>—</w:t>
            </w:r>
          </w:p>
        </w:tc>
        <w:tc>
          <w:tcPr>
            <w:tcW w:w="380" w:type="dxa"/>
            <w:vAlign w:val="bottom"/>
            <w:tcBorders>
              <w:bottom w:val="single" w:sz="8" w:color="auto"/>
            </w:tcBorders>
          </w:tcPr>
          <w:p>
            <w:pPr>
              <w:ind w:left="220"/>
              <w:spacing w:after="0"/>
              <w:rPr>
                <w:sz w:val="20"/>
                <w:szCs w:val="20"/>
                <w:color w:val="auto"/>
              </w:rPr>
            </w:pPr>
            <w:r>
              <w:rPr>
                <w:rFonts w:ascii="Arial" w:cs="Arial" w:eastAsia="Arial" w:hAnsi="Arial"/>
                <w:sz w:val="18"/>
                <w:szCs w:val="18"/>
                <w:b w:val="1"/>
                <w:bCs w:val="1"/>
                <w:color w:val="auto"/>
              </w:rPr>
              <w:t>$</w:t>
            </w:r>
          </w:p>
        </w:tc>
        <w:tc>
          <w:tcPr>
            <w:tcW w:w="820" w:type="dxa"/>
            <w:vAlign w:val="bottom"/>
            <w:tcBorders>
              <w:bottom w:val="single" w:sz="8" w:color="auto"/>
            </w:tcBorders>
          </w:tcPr>
          <w:p>
            <w:pPr>
              <w:jc w:val="right"/>
              <w:ind w:right="170"/>
              <w:spacing w:after="0"/>
              <w:rPr>
                <w:sz w:val="20"/>
                <w:szCs w:val="20"/>
                <w:color w:val="auto"/>
              </w:rPr>
            </w:pPr>
            <w:r>
              <w:rPr>
                <w:rFonts w:ascii="Arial" w:cs="Arial" w:eastAsia="Arial" w:hAnsi="Arial"/>
                <w:sz w:val="18"/>
                <w:szCs w:val="18"/>
                <w:b w:val="1"/>
                <w:bCs w:val="1"/>
                <w:color w:val="auto"/>
              </w:rPr>
              <w:t>—</w:t>
            </w:r>
          </w:p>
        </w:tc>
        <w:tc>
          <w:tcPr>
            <w:tcW w:w="400" w:type="dxa"/>
            <w:vAlign w:val="bottom"/>
            <w:tcBorders>
              <w:bottom w:val="single" w:sz="8" w:color="auto"/>
            </w:tcBorders>
          </w:tcPr>
          <w:p>
            <w:pPr>
              <w:ind w:left="220"/>
              <w:spacing w:after="0"/>
              <w:rPr>
                <w:sz w:val="20"/>
                <w:szCs w:val="20"/>
                <w:color w:val="auto"/>
              </w:rPr>
            </w:pPr>
            <w:r>
              <w:rPr>
                <w:rFonts w:ascii="Arial" w:cs="Arial" w:eastAsia="Arial" w:hAnsi="Arial"/>
                <w:sz w:val="18"/>
                <w:szCs w:val="18"/>
                <w:color w:val="auto"/>
              </w:rPr>
              <w:t>$</w:t>
            </w:r>
          </w:p>
        </w:tc>
        <w:tc>
          <w:tcPr>
            <w:tcW w:w="800" w:type="dxa"/>
            <w:vAlign w:val="bottom"/>
            <w:tcBorders>
              <w:bottom w:val="single" w:sz="8" w:color="auto"/>
            </w:tcBorders>
          </w:tcPr>
          <w:p>
            <w:pPr>
              <w:jc w:val="right"/>
              <w:ind w:right="170"/>
              <w:spacing w:after="0"/>
              <w:rPr>
                <w:sz w:val="20"/>
                <w:szCs w:val="20"/>
                <w:color w:val="auto"/>
              </w:rPr>
            </w:pPr>
            <w:r>
              <w:rPr>
                <w:rFonts w:ascii="Arial" w:cs="Arial" w:eastAsia="Arial" w:hAnsi="Arial"/>
                <w:sz w:val="18"/>
                <w:szCs w:val="18"/>
                <w:color w:val="auto"/>
              </w:rPr>
              <w:t>—</w:t>
            </w:r>
          </w:p>
        </w:tc>
        <w:tc>
          <w:tcPr>
            <w:tcW w:w="460" w:type="dxa"/>
            <w:vAlign w:val="bottom"/>
            <w:tcBorders>
              <w:bottom w:val="single" w:sz="8" w:color="auto"/>
            </w:tcBorders>
          </w:tcPr>
          <w:p>
            <w:pPr>
              <w:ind w:left="220"/>
              <w:spacing w:after="0"/>
              <w:rPr>
                <w:sz w:val="20"/>
                <w:szCs w:val="20"/>
                <w:color w:val="auto"/>
              </w:rPr>
            </w:pPr>
            <w:r>
              <w:rPr>
                <w:rFonts w:ascii="Arial" w:cs="Arial" w:eastAsia="Arial" w:hAnsi="Arial"/>
                <w:sz w:val="18"/>
                <w:szCs w:val="18"/>
                <w:color w:val="auto"/>
              </w:rPr>
              <w:t>$</w:t>
            </w:r>
          </w:p>
        </w:tc>
        <w:tc>
          <w:tcPr>
            <w:tcW w:w="4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r>
    </w:tbl>
    <w:p>
      <w:pPr>
        <w:spacing w:after="0" w:line="256"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Operating activities</w:t>
      </w:r>
    </w:p>
    <w:p>
      <w:pPr>
        <w:spacing w:after="0" w:line="252" w:lineRule="exact"/>
        <w:rPr>
          <w:sz w:val="20"/>
          <w:szCs w:val="20"/>
          <w:color w:val="auto"/>
        </w:rPr>
      </w:pPr>
    </w:p>
    <w:p>
      <w:pPr>
        <w:ind w:right="20" w:firstLine="913"/>
        <w:spacing w:after="0" w:line="264" w:lineRule="auto"/>
        <w:rPr>
          <w:sz w:val="20"/>
          <w:szCs w:val="20"/>
          <w:color w:val="auto"/>
        </w:rPr>
      </w:pPr>
      <w:r>
        <w:rPr>
          <w:rFonts w:ascii="Arial" w:cs="Arial" w:eastAsia="Arial" w:hAnsi="Arial"/>
          <w:sz w:val="18"/>
          <w:szCs w:val="18"/>
          <w:color w:val="auto"/>
        </w:rPr>
        <w:t>Net cash provided by operating activities for the three months ended March 31, 2014 and 2013 was $45.4 million and $42.7 million, respectively. The $2.7 million increase was primarily the result of increased net income and increased cash provided by accounts payable and accrued liabilities partially offset by an increased use of cash related to our inventory balances.</w:t>
      </w:r>
    </w:p>
    <w:p>
      <w:pPr>
        <w:spacing w:after="0" w:line="222" w:lineRule="exact"/>
        <w:rPr>
          <w:sz w:val="20"/>
          <w:szCs w:val="20"/>
          <w:color w:val="auto"/>
        </w:rPr>
      </w:pPr>
    </w:p>
    <w:p>
      <w:pPr>
        <w:ind w:right="140" w:firstLine="913"/>
        <w:spacing w:after="0" w:line="293" w:lineRule="auto"/>
        <w:rPr>
          <w:sz w:val="20"/>
          <w:szCs w:val="20"/>
          <w:color w:val="auto"/>
        </w:rPr>
      </w:pPr>
      <w:r>
        <w:rPr>
          <w:rFonts w:ascii="Arial" w:cs="Arial" w:eastAsia="Arial" w:hAnsi="Arial"/>
          <w:sz w:val="16"/>
          <w:szCs w:val="16"/>
          <w:color w:val="auto"/>
        </w:rPr>
        <w:t>Net cash provided by operating activities was $175.6 million for 2013 compared with $296.6 million for 2012 and $135.6 million for 2011. The decrease in cash provided by operations of $121.0 million for 2013 as compared to 2012 was primarily the result of lower net income and lower cash provided by our accounts receivable and inventory positions. These decreases were partially offset by a change in our deferred income taxes, as well as increased cash provided by improvements in our accounts payable and accrued liabilities. The $161.0 million increase in cash provided from operations in 2012 as compared to 2011 was primarily the result of increased cash provided by improvements in our accounts receivable and inventory positions, partially offset by an increased use of cash related to changes in our accounts payable and accrued expense balances as well as a decrease in net income.</w:t>
      </w:r>
    </w:p>
    <w:p>
      <w:pPr>
        <w:spacing w:after="0" w:line="20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Investing activities</w:t>
      </w:r>
    </w:p>
    <w:p>
      <w:pPr>
        <w:spacing w:after="0" w:line="252" w:lineRule="exact"/>
        <w:rPr>
          <w:sz w:val="20"/>
          <w:szCs w:val="20"/>
          <w:color w:val="auto"/>
        </w:rPr>
      </w:pPr>
    </w:p>
    <w:p>
      <w:pPr>
        <w:ind w:right="60" w:firstLine="913"/>
        <w:spacing w:after="0" w:line="270" w:lineRule="auto"/>
        <w:rPr>
          <w:sz w:val="20"/>
          <w:szCs w:val="20"/>
          <w:color w:val="auto"/>
        </w:rPr>
      </w:pPr>
      <w:r>
        <w:rPr>
          <w:rFonts w:ascii="Arial" w:cs="Arial" w:eastAsia="Arial" w:hAnsi="Arial"/>
          <w:sz w:val="17"/>
          <w:szCs w:val="17"/>
          <w:color w:val="auto"/>
        </w:rPr>
        <w:t>Net cash used in investing activities for the three months ended March 31, 2014 and 2013 was $33.0 million and $40.9 million, respectively. Cash used for investing activities reflects our increased capital expenditures as we have made strategic investments in our production processes. Our business sometimes requires capital investments to remain competitive and to ensure we can implement strategic initiatives. Our $228.2 million construction in progress balance as of March 31, 2014 includes: (a) an investment of approximately $159 million in the vertical continuous caster to improve productivity, increase capacity and expand our product range; (b) $15 million relating to growth initiatives (i.e., new product offerings, additional capacity and new capabilities); (c) $9 million relating to continuous improvement projects; and (d) $45 million relating primarily to routine capital costs to maintain the reliability, integrity and safety of our manufacturing equipment and facilities. We expect to incur approximately $64 million of additional costs, which includes approximately $40 million relating to the vertical continuous caster, which is expected to begin production in the third quarter of 2014; approximately $9 million relating to additional growth initiatives; approximately $2 million relating to continuous improvement; and approximately $13 million of additional costs to complete other remaining projects.</w:t>
      </w:r>
    </w:p>
    <w:p>
      <w:pPr>
        <w:sectPr>
          <w:pgSz w:w="11900" w:h="16838" w:orient="portrait"/>
          <w:cols w:equalWidth="0" w:num="1">
            <w:col w:w="11420"/>
          </w:cols>
          <w:pgMar w:left="240" w:top="459" w:right="239" w:bottom="160" w:gutter="0" w:footer="0" w:header="0"/>
        </w:sectPr>
      </w:pPr>
    </w:p>
    <w:bookmarkStart w:id="52" w:name="page53"/>
    <w:bookmarkEnd w:id="52"/>
    <w:p>
      <w:pPr>
        <w:ind w:firstLine="913"/>
        <w:spacing w:after="0" w:line="270" w:lineRule="auto"/>
        <w:rPr>
          <w:sz w:val="20"/>
          <w:szCs w:val="20"/>
          <w:color w:val="auto"/>
        </w:rPr>
      </w:pPr>
      <w:r>
        <w:rPr>
          <w:rFonts w:ascii="Arial" w:cs="Arial" w:eastAsia="Arial" w:hAnsi="Arial"/>
          <w:sz w:val="17"/>
          <w:szCs w:val="17"/>
          <w:color w:val="auto"/>
        </w:rPr>
        <w:t>Net cash used in investing activities was $183.6 million for 2013 compared with $167.0 million for 2012 and $90.4 million for 2011. The increase in cash used for investing activities reflects our increased capital expenditures as we have made strategic investments in our production processes. Our business sometimes requires capital investments to remain competitive and to ensure we can implement strategic initiatives. Our $220.0 million construction in progress balance as of December 31, 2013 includes: (a) an investment of approximately $143 million in the vertical continuous caster to improve productivity, increase capacity and expand our product range; (b) $26 million relating to growth initiatives (i.e., new product offerings, additional capacity and new capabilities); (c) $10 million relating to continuous improvement projects; and (d) $41 million relating primarily to routine capital costs to maintain the reliability, integrity and safety of our manufacturing equipment and facilities. We expect to incur approximately $83 million of additional costs, which includes approximately $58 million relating to the vertical continuous caster, which is expected to begin production in the third quarter of 2014; approximately $11 million relating to additional growth initiatives; approximately $1 million relating to continuous improvement; and approximately $13 million of additional costs to complete other remaining projects.</w:t>
      </w:r>
    </w:p>
    <w:p>
      <w:pPr>
        <w:spacing w:after="0" w:line="110"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42</w:t>
      </w:r>
    </w:p>
    <w:p>
      <w:pPr>
        <w:sectPr>
          <w:pgSz w:w="11900" w:h="16838" w:orient="portrait"/>
          <w:cols w:equalWidth="0" w:num="1">
            <w:col w:w="11280"/>
          </w:cols>
          <w:pgMar w:left="240" w:top="125" w:right="379" w:bottom="1440" w:gutter="0" w:footer="0" w:header="0"/>
        </w:sectPr>
      </w:pPr>
    </w:p>
    <w:bookmarkStart w:id="53" w:name="page54"/>
    <w:bookmarkEnd w:id="5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Financing activities</w:t>
      </w:r>
    </w:p>
    <w:p>
      <w:pPr>
        <w:spacing w:after="0" w:line="266" w:lineRule="exact"/>
        <w:rPr>
          <w:sz w:val="20"/>
          <w:szCs w:val="20"/>
          <w:color w:val="auto"/>
        </w:rPr>
      </w:pPr>
    </w:p>
    <w:p>
      <w:pPr>
        <w:ind w:right="180" w:firstLine="913"/>
        <w:spacing w:after="0" w:line="264" w:lineRule="auto"/>
        <w:rPr>
          <w:sz w:val="20"/>
          <w:szCs w:val="20"/>
          <w:color w:val="auto"/>
        </w:rPr>
      </w:pPr>
      <w:r>
        <w:rPr>
          <w:rFonts w:ascii="Arial" w:cs="Arial" w:eastAsia="Arial" w:hAnsi="Arial"/>
          <w:sz w:val="18"/>
          <w:szCs w:val="18"/>
          <w:color w:val="auto"/>
        </w:rPr>
        <w:t>Net cash used in financing activities for the three months ended March 31, 2014 and 2013 was related to excess cash generated by our business being transferred to Timken. The increase in the first three months of 2014 as compared to the prior-year period was a result of increased cash flows from operations and lower capital expenditures.</w:t>
      </w:r>
    </w:p>
    <w:p>
      <w:pPr>
        <w:spacing w:after="0" w:line="222" w:lineRule="exact"/>
        <w:rPr>
          <w:sz w:val="20"/>
          <w:szCs w:val="20"/>
          <w:color w:val="auto"/>
        </w:rPr>
      </w:pPr>
    </w:p>
    <w:p>
      <w:pPr>
        <w:ind w:right="120" w:firstLine="913"/>
        <w:spacing w:after="0" w:line="255" w:lineRule="auto"/>
        <w:rPr>
          <w:sz w:val="20"/>
          <w:szCs w:val="20"/>
          <w:color w:val="auto"/>
        </w:rPr>
      </w:pPr>
      <w:r>
        <w:rPr>
          <w:rFonts w:ascii="Arial" w:cs="Arial" w:eastAsia="Arial" w:hAnsi="Arial"/>
          <w:sz w:val="18"/>
          <w:szCs w:val="18"/>
          <w:color w:val="auto"/>
        </w:rPr>
        <w:t>Net cash provided by financing activities was due to net transfers from parent of $8.0 million in 2013 to fund capital expenditures in excess of cash provided by operations. Financing activities used net cash of $129.6 million and $45.2 million for 2012 and 2011, respectively, as excess cash flows of $121.1 million and $45.2 million, respectively, were transferred to Timken. In addition, as part of a settlement with the IRS, we redeemed half of the balance outstanding on our variable rate State of Ohio Pollution Control Revenue Refunding Bonds, maturing on June 1, 2033, totaling $8.5 million, in 2012, and agreed to redeem the remaining balance of $8.5 million on December 31, 2022. As part of the settlement, the IRS agreed to allow these bonds to remain tax-exempt during the period they are outstanding.</w:t>
      </w:r>
    </w:p>
    <w:p>
      <w:pPr>
        <w:spacing w:after="0" w:line="21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Dividend Policy</w:t>
      </w:r>
    </w:p>
    <w:p>
      <w:pPr>
        <w:spacing w:after="0" w:line="270" w:lineRule="exact"/>
        <w:rPr>
          <w:sz w:val="20"/>
          <w:szCs w:val="20"/>
          <w:color w:val="auto"/>
        </w:rPr>
      </w:pPr>
    </w:p>
    <w:p>
      <w:pPr>
        <w:ind w:right="280" w:firstLine="913"/>
        <w:spacing w:after="0" w:line="259" w:lineRule="auto"/>
        <w:rPr>
          <w:sz w:val="20"/>
          <w:szCs w:val="20"/>
          <w:color w:val="auto"/>
        </w:rPr>
      </w:pPr>
      <w:r>
        <w:rPr>
          <w:rFonts w:ascii="Arial" w:cs="Arial" w:eastAsia="Arial" w:hAnsi="Arial"/>
          <w:sz w:val="18"/>
          <w:szCs w:val="18"/>
          <w:color w:val="auto"/>
        </w:rPr>
        <w:t>We expect to pay dividends on our common shares at the discretion of our board of directors and dependent upon then-existing conditions, including our operating results and financial condition, capital requirements, contractual restrictions, business prospects and other factors that our board of directors may deem relevant. There can be no assurance that we will pay a dividend in the future or continue to pay any dividend if we do commence the payment of dividends.</w:t>
      </w:r>
    </w:p>
    <w:p>
      <w:pPr>
        <w:spacing w:after="0" w:line="22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Capital Resources</w:t>
      </w:r>
    </w:p>
    <w:p>
      <w:pPr>
        <w:spacing w:after="0" w:line="256" w:lineRule="exact"/>
        <w:rPr>
          <w:sz w:val="20"/>
          <w:szCs w:val="20"/>
          <w:color w:val="auto"/>
        </w:rPr>
      </w:pPr>
    </w:p>
    <w:p>
      <w:pPr>
        <w:ind w:right="80" w:firstLine="913"/>
        <w:spacing w:after="0" w:line="297" w:lineRule="auto"/>
        <w:rPr>
          <w:sz w:val="20"/>
          <w:szCs w:val="20"/>
          <w:color w:val="auto"/>
        </w:rPr>
      </w:pPr>
      <w:r>
        <w:rPr>
          <w:rFonts w:ascii="Arial" w:cs="Arial" w:eastAsia="Arial" w:hAnsi="Arial"/>
          <w:sz w:val="16"/>
          <w:szCs w:val="16"/>
          <w:color w:val="auto"/>
        </w:rPr>
        <w:t>Based on historical performance and current expectations, we believe that the cash generated from our operations, available cash and cash equivalents, available credit facilities and our expected ability to access capital markets will satisfy our working capital needs, capital expenditures, and other liquidity requirements associated with our operations for at least the next twelve months. We have entered into a commitment letter with two lead arranger banks to secure a credit facility prior to the completion of the spinoff. The credit facility is anticipated to be for approximately $300 million, and we are currently in the process of negotiating and initiating the syndication process with two lead arranger banks and several other banks.</w:t>
      </w:r>
    </w:p>
    <w:p>
      <w:pPr>
        <w:spacing w:after="0" w:line="19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Contractual Obligations</w:t>
      </w:r>
    </w:p>
    <w:p>
      <w:pPr>
        <w:spacing w:after="0" w:line="270" w:lineRule="exact"/>
        <w:rPr>
          <w:sz w:val="20"/>
          <w:szCs w:val="20"/>
          <w:color w:val="auto"/>
        </w:rPr>
      </w:pPr>
    </w:p>
    <w:p>
      <w:pPr>
        <w:ind w:left="920"/>
        <w:spacing w:after="0"/>
        <w:rPr>
          <w:sz w:val="20"/>
          <w:szCs w:val="20"/>
          <w:color w:val="auto"/>
        </w:rPr>
      </w:pPr>
      <w:r>
        <w:rPr>
          <w:rFonts w:ascii="Arial" w:cs="Arial" w:eastAsia="Arial" w:hAnsi="Arial"/>
          <w:sz w:val="18"/>
          <w:szCs w:val="18"/>
          <w:color w:val="auto"/>
        </w:rPr>
        <w:t>Our contractual debt obligations and contractual commitments outstanding as of December 31, 2013 were as follows:</w:t>
      </w:r>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Payments due by Period:</w:t>
      </w:r>
    </w:p>
    <w:p>
      <w:pPr>
        <w:spacing w:after="0" w:line="368" w:lineRule="exact"/>
        <w:rPr>
          <w:sz w:val="20"/>
          <w:szCs w:val="20"/>
          <w:color w:val="auto"/>
        </w:rPr>
      </w:pPr>
    </w:p>
    <w:tbl>
      <w:tblPr>
        <w:tblLayout w:type="fixed"/>
        <w:tblInd w:w="0" w:type="dxa"/>
        <w:tblCellMar>
          <w:top w:w="0" w:type="dxa"/>
          <w:left w:w="0" w:type="dxa"/>
          <w:bottom w:w="0" w:type="dxa"/>
          <w:right w:w="0" w:type="dxa"/>
        </w:tblCellMar>
      </w:tblPr>
      <w:tr>
        <w:trPr>
          <w:trHeight w:val="225"/>
        </w:trPr>
        <w:tc>
          <w:tcPr>
            <w:tcW w:w="20" w:type="dxa"/>
            <w:vAlign w:val="bottom"/>
          </w:tcPr>
          <w:p>
            <w:pPr>
              <w:spacing w:after="0"/>
              <w:rPr>
                <w:sz w:val="19"/>
                <w:szCs w:val="19"/>
                <w:color w:val="auto"/>
              </w:rPr>
            </w:pPr>
          </w:p>
        </w:tc>
        <w:tc>
          <w:tcPr>
            <w:tcW w:w="3360" w:type="dxa"/>
            <w:vAlign w:val="bottom"/>
            <w:tcBorders>
              <w:top w:val="single" w:sz="8" w:color="auto"/>
            </w:tcBorders>
          </w:tcPr>
          <w:p>
            <w:pPr>
              <w:spacing w:after="0"/>
              <w:rPr>
                <w:sz w:val="19"/>
                <w:szCs w:val="19"/>
                <w:color w:val="auto"/>
              </w:rPr>
            </w:pPr>
          </w:p>
        </w:tc>
        <w:tc>
          <w:tcPr>
            <w:tcW w:w="1720" w:type="dxa"/>
            <w:vAlign w:val="bottom"/>
            <w:tcBorders>
              <w:top w:val="single" w:sz="8" w:color="auto"/>
            </w:tcBorders>
          </w:tcPr>
          <w:p>
            <w:pPr>
              <w:spacing w:after="0"/>
              <w:rPr>
                <w:sz w:val="19"/>
                <w:szCs w:val="19"/>
                <w:color w:val="auto"/>
              </w:rPr>
            </w:pPr>
          </w:p>
        </w:tc>
        <w:tc>
          <w:tcPr>
            <w:tcW w:w="940" w:type="dxa"/>
            <w:vAlign w:val="bottom"/>
            <w:tcBorders>
              <w:top w:val="single" w:sz="8" w:color="auto"/>
            </w:tcBorders>
          </w:tcPr>
          <w:p>
            <w:pPr>
              <w:spacing w:after="0"/>
              <w:rPr>
                <w:sz w:val="19"/>
                <w:szCs w:val="19"/>
                <w:color w:val="auto"/>
              </w:rPr>
            </w:pPr>
          </w:p>
        </w:tc>
        <w:tc>
          <w:tcPr>
            <w:tcW w:w="300" w:type="dxa"/>
            <w:vAlign w:val="bottom"/>
            <w:tcBorders>
              <w:top w:val="single" w:sz="8" w:color="auto"/>
            </w:tcBorders>
          </w:tcPr>
          <w:p>
            <w:pPr>
              <w:spacing w:after="0"/>
              <w:rPr>
                <w:sz w:val="19"/>
                <w:szCs w:val="19"/>
                <w:color w:val="auto"/>
              </w:rPr>
            </w:pPr>
          </w:p>
        </w:tc>
        <w:tc>
          <w:tcPr>
            <w:tcW w:w="1020" w:type="dxa"/>
            <w:vAlign w:val="bottom"/>
            <w:tcBorders>
              <w:top w:val="single" w:sz="8" w:color="auto"/>
            </w:tcBorders>
          </w:tcPr>
          <w:p>
            <w:pPr>
              <w:jc w:val="right"/>
              <w:ind w:right="150"/>
              <w:spacing w:after="0"/>
              <w:rPr>
                <w:sz w:val="20"/>
                <w:szCs w:val="20"/>
                <w:color w:val="auto"/>
              </w:rPr>
            </w:pPr>
            <w:r>
              <w:rPr>
                <w:rFonts w:ascii="Arial" w:cs="Arial" w:eastAsia="Arial" w:hAnsi="Arial"/>
                <w:sz w:val="18"/>
                <w:szCs w:val="18"/>
                <w:b w:val="1"/>
                <w:bCs w:val="1"/>
                <w:color w:val="auto"/>
                <w:w w:val="90"/>
              </w:rPr>
              <w:t>Less than</w:t>
            </w:r>
          </w:p>
        </w:tc>
        <w:tc>
          <w:tcPr>
            <w:tcW w:w="280" w:type="dxa"/>
            <w:vAlign w:val="bottom"/>
            <w:tcBorders>
              <w:top w:val="single" w:sz="8" w:color="auto"/>
            </w:tcBorders>
          </w:tcPr>
          <w:p>
            <w:pPr>
              <w:spacing w:after="0"/>
              <w:rPr>
                <w:sz w:val="19"/>
                <w:szCs w:val="19"/>
                <w:color w:val="auto"/>
              </w:rPr>
            </w:pPr>
          </w:p>
        </w:tc>
        <w:tc>
          <w:tcPr>
            <w:tcW w:w="1000" w:type="dxa"/>
            <w:vAlign w:val="bottom"/>
            <w:tcBorders>
              <w:top w:val="single" w:sz="8" w:color="auto"/>
            </w:tcBorders>
          </w:tcPr>
          <w:p>
            <w:pPr>
              <w:spacing w:after="0"/>
              <w:rPr>
                <w:sz w:val="19"/>
                <w:szCs w:val="19"/>
                <w:color w:val="auto"/>
              </w:rPr>
            </w:pPr>
          </w:p>
        </w:tc>
        <w:tc>
          <w:tcPr>
            <w:tcW w:w="300" w:type="dxa"/>
            <w:vAlign w:val="bottom"/>
            <w:tcBorders>
              <w:top w:val="single" w:sz="8" w:color="auto"/>
            </w:tcBorders>
          </w:tcPr>
          <w:p>
            <w:pPr>
              <w:spacing w:after="0"/>
              <w:rPr>
                <w:sz w:val="19"/>
                <w:szCs w:val="19"/>
                <w:color w:val="auto"/>
              </w:rPr>
            </w:pPr>
          </w:p>
        </w:tc>
        <w:tc>
          <w:tcPr>
            <w:tcW w:w="1000" w:type="dxa"/>
            <w:vAlign w:val="bottom"/>
            <w:tcBorders>
              <w:top w:val="single" w:sz="8" w:color="auto"/>
            </w:tcBorders>
          </w:tcPr>
          <w:p>
            <w:pPr>
              <w:spacing w:after="0"/>
              <w:rPr>
                <w:sz w:val="19"/>
                <w:szCs w:val="19"/>
                <w:color w:val="auto"/>
              </w:rPr>
            </w:pPr>
          </w:p>
        </w:tc>
        <w:tc>
          <w:tcPr>
            <w:tcW w:w="300" w:type="dxa"/>
            <w:vAlign w:val="bottom"/>
            <w:tcBorders>
              <w:top w:val="single" w:sz="8" w:color="auto"/>
            </w:tcBorders>
          </w:tcPr>
          <w:p>
            <w:pPr>
              <w:spacing w:after="0"/>
              <w:rPr>
                <w:sz w:val="19"/>
                <w:szCs w:val="19"/>
                <w:color w:val="auto"/>
              </w:rPr>
            </w:pPr>
          </w:p>
        </w:tc>
        <w:tc>
          <w:tcPr>
            <w:tcW w:w="1080" w:type="dxa"/>
            <w:vAlign w:val="bottom"/>
            <w:tcBorders>
              <w:top w:val="single" w:sz="8" w:color="auto"/>
            </w:tcBorders>
          </w:tcPr>
          <w:p>
            <w:pPr>
              <w:jc w:val="right"/>
              <w:ind w:right="130"/>
              <w:spacing w:after="0"/>
              <w:rPr>
                <w:sz w:val="20"/>
                <w:szCs w:val="20"/>
                <w:color w:val="auto"/>
              </w:rPr>
            </w:pPr>
            <w:r>
              <w:rPr>
                <w:rFonts w:ascii="Arial" w:cs="Arial" w:eastAsia="Arial" w:hAnsi="Arial"/>
                <w:sz w:val="18"/>
                <w:szCs w:val="18"/>
                <w:b w:val="1"/>
                <w:bCs w:val="1"/>
                <w:color w:val="auto"/>
                <w:w w:val="97"/>
              </w:rPr>
              <w:t>More than</w:t>
            </w:r>
          </w:p>
        </w:tc>
        <w:tc>
          <w:tcPr>
            <w:tcW w:w="100" w:type="dxa"/>
            <w:vAlign w:val="bottom"/>
          </w:tcPr>
          <w:p>
            <w:pPr>
              <w:spacing w:after="0"/>
              <w:rPr>
                <w:sz w:val="19"/>
                <w:szCs w:val="19"/>
                <w:color w:val="auto"/>
              </w:rPr>
            </w:pPr>
          </w:p>
        </w:tc>
      </w:tr>
      <w:tr>
        <w:trPr>
          <w:trHeight w:val="248"/>
        </w:trPr>
        <w:tc>
          <w:tcPr>
            <w:tcW w:w="3380" w:type="dxa"/>
            <w:vAlign w:val="bottom"/>
            <w:gridSpan w:val="2"/>
          </w:tcPr>
          <w:p>
            <w:pPr>
              <w:spacing w:after="0"/>
              <w:rPr>
                <w:sz w:val="20"/>
                <w:szCs w:val="20"/>
                <w:color w:val="auto"/>
              </w:rPr>
            </w:pPr>
            <w:r>
              <w:rPr>
                <w:rFonts w:ascii="Arial" w:cs="Arial" w:eastAsia="Arial" w:hAnsi="Arial"/>
                <w:sz w:val="18"/>
                <w:szCs w:val="18"/>
                <w:b w:val="1"/>
                <w:bCs w:val="1"/>
                <w:color w:val="auto"/>
              </w:rPr>
              <w:t>Contractual Obligations</w:t>
            </w:r>
          </w:p>
        </w:tc>
        <w:tc>
          <w:tcPr>
            <w:tcW w:w="1720" w:type="dxa"/>
            <w:vAlign w:val="bottom"/>
          </w:tcPr>
          <w:p>
            <w:pPr>
              <w:spacing w:after="0"/>
              <w:rPr>
                <w:sz w:val="21"/>
                <w:szCs w:val="21"/>
                <w:color w:val="auto"/>
              </w:rPr>
            </w:pPr>
          </w:p>
        </w:tc>
        <w:tc>
          <w:tcPr>
            <w:tcW w:w="940" w:type="dxa"/>
            <w:vAlign w:val="bottom"/>
          </w:tcPr>
          <w:p>
            <w:pPr>
              <w:jc w:val="right"/>
              <w:ind w:right="330"/>
              <w:spacing w:after="0"/>
              <w:rPr>
                <w:sz w:val="20"/>
                <w:szCs w:val="20"/>
                <w:color w:val="auto"/>
              </w:rPr>
            </w:pPr>
            <w:r>
              <w:rPr>
                <w:rFonts w:ascii="Arial" w:cs="Arial" w:eastAsia="Arial" w:hAnsi="Arial"/>
                <w:sz w:val="18"/>
                <w:szCs w:val="18"/>
                <w:b w:val="1"/>
                <w:bCs w:val="1"/>
                <w:color w:val="auto"/>
              </w:rPr>
              <w:t>Total</w:t>
            </w:r>
          </w:p>
        </w:tc>
        <w:tc>
          <w:tcPr>
            <w:tcW w:w="300" w:type="dxa"/>
            <w:vAlign w:val="bottom"/>
          </w:tcPr>
          <w:p>
            <w:pPr>
              <w:spacing w:after="0"/>
              <w:rPr>
                <w:sz w:val="21"/>
                <w:szCs w:val="21"/>
                <w:color w:val="auto"/>
              </w:rPr>
            </w:pPr>
          </w:p>
        </w:tc>
        <w:tc>
          <w:tcPr>
            <w:tcW w:w="1020" w:type="dxa"/>
            <w:vAlign w:val="bottom"/>
          </w:tcPr>
          <w:p>
            <w:pPr>
              <w:jc w:val="right"/>
              <w:ind w:right="330"/>
              <w:spacing w:after="0"/>
              <w:rPr>
                <w:sz w:val="20"/>
                <w:szCs w:val="20"/>
                <w:color w:val="auto"/>
              </w:rPr>
            </w:pPr>
            <w:r>
              <w:rPr>
                <w:rFonts w:ascii="Arial" w:cs="Arial" w:eastAsia="Arial" w:hAnsi="Arial"/>
                <w:sz w:val="18"/>
                <w:szCs w:val="18"/>
                <w:b w:val="1"/>
                <w:bCs w:val="1"/>
                <w:color w:val="auto"/>
              </w:rPr>
              <w:t>1 Year</w:t>
            </w:r>
          </w:p>
        </w:tc>
        <w:tc>
          <w:tcPr>
            <w:tcW w:w="280" w:type="dxa"/>
            <w:vAlign w:val="bottom"/>
          </w:tcPr>
          <w:p>
            <w:pPr>
              <w:spacing w:after="0"/>
              <w:rPr>
                <w:sz w:val="21"/>
                <w:szCs w:val="21"/>
                <w:color w:val="auto"/>
              </w:rPr>
            </w:pPr>
          </w:p>
        </w:tc>
        <w:tc>
          <w:tcPr>
            <w:tcW w:w="1000" w:type="dxa"/>
            <w:vAlign w:val="bottom"/>
          </w:tcPr>
          <w:p>
            <w:pPr>
              <w:jc w:val="right"/>
              <w:ind w:right="150"/>
              <w:spacing w:after="0"/>
              <w:rPr>
                <w:sz w:val="20"/>
                <w:szCs w:val="20"/>
                <w:color w:val="auto"/>
              </w:rPr>
            </w:pPr>
            <w:r>
              <w:rPr>
                <w:rFonts w:ascii="Arial" w:cs="Arial" w:eastAsia="Arial" w:hAnsi="Arial"/>
                <w:sz w:val="18"/>
                <w:szCs w:val="18"/>
                <w:b w:val="1"/>
                <w:bCs w:val="1"/>
                <w:color w:val="auto"/>
                <w:w w:val="92"/>
              </w:rPr>
              <w:t>1-3 Years</w:t>
            </w:r>
          </w:p>
        </w:tc>
        <w:tc>
          <w:tcPr>
            <w:tcW w:w="300" w:type="dxa"/>
            <w:vAlign w:val="bottom"/>
          </w:tcPr>
          <w:p>
            <w:pPr>
              <w:spacing w:after="0"/>
              <w:rPr>
                <w:sz w:val="21"/>
                <w:szCs w:val="21"/>
                <w:color w:val="auto"/>
              </w:rPr>
            </w:pPr>
          </w:p>
        </w:tc>
        <w:tc>
          <w:tcPr>
            <w:tcW w:w="1000" w:type="dxa"/>
            <w:vAlign w:val="bottom"/>
          </w:tcPr>
          <w:p>
            <w:pPr>
              <w:jc w:val="right"/>
              <w:ind w:right="150"/>
              <w:spacing w:after="0"/>
              <w:rPr>
                <w:sz w:val="20"/>
                <w:szCs w:val="20"/>
                <w:color w:val="auto"/>
              </w:rPr>
            </w:pPr>
            <w:r>
              <w:rPr>
                <w:rFonts w:ascii="Arial" w:cs="Arial" w:eastAsia="Arial" w:hAnsi="Arial"/>
                <w:sz w:val="18"/>
                <w:szCs w:val="18"/>
                <w:b w:val="1"/>
                <w:bCs w:val="1"/>
                <w:color w:val="auto"/>
                <w:w w:val="92"/>
              </w:rPr>
              <w:t>3-5 Years</w:t>
            </w:r>
          </w:p>
        </w:tc>
        <w:tc>
          <w:tcPr>
            <w:tcW w:w="300" w:type="dxa"/>
            <w:vAlign w:val="bottom"/>
          </w:tcPr>
          <w:p>
            <w:pPr>
              <w:spacing w:after="0"/>
              <w:rPr>
                <w:sz w:val="21"/>
                <w:szCs w:val="21"/>
                <w:color w:val="auto"/>
              </w:rPr>
            </w:pPr>
          </w:p>
        </w:tc>
        <w:tc>
          <w:tcPr>
            <w:tcW w:w="1180" w:type="dxa"/>
            <w:vAlign w:val="bottom"/>
            <w:gridSpan w:val="2"/>
          </w:tcPr>
          <w:p>
            <w:pPr>
              <w:ind w:left="200"/>
              <w:spacing w:after="0"/>
              <w:rPr>
                <w:sz w:val="20"/>
                <w:szCs w:val="20"/>
                <w:color w:val="auto"/>
              </w:rPr>
            </w:pPr>
            <w:r>
              <w:rPr>
                <w:rFonts w:ascii="Arial" w:cs="Arial" w:eastAsia="Arial" w:hAnsi="Arial"/>
                <w:sz w:val="18"/>
                <w:szCs w:val="18"/>
                <w:b w:val="1"/>
                <w:bCs w:val="1"/>
                <w:color w:val="auto"/>
              </w:rPr>
              <w:t>5 Years</w:t>
            </w:r>
          </w:p>
        </w:tc>
      </w:tr>
      <w:tr>
        <w:trPr>
          <w:trHeight w:val="223"/>
        </w:trPr>
        <w:tc>
          <w:tcPr>
            <w:tcW w:w="3380" w:type="dxa"/>
            <w:vAlign w:val="bottom"/>
            <w:tcBorders>
              <w:top w:val="single" w:sz="8" w:color="auto"/>
            </w:tcBorders>
            <w:gridSpan w:val="2"/>
          </w:tcPr>
          <w:p>
            <w:pPr>
              <w:spacing w:after="0"/>
              <w:rPr>
                <w:sz w:val="20"/>
                <w:szCs w:val="20"/>
                <w:color w:val="auto"/>
              </w:rPr>
            </w:pPr>
            <w:r>
              <w:rPr>
                <w:rFonts w:ascii="Arial" w:cs="Arial" w:eastAsia="Arial" w:hAnsi="Arial"/>
                <w:sz w:val="18"/>
                <w:szCs w:val="18"/>
                <w:color w:val="auto"/>
              </w:rPr>
              <w:t>Long-term debt</w:t>
            </w:r>
          </w:p>
        </w:tc>
        <w:tc>
          <w:tcPr>
            <w:tcW w:w="1720" w:type="dxa"/>
            <w:vAlign w:val="bottom"/>
            <w:tcBorders>
              <w:top w:val="single" w:sz="8" w:color="auto"/>
            </w:tcBorders>
          </w:tcPr>
          <w:p>
            <w:pPr>
              <w:jc w:val="right"/>
              <w:ind w:right="50"/>
              <w:spacing w:after="0"/>
              <w:rPr>
                <w:sz w:val="20"/>
                <w:szCs w:val="20"/>
                <w:color w:val="auto"/>
              </w:rPr>
            </w:pPr>
            <w:r>
              <w:rPr>
                <w:rFonts w:ascii="Arial" w:cs="Arial" w:eastAsia="Arial" w:hAnsi="Arial"/>
                <w:sz w:val="18"/>
                <w:szCs w:val="18"/>
                <w:color w:val="auto"/>
              </w:rPr>
              <w:t>$</w:t>
            </w:r>
          </w:p>
        </w:tc>
        <w:tc>
          <w:tcPr>
            <w:tcW w:w="940" w:type="dxa"/>
            <w:vAlign w:val="bottom"/>
            <w:tcBorders>
              <w:top w:val="single" w:sz="8" w:color="auto"/>
            </w:tcBorders>
          </w:tcPr>
          <w:p>
            <w:pPr>
              <w:jc w:val="right"/>
              <w:ind w:right="50"/>
              <w:spacing w:after="0"/>
              <w:rPr>
                <w:sz w:val="20"/>
                <w:szCs w:val="20"/>
                <w:color w:val="auto"/>
              </w:rPr>
            </w:pPr>
            <w:r>
              <w:rPr>
                <w:rFonts w:ascii="Arial" w:cs="Arial" w:eastAsia="Arial" w:hAnsi="Arial"/>
                <w:sz w:val="18"/>
                <w:szCs w:val="18"/>
                <w:color w:val="auto"/>
              </w:rPr>
              <w:t>30.2</w:t>
            </w:r>
          </w:p>
        </w:tc>
        <w:tc>
          <w:tcPr>
            <w:tcW w:w="3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020" w:type="dxa"/>
            <w:vAlign w:val="bottom"/>
            <w:tcBorders>
              <w:top w:val="single" w:sz="8" w:color="auto"/>
            </w:tcBorders>
          </w:tcPr>
          <w:p>
            <w:pPr>
              <w:jc w:val="right"/>
              <w:ind w:right="70"/>
              <w:spacing w:after="0"/>
              <w:rPr>
                <w:sz w:val="20"/>
                <w:szCs w:val="20"/>
                <w:color w:val="auto"/>
              </w:rPr>
            </w:pPr>
            <w:r>
              <w:rPr>
                <w:rFonts w:ascii="Arial" w:cs="Arial" w:eastAsia="Arial" w:hAnsi="Arial"/>
                <w:sz w:val="18"/>
                <w:szCs w:val="18"/>
                <w:color w:val="auto"/>
              </w:rPr>
              <w:t>—</w:t>
            </w:r>
          </w:p>
        </w:tc>
        <w:tc>
          <w:tcPr>
            <w:tcW w:w="2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000" w:type="dxa"/>
            <w:vAlign w:val="bottom"/>
            <w:tcBorders>
              <w:top w:val="single" w:sz="8" w:color="auto"/>
            </w:tcBorders>
          </w:tcPr>
          <w:p>
            <w:pPr>
              <w:jc w:val="right"/>
              <w:ind w:right="70"/>
              <w:spacing w:after="0"/>
              <w:rPr>
                <w:sz w:val="20"/>
                <w:szCs w:val="20"/>
                <w:color w:val="auto"/>
              </w:rPr>
            </w:pPr>
            <w:r>
              <w:rPr>
                <w:rFonts w:ascii="Arial" w:cs="Arial" w:eastAsia="Arial" w:hAnsi="Arial"/>
                <w:sz w:val="18"/>
                <w:szCs w:val="18"/>
                <w:color w:val="auto"/>
              </w:rPr>
              <w:t>—</w:t>
            </w:r>
          </w:p>
        </w:tc>
        <w:tc>
          <w:tcPr>
            <w:tcW w:w="3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000" w:type="dxa"/>
            <w:vAlign w:val="bottom"/>
            <w:tcBorders>
              <w:top w:val="single" w:sz="8" w:color="auto"/>
            </w:tcBorders>
          </w:tcPr>
          <w:p>
            <w:pPr>
              <w:jc w:val="right"/>
              <w:ind w:right="70"/>
              <w:spacing w:after="0"/>
              <w:rPr>
                <w:sz w:val="20"/>
                <w:szCs w:val="20"/>
                <w:color w:val="auto"/>
              </w:rPr>
            </w:pPr>
            <w:r>
              <w:rPr>
                <w:rFonts w:ascii="Arial" w:cs="Arial" w:eastAsia="Arial" w:hAnsi="Arial"/>
                <w:sz w:val="18"/>
                <w:szCs w:val="18"/>
                <w:color w:val="auto"/>
              </w:rPr>
              <w:t>—</w:t>
            </w:r>
          </w:p>
        </w:tc>
        <w:tc>
          <w:tcPr>
            <w:tcW w:w="3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0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30.2</w:t>
            </w:r>
          </w:p>
        </w:tc>
        <w:tc>
          <w:tcPr>
            <w:tcW w:w="100" w:type="dxa"/>
            <w:vAlign w:val="bottom"/>
          </w:tcPr>
          <w:p>
            <w:pPr>
              <w:spacing w:after="0"/>
              <w:rPr>
                <w:sz w:val="19"/>
                <w:szCs w:val="19"/>
                <w:color w:val="auto"/>
              </w:rPr>
            </w:pPr>
          </w:p>
        </w:tc>
      </w:tr>
      <w:tr>
        <w:trPr>
          <w:trHeight w:val="216"/>
        </w:trPr>
        <w:tc>
          <w:tcPr>
            <w:tcW w:w="20" w:type="dxa"/>
            <w:vAlign w:val="bottom"/>
          </w:tcPr>
          <w:p>
            <w:pPr>
              <w:spacing w:after="0"/>
              <w:rPr>
                <w:sz w:val="18"/>
                <w:szCs w:val="18"/>
                <w:color w:val="auto"/>
              </w:rPr>
            </w:pPr>
          </w:p>
        </w:tc>
        <w:tc>
          <w:tcPr>
            <w:tcW w:w="3360" w:type="dxa"/>
            <w:vAlign w:val="bottom"/>
            <w:shd w:val="clear" w:color="auto" w:fill="CCEEFF"/>
          </w:tcPr>
          <w:p>
            <w:pPr>
              <w:spacing w:after="0"/>
              <w:rPr>
                <w:sz w:val="20"/>
                <w:szCs w:val="20"/>
                <w:color w:val="auto"/>
              </w:rPr>
            </w:pPr>
            <w:r>
              <w:rPr>
                <w:rFonts w:ascii="Arial" w:cs="Arial" w:eastAsia="Arial" w:hAnsi="Arial"/>
                <w:sz w:val="18"/>
                <w:szCs w:val="18"/>
                <w:color w:val="auto"/>
              </w:rPr>
              <w:t>Interest payments</w:t>
            </w:r>
          </w:p>
        </w:tc>
        <w:tc>
          <w:tcPr>
            <w:tcW w:w="1720" w:type="dxa"/>
            <w:vAlign w:val="bottom"/>
            <w:shd w:val="clear" w:color="auto" w:fill="CCEEFF"/>
          </w:tcPr>
          <w:p>
            <w:pPr>
              <w:spacing w:after="0"/>
              <w:rPr>
                <w:sz w:val="18"/>
                <w:szCs w:val="18"/>
                <w:color w:val="auto"/>
              </w:rPr>
            </w:pPr>
          </w:p>
        </w:tc>
        <w:tc>
          <w:tcPr>
            <w:tcW w:w="94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0.4</w:t>
            </w:r>
          </w:p>
        </w:tc>
        <w:tc>
          <w:tcPr>
            <w:tcW w:w="300" w:type="dxa"/>
            <w:vAlign w:val="bottom"/>
            <w:shd w:val="clear" w:color="auto" w:fill="CCEEFF"/>
          </w:tcPr>
          <w:p>
            <w:pPr>
              <w:spacing w:after="0"/>
              <w:rPr>
                <w:sz w:val="18"/>
                <w:szCs w:val="18"/>
                <w:color w:val="auto"/>
              </w:rPr>
            </w:pPr>
          </w:p>
        </w:tc>
        <w:tc>
          <w:tcPr>
            <w:tcW w:w="102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280" w:type="dxa"/>
            <w:vAlign w:val="bottom"/>
            <w:shd w:val="clear" w:color="auto" w:fill="CCEEFF"/>
          </w:tcPr>
          <w:p>
            <w:pPr>
              <w:spacing w:after="0"/>
              <w:rPr>
                <w:sz w:val="18"/>
                <w:szCs w:val="18"/>
                <w:color w:val="auto"/>
              </w:rPr>
            </w:pPr>
          </w:p>
        </w:tc>
        <w:tc>
          <w:tcPr>
            <w:tcW w:w="100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0.1</w:t>
            </w:r>
          </w:p>
        </w:tc>
        <w:tc>
          <w:tcPr>
            <w:tcW w:w="300" w:type="dxa"/>
            <w:vAlign w:val="bottom"/>
            <w:shd w:val="clear" w:color="auto" w:fill="CCEEFF"/>
          </w:tcPr>
          <w:p>
            <w:pPr>
              <w:spacing w:after="0"/>
              <w:rPr>
                <w:sz w:val="18"/>
                <w:szCs w:val="18"/>
                <w:color w:val="auto"/>
              </w:rPr>
            </w:pPr>
          </w:p>
        </w:tc>
        <w:tc>
          <w:tcPr>
            <w:tcW w:w="100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0.1</w:t>
            </w:r>
          </w:p>
        </w:tc>
        <w:tc>
          <w:tcPr>
            <w:tcW w:w="300" w:type="dxa"/>
            <w:vAlign w:val="bottom"/>
            <w:shd w:val="clear" w:color="auto" w:fill="CCEEFF"/>
          </w:tcPr>
          <w:p>
            <w:pPr>
              <w:spacing w:after="0"/>
              <w:rPr>
                <w:sz w:val="18"/>
                <w:szCs w:val="18"/>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0.2</w:t>
            </w:r>
          </w:p>
        </w:tc>
        <w:tc>
          <w:tcPr>
            <w:tcW w:w="10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3360" w:type="dxa"/>
            <w:vAlign w:val="bottom"/>
          </w:tcPr>
          <w:p>
            <w:pPr>
              <w:spacing w:after="0"/>
              <w:rPr>
                <w:sz w:val="20"/>
                <w:szCs w:val="20"/>
                <w:color w:val="auto"/>
              </w:rPr>
            </w:pPr>
            <w:r>
              <w:rPr>
                <w:rFonts w:ascii="Arial" w:cs="Arial" w:eastAsia="Arial" w:hAnsi="Arial"/>
                <w:sz w:val="18"/>
                <w:szCs w:val="18"/>
                <w:color w:val="auto"/>
              </w:rPr>
              <w:t>Operating leases</w:t>
            </w:r>
          </w:p>
        </w:tc>
        <w:tc>
          <w:tcPr>
            <w:tcW w:w="1720" w:type="dxa"/>
            <w:vAlign w:val="bottom"/>
          </w:tcPr>
          <w:p>
            <w:pPr>
              <w:spacing w:after="0"/>
              <w:rPr>
                <w:sz w:val="18"/>
                <w:szCs w:val="18"/>
                <w:color w:val="auto"/>
              </w:rPr>
            </w:pPr>
          </w:p>
        </w:tc>
        <w:tc>
          <w:tcPr>
            <w:tcW w:w="940" w:type="dxa"/>
            <w:vAlign w:val="bottom"/>
          </w:tcPr>
          <w:p>
            <w:pPr>
              <w:jc w:val="right"/>
              <w:ind w:right="50"/>
              <w:spacing w:after="0"/>
              <w:rPr>
                <w:sz w:val="20"/>
                <w:szCs w:val="20"/>
                <w:color w:val="auto"/>
              </w:rPr>
            </w:pPr>
            <w:r>
              <w:rPr>
                <w:rFonts w:ascii="Arial" w:cs="Arial" w:eastAsia="Arial" w:hAnsi="Arial"/>
                <w:sz w:val="18"/>
                <w:szCs w:val="18"/>
                <w:color w:val="auto"/>
              </w:rPr>
              <w:t>14.7</w:t>
            </w:r>
          </w:p>
        </w:tc>
        <w:tc>
          <w:tcPr>
            <w:tcW w:w="300" w:type="dxa"/>
            <w:vAlign w:val="bottom"/>
          </w:tcPr>
          <w:p>
            <w:pPr>
              <w:spacing w:after="0"/>
              <w:rPr>
                <w:sz w:val="18"/>
                <w:szCs w:val="18"/>
                <w:color w:val="auto"/>
              </w:rPr>
            </w:pPr>
          </w:p>
        </w:tc>
        <w:tc>
          <w:tcPr>
            <w:tcW w:w="1020" w:type="dxa"/>
            <w:vAlign w:val="bottom"/>
          </w:tcPr>
          <w:p>
            <w:pPr>
              <w:jc w:val="right"/>
              <w:ind w:right="70"/>
              <w:spacing w:after="0"/>
              <w:rPr>
                <w:sz w:val="20"/>
                <w:szCs w:val="20"/>
                <w:color w:val="auto"/>
              </w:rPr>
            </w:pPr>
            <w:r>
              <w:rPr>
                <w:rFonts w:ascii="Arial" w:cs="Arial" w:eastAsia="Arial" w:hAnsi="Arial"/>
                <w:sz w:val="18"/>
                <w:szCs w:val="18"/>
                <w:color w:val="auto"/>
              </w:rPr>
              <w:t>5.3</w:t>
            </w:r>
          </w:p>
        </w:tc>
        <w:tc>
          <w:tcPr>
            <w:tcW w:w="280" w:type="dxa"/>
            <w:vAlign w:val="bottom"/>
          </w:tcPr>
          <w:p>
            <w:pPr>
              <w:spacing w:after="0"/>
              <w:rPr>
                <w:sz w:val="18"/>
                <w:szCs w:val="18"/>
                <w:color w:val="auto"/>
              </w:rPr>
            </w:pPr>
          </w:p>
        </w:tc>
        <w:tc>
          <w:tcPr>
            <w:tcW w:w="1000" w:type="dxa"/>
            <w:vAlign w:val="bottom"/>
          </w:tcPr>
          <w:p>
            <w:pPr>
              <w:jc w:val="right"/>
              <w:ind w:right="70"/>
              <w:spacing w:after="0"/>
              <w:rPr>
                <w:sz w:val="20"/>
                <w:szCs w:val="20"/>
                <w:color w:val="auto"/>
              </w:rPr>
            </w:pPr>
            <w:r>
              <w:rPr>
                <w:rFonts w:ascii="Arial" w:cs="Arial" w:eastAsia="Arial" w:hAnsi="Arial"/>
                <w:sz w:val="18"/>
                <w:szCs w:val="18"/>
                <w:color w:val="auto"/>
              </w:rPr>
              <w:t>7.3</w:t>
            </w:r>
          </w:p>
        </w:tc>
        <w:tc>
          <w:tcPr>
            <w:tcW w:w="300" w:type="dxa"/>
            <w:vAlign w:val="bottom"/>
          </w:tcPr>
          <w:p>
            <w:pPr>
              <w:spacing w:after="0"/>
              <w:rPr>
                <w:sz w:val="18"/>
                <w:szCs w:val="18"/>
                <w:color w:val="auto"/>
              </w:rPr>
            </w:pPr>
          </w:p>
        </w:tc>
        <w:tc>
          <w:tcPr>
            <w:tcW w:w="1000" w:type="dxa"/>
            <w:vAlign w:val="bottom"/>
          </w:tcPr>
          <w:p>
            <w:pPr>
              <w:jc w:val="right"/>
              <w:ind w:right="70"/>
              <w:spacing w:after="0"/>
              <w:rPr>
                <w:sz w:val="20"/>
                <w:szCs w:val="20"/>
                <w:color w:val="auto"/>
              </w:rPr>
            </w:pPr>
            <w:r>
              <w:rPr>
                <w:rFonts w:ascii="Arial" w:cs="Arial" w:eastAsia="Arial" w:hAnsi="Arial"/>
                <w:sz w:val="18"/>
                <w:szCs w:val="18"/>
                <w:color w:val="auto"/>
              </w:rPr>
              <w:t>2.1</w:t>
            </w:r>
          </w:p>
        </w:tc>
        <w:tc>
          <w:tcPr>
            <w:tcW w:w="300" w:type="dxa"/>
            <w:vAlign w:val="bottom"/>
          </w:tcPr>
          <w:p>
            <w:pPr>
              <w:spacing w:after="0"/>
              <w:rPr>
                <w:sz w:val="18"/>
                <w:szCs w:val="18"/>
                <w:color w:val="auto"/>
              </w:rPr>
            </w:pPr>
          </w:p>
        </w:tc>
        <w:tc>
          <w:tcPr>
            <w:tcW w:w="118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r>
      <w:tr>
        <w:trPr>
          <w:trHeight w:val="216"/>
        </w:trPr>
        <w:tc>
          <w:tcPr>
            <w:tcW w:w="20" w:type="dxa"/>
            <w:vAlign w:val="bottom"/>
          </w:tcPr>
          <w:p>
            <w:pPr>
              <w:spacing w:after="0"/>
              <w:rPr>
                <w:sz w:val="18"/>
                <w:szCs w:val="18"/>
                <w:color w:val="auto"/>
              </w:rPr>
            </w:pPr>
          </w:p>
        </w:tc>
        <w:tc>
          <w:tcPr>
            <w:tcW w:w="3360" w:type="dxa"/>
            <w:vAlign w:val="bottom"/>
            <w:shd w:val="clear" w:color="auto" w:fill="CCEEFF"/>
          </w:tcPr>
          <w:p>
            <w:pPr>
              <w:spacing w:after="0"/>
              <w:rPr>
                <w:sz w:val="20"/>
                <w:szCs w:val="20"/>
                <w:color w:val="auto"/>
              </w:rPr>
            </w:pPr>
            <w:r>
              <w:rPr>
                <w:rFonts w:ascii="Arial" w:cs="Arial" w:eastAsia="Arial" w:hAnsi="Arial"/>
                <w:sz w:val="18"/>
                <w:szCs w:val="18"/>
                <w:color w:val="auto"/>
              </w:rPr>
              <w:t>Purchase commitments</w:t>
            </w:r>
          </w:p>
        </w:tc>
        <w:tc>
          <w:tcPr>
            <w:tcW w:w="1720" w:type="dxa"/>
            <w:vAlign w:val="bottom"/>
            <w:shd w:val="clear" w:color="auto" w:fill="CCEEFF"/>
          </w:tcPr>
          <w:p>
            <w:pPr>
              <w:spacing w:after="0"/>
              <w:rPr>
                <w:sz w:val="18"/>
                <w:szCs w:val="18"/>
                <w:color w:val="auto"/>
              </w:rPr>
            </w:pPr>
          </w:p>
        </w:tc>
        <w:tc>
          <w:tcPr>
            <w:tcW w:w="94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102.9</w:t>
            </w:r>
          </w:p>
        </w:tc>
        <w:tc>
          <w:tcPr>
            <w:tcW w:w="300" w:type="dxa"/>
            <w:vAlign w:val="bottom"/>
            <w:shd w:val="clear" w:color="auto" w:fill="CCEEFF"/>
          </w:tcPr>
          <w:p>
            <w:pPr>
              <w:spacing w:after="0"/>
              <w:rPr>
                <w:sz w:val="18"/>
                <w:szCs w:val="18"/>
                <w:color w:val="auto"/>
              </w:rPr>
            </w:pPr>
          </w:p>
        </w:tc>
        <w:tc>
          <w:tcPr>
            <w:tcW w:w="102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81.8</w:t>
            </w:r>
          </w:p>
        </w:tc>
        <w:tc>
          <w:tcPr>
            <w:tcW w:w="280" w:type="dxa"/>
            <w:vAlign w:val="bottom"/>
            <w:shd w:val="clear" w:color="auto" w:fill="CCEEFF"/>
          </w:tcPr>
          <w:p>
            <w:pPr>
              <w:spacing w:after="0"/>
              <w:rPr>
                <w:sz w:val="18"/>
                <w:szCs w:val="18"/>
                <w:color w:val="auto"/>
              </w:rPr>
            </w:pPr>
          </w:p>
        </w:tc>
        <w:tc>
          <w:tcPr>
            <w:tcW w:w="100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21.1</w:t>
            </w:r>
          </w:p>
        </w:tc>
        <w:tc>
          <w:tcPr>
            <w:tcW w:w="300" w:type="dxa"/>
            <w:vAlign w:val="bottom"/>
            <w:shd w:val="clear" w:color="auto" w:fill="CCEEFF"/>
          </w:tcPr>
          <w:p>
            <w:pPr>
              <w:spacing w:after="0"/>
              <w:rPr>
                <w:sz w:val="18"/>
                <w:szCs w:val="18"/>
                <w:color w:val="auto"/>
              </w:rPr>
            </w:pPr>
          </w:p>
        </w:tc>
        <w:tc>
          <w:tcPr>
            <w:tcW w:w="100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30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r>
      <w:tr>
        <w:trPr>
          <w:trHeight w:val="230"/>
        </w:trPr>
        <w:tc>
          <w:tcPr>
            <w:tcW w:w="20" w:type="dxa"/>
            <w:vAlign w:val="bottom"/>
            <w:tcBorders>
              <w:bottom w:val="single" w:sz="8" w:color="auto"/>
            </w:tcBorders>
          </w:tcPr>
          <w:p>
            <w:pPr>
              <w:spacing w:after="0"/>
              <w:rPr>
                <w:sz w:val="20"/>
                <w:szCs w:val="20"/>
                <w:color w:val="auto"/>
              </w:rPr>
            </w:pPr>
          </w:p>
        </w:tc>
        <w:tc>
          <w:tcPr>
            <w:tcW w:w="336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rPr>
              <w:t>Total</w:t>
            </w:r>
          </w:p>
        </w:tc>
        <w:tc>
          <w:tcPr>
            <w:tcW w:w="1720" w:type="dxa"/>
            <w:vAlign w:val="bottom"/>
            <w:tcBorders>
              <w:top w:val="single" w:sz="8" w:color="auto"/>
              <w:bottom w:val="single" w:sz="8" w:color="auto"/>
            </w:tcBorders>
          </w:tcPr>
          <w:p>
            <w:pPr>
              <w:jc w:val="right"/>
              <w:ind w:right="50"/>
              <w:spacing w:after="0"/>
              <w:rPr>
                <w:sz w:val="20"/>
                <w:szCs w:val="20"/>
                <w:color w:val="auto"/>
              </w:rPr>
            </w:pPr>
            <w:r>
              <w:rPr>
                <w:rFonts w:ascii="Arial" w:cs="Arial" w:eastAsia="Arial" w:hAnsi="Arial"/>
                <w:sz w:val="18"/>
                <w:szCs w:val="18"/>
                <w:color w:val="auto"/>
              </w:rPr>
              <w:t>$</w:t>
            </w:r>
          </w:p>
        </w:tc>
        <w:tc>
          <w:tcPr>
            <w:tcW w:w="940" w:type="dxa"/>
            <w:vAlign w:val="bottom"/>
            <w:tcBorders>
              <w:top w:val="single" w:sz="8" w:color="auto"/>
              <w:bottom w:val="single" w:sz="8" w:color="auto"/>
            </w:tcBorders>
          </w:tcPr>
          <w:p>
            <w:pPr>
              <w:jc w:val="right"/>
              <w:ind w:right="50"/>
              <w:spacing w:after="0"/>
              <w:rPr>
                <w:sz w:val="20"/>
                <w:szCs w:val="20"/>
                <w:color w:val="auto"/>
              </w:rPr>
            </w:pPr>
            <w:r>
              <w:rPr>
                <w:rFonts w:ascii="Arial" w:cs="Arial" w:eastAsia="Arial" w:hAnsi="Arial"/>
                <w:sz w:val="18"/>
                <w:szCs w:val="18"/>
                <w:color w:val="auto"/>
              </w:rPr>
              <w:t>148.2</w:t>
            </w:r>
          </w:p>
        </w:tc>
        <w:tc>
          <w:tcPr>
            <w:tcW w:w="3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020" w:type="dxa"/>
            <w:vAlign w:val="bottom"/>
            <w:tcBorders>
              <w:top w:val="single" w:sz="8" w:color="auto"/>
              <w:bottom w:val="single" w:sz="8" w:color="auto"/>
            </w:tcBorders>
          </w:tcPr>
          <w:p>
            <w:pPr>
              <w:jc w:val="right"/>
              <w:ind w:right="70"/>
              <w:spacing w:after="0"/>
              <w:rPr>
                <w:sz w:val="20"/>
                <w:szCs w:val="20"/>
                <w:color w:val="auto"/>
              </w:rPr>
            </w:pPr>
            <w:r>
              <w:rPr>
                <w:rFonts w:ascii="Arial" w:cs="Arial" w:eastAsia="Arial" w:hAnsi="Arial"/>
                <w:sz w:val="18"/>
                <w:szCs w:val="18"/>
                <w:color w:val="auto"/>
              </w:rPr>
              <w:t>87.1</w:t>
            </w:r>
          </w:p>
        </w:tc>
        <w:tc>
          <w:tcPr>
            <w:tcW w:w="2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000" w:type="dxa"/>
            <w:vAlign w:val="bottom"/>
            <w:tcBorders>
              <w:top w:val="single" w:sz="8" w:color="auto"/>
              <w:bottom w:val="single" w:sz="8" w:color="auto"/>
            </w:tcBorders>
          </w:tcPr>
          <w:p>
            <w:pPr>
              <w:jc w:val="right"/>
              <w:ind w:right="70"/>
              <w:spacing w:after="0"/>
              <w:rPr>
                <w:sz w:val="20"/>
                <w:szCs w:val="20"/>
                <w:color w:val="auto"/>
              </w:rPr>
            </w:pPr>
            <w:r>
              <w:rPr>
                <w:rFonts w:ascii="Arial" w:cs="Arial" w:eastAsia="Arial" w:hAnsi="Arial"/>
                <w:sz w:val="18"/>
                <w:szCs w:val="18"/>
                <w:color w:val="auto"/>
              </w:rPr>
              <w:t>28.5</w:t>
            </w:r>
          </w:p>
        </w:tc>
        <w:tc>
          <w:tcPr>
            <w:tcW w:w="3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000" w:type="dxa"/>
            <w:vAlign w:val="bottom"/>
            <w:tcBorders>
              <w:top w:val="single" w:sz="8" w:color="auto"/>
              <w:bottom w:val="single" w:sz="8" w:color="auto"/>
            </w:tcBorders>
          </w:tcPr>
          <w:p>
            <w:pPr>
              <w:jc w:val="right"/>
              <w:ind w:right="70"/>
              <w:spacing w:after="0"/>
              <w:rPr>
                <w:sz w:val="20"/>
                <w:szCs w:val="20"/>
                <w:color w:val="auto"/>
              </w:rPr>
            </w:pPr>
            <w:r>
              <w:rPr>
                <w:rFonts w:ascii="Arial" w:cs="Arial" w:eastAsia="Arial" w:hAnsi="Arial"/>
                <w:sz w:val="18"/>
                <w:szCs w:val="18"/>
                <w:color w:val="auto"/>
              </w:rPr>
              <w:t>2.2</w:t>
            </w:r>
          </w:p>
        </w:tc>
        <w:tc>
          <w:tcPr>
            <w:tcW w:w="3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0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30.4</w:t>
            </w:r>
          </w:p>
        </w:tc>
        <w:tc>
          <w:tcPr>
            <w:tcW w:w="100" w:type="dxa"/>
            <w:vAlign w:val="bottom"/>
          </w:tcPr>
          <w:p>
            <w:pPr>
              <w:spacing w:after="0"/>
              <w:rPr>
                <w:sz w:val="20"/>
                <w:szCs w:val="20"/>
                <w:color w:val="auto"/>
              </w:rPr>
            </w:pPr>
          </w:p>
        </w:tc>
      </w:tr>
    </w:tbl>
    <w:p>
      <w:pPr>
        <w:spacing w:after="0" w:line="256" w:lineRule="exact"/>
        <w:rPr>
          <w:sz w:val="20"/>
          <w:szCs w:val="20"/>
          <w:color w:val="auto"/>
        </w:rPr>
      </w:pPr>
    </w:p>
    <w:p>
      <w:pPr>
        <w:ind w:firstLine="913"/>
        <w:spacing w:after="0" w:line="255" w:lineRule="auto"/>
        <w:rPr>
          <w:sz w:val="20"/>
          <w:szCs w:val="20"/>
          <w:color w:val="auto"/>
        </w:rPr>
      </w:pPr>
      <w:r>
        <w:rPr>
          <w:rFonts w:ascii="Arial" w:cs="Arial" w:eastAsia="Arial" w:hAnsi="Arial"/>
          <w:sz w:val="18"/>
          <w:szCs w:val="18"/>
          <w:color w:val="auto"/>
        </w:rPr>
        <w:t>Purchase commitments are defined as an agreement to purchase goods or services that are enforceable and legally binding on us. Included in purchase commitments above are certain obligations related to take or pay contracts, capital commitments, service agreements and utilities. Many of these commitments relate to take-or-pay contracts, in which we guarantee payment to ensure availability of products or services. These purchase commitments do not represent our entire anticipated purchases in the future, but represent only those items for which we are contractually obligated. The majority of our products and services are purchased as needed, with no commitment. We do not have any off-balance sheet arrangements with unconsolidated entities or other persons.</w:t>
      </w:r>
    </w:p>
    <w:p>
      <w:pPr>
        <w:spacing w:after="0" w:line="234" w:lineRule="exact"/>
        <w:rPr>
          <w:sz w:val="20"/>
          <w:szCs w:val="20"/>
          <w:color w:val="auto"/>
        </w:rPr>
      </w:pPr>
    </w:p>
    <w:p>
      <w:pPr>
        <w:ind w:right="280" w:firstLine="913"/>
        <w:spacing w:after="0" w:line="259" w:lineRule="auto"/>
        <w:rPr>
          <w:sz w:val="20"/>
          <w:szCs w:val="20"/>
          <w:color w:val="auto"/>
        </w:rPr>
      </w:pPr>
      <w:r>
        <w:rPr>
          <w:rFonts w:ascii="Arial" w:cs="Arial" w:eastAsia="Arial" w:hAnsi="Arial"/>
          <w:sz w:val="18"/>
          <w:szCs w:val="18"/>
          <w:color w:val="auto"/>
        </w:rPr>
        <w:t>Timken offers various long-term benefits to its eligible employees, including employees of TimkenSteel who participate in Timken sponsored benefit plans. We expect to record the net benefit plan obligations related to these plans and reflect them on the consolidated balance sheet as of the distribution date; however, prior to that date, allocated expenses and contributions in connection with these plans are funded through intercompany transactions with Timken.</w:t>
      </w:r>
    </w:p>
    <w:p>
      <w:pPr>
        <w:spacing w:after="0" w:line="214" w:lineRule="exact"/>
        <w:rPr>
          <w:sz w:val="20"/>
          <w:szCs w:val="20"/>
          <w:color w:val="auto"/>
        </w:rPr>
      </w:pPr>
    </w:p>
    <w:p>
      <w:pPr>
        <w:ind w:right="200" w:firstLine="913"/>
        <w:spacing w:after="0" w:line="277" w:lineRule="auto"/>
        <w:rPr>
          <w:sz w:val="20"/>
          <w:szCs w:val="20"/>
          <w:color w:val="auto"/>
        </w:rPr>
      </w:pPr>
      <w:r>
        <w:rPr>
          <w:rFonts w:ascii="Arial" w:cs="Arial" w:eastAsia="Arial" w:hAnsi="Arial"/>
          <w:sz w:val="18"/>
          <w:szCs w:val="18"/>
          <w:color w:val="auto"/>
        </w:rPr>
        <w:t>As of March 31, 2014, there are no material changes outside the ordinary course of business to our contractual debt obligations and contractual commitments specified in the table above.</w:t>
      </w:r>
    </w:p>
    <w:p>
      <w:pPr>
        <w:sectPr>
          <w:pgSz w:w="11900" w:h="16838" w:orient="portrait"/>
          <w:cols w:equalWidth="0" w:num="1">
            <w:col w:w="11420"/>
          </w:cols>
          <w:pgMar w:left="240" w:top="459" w:right="239" w:bottom="1440" w:gutter="0" w:footer="0" w:header="0"/>
        </w:sectPr>
      </w:pPr>
    </w:p>
    <w:p>
      <w:pPr>
        <w:spacing w:after="0" w:line="103"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43</w:t>
      </w:r>
    </w:p>
    <w:p>
      <w:pPr>
        <w:sectPr>
          <w:pgSz w:w="11900" w:h="16838" w:orient="portrait"/>
          <w:cols w:equalWidth="0" w:num="1">
            <w:col w:w="11420"/>
          </w:cols>
          <w:pgMar w:left="240" w:top="459" w:right="239" w:bottom="1440" w:gutter="0" w:footer="0" w:header="0"/>
          <w:type w:val="continuous"/>
        </w:sectPr>
      </w:pPr>
    </w:p>
    <w:bookmarkStart w:id="54" w:name="page55"/>
    <w:bookmarkEnd w:id="5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Critical Accounting Policies and Estimates</w:t>
      </w:r>
    </w:p>
    <w:p>
      <w:pPr>
        <w:spacing w:after="0" w:line="270" w:lineRule="exact"/>
        <w:rPr>
          <w:sz w:val="20"/>
          <w:szCs w:val="20"/>
          <w:color w:val="auto"/>
        </w:rPr>
      </w:pPr>
    </w:p>
    <w:p>
      <w:pPr>
        <w:ind w:right="100" w:firstLine="913"/>
        <w:spacing w:after="0" w:line="272" w:lineRule="auto"/>
        <w:rPr>
          <w:sz w:val="20"/>
          <w:szCs w:val="20"/>
          <w:color w:val="auto"/>
        </w:rPr>
      </w:pPr>
      <w:r>
        <w:rPr>
          <w:rFonts w:ascii="Arial" w:cs="Arial" w:eastAsia="Arial" w:hAnsi="Arial"/>
          <w:sz w:val="17"/>
          <w:szCs w:val="17"/>
          <w:color w:val="auto"/>
        </w:rPr>
        <w:t>The preparation of our Consolidated Financial Statements in conformity with U.S. GAAP requires management to use judgment in making estimates and assumptions that affect the reported amounts of assets and liabilities, disclosure of contingent assets and liabilities and the reported amounts of revenues and expenses. See Note 2 - Significant Accounting Policies, to our Audited Consolidated Financial Statements included elsewhere in this prospectus, which includes a summary of the significant accounting policies we used to prepare our Audited Consolidated Financial Statements. The preparation of these financial statements requires management to make estimates and assumptions that affect the reported amounts of assets and liabilities as of the date of the financial statements and the reported amounts of revenues and expenses during the periods presented. The following paragraphs include a discussion of critical areas that require a higher degree of judgment, estimates and complexity.</w:t>
      </w:r>
    </w:p>
    <w:p>
      <w:pPr>
        <w:spacing w:after="0" w:line="21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New Accounting Guidance</w:t>
      </w:r>
    </w:p>
    <w:p>
      <w:pPr>
        <w:spacing w:after="0" w:line="256" w:lineRule="exact"/>
        <w:rPr>
          <w:sz w:val="20"/>
          <w:szCs w:val="20"/>
          <w:color w:val="auto"/>
        </w:rPr>
      </w:pPr>
    </w:p>
    <w:p>
      <w:pPr>
        <w:ind w:firstLine="913"/>
        <w:spacing w:after="0" w:line="264" w:lineRule="auto"/>
        <w:rPr>
          <w:sz w:val="20"/>
          <w:szCs w:val="20"/>
          <w:color w:val="auto"/>
        </w:rPr>
      </w:pPr>
      <w:r>
        <w:rPr>
          <w:rFonts w:ascii="Arial" w:cs="Arial" w:eastAsia="Arial" w:hAnsi="Arial"/>
          <w:sz w:val="18"/>
          <w:szCs w:val="18"/>
          <w:color w:val="auto"/>
        </w:rPr>
        <w:t>See Note 2 - Significant Accounting Policies to our Audited Consolidated Financial Statements and Note 2 - Recent Accounting Pronouncements to our Unaudited Consolidated Financial Statements for the three months ended March 31, 2014 and 2013 included elsewhere in this prospectus for a discussion of recently issued accounting pronouncements.</w:t>
      </w:r>
    </w:p>
    <w:p>
      <w:pPr>
        <w:spacing w:after="0" w:line="21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Revenue Recognition</w:t>
      </w:r>
    </w:p>
    <w:p>
      <w:pPr>
        <w:spacing w:after="0" w:line="270" w:lineRule="exact"/>
        <w:rPr>
          <w:sz w:val="20"/>
          <w:szCs w:val="20"/>
          <w:color w:val="auto"/>
        </w:rPr>
      </w:pPr>
    </w:p>
    <w:p>
      <w:pPr>
        <w:ind w:right="100" w:firstLine="913"/>
        <w:spacing w:after="0" w:line="257" w:lineRule="auto"/>
        <w:rPr>
          <w:sz w:val="20"/>
          <w:szCs w:val="20"/>
          <w:color w:val="auto"/>
        </w:rPr>
      </w:pPr>
      <w:r>
        <w:rPr>
          <w:rFonts w:ascii="Arial" w:cs="Arial" w:eastAsia="Arial" w:hAnsi="Arial"/>
          <w:sz w:val="18"/>
          <w:szCs w:val="18"/>
          <w:color w:val="auto"/>
        </w:rPr>
        <w:t>We recognize revenue when title passes to the customer, which includes related party sales to other subsidiaries of Timken. This occurs at the shipping point except for goods sold by certain foreign entities and certain exported goods, where title passes when the goods reach their destination. Selling prices are fixed based on purchase orders or contractual arrangements. Shipping and handling costs billed to customers are included in net sales and the related costs are included in cost of products sold in the Consolidated Statements of Comprehensive Income for the three months ended March 31, 2014 and 2013 and the years ended December 31, 2013, 2012 and 2011.</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Inventory</w:t>
      </w:r>
    </w:p>
    <w:p>
      <w:pPr>
        <w:spacing w:after="0" w:line="270" w:lineRule="exact"/>
        <w:rPr>
          <w:sz w:val="20"/>
          <w:szCs w:val="20"/>
          <w:color w:val="auto"/>
        </w:rPr>
      </w:pPr>
    </w:p>
    <w:p>
      <w:pPr>
        <w:ind w:firstLine="913"/>
        <w:spacing w:after="0" w:line="254" w:lineRule="auto"/>
        <w:rPr>
          <w:sz w:val="20"/>
          <w:szCs w:val="20"/>
          <w:color w:val="auto"/>
        </w:rPr>
      </w:pPr>
      <w:r>
        <w:rPr>
          <w:rFonts w:ascii="Arial" w:cs="Arial" w:eastAsia="Arial" w:hAnsi="Arial"/>
          <w:sz w:val="18"/>
          <w:szCs w:val="18"/>
          <w:color w:val="auto"/>
        </w:rPr>
        <w:t>Inventories are valued at the lower of cost or market, with approximately 65% valued by the LIFO method and the remaining 35% valued by the FIFO method. The majority of our domestic inventories are valued by the LIFO method, and all of our international inventories are valued by the FIFO method. An actual valuation of the inventory under the LIFO method can be made only at the end of each year based on the inventory levels and costs at that time. Accordingly, interim LIFO calculations are based on management’s estimates of expected year-end inventory levels and costs. Because these are subject to many factors beyond management’s control, annual results may differ from interim results as they are subject to the final year-end LIFO inventory valuation. We recognized an increase in our LIFO reserve of $1.5 million for 2013, compared to a decrease in our LIFO reserve of $15.7 million for 2012. We recognized a decrease in our LIFO reserve of $0.4 million during the first three months of 2014 compared to a decrease in our LIFO reserve of $4.6 million during the first three months of 2013.</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Long-lived Asset Impairment</w:t>
      </w:r>
    </w:p>
    <w:p>
      <w:pPr>
        <w:spacing w:after="0" w:line="256" w:lineRule="exact"/>
        <w:rPr>
          <w:sz w:val="20"/>
          <w:szCs w:val="20"/>
          <w:color w:val="auto"/>
        </w:rPr>
      </w:pPr>
    </w:p>
    <w:p>
      <w:pPr>
        <w:ind w:firstLine="913"/>
        <w:spacing w:after="0" w:line="277" w:lineRule="auto"/>
        <w:rPr>
          <w:sz w:val="20"/>
          <w:szCs w:val="20"/>
          <w:color w:val="auto"/>
        </w:rPr>
      </w:pPr>
      <w:r>
        <w:rPr>
          <w:rFonts w:ascii="Arial" w:cs="Arial" w:eastAsia="Arial" w:hAnsi="Arial"/>
          <w:sz w:val="18"/>
          <w:szCs w:val="18"/>
          <w:color w:val="auto"/>
        </w:rPr>
        <w:t>Long-lived assets (including tangible assets and intangible assets subject to amortization) are reviewed for impairment when events or changes in circumstances have occurred indicating that the carrying value of the assets may not be recoverable.</w:t>
      </w:r>
    </w:p>
    <w:p>
      <w:pPr>
        <w:spacing w:after="0" w:line="211" w:lineRule="exact"/>
        <w:rPr>
          <w:sz w:val="20"/>
          <w:szCs w:val="20"/>
          <w:color w:val="auto"/>
        </w:rPr>
      </w:pPr>
    </w:p>
    <w:p>
      <w:pPr>
        <w:ind w:right="60" w:firstLine="913"/>
        <w:spacing w:after="0" w:line="259" w:lineRule="auto"/>
        <w:rPr>
          <w:sz w:val="20"/>
          <w:szCs w:val="20"/>
          <w:color w:val="auto"/>
        </w:rPr>
      </w:pPr>
      <w:r>
        <w:rPr>
          <w:rFonts w:ascii="Arial" w:cs="Arial" w:eastAsia="Arial" w:hAnsi="Arial"/>
          <w:sz w:val="18"/>
          <w:szCs w:val="18"/>
          <w:color w:val="auto"/>
        </w:rPr>
        <w:t>We test recoverability of long-lived assets at the lowest level for which there are identifiable cash flows that are independent from the cash flows of other assets. We review product lines, plants, and subsidiaries, as well as individual assets for impairment. Assets and asset groups held and used are measured for recoverability by comparing the carrying amount of the asset or asset group to the sum of future undiscounted net cash flows expected to be generated by the asset or asset group.</w:t>
      </w:r>
    </w:p>
    <w:p>
      <w:pPr>
        <w:spacing w:after="0" w:line="227" w:lineRule="exact"/>
        <w:rPr>
          <w:sz w:val="20"/>
          <w:szCs w:val="20"/>
          <w:color w:val="auto"/>
        </w:rPr>
      </w:pPr>
    </w:p>
    <w:p>
      <w:pPr>
        <w:ind w:right="160" w:firstLine="913"/>
        <w:spacing w:after="0" w:line="264" w:lineRule="auto"/>
        <w:rPr>
          <w:sz w:val="20"/>
          <w:szCs w:val="20"/>
          <w:color w:val="auto"/>
        </w:rPr>
      </w:pPr>
      <w:r>
        <w:rPr>
          <w:rFonts w:ascii="Arial" w:cs="Arial" w:eastAsia="Arial" w:hAnsi="Arial"/>
          <w:sz w:val="18"/>
          <w:szCs w:val="18"/>
          <w:color w:val="auto"/>
        </w:rPr>
        <w:t>Assumptions and estimates about future values and remaining useful lives of our long-lived assets are complex and subjective. They can be affected by a variety of factors, including external factors such as industry and economic trends and internal factors such as changes in our business strategy and our internal forecasts.</w:t>
      </w:r>
    </w:p>
    <w:p>
      <w:pPr>
        <w:spacing w:after="0" w:line="208" w:lineRule="exact"/>
        <w:rPr>
          <w:sz w:val="20"/>
          <w:szCs w:val="20"/>
          <w:color w:val="auto"/>
        </w:rPr>
      </w:pPr>
    </w:p>
    <w:p>
      <w:pPr>
        <w:jc w:val="both"/>
        <w:ind w:right="40" w:firstLine="913"/>
        <w:spacing w:after="0" w:line="264" w:lineRule="auto"/>
        <w:rPr>
          <w:sz w:val="20"/>
          <w:szCs w:val="20"/>
          <w:color w:val="auto"/>
        </w:rPr>
      </w:pPr>
      <w:r>
        <w:rPr>
          <w:rFonts w:ascii="Arial" w:cs="Arial" w:eastAsia="Arial" w:hAnsi="Arial"/>
          <w:sz w:val="18"/>
          <w:szCs w:val="18"/>
          <w:color w:val="auto"/>
        </w:rPr>
        <w:t>If an asset or asset group is considered to be impaired, the impairment loss that would be recognized is the amount by which the carrying amount of the assets exceeds the fair value of the assets. To determine fair value, we would use internal cash flow estimates discounted at an appropriate interest rate, third party appraisals, as appropriate, and/or market prices of similar assets, when available.</w:t>
      </w:r>
    </w:p>
    <w:p>
      <w:pPr>
        <w:spacing w:after="0" w:line="222" w:lineRule="exact"/>
        <w:rPr>
          <w:sz w:val="20"/>
          <w:szCs w:val="20"/>
          <w:color w:val="auto"/>
        </w:rPr>
      </w:pPr>
    </w:p>
    <w:p>
      <w:pPr>
        <w:ind w:right="120" w:firstLine="913"/>
        <w:spacing w:after="0" w:line="286" w:lineRule="auto"/>
        <w:rPr>
          <w:sz w:val="20"/>
          <w:szCs w:val="20"/>
          <w:color w:val="auto"/>
        </w:rPr>
      </w:pPr>
      <w:r>
        <w:rPr>
          <w:rFonts w:ascii="Arial" w:cs="Arial" w:eastAsia="Arial" w:hAnsi="Arial"/>
          <w:sz w:val="17"/>
          <w:szCs w:val="17"/>
          <w:color w:val="auto"/>
        </w:rPr>
        <w:t>In 2013, we recorded a write-down of $0.6 million related to the discontinued use of certain machinery and equipment. There were no events or circumstances that occurred indicating that the carrying value of the assets may not be recoverable, and therefore no long-lived assets were reviewed for impairment for the three months ended March 31, 2014 and 2013 and for the years ended December 31, 2012 and 2011.</w:t>
      </w:r>
    </w:p>
    <w:p>
      <w:pPr>
        <w:sectPr>
          <w:pgSz w:w="11900" w:h="16838" w:orient="portrait"/>
          <w:cols w:equalWidth="0" w:num="1">
            <w:col w:w="11400"/>
          </w:cols>
          <w:pgMar w:left="240" w:top="459" w:right="259" w:bottom="1440" w:gutter="0" w:footer="0" w:header="0"/>
        </w:sectPr>
      </w:pPr>
    </w:p>
    <w:p>
      <w:pPr>
        <w:spacing w:after="0" w:line="98"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44</w:t>
      </w:r>
    </w:p>
    <w:p>
      <w:pPr>
        <w:sectPr>
          <w:pgSz w:w="11900" w:h="16838" w:orient="portrait"/>
          <w:cols w:equalWidth="0" w:num="1">
            <w:col w:w="11400"/>
          </w:cols>
          <w:pgMar w:left="240" w:top="459" w:right="259" w:bottom="1440" w:gutter="0" w:footer="0" w:header="0"/>
          <w:type w:val="continuous"/>
        </w:sectPr>
      </w:pPr>
    </w:p>
    <w:bookmarkStart w:id="55" w:name="page56"/>
    <w:bookmarkEnd w:id="5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Goodwill and Intangibles</w:t>
      </w:r>
    </w:p>
    <w:p>
      <w:pPr>
        <w:spacing w:after="0" w:line="270" w:lineRule="exact"/>
        <w:rPr>
          <w:sz w:val="20"/>
          <w:szCs w:val="20"/>
          <w:color w:val="auto"/>
        </w:rPr>
      </w:pPr>
    </w:p>
    <w:p>
      <w:pPr>
        <w:ind w:right="60" w:firstLine="913"/>
        <w:spacing w:after="0" w:line="257" w:lineRule="auto"/>
        <w:rPr>
          <w:sz w:val="20"/>
          <w:szCs w:val="20"/>
          <w:color w:val="auto"/>
        </w:rPr>
      </w:pPr>
      <w:r>
        <w:rPr>
          <w:rFonts w:ascii="Arial" w:cs="Arial" w:eastAsia="Arial" w:hAnsi="Arial"/>
          <w:sz w:val="18"/>
          <w:szCs w:val="18"/>
          <w:color w:val="auto"/>
        </w:rPr>
        <w:t>We test goodwill and indefinite-lived intangible assets for impairment at least annually as of October 1, after the annual forecasting process is completed. Furthermore, goodwill and indefinite-lived intangible assets are reviewed for impairment whenever events or changes in circumstances indicate that the carrying values may not be recoverable. Each interim period, our management assesses whether or not an indicator of impairment is present that would necessitate that an impairment analysis be performed for goodwill or indefinite-lived intangible assets at an interim period other than during the fourth quarter.</w:t>
      </w:r>
    </w:p>
    <w:p>
      <w:pPr>
        <w:spacing w:after="0" w:line="229" w:lineRule="exact"/>
        <w:rPr>
          <w:sz w:val="20"/>
          <w:szCs w:val="20"/>
          <w:color w:val="auto"/>
        </w:rPr>
      </w:pPr>
    </w:p>
    <w:p>
      <w:pPr>
        <w:ind w:firstLine="913"/>
        <w:spacing w:after="0" w:line="297" w:lineRule="auto"/>
        <w:rPr>
          <w:sz w:val="20"/>
          <w:szCs w:val="20"/>
          <w:color w:val="auto"/>
        </w:rPr>
      </w:pPr>
      <w:r>
        <w:rPr>
          <w:rFonts w:ascii="Arial" w:cs="Arial" w:eastAsia="Arial" w:hAnsi="Arial"/>
          <w:sz w:val="16"/>
          <w:szCs w:val="16"/>
          <w:color w:val="auto"/>
        </w:rPr>
        <w:t>Our impairment review process compares the estimated fair values of our reporting units in which goodwill resides to our carrying values. Estimating the fair value of individual reporting units requires us to make assumptions and estimates regarding our future plans, industry and economic conditions and our actual results and conditions may differ over time. Reporting units may be operating segments as a whole or an operation one level below an operating segment, referred to as a component. Components are defined as operations for which discrete financial information is available and reviewed by segment management. As of March 31, 2014, December 31, 2013 and December 31, 2012, we had $0.9 million of indefinite-lived intangibles.</w:t>
      </w:r>
    </w:p>
    <w:p>
      <w:pPr>
        <w:spacing w:after="0" w:line="185" w:lineRule="exact"/>
        <w:rPr>
          <w:sz w:val="20"/>
          <w:szCs w:val="20"/>
          <w:color w:val="auto"/>
        </w:rPr>
      </w:pPr>
    </w:p>
    <w:p>
      <w:pPr>
        <w:ind w:right="40" w:firstLine="913"/>
        <w:spacing w:after="0" w:line="279" w:lineRule="auto"/>
        <w:rPr>
          <w:sz w:val="20"/>
          <w:szCs w:val="20"/>
          <w:color w:val="auto"/>
        </w:rPr>
      </w:pPr>
      <w:r>
        <w:rPr>
          <w:rFonts w:ascii="Arial" w:cs="Arial" w:eastAsia="Arial" w:hAnsi="Arial"/>
          <w:sz w:val="17"/>
          <w:szCs w:val="17"/>
          <w:color w:val="auto"/>
        </w:rPr>
        <w:t>In accordance with our goodwill impairment testing policy, we perform our annual impairment test of goodwill as of October 1 of each year. The first step in this test involves comparing the fair value of each reporting unit to its carrying value, including goodwill. If the carrying amount of a reporting unit exceeds its fair value, the second step in the test is performed, which is measurement of the impairment loss. The impairment loss is calculated by comparing the implied fair value of goodwill, as if the reporting unit has been acquired in a business combination, to its carrying amount.</w:t>
      </w:r>
    </w:p>
    <w:p>
      <w:pPr>
        <w:spacing w:after="0" w:line="212" w:lineRule="exact"/>
        <w:rPr>
          <w:sz w:val="20"/>
          <w:szCs w:val="20"/>
          <w:color w:val="auto"/>
        </w:rPr>
      </w:pPr>
    </w:p>
    <w:p>
      <w:pPr>
        <w:ind w:right="80" w:firstLine="913"/>
        <w:spacing w:after="0" w:line="279" w:lineRule="auto"/>
        <w:rPr>
          <w:sz w:val="20"/>
          <w:szCs w:val="20"/>
          <w:color w:val="auto"/>
        </w:rPr>
      </w:pPr>
      <w:r>
        <w:rPr>
          <w:rFonts w:ascii="Arial" w:cs="Arial" w:eastAsia="Arial" w:hAnsi="Arial"/>
          <w:sz w:val="17"/>
          <w:szCs w:val="17"/>
          <w:color w:val="auto"/>
        </w:rPr>
        <w:t>In the performance of our Step 1 analysis of goodwill for 2011, the carrying amount of the City Scrap and Salvage Co., or City Scrap, reporting unit was determined to exceed its fair value. Therefore, a Step 2 analysis was performed where the carrying value was compared to the fair value of its assets and liabilities as if City Scrap was acquired in a business combination. As a result, the carrying amount of City Scrap’s goodwill exceeded the implied fair value of its goodwill, and we recorded a goodwill impairment charge of $2.9 million during the fourth quarter of 2011.</w:t>
      </w:r>
    </w:p>
    <w:p>
      <w:pPr>
        <w:spacing w:after="0" w:line="212" w:lineRule="exact"/>
        <w:rPr>
          <w:sz w:val="20"/>
          <w:szCs w:val="20"/>
          <w:color w:val="auto"/>
        </w:rPr>
      </w:pPr>
    </w:p>
    <w:p>
      <w:pPr>
        <w:ind w:right="120" w:firstLine="913"/>
        <w:spacing w:after="0" w:line="264" w:lineRule="auto"/>
        <w:rPr>
          <w:sz w:val="20"/>
          <w:szCs w:val="20"/>
          <w:color w:val="auto"/>
        </w:rPr>
      </w:pPr>
      <w:r>
        <w:rPr>
          <w:rFonts w:ascii="Arial" w:cs="Arial" w:eastAsia="Arial" w:hAnsi="Arial"/>
          <w:sz w:val="18"/>
          <w:szCs w:val="18"/>
          <w:color w:val="auto"/>
        </w:rPr>
        <w:t>We tested our non-amortizable intangible asset for impairment using planned growth rates, market-based discount rates and estimates of royalty rates. If the carrying value exceeds fair value, the intangible asset is considered impaired and is reduced to fair value. There were no impairment charges to non-amortizable intangible assets during 2013, 2012 or 2011 or the first three months of 2014.</w:t>
      </w:r>
    </w:p>
    <w:p>
      <w:pPr>
        <w:spacing w:after="0" w:line="208" w:lineRule="exact"/>
        <w:rPr>
          <w:sz w:val="20"/>
          <w:szCs w:val="20"/>
          <w:color w:val="auto"/>
        </w:rPr>
      </w:pPr>
    </w:p>
    <w:p>
      <w:pPr>
        <w:ind w:firstLine="913"/>
        <w:spacing w:after="0" w:line="277" w:lineRule="auto"/>
        <w:rPr>
          <w:sz w:val="20"/>
          <w:szCs w:val="20"/>
          <w:color w:val="auto"/>
        </w:rPr>
      </w:pPr>
      <w:r>
        <w:rPr>
          <w:rFonts w:ascii="Arial" w:cs="Arial" w:eastAsia="Arial" w:hAnsi="Arial"/>
          <w:sz w:val="18"/>
          <w:szCs w:val="18"/>
          <w:color w:val="auto"/>
        </w:rPr>
        <w:t>Definite-lived intangible assets are amortized over their estimated useful lives and evaluated for impairment as long-lived assets whenever events or changes in circumstances indicate that the carrying values may not be recoverable.</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Income Taxes</w:t>
      </w:r>
    </w:p>
    <w:p>
      <w:pPr>
        <w:spacing w:after="0" w:line="270" w:lineRule="exact"/>
        <w:rPr>
          <w:sz w:val="20"/>
          <w:szCs w:val="20"/>
          <w:color w:val="auto"/>
        </w:rPr>
      </w:pPr>
    </w:p>
    <w:p>
      <w:pPr>
        <w:ind w:right="60" w:firstLine="913"/>
        <w:spacing w:after="0" w:line="255" w:lineRule="auto"/>
        <w:rPr>
          <w:sz w:val="20"/>
          <w:szCs w:val="20"/>
          <w:color w:val="auto"/>
        </w:rPr>
      </w:pPr>
      <w:r>
        <w:rPr>
          <w:rFonts w:ascii="Arial" w:cs="Arial" w:eastAsia="Arial" w:hAnsi="Arial"/>
          <w:sz w:val="18"/>
          <w:szCs w:val="18"/>
          <w:color w:val="auto"/>
        </w:rPr>
        <w:t>For purposes of our Consolidated Financial Statements, we recorded income tax expense and deferred tax balances as if we filed separate tax returns on a stand-alone basis, which we refer to as the “separate return method.” As a stand-alone entity, our deferred taxes and effective tax rate may differ from those in the historical periods. The separate return method applies the accounting guidance for income taxes to the stand-alone financial statements as if we were a separate taxpayer and a stand-alone enterprise for the periods presented. The calculation of the provision for income taxes, deferred tax assets and liabilities, valuation allowances against deferred tax assets, and accruals for uncertain tax positions on a separate return basis requires a considerable amount of judgment and use of both estimates and allocations.</w:t>
      </w:r>
    </w:p>
    <w:p>
      <w:pPr>
        <w:spacing w:after="0" w:line="220" w:lineRule="exact"/>
        <w:rPr>
          <w:sz w:val="20"/>
          <w:szCs w:val="20"/>
          <w:color w:val="auto"/>
        </w:rPr>
      </w:pPr>
    </w:p>
    <w:p>
      <w:pPr>
        <w:ind w:firstLine="913"/>
        <w:spacing w:after="0" w:line="271" w:lineRule="auto"/>
        <w:rPr>
          <w:sz w:val="20"/>
          <w:szCs w:val="20"/>
          <w:color w:val="auto"/>
        </w:rPr>
      </w:pPr>
      <w:r>
        <w:rPr>
          <w:rFonts w:ascii="Arial" w:cs="Arial" w:eastAsia="Arial" w:hAnsi="Arial"/>
          <w:sz w:val="17"/>
          <w:szCs w:val="17"/>
          <w:color w:val="auto"/>
        </w:rPr>
        <w:t>We are subject to income taxes in the United States and numerous non-U.S. jurisdictions and account for income taxes in accordance with ASC 740, “Income Taxes.” Deferred tax assets and liabilities are recorded for the future tax consequences attributable to differences between financial statement carrying amounts of existing assets and liabilities and their respective tax bases, as well as net operating loss and tax credit carryforwards. Deferred tax assets and liabilities are measured using enacted tax rates expected to apply to taxable income in the years in which temporary differences are expected to be recovered or settled. We record valuation allowances against deferred tax assets by tax jurisdiction when it is more likely than not that such assets will not be realized. In determining the need for a valuation allowance, the historical and projected financial performance of the entity recording the net deferred tax asset is considered along with any other pertinent information. Net deferred tax assets relate primarily to pension and postretirement benefit obligations in the United States, which we believe are more likely than not to result in future tax benefits.</w:t>
      </w:r>
    </w:p>
    <w:p>
      <w:pPr>
        <w:spacing w:after="0" w:line="11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45</w:t>
      </w:r>
    </w:p>
    <w:p>
      <w:pPr>
        <w:sectPr>
          <w:pgSz w:w="11900" w:h="16838" w:orient="portrait"/>
          <w:cols w:equalWidth="0" w:num="1">
            <w:col w:w="11400"/>
          </w:cols>
          <w:pgMar w:left="240" w:top="459" w:right="259" w:bottom="1440" w:gutter="0" w:footer="0" w:header="0"/>
        </w:sectPr>
      </w:pPr>
    </w:p>
    <w:bookmarkStart w:id="56" w:name="page57"/>
    <w:bookmarkEnd w:id="5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jc w:val="both"/>
        <w:ind w:right="20" w:firstLine="913"/>
        <w:spacing w:after="0" w:line="264" w:lineRule="auto"/>
        <w:rPr>
          <w:sz w:val="20"/>
          <w:szCs w:val="20"/>
          <w:color w:val="auto"/>
        </w:rPr>
      </w:pPr>
      <w:r>
        <w:rPr>
          <w:rFonts w:ascii="Arial" w:cs="Arial" w:eastAsia="Arial" w:hAnsi="Arial"/>
          <w:sz w:val="18"/>
          <w:szCs w:val="18"/>
          <w:color w:val="auto"/>
        </w:rPr>
        <w:t>In the ordinary course of our business, there are many transactions and calculations where the ultimate income tax determination is uncertain. We are regularly under audit by tax authorities. Accruals for uncertain tax positions are provided for in accordance with the requirements of ASC 740. We record interest and penalties related to uncertain tax positions as a component of income tax expense.</w:t>
      </w:r>
    </w:p>
    <w:p>
      <w:pPr>
        <w:spacing w:after="0" w:line="21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Benefit Plans</w:t>
      </w:r>
    </w:p>
    <w:p>
      <w:pPr>
        <w:spacing w:after="0" w:line="270" w:lineRule="exact"/>
        <w:rPr>
          <w:sz w:val="20"/>
          <w:szCs w:val="20"/>
          <w:color w:val="auto"/>
        </w:rPr>
      </w:pPr>
    </w:p>
    <w:p>
      <w:pPr>
        <w:ind w:right="20" w:firstLine="913"/>
        <w:spacing w:after="0" w:line="259" w:lineRule="auto"/>
        <w:rPr>
          <w:sz w:val="20"/>
          <w:szCs w:val="20"/>
          <w:color w:val="auto"/>
        </w:rPr>
      </w:pPr>
      <w:r>
        <w:rPr>
          <w:rFonts w:ascii="Arial" w:cs="Arial" w:eastAsia="Arial" w:hAnsi="Arial"/>
          <w:sz w:val="18"/>
          <w:szCs w:val="18"/>
          <w:color w:val="auto"/>
        </w:rPr>
        <w:t>Timken sponsors a number of defined benefit pension plans that cover our eligible associates and several postretirement plans that provide health care and life insurance benefits for our eligible retirees and their dependents. Timken accounts for these plans in accordance with accounting guidance for defined benefit pension and other post employment benefit plans. As of the distribution date, we expect to record the net benefit plan obligations related to these plans and reflect them in our consolidated balance sheets.</w:t>
      </w:r>
    </w:p>
    <w:p>
      <w:pPr>
        <w:spacing w:after="0" w:line="214" w:lineRule="exact"/>
        <w:rPr>
          <w:sz w:val="20"/>
          <w:szCs w:val="20"/>
          <w:color w:val="auto"/>
        </w:rPr>
      </w:pPr>
    </w:p>
    <w:p>
      <w:pPr>
        <w:ind w:firstLine="913"/>
        <w:spacing w:after="0" w:line="293" w:lineRule="auto"/>
        <w:rPr>
          <w:sz w:val="20"/>
          <w:szCs w:val="20"/>
          <w:color w:val="auto"/>
        </w:rPr>
      </w:pPr>
      <w:r>
        <w:rPr>
          <w:rFonts w:ascii="Arial" w:cs="Arial" w:eastAsia="Arial" w:hAnsi="Arial"/>
          <w:sz w:val="16"/>
          <w:szCs w:val="16"/>
          <w:color w:val="auto"/>
        </w:rPr>
        <w:t>Our Consolidated Statements of Comprehensive Income include expense allocations for these benefits that were determined based on a review of personnel by business unit and based on allocations of corporate and other shared functional personnel. We consider the expense allocation methodology and results to be reasonable for all periods presented. Total Timken benefit plan net expenses allocated to us were $30.2 million in 2013, $28.0 million in 2012 and $29.6 million in 2011. The Timken benefit plan net expenses allocated to us were $6.1 million for the three months ended March 31, 2014 and $7.4 million for the three months ended March 31, 2013. These costs are reflected in our cost of products sold and SG&amp;A expenses. These costs were funded through intercompany transactions with Timken and are now reflected within the Net Parent Investment balance in our Consolidated Balance Sheets.</w:t>
      </w:r>
    </w:p>
    <w:p>
      <w:pPr>
        <w:spacing w:after="0" w:line="20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Other Loss Reserves</w:t>
      </w:r>
    </w:p>
    <w:p>
      <w:pPr>
        <w:spacing w:after="0" w:line="270" w:lineRule="exact"/>
        <w:rPr>
          <w:sz w:val="20"/>
          <w:szCs w:val="20"/>
          <w:color w:val="auto"/>
        </w:rPr>
      </w:pPr>
    </w:p>
    <w:p>
      <w:pPr>
        <w:ind w:right="80" w:firstLine="913"/>
        <w:spacing w:after="0" w:line="259" w:lineRule="auto"/>
        <w:rPr>
          <w:sz w:val="20"/>
          <w:szCs w:val="20"/>
          <w:color w:val="auto"/>
        </w:rPr>
      </w:pPr>
      <w:r>
        <w:rPr>
          <w:rFonts w:ascii="Arial" w:cs="Arial" w:eastAsia="Arial" w:hAnsi="Arial"/>
          <w:sz w:val="18"/>
          <w:szCs w:val="18"/>
          <w:color w:val="auto"/>
        </w:rPr>
        <w:t>We have a number of loss exposures that are incurred in the ordinary course of business such as environmental claims, product liability claims, product warranty claims, litigation and accounts receivable reserves. Establishing loss reserves for these matters requires management’s estimate and judgment with regards to risk exposure and ultimate liability or realization. These loss reserves are reviewed periodically and adjustments are made to reflect the most recent facts and circumstances.</w:t>
      </w:r>
    </w:p>
    <w:p>
      <w:pPr>
        <w:spacing w:after="0" w:line="11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46</w:t>
      </w:r>
    </w:p>
    <w:p>
      <w:pPr>
        <w:sectPr>
          <w:pgSz w:w="11900" w:h="16838" w:orient="portrait"/>
          <w:cols w:equalWidth="0" w:num="1">
            <w:col w:w="11400"/>
          </w:cols>
          <w:pgMar w:left="240" w:top="459" w:right="259" w:bottom="1440" w:gutter="0" w:footer="0" w:header="0"/>
        </w:sectPr>
      </w:pPr>
    </w:p>
    <w:bookmarkStart w:id="57" w:name="page58"/>
    <w:bookmarkEnd w:id="5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QUALITATIVE AND QUALITATIVE DISCLOSURES ABOUT MARKET RISK</w:t>
      </w:r>
    </w:p>
    <w:p>
      <w:pPr>
        <w:spacing w:after="0" w:line="2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Interest Rate Risk</w:t>
      </w:r>
    </w:p>
    <w:p>
      <w:pPr>
        <w:spacing w:after="0" w:line="270" w:lineRule="exact"/>
        <w:rPr>
          <w:sz w:val="20"/>
          <w:szCs w:val="20"/>
          <w:color w:val="auto"/>
        </w:rPr>
      </w:pPr>
    </w:p>
    <w:p>
      <w:pPr>
        <w:ind w:firstLine="913"/>
        <w:spacing w:after="0" w:line="297" w:lineRule="auto"/>
        <w:rPr>
          <w:sz w:val="20"/>
          <w:szCs w:val="20"/>
          <w:color w:val="auto"/>
        </w:rPr>
      </w:pPr>
      <w:r>
        <w:rPr>
          <w:rFonts w:ascii="Arial" w:cs="Arial" w:eastAsia="Arial" w:hAnsi="Arial"/>
          <w:sz w:val="16"/>
          <w:szCs w:val="16"/>
          <w:color w:val="auto"/>
        </w:rPr>
        <w:t>We expect a portion of our borrowings may be at variable rates of interest and expose us to interest rate risks. We will be exposed to the risk of rising interest rates to the extent that we fund our operations with short-term or variable-rate borrowings. We expect that as of the date of the spinoff, we will have approximately $130.2 million of aggregate debt outstanding, all of which will consist of debt with variable interest rates. Based on the amount of debt with variable rate interest that we expect to be outstanding at the time of the completion of the spinoff, a 1% rise in interest rates would result in an increase in interest expense of approximately $1.3 million annually, with a corresponding decrease in income from operations before income taxes of the same amount.</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Foreign Currency Exchange Rate Risk</w:t>
      </w:r>
    </w:p>
    <w:p>
      <w:pPr>
        <w:spacing w:after="0" w:line="270" w:lineRule="exact"/>
        <w:rPr>
          <w:sz w:val="20"/>
          <w:szCs w:val="20"/>
          <w:color w:val="auto"/>
        </w:rPr>
      </w:pPr>
    </w:p>
    <w:p>
      <w:pPr>
        <w:ind w:firstLine="913"/>
        <w:spacing w:after="0" w:line="264" w:lineRule="auto"/>
        <w:rPr>
          <w:sz w:val="20"/>
          <w:szCs w:val="20"/>
          <w:color w:val="auto"/>
        </w:rPr>
      </w:pPr>
      <w:r>
        <w:rPr>
          <w:rFonts w:ascii="Arial" w:cs="Arial" w:eastAsia="Arial" w:hAnsi="Arial"/>
          <w:sz w:val="18"/>
          <w:szCs w:val="18"/>
          <w:color w:val="auto"/>
        </w:rPr>
        <w:t>Fluctuations in the value of the U.S. dollar compared to foreign currencies may impact our earnings. Geographically our sales are primarily made to customers in the United States. Currency fluctuations could impact us to the extent they impact the currency or the price of raw materials in foreign countries in which our competitors operate or have significant sales.</w:t>
      </w:r>
    </w:p>
    <w:p>
      <w:pPr>
        <w:spacing w:after="0" w:line="21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Commodity Price Risk</w:t>
      </w:r>
    </w:p>
    <w:p>
      <w:pPr>
        <w:spacing w:after="0" w:line="256" w:lineRule="exact"/>
        <w:rPr>
          <w:sz w:val="20"/>
          <w:szCs w:val="20"/>
          <w:color w:val="auto"/>
        </w:rPr>
      </w:pPr>
    </w:p>
    <w:p>
      <w:pPr>
        <w:ind w:firstLine="913"/>
        <w:spacing w:after="0" w:line="270" w:lineRule="auto"/>
        <w:rPr>
          <w:sz w:val="20"/>
          <w:szCs w:val="20"/>
          <w:color w:val="auto"/>
        </w:rPr>
      </w:pPr>
      <w:r>
        <w:rPr>
          <w:rFonts w:ascii="Arial" w:cs="Arial" w:eastAsia="Arial" w:hAnsi="Arial"/>
          <w:sz w:val="17"/>
          <w:szCs w:val="17"/>
          <w:color w:val="auto"/>
        </w:rPr>
        <w:t>In the ordinary course of business, we are exposed to market risk with respect to commodity price fluctuations, primarily related to our purchases of raw materials and energy, principally scrap steel, other ferrous and non-ferrous metals, alloys and natural gas. Whenever possible, we manage our exposure to commodity risks primarily through the use of supplier pricing agreements that enable us to establish the purchase prices for certain inputs that are used in our manufacturing business. We utilize a raw material surcharge as a component of pricing steel to pass through the cost increases of scrap, alloys and other raw materials, as well as natural gas. From time to time, we also use derivative financial instruments to hedge a portion of our exposure to price risk related to natural gas purchases. In periods of stable demand for our products, the surcharge mechanism has worked effectively to reduce the normal time lag in passing through higher raw material costs so that we can maintain our gross margins. When demand and cost of raw materials is lower, however, the surcharge impacts sales prices to a lesser extent. We may also use derivative financial instruments from time to time to hedge a portion of our exposure to price risk related to electricity costs used in the production process.</w:t>
      </w:r>
    </w:p>
    <w:p>
      <w:pPr>
        <w:spacing w:after="0" w:line="11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47</w:t>
      </w:r>
    </w:p>
    <w:p>
      <w:pPr>
        <w:sectPr>
          <w:pgSz w:w="11900" w:h="16838" w:orient="portrait"/>
          <w:cols w:equalWidth="0" w:num="1">
            <w:col w:w="11400"/>
          </w:cols>
          <w:pgMar w:left="240" w:top="459" w:right="259" w:bottom="1440" w:gutter="0" w:footer="0" w:header="0"/>
        </w:sectPr>
      </w:pPr>
    </w:p>
    <w:bookmarkStart w:id="58" w:name="page59"/>
    <w:bookmarkEnd w:id="5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BUSINESS</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Overview</w:t>
      </w:r>
    </w:p>
    <w:p>
      <w:pPr>
        <w:spacing w:after="0" w:line="270" w:lineRule="exact"/>
        <w:rPr>
          <w:sz w:val="20"/>
          <w:szCs w:val="20"/>
          <w:color w:val="auto"/>
        </w:rPr>
      </w:pPr>
    </w:p>
    <w:p>
      <w:pPr>
        <w:jc w:val="both"/>
        <w:ind w:right="20" w:firstLine="913"/>
        <w:spacing w:after="0" w:line="312" w:lineRule="auto"/>
        <w:rPr>
          <w:sz w:val="20"/>
          <w:szCs w:val="20"/>
          <w:color w:val="auto"/>
        </w:rPr>
      </w:pPr>
      <w:r>
        <w:rPr>
          <w:rFonts w:ascii="Arial" w:cs="Arial" w:eastAsia="Arial" w:hAnsi="Arial"/>
          <w:sz w:val="16"/>
          <w:szCs w:val="16"/>
          <w:color w:val="auto"/>
        </w:rPr>
        <w:t>We believe, based on our knowledge of the steel industry, that we are the only focused SBQ steel producer in North America and have the largest SBQ steel large bar (6 inch diameter and greater) production capacity among the North American steel producers. In addition, based on our internal estimates, we believe we have historically supplied, on average, approximately 40% of the seamless mechanical tube demand in North America.</w:t>
      </w:r>
    </w:p>
    <w:p>
      <w:pPr>
        <w:spacing w:after="0" w:line="187" w:lineRule="exact"/>
        <w:rPr>
          <w:sz w:val="20"/>
          <w:szCs w:val="20"/>
          <w:color w:val="auto"/>
        </w:rPr>
      </w:pPr>
    </w:p>
    <w:p>
      <w:pPr>
        <w:ind w:right="20" w:firstLine="913"/>
        <w:spacing w:after="0" w:line="272" w:lineRule="auto"/>
        <w:rPr>
          <w:sz w:val="20"/>
          <w:szCs w:val="20"/>
          <w:color w:val="auto"/>
        </w:rPr>
      </w:pPr>
      <w:r>
        <w:rPr>
          <w:rFonts w:ascii="Arial" w:cs="Arial" w:eastAsia="Arial" w:hAnsi="Arial"/>
          <w:sz w:val="17"/>
          <w:szCs w:val="17"/>
          <w:color w:val="auto"/>
        </w:rPr>
        <w:t>While we believe we are the leading manufacturer of SBQ steel large bars (6 inch diameter and greater) and seamless mechanical tubing in North America and the only high volume steel manufacturer with capabilities of developing SBQ steel large bars up to sixteen inches in diameter, that is only part of our story. We believe the TimkenSteel business model is unique in our industry in that we have the flexibility to produce customized SBQ steel for our customers in high or low volume, as the situation dictates, whereas most producers of customized products generally produce in only either high or low volume, but not both. We focus on creating tailored products and services for our customers’ most demanding applications. Our engineers are experts in both materials and applications, so we can work closely with each customer to deliver flexible solutions related to our products as well as their applications and supply chains. We believe our unique operating model gives us a competitive advantage in our industry.</w:t>
      </w:r>
    </w:p>
    <w:p>
      <w:pPr>
        <w:spacing w:after="0" w:line="205" w:lineRule="exact"/>
        <w:rPr>
          <w:sz w:val="20"/>
          <w:szCs w:val="20"/>
          <w:color w:val="auto"/>
        </w:rPr>
      </w:pPr>
    </w:p>
    <w:p>
      <w:pPr>
        <w:ind w:right="120" w:firstLine="913"/>
        <w:spacing w:after="0" w:line="257" w:lineRule="auto"/>
        <w:rPr>
          <w:sz w:val="20"/>
          <w:szCs w:val="20"/>
          <w:color w:val="auto"/>
        </w:rPr>
      </w:pPr>
      <w:r>
        <w:rPr>
          <w:rFonts w:ascii="Arial" w:cs="Arial" w:eastAsia="Arial" w:hAnsi="Arial"/>
          <w:sz w:val="18"/>
          <w:szCs w:val="18"/>
          <w:color w:val="auto"/>
        </w:rPr>
        <w:t>We manufacture alloy steel, as well as carbon and micro-alloy steel, with an annual melt capacity of approximately 2 million tons. Our portfolio includes SBQ bars, seamless mechanical tubing and precision steel components. In addition, we supply machining and thermal treatment services, as well as manage raw material recycling programs, which are done as a feeder system for our operations. We focus on research and development as we create the answers to our customers’ toughest engineering challenges and leverage those answers into new product offerings. Our goal is to create value for all of our constituents through:</w:t>
      </w:r>
    </w:p>
    <w:p>
      <w:pPr>
        <w:spacing w:after="0" w:line="269" w:lineRule="exact"/>
        <w:rPr>
          <w:sz w:val="20"/>
          <w:szCs w:val="20"/>
          <w:color w:val="auto"/>
        </w:rPr>
      </w:pPr>
    </w:p>
    <w:p>
      <w:pPr>
        <w:ind w:left="1580" w:hanging="329"/>
        <w:spacing w:after="0"/>
        <w:tabs>
          <w:tab w:leader="none" w:pos="1580" w:val="left"/>
        </w:tabs>
        <w:numPr>
          <w:ilvl w:val="0"/>
          <w:numId w:val="16"/>
        </w:numPr>
        <w:rPr>
          <w:rFonts w:ascii="Arial" w:cs="Arial" w:eastAsia="Arial" w:hAnsi="Arial"/>
          <w:sz w:val="16"/>
          <w:szCs w:val="16"/>
          <w:color w:val="auto"/>
        </w:rPr>
      </w:pPr>
      <w:r>
        <w:rPr>
          <w:rFonts w:ascii="Arial" w:cs="Arial" w:eastAsia="Arial" w:hAnsi="Arial"/>
          <w:sz w:val="16"/>
          <w:szCs w:val="16"/>
          <w:i w:val="1"/>
          <w:iCs w:val="1"/>
          <w:u w:val="single" w:color="auto"/>
          <w:color w:val="auto"/>
        </w:rPr>
        <w:t>Technology</w:t>
      </w:r>
      <w:r>
        <w:rPr>
          <w:rFonts w:ascii="Arial" w:cs="Arial" w:eastAsia="Arial" w:hAnsi="Arial"/>
          <w:sz w:val="16"/>
          <w:szCs w:val="16"/>
          <w:color w:val="auto"/>
        </w:rPr>
        <w:t>. Our technology and know-how in metallurgy, in applications, in processes and in delivering best-in-class products/services;</w:t>
      </w:r>
    </w:p>
    <w:p>
      <w:pPr>
        <w:spacing w:after="0" w:line="180" w:lineRule="exact"/>
        <w:rPr>
          <w:rFonts w:ascii="Arial" w:cs="Arial" w:eastAsia="Arial" w:hAnsi="Arial"/>
          <w:sz w:val="16"/>
          <w:szCs w:val="16"/>
          <w:color w:val="auto"/>
        </w:rPr>
      </w:pPr>
    </w:p>
    <w:p>
      <w:pPr>
        <w:ind w:left="1580" w:hanging="329"/>
        <w:spacing w:after="0" w:line="342" w:lineRule="auto"/>
        <w:tabs>
          <w:tab w:leader="none" w:pos="1580" w:val="left"/>
        </w:tabs>
        <w:numPr>
          <w:ilvl w:val="0"/>
          <w:numId w:val="16"/>
        </w:numPr>
        <w:rPr>
          <w:rFonts w:ascii="Arial" w:cs="Arial" w:eastAsia="Arial" w:hAnsi="Arial"/>
          <w:sz w:val="16"/>
          <w:szCs w:val="16"/>
          <w:color w:val="auto"/>
        </w:rPr>
      </w:pPr>
      <w:r>
        <w:rPr>
          <w:rFonts w:ascii="Arial" w:cs="Arial" w:eastAsia="Arial" w:hAnsi="Arial"/>
          <w:sz w:val="16"/>
          <w:szCs w:val="16"/>
          <w:i w:val="1"/>
          <w:iCs w:val="1"/>
          <w:u w:val="single" w:color="auto"/>
          <w:color w:val="auto"/>
        </w:rPr>
        <w:t>Customer Focus</w:t>
      </w:r>
      <w:r>
        <w:rPr>
          <w:rFonts w:ascii="Arial" w:cs="Arial" w:eastAsia="Arial" w:hAnsi="Arial"/>
          <w:sz w:val="16"/>
          <w:szCs w:val="16"/>
          <w:color w:val="auto"/>
        </w:rPr>
        <w:t>. Our understanding of customers and their applications positions us to provide them with customized products/services,</w:t>
      </w:r>
      <w:r>
        <w:rPr>
          <w:rFonts w:ascii="Arial" w:cs="Arial" w:eastAsia="Arial" w:hAnsi="Arial"/>
          <w:sz w:val="16"/>
          <w:szCs w:val="16"/>
          <w:i w:val="1"/>
          <w:iCs w:val="1"/>
          <w:color w:val="auto"/>
        </w:rPr>
        <w:t xml:space="preserve"> </w:t>
      </w:r>
      <w:r>
        <w:rPr>
          <w:rFonts w:ascii="Arial" w:cs="Arial" w:eastAsia="Arial" w:hAnsi="Arial"/>
          <w:sz w:val="16"/>
          <w:szCs w:val="16"/>
          <w:color w:val="auto"/>
        </w:rPr>
        <w:t>tailored to demanding applications and supply chains. We believe we are an industry leader for collaboration and service;</w:t>
      </w:r>
    </w:p>
    <w:p>
      <w:pPr>
        <w:spacing w:after="0" w:line="56" w:lineRule="exact"/>
        <w:rPr>
          <w:rFonts w:ascii="Arial" w:cs="Arial" w:eastAsia="Arial" w:hAnsi="Arial"/>
          <w:sz w:val="16"/>
          <w:szCs w:val="16"/>
          <w:color w:val="auto"/>
        </w:rPr>
      </w:pPr>
    </w:p>
    <w:p>
      <w:pPr>
        <w:ind w:left="1580" w:right="200" w:hanging="329"/>
        <w:spacing w:after="0" w:line="259" w:lineRule="auto"/>
        <w:tabs>
          <w:tab w:leader="none" w:pos="1580" w:val="left"/>
        </w:tabs>
        <w:numPr>
          <w:ilvl w:val="0"/>
          <w:numId w:val="16"/>
        </w:numPr>
        <w:rPr>
          <w:rFonts w:ascii="Arial" w:cs="Arial" w:eastAsia="Arial" w:hAnsi="Arial"/>
          <w:sz w:val="18"/>
          <w:szCs w:val="18"/>
          <w:color w:val="auto"/>
        </w:rPr>
      </w:pPr>
      <w:r>
        <w:rPr>
          <w:rFonts w:ascii="Arial" w:cs="Arial" w:eastAsia="Arial" w:hAnsi="Arial"/>
          <w:sz w:val="18"/>
          <w:szCs w:val="18"/>
          <w:i w:val="1"/>
          <w:iCs w:val="1"/>
          <w:u w:val="single" w:color="auto"/>
          <w:color w:val="auto"/>
        </w:rPr>
        <w:t>Performance</w:t>
      </w:r>
      <w:r>
        <w:rPr>
          <w:rFonts w:ascii="Arial" w:cs="Arial" w:eastAsia="Arial" w:hAnsi="Arial"/>
          <w:sz w:val="18"/>
          <w:szCs w:val="18"/>
          <w:color w:val="auto"/>
        </w:rPr>
        <w:t>. We believe we are North America’s leading manufacturer of SBQ steel large bars (6 inch diameter and greater) and</w:t>
      </w:r>
      <w:r>
        <w:rPr>
          <w:rFonts w:ascii="Arial" w:cs="Arial" w:eastAsia="Arial" w:hAnsi="Arial"/>
          <w:sz w:val="18"/>
          <w:szCs w:val="18"/>
          <w:i w:val="1"/>
          <w:iCs w:val="1"/>
          <w:color w:val="auto"/>
        </w:rPr>
        <w:t xml:space="preserve"> </w:t>
      </w:r>
      <w:r>
        <w:rPr>
          <w:rFonts w:ascii="Arial" w:cs="Arial" w:eastAsia="Arial" w:hAnsi="Arial"/>
          <w:sz w:val="18"/>
          <w:szCs w:val="18"/>
          <w:color w:val="auto"/>
        </w:rPr>
        <w:t>seamless mechanical tubing and the only high volume steel manufacturer with capabilities of developing SBQ steel large bars of six inches up to sixteen inches in diameter. We are at the forefront in consistently meeting the high quality and reliability standards of our customers;</w:t>
      </w:r>
    </w:p>
    <w:p>
      <w:pPr>
        <w:spacing w:after="0" w:line="119" w:lineRule="exact"/>
        <w:rPr>
          <w:rFonts w:ascii="Arial" w:cs="Arial" w:eastAsia="Arial" w:hAnsi="Arial"/>
          <w:sz w:val="18"/>
          <w:szCs w:val="18"/>
          <w:color w:val="auto"/>
        </w:rPr>
      </w:pPr>
    </w:p>
    <w:p>
      <w:pPr>
        <w:ind w:left="1580" w:hanging="329"/>
        <w:spacing w:after="0" w:line="264" w:lineRule="auto"/>
        <w:tabs>
          <w:tab w:leader="none" w:pos="1580" w:val="left"/>
        </w:tabs>
        <w:numPr>
          <w:ilvl w:val="0"/>
          <w:numId w:val="16"/>
        </w:numPr>
        <w:rPr>
          <w:rFonts w:ascii="Arial" w:cs="Arial" w:eastAsia="Arial" w:hAnsi="Arial"/>
          <w:sz w:val="18"/>
          <w:szCs w:val="18"/>
          <w:color w:val="auto"/>
        </w:rPr>
      </w:pPr>
      <w:r>
        <w:rPr>
          <w:rFonts w:ascii="Arial" w:cs="Arial" w:eastAsia="Arial" w:hAnsi="Arial"/>
          <w:sz w:val="18"/>
          <w:szCs w:val="18"/>
          <w:i w:val="1"/>
          <w:iCs w:val="1"/>
          <w:u w:val="single" w:color="auto"/>
          <w:color w:val="auto"/>
        </w:rPr>
        <w:t>Operational Excellence</w:t>
      </w:r>
      <w:r>
        <w:rPr>
          <w:rFonts w:ascii="Arial" w:cs="Arial" w:eastAsia="Arial" w:hAnsi="Arial"/>
          <w:sz w:val="18"/>
          <w:szCs w:val="18"/>
          <w:color w:val="auto"/>
        </w:rPr>
        <w:t>. We have a unique operating model, and what we believe to be industry-leading manufacturing assets and strong</w:t>
      </w:r>
      <w:r>
        <w:rPr>
          <w:rFonts w:ascii="Arial" w:cs="Arial" w:eastAsia="Arial" w:hAnsi="Arial"/>
          <w:sz w:val="18"/>
          <w:szCs w:val="18"/>
          <w:i w:val="1"/>
          <w:iCs w:val="1"/>
          <w:color w:val="auto"/>
        </w:rPr>
        <w:t xml:space="preserve"> </w:t>
      </w:r>
      <w:r>
        <w:rPr>
          <w:rFonts w:ascii="Arial" w:cs="Arial" w:eastAsia="Arial" w:hAnsi="Arial"/>
          <w:sz w:val="18"/>
          <w:szCs w:val="18"/>
          <w:color w:val="auto"/>
        </w:rPr>
        <w:t>supply chain management skills that create a competitive advantage. We are environmentally responsible and have a relentless focus on safety; and</w:t>
      </w:r>
    </w:p>
    <w:p>
      <w:pPr>
        <w:spacing w:after="0" w:line="113" w:lineRule="exact"/>
        <w:rPr>
          <w:rFonts w:ascii="Arial" w:cs="Arial" w:eastAsia="Arial" w:hAnsi="Arial"/>
          <w:sz w:val="18"/>
          <w:szCs w:val="18"/>
          <w:color w:val="auto"/>
        </w:rPr>
      </w:pPr>
    </w:p>
    <w:p>
      <w:pPr>
        <w:ind w:left="1580" w:hanging="329"/>
        <w:spacing w:after="0"/>
        <w:tabs>
          <w:tab w:leader="none" w:pos="1580" w:val="left"/>
        </w:tabs>
        <w:numPr>
          <w:ilvl w:val="0"/>
          <w:numId w:val="16"/>
        </w:numPr>
        <w:rPr>
          <w:rFonts w:ascii="Arial" w:cs="Arial" w:eastAsia="Arial" w:hAnsi="Arial"/>
          <w:sz w:val="18"/>
          <w:szCs w:val="18"/>
          <w:color w:val="auto"/>
        </w:rPr>
      </w:pPr>
      <w:r>
        <w:rPr>
          <w:rFonts w:ascii="Arial" w:cs="Arial" w:eastAsia="Arial" w:hAnsi="Arial"/>
          <w:sz w:val="18"/>
          <w:szCs w:val="18"/>
          <w:i w:val="1"/>
          <w:iCs w:val="1"/>
          <w:u w:val="single" w:color="auto"/>
          <w:color w:val="auto"/>
        </w:rPr>
        <w:t>Stewardship</w:t>
      </w:r>
      <w:r>
        <w:rPr>
          <w:rFonts w:ascii="Arial" w:cs="Arial" w:eastAsia="Arial" w:hAnsi="Arial"/>
          <w:sz w:val="18"/>
          <w:szCs w:val="18"/>
          <w:color w:val="auto"/>
        </w:rPr>
        <w:t>. We have built a legacy of trust with our stakeholders and have an ongoing commitment to the community.</w:t>
      </w:r>
    </w:p>
    <w:p>
      <w:pPr>
        <w:spacing w:after="0" w:line="306" w:lineRule="exact"/>
        <w:rPr>
          <w:sz w:val="20"/>
          <w:szCs w:val="20"/>
          <w:color w:val="auto"/>
        </w:rPr>
      </w:pPr>
    </w:p>
    <w:p>
      <w:pPr>
        <w:ind w:right="120" w:firstLine="913"/>
        <w:spacing w:after="0" w:line="255" w:lineRule="auto"/>
        <w:rPr>
          <w:sz w:val="20"/>
          <w:szCs w:val="20"/>
          <w:color w:val="auto"/>
        </w:rPr>
      </w:pPr>
      <w:r>
        <w:rPr>
          <w:rFonts w:ascii="Arial" w:cs="Arial" w:eastAsia="Arial" w:hAnsi="Arial"/>
          <w:sz w:val="18"/>
          <w:szCs w:val="18"/>
          <w:color w:val="auto"/>
        </w:rPr>
        <w:t>The Timken steel business grew from The Timken Roller Bearing Company, which was founded in 1899 by carriage-maker/inventor Henry Timken and his two sons. By 1913, the company launched its first formal research facility, centered on improving the quality of its raw material supply. As a result, in 1914, the company began a switch to electric-arc furnace steel, which demonstrated dramatic performance improvements for customers. By 1915, the company opened a tube mill in Canton, Ohio to create tubing from more readily available solid steel cylinders. Within two years, concerns over having a dependable supply of premium steel led to the decision to competitively produce Timken</w:t>
      </w:r>
      <w:r>
        <w:rPr>
          <w:rFonts w:ascii="Arial" w:cs="Arial" w:eastAsia="Arial" w:hAnsi="Arial"/>
          <w:sz w:val="15"/>
          <w:szCs w:val="15"/>
          <w:color w:val="auto"/>
        </w:rPr>
        <w:t>®</w:t>
      </w:r>
      <w:r>
        <w:rPr>
          <w:rFonts w:ascii="Arial" w:cs="Arial" w:eastAsia="Arial" w:hAnsi="Arial"/>
          <w:sz w:val="18"/>
          <w:szCs w:val="18"/>
          <w:color w:val="auto"/>
        </w:rPr>
        <w:t xml:space="preserve"> steel in-house, capturing cost savings from recycling the scrap from the bearings operations. When the company’s Canton, Ohio, steel plant became operational in 1917, it included one of the largest electric-arc furnace facilities in the country.</w:t>
      </w:r>
    </w:p>
    <w:p>
      <w:pPr>
        <w:spacing w:after="0" w:line="216" w:lineRule="exact"/>
        <w:rPr>
          <w:sz w:val="20"/>
          <w:szCs w:val="20"/>
          <w:color w:val="auto"/>
        </w:rPr>
      </w:pPr>
    </w:p>
    <w:p>
      <w:pPr>
        <w:ind w:right="20" w:firstLine="913"/>
        <w:spacing w:after="0" w:line="264" w:lineRule="auto"/>
        <w:rPr>
          <w:sz w:val="20"/>
          <w:szCs w:val="20"/>
          <w:color w:val="auto"/>
        </w:rPr>
      </w:pPr>
      <w:r>
        <w:rPr>
          <w:rFonts w:ascii="Arial" w:cs="Arial" w:eastAsia="Arial" w:hAnsi="Arial"/>
          <w:sz w:val="18"/>
          <w:szCs w:val="18"/>
          <w:color w:val="auto"/>
        </w:rPr>
        <w:t>We are currently a wholly owned subsidiary of Timken. We were incorporated in Ohio on October 24, 2013. In conjunction with the spinoff, Timken has transferred to us all of the assets and generally all of the liabilities related to the steel business. TimkenSteel will become an independent, publicly traded company through a spinoff, on June 30, 2014, the distribution date.</w:t>
      </w:r>
    </w:p>
    <w:p>
      <w:pPr>
        <w:spacing w:after="0" w:line="222" w:lineRule="exact"/>
        <w:rPr>
          <w:sz w:val="20"/>
          <w:szCs w:val="20"/>
          <w:color w:val="auto"/>
        </w:rPr>
      </w:pPr>
    </w:p>
    <w:p>
      <w:pPr>
        <w:jc w:val="both"/>
        <w:ind w:right="120" w:firstLine="913"/>
        <w:spacing w:after="0" w:line="288" w:lineRule="auto"/>
        <w:rPr>
          <w:sz w:val="20"/>
          <w:szCs w:val="20"/>
          <w:color w:val="auto"/>
        </w:rPr>
      </w:pPr>
      <w:r>
        <w:rPr>
          <w:rFonts w:ascii="Arial" w:cs="Arial" w:eastAsia="Arial" w:hAnsi="Arial"/>
          <w:sz w:val="16"/>
          <w:szCs w:val="16"/>
          <w:color w:val="auto"/>
        </w:rPr>
        <w:t>After the spinoff, we expect we will continue to be North America’s leading manufacturer of SBQ steel large bars (6 inch diameter and greater) and seamless mechanical tubing and the only high volume steel manufacturer with capabilities of developing SBQ steel large bars of six inches up to sixteen inches in diameter. SBQ steel is made to restrictive chemical compositions and high internal purity levels and is used in critical mechanical applications.</w:t>
      </w:r>
    </w:p>
    <w:p>
      <w:pPr>
        <w:ind w:right="320"/>
        <w:spacing w:after="0" w:line="261" w:lineRule="auto"/>
        <w:rPr>
          <w:sz w:val="20"/>
          <w:szCs w:val="20"/>
          <w:color w:val="auto"/>
        </w:rPr>
      </w:pPr>
      <w:r>
        <w:rPr>
          <w:rFonts w:ascii="Arial" w:cs="Arial" w:eastAsia="Arial" w:hAnsi="Arial"/>
          <w:sz w:val="18"/>
          <w:szCs w:val="18"/>
          <w:color w:val="auto"/>
        </w:rPr>
        <w:t>Timken makes these products from nearly 100% recycled steel, using its expertise in raw materials to create custom steel products with a competitive cost structure similar to that of a high-volume producer.</w:t>
      </w:r>
    </w:p>
    <w:p>
      <w:pPr>
        <w:spacing w:after="0" w:line="224" w:lineRule="exact"/>
        <w:rPr>
          <w:sz w:val="20"/>
          <w:szCs w:val="20"/>
          <w:color w:val="auto"/>
        </w:rPr>
      </w:pPr>
    </w:p>
    <w:p>
      <w:pPr>
        <w:ind w:left="920"/>
        <w:spacing w:after="0"/>
        <w:rPr>
          <w:sz w:val="20"/>
          <w:szCs w:val="20"/>
          <w:color w:val="auto"/>
        </w:rPr>
      </w:pPr>
      <w:r>
        <w:rPr>
          <w:rFonts w:ascii="Arial" w:cs="Arial" w:eastAsia="Arial" w:hAnsi="Arial"/>
          <w:sz w:val="18"/>
          <w:szCs w:val="18"/>
          <w:color w:val="auto"/>
        </w:rPr>
        <w:t>Our business is composed of two segments:</w:t>
      </w:r>
    </w:p>
    <w:p>
      <w:pPr>
        <w:spacing w:after="0" w:line="252" w:lineRule="exact"/>
        <w:rPr>
          <w:sz w:val="20"/>
          <w:szCs w:val="20"/>
          <w:color w:val="auto"/>
        </w:rPr>
      </w:pPr>
    </w:p>
    <w:p>
      <w:pPr>
        <w:ind w:left="920"/>
        <w:spacing w:after="0"/>
        <w:rPr>
          <w:sz w:val="20"/>
          <w:szCs w:val="20"/>
          <w:color w:val="auto"/>
        </w:rPr>
      </w:pPr>
      <w:r>
        <w:rPr>
          <w:rFonts w:ascii="Arial" w:cs="Arial" w:eastAsia="Arial" w:hAnsi="Arial"/>
          <w:sz w:val="18"/>
          <w:szCs w:val="18"/>
          <w:b w:val="1"/>
          <w:bCs w:val="1"/>
          <w:i w:val="1"/>
          <w:iCs w:val="1"/>
          <w:color w:val="auto"/>
        </w:rPr>
        <w:t>Industrial &amp; Mobile</w:t>
      </w:r>
    </w:p>
    <w:p>
      <w:pPr>
        <w:spacing w:after="0" w:line="266" w:lineRule="exact"/>
        <w:rPr>
          <w:sz w:val="20"/>
          <w:szCs w:val="20"/>
          <w:color w:val="auto"/>
        </w:rPr>
      </w:pPr>
    </w:p>
    <w:p>
      <w:pPr>
        <w:ind w:right="80" w:firstLine="913"/>
        <w:spacing w:after="0" w:line="257" w:lineRule="auto"/>
        <w:rPr>
          <w:sz w:val="20"/>
          <w:szCs w:val="20"/>
          <w:color w:val="auto"/>
        </w:rPr>
      </w:pPr>
      <w:r>
        <w:rPr>
          <w:rFonts w:ascii="Arial" w:cs="Arial" w:eastAsia="Arial" w:hAnsi="Arial"/>
          <w:sz w:val="18"/>
          <w:szCs w:val="18"/>
          <w:color w:val="auto"/>
        </w:rPr>
        <w:t>Our Industrial &amp; Mobile segment is a leading provider of high-quality air-melted alloy steel bars, tubes, precision components and value-added services. For the industrial market sector, we sell to OE manufacturers including agriculture, construction, machinery, military, mining, power generation and rail. For the mobile market sector, we sell to automotive customers, including light-vehicle, medium-truck and heavy-truck applications. Our products in this segment are in applications including engine, transmission and driveline components, large hydraulic system components, military ordnance, mining and construction drilling applications and other types of equipment.</w:t>
      </w:r>
    </w:p>
    <w:p>
      <w:pPr>
        <w:sectPr>
          <w:pgSz w:w="11900" w:h="16838" w:orient="portrait"/>
          <w:cols w:equalWidth="0" w:num="1">
            <w:col w:w="11420"/>
          </w:cols>
          <w:pgMar w:left="240" w:top="459" w:right="239" w:bottom="730" w:gutter="0" w:footer="0" w:header="0"/>
        </w:sectPr>
      </w:pPr>
    </w:p>
    <w:p>
      <w:pPr>
        <w:spacing w:after="0" w:line="242"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48</w:t>
      </w:r>
    </w:p>
    <w:p>
      <w:pPr>
        <w:sectPr>
          <w:pgSz w:w="11900" w:h="16838" w:orient="portrait"/>
          <w:cols w:equalWidth="0" w:num="1">
            <w:col w:w="11420"/>
          </w:cols>
          <w:pgMar w:left="240" w:top="459" w:right="239" w:bottom="730" w:gutter="0" w:footer="0" w:header="0"/>
          <w:type w:val="continuous"/>
        </w:sectPr>
      </w:pPr>
    </w:p>
    <w:bookmarkStart w:id="59" w:name="page60"/>
    <w:bookmarkEnd w:id="5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920"/>
        <w:spacing w:after="0"/>
        <w:rPr>
          <w:sz w:val="20"/>
          <w:szCs w:val="20"/>
          <w:color w:val="auto"/>
        </w:rPr>
      </w:pPr>
      <w:r>
        <w:rPr>
          <w:rFonts w:ascii="Arial" w:cs="Arial" w:eastAsia="Arial" w:hAnsi="Arial"/>
          <w:sz w:val="18"/>
          <w:szCs w:val="18"/>
          <w:b w:val="1"/>
          <w:bCs w:val="1"/>
          <w:i w:val="1"/>
          <w:iCs w:val="1"/>
          <w:color w:val="auto"/>
        </w:rPr>
        <w:t>Energy &amp; Distribution</w:t>
      </w:r>
    </w:p>
    <w:p>
      <w:pPr>
        <w:spacing w:after="0" w:line="266" w:lineRule="exact"/>
        <w:rPr>
          <w:sz w:val="20"/>
          <w:szCs w:val="20"/>
          <w:color w:val="auto"/>
        </w:rPr>
      </w:pPr>
    </w:p>
    <w:p>
      <w:pPr>
        <w:ind w:right="80" w:firstLine="913"/>
        <w:spacing w:after="0" w:line="291" w:lineRule="auto"/>
        <w:rPr>
          <w:sz w:val="20"/>
          <w:szCs w:val="20"/>
          <w:color w:val="auto"/>
        </w:rPr>
      </w:pPr>
      <w:r>
        <w:rPr>
          <w:rFonts w:ascii="Arial" w:cs="Arial" w:eastAsia="Arial" w:hAnsi="Arial"/>
          <w:sz w:val="16"/>
          <w:szCs w:val="16"/>
          <w:color w:val="auto"/>
        </w:rPr>
        <w:t>Our Energy &amp; Distribution segment is a leading provider of high quality air-melted alloy steel bars, seamless tubes and value-added services such as thermal treatment and machining. The Energy &amp; Distribution segment offers unique steel chemistries in various product configurations to improve our customers’ performance in demanding drilling, completion and production activities. Application of our engineered material solutions can be found in both offshore and land-based drilling rig activities. Vertical and horizontal drilling and completion applications include high strength drill string components and specialized completion tools that enable hydraulic fracturing for shale gas and oil. Distribution channel activity is also conducted through this segment. Our distribution channel activity constitutes direct sales of steel bars and seamless mechanical tubes to our distributors. TimkenSteel authorized service centers enable us to collaborate with various independent service centers to deliver differentiated solutions for our end users.</w:t>
      </w:r>
    </w:p>
    <w:p>
      <w:pPr>
        <w:spacing w:after="0" w:line="37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Industry Segments and Geographical Financial Information</w:t>
      </w:r>
    </w:p>
    <w:p>
      <w:pPr>
        <w:spacing w:after="0" w:line="270" w:lineRule="exact"/>
        <w:rPr>
          <w:sz w:val="20"/>
          <w:szCs w:val="20"/>
          <w:color w:val="auto"/>
        </w:rPr>
      </w:pPr>
    </w:p>
    <w:p>
      <w:pPr>
        <w:ind w:right="100" w:firstLine="913"/>
        <w:spacing w:after="0" w:line="279" w:lineRule="auto"/>
        <w:rPr>
          <w:sz w:val="20"/>
          <w:szCs w:val="20"/>
          <w:color w:val="auto"/>
        </w:rPr>
      </w:pPr>
      <w:r>
        <w:rPr>
          <w:rFonts w:ascii="Arial" w:cs="Arial" w:eastAsia="Arial" w:hAnsi="Arial"/>
          <w:sz w:val="17"/>
          <w:szCs w:val="17"/>
          <w:color w:val="auto"/>
        </w:rPr>
        <w:t>Our deep metallurgical expertise and what we believe to be unique operational capabilities drive high-value customized solutions for customers in the industrial, energy and mobile sectors. We also offer value-added products and services, including precision steel components, which further expands our market for tubing and allows us to capture higher value-added steel sales by streamlining customer supply chains. In addition, we sell our products in applications that range from the best-selling vehicles on the road today to a one-off, custom application like the Mars Rover.</w:t>
      </w:r>
    </w:p>
    <w:p>
      <w:pPr>
        <w:spacing w:after="0" w:line="198" w:lineRule="exact"/>
        <w:rPr>
          <w:sz w:val="20"/>
          <w:szCs w:val="20"/>
          <w:color w:val="auto"/>
        </w:rPr>
      </w:pPr>
    </w:p>
    <w:p>
      <w:pPr>
        <w:ind w:right="80" w:firstLine="913"/>
        <w:spacing w:after="0" w:line="286" w:lineRule="auto"/>
        <w:rPr>
          <w:sz w:val="20"/>
          <w:szCs w:val="20"/>
          <w:color w:val="auto"/>
        </w:rPr>
      </w:pPr>
      <w:r>
        <w:rPr>
          <w:rFonts w:ascii="Arial" w:cs="Arial" w:eastAsia="Arial" w:hAnsi="Arial"/>
          <w:sz w:val="17"/>
          <w:szCs w:val="17"/>
          <w:color w:val="auto"/>
        </w:rPr>
        <w:t>Net sales are reported by their destination, and most of our sales are delivered within the United States. See Note 12—Segment Information in the notes to the Audited Consolidated Financial Statements, which is incorporated herein by reference. However, customers around the world value our steel to help improve product durability and reduce ownership costs. Nearly 7% of our sales come from non-U.S. customers.</w:t>
      </w:r>
    </w:p>
    <w:p>
      <w:pPr>
        <w:spacing w:after="0" w:line="20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Strengths and Strategy</w:t>
      </w:r>
    </w:p>
    <w:p>
      <w:pPr>
        <w:spacing w:after="0" w:line="270" w:lineRule="exact"/>
        <w:rPr>
          <w:sz w:val="20"/>
          <w:szCs w:val="20"/>
          <w:color w:val="auto"/>
        </w:rPr>
      </w:pPr>
    </w:p>
    <w:p>
      <w:pPr>
        <w:ind w:right="60" w:firstLine="913"/>
        <w:spacing w:after="0" w:line="302" w:lineRule="auto"/>
        <w:rPr>
          <w:sz w:val="20"/>
          <w:szCs w:val="20"/>
          <w:color w:val="auto"/>
        </w:rPr>
      </w:pPr>
      <w:r>
        <w:rPr>
          <w:rFonts w:ascii="Arial" w:cs="Arial" w:eastAsia="Arial" w:hAnsi="Arial"/>
          <w:sz w:val="16"/>
          <w:szCs w:val="16"/>
          <w:color w:val="auto"/>
        </w:rPr>
        <w:t>We believe our business model is unique in our industry and focuses on creating tailored products and services for our customers’ most demanding applications and supply chains. Approximately 40% of our salaried workforce has an engineering degree. We believe this differentiates us in the marketplace, as our experts in both materials and applications work closely with each customer to deliver flexible solutions related to our products as well as their applications and supply chains. We believe few others can consistently deliver that kind of customization and responsiveness.</w:t>
      </w:r>
    </w:p>
    <w:p>
      <w:pPr>
        <w:spacing w:after="0" w:line="181" w:lineRule="exact"/>
        <w:rPr>
          <w:sz w:val="20"/>
          <w:szCs w:val="20"/>
          <w:color w:val="auto"/>
        </w:rPr>
      </w:pPr>
    </w:p>
    <w:p>
      <w:pPr>
        <w:ind w:left="920"/>
        <w:spacing w:after="0"/>
        <w:rPr>
          <w:sz w:val="20"/>
          <w:szCs w:val="20"/>
          <w:color w:val="auto"/>
        </w:rPr>
      </w:pPr>
      <w:r>
        <w:rPr>
          <w:rFonts w:ascii="Arial" w:cs="Arial" w:eastAsia="Arial" w:hAnsi="Arial"/>
          <w:sz w:val="18"/>
          <w:szCs w:val="18"/>
          <w:color w:val="auto"/>
        </w:rPr>
        <w:t>The TimkenSteel business model delivers these tailored solutions based on the following foundation:</w:t>
      </w:r>
    </w:p>
    <w:p>
      <w:pPr>
        <w:spacing w:after="0" w:line="158" w:lineRule="exact"/>
        <w:rPr>
          <w:sz w:val="20"/>
          <w:szCs w:val="20"/>
          <w:color w:val="auto"/>
        </w:rPr>
      </w:pPr>
    </w:p>
    <w:p>
      <w:pPr>
        <w:ind w:left="1240" w:hanging="327"/>
        <w:spacing w:after="0"/>
        <w:tabs>
          <w:tab w:leader="none" w:pos="1240" w:val="left"/>
        </w:tabs>
        <w:numPr>
          <w:ilvl w:val="0"/>
          <w:numId w:val="17"/>
        </w:numPr>
        <w:rPr>
          <w:rFonts w:ascii="Arial" w:cs="Arial" w:eastAsia="Arial" w:hAnsi="Arial"/>
          <w:sz w:val="18"/>
          <w:szCs w:val="18"/>
          <w:color w:val="auto"/>
        </w:rPr>
      </w:pPr>
      <w:r>
        <w:rPr>
          <w:rFonts w:ascii="Arial" w:cs="Arial" w:eastAsia="Arial" w:hAnsi="Arial"/>
          <w:sz w:val="18"/>
          <w:szCs w:val="18"/>
          <w:color w:val="auto"/>
        </w:rPr>
        <w:t>Deep and experienced management and technical team.</w:t>
      </w:r>
    </w:p>
    <w:p>
      <w:pPr>
        <w:spacing w:after="0" w:line="157" w:lineRule="exact"/>
        <w:rPr>
          <w:rFonts w:ascii="Arial" w:cs="Arial" w:eastAsia="Arial" w:hAnsi="Arial"/>
          <w:sz w:val="18"/>
          <w:szCs w:val="18"/>
          <w:color w:val="auto"/>
        </w:rPr>
      </w:pPr>
    </w:p>
    <w:p>
      <w:pPr>
        <w:ind w:left="1240" w:hanging="327"/>
        <w:spacing w:after="0"/>
        <w:tabs>
          <w:tab w:leader="none" w:pos="1240" w:val="left"/>
        </w:tabs>
        <w:numPr>
          <w:ilvl w:val="0"/>
          <w:numId w:val="17"/>
        </w:numPr>
        <w:rPr>
          <w:rFonts w:ascii="Arial" w:cs="Arial" w:eastAsia="Arial" w:hAnsi="Arial"/>
          <w:sz w:val="18"/>
          <w:szCs w:val="18"/>
          <w:color w:val="auto"/>
        </w:rPr>
      </w:pPr>
      <w:r>
        <w:rPr>
          <w:rFonts w:ascii="Arial" w:cs="Arial" w:eastAsia="Arial" w:hAnsi="Arial"/>
          <w:sz w:val="18"/>
          <w:szCs w:val="18"/>
          <w:color w:val="auto"/>
        </w:rPr>
        <w:t>Close and trusted working relationship with customers across diverse end markets.</w:t>
      </w:r>
    </w:p>
    <w:p>
      <w:pPr>
        <w:spacing w:after="0" w:line="157" w:lineRule="exact"/>
        <w:rPr>
          <w:rFonts w:ascii="Arial" w:cs="Arial" w:eastAsia="Arial" w:hAnsi="Arial"/>
          <w:sz w:val="18"/>
          <w:szCs w:val="18"/>
          <w:color w:val="auto"/>
        </w:rPr>
      </w:pPr>
    </w:p>
    <w:p>
      <w:pPr>
        <w:ind w:left="1240" w:hanging="327"/>
        <w:spacing w:after="0"/>
        <w:tabs>
          <w:tab w:leader="none" w:pos="1240" w:val="left"/>
        </w:tabs>
        <w:numPr>
          <w:ilvl w:val="0"/>
          <w:numId w:val="17"/>
        </w:numPr>
        <w:rPr>
          <w:rFonts w:ascii="Arial" w:cs="Arial" w:eastAsia="Arial" w:hAnsi="Arial"/>
          <w:sz w:val="18"/>
          <w:szCs w:val="18"/>
          <w:color w:val="auto"/>
        </w:rPr>
      </w:pPr>
      <w:r>
        <w:rPr>
          <w:rFonts w:ascii="Arial" w:cs="Arial" w:eastAsia="Arial" w:hAnsi="Arial"/>
          <w:sz w:val="18"/>
          <w:szCs w:val="18"/>
          <w:color w:val="auto"/>
        </w:rPr>
        <w:t>Leadership position in niche markets with differentiated products.</w:t>
      </w:r>
    </w:p>
    <w:p>
      <w:pPr>
        <w:spacing w:after="0" w:line="157" w:lineRule="exact"/>
        <w:rPr>
          <w:rFonts w:ascii="Arial" w:cs="Arial" w:eastAsia="Arial" w:hAnsi="Arial"/>
          <w:sz w:val="18"/>
          <w:szCs w:val="18"/>
          <w:color w:val="auto"/>
        </w:rPr>
      </w:pPr>
    </w:p>
    <w:p>
      <w:pPr>
        <w:ind w:left="1240" w:hanging="327"/>
        <w:spacing w:after="0" w:line="264" w:lineRule="auto"/>
        <w:tabs>
          <w:tab w:leader="none" w:pos="1240" w:val="left"/>
        </w:tabs>
        <w:numPr>
          <w:ilvl w:val="0"/>
          <w:numId w:val="17"/>
        </w:numPr>
        <w:rPr>
          <w:rFonts w:ascii="Arial" w:cs="Arial" w:eastAsia="Arial" w:hAnsi="Arial"/>
          <w:sz w:val="18"/>
          <w:szCs w:val="18"/>
          <w:color w:val="auto"/>
        </w:rPr>
      </w:pPr>
      <w:r>
        <w:rPr>
          <w:rFonts w:ascii="Arial" w:cs="Arial" w:eastAsia="Arial" w:hAnsi="Arial"/>
          <w:sz w:val="18"/>
          <w:szCs w:val="18"/>
          <w:color w:val="auto"/>
        </w:rPr>
        <w:t>Track record of innovation that grows from a deep technical knowledge of processes and applications. Our research and development efforts focus on creating the answers to our customer’s toughest engineering challenges and then leveraging those answers into new product offerings.</w:t>
      </w:r>
    </w:p>
    <w:p>
      <w:pPr>
        <w:spacing w:after="0" w:line="181" w:lineRule="exact"/>
        <w:rPr>
          <w:sz w:val="20"/>
          <w:szCs w:val="20"/>
          <w:color w:val="auto"/>
        </w:rPr>
      </w:pPr>
    </w:p>
    <w:p>
      <w:pPr>
        <w:spacing w:after="0"/>
        <w:rPr>
          <w:sz w:val="20"/>
          <w:szCs w:val="20"/>
          <w:color w:val="auto"/>
        </w:rPr>
      </w:pPr>
      <w:r>
        <w:rPr>
          <w:rFonts w:ascii="Arial" w:cs="Arial" w:eastAsia="Arial" w:hAnsi="Arial"/>
          <w:sz w:val="16"/>
          <w:szCs w:val="16"/>
          <w:color w:val="auto"/>
        </w:rPr>
        <w:t>Recent investments are expected to significantly strengthen our leadership position while enhancing our operational performance and customer service.</w:t>
      </w:r>
    </w:p>
    <w:p>
      <w:pPr>
        <w:spacing w:after="0" w:line="39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Major Customers</w:t>
      </w:r>
    </w:p>
    <w:p>
      <w:pPr>
        <w:spacing w:after="0" w:line="270" w:lineRule="exact"/>
        <w:rPr>
          <w:sz w:val="20"/>
          <w:szCs w:val="20"/>
          <w:color w:val="auto"/>
        </w:rPr>
      </w:pPr>
    </w:p>
    <w:p>
      <w:pPr>
        <w:ind w:right="100" w:firstLine="913"/>
        <w:spacing w:after="0" w:line="312" w:lineRule="auto"/>
        <w:rPr>
          <w:sz w:val="20"/>
          <w:szCs w:val="20"/>
          <w:color w:val="auto"/>
        </w:rPr>
      </w:pPr>
      <w:r>
        <w:rPr>
          <w:rFonts w:ascii="Arial" w:cs="Arial" w:eastAsia="Arial" w:hAnsi="Arial"/>
          <w:sz w:val="16"/>
          <w:szCs w:val="16"/>
          <w:color w:val="auto"/>
        </w:rPr>
        <w:t>We sell products and services that are used in a diverse range of demanding applications around the world. Our customers include companies in the following market sectors: oil &amp; gas; automotive; industrial equipment; mining; construction; rail; aerospace and defense; heavy truck; agriculture; and power generation. Our customer base is diverse. In 2013, we did not have direct sales to any single customer that accounted for 10% or more of total sales.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Products</w:t>
      </w:r>
    </w:p>
    <w:p>
      <w:pPr>
        <w:spacing w:after="0" w:line="270" w:lineRule="exact"/>
        <w:rPr>
          <w:sz w:val="20"/>
          <w:szCs w:val="20"/>
          <w:color w:val="auto"/>
        </w:rPr>
      </w:pPr>
    </w:p>
    <w:p>
      <w:pPr>
        <w:ind w:right="140" w:firstLine="913"/>
        <w:spacing w:after="0" w:line="277" w:lineRule="auto"/>
        <w:rPr>
          <w:sz w:val="20"/>
          <w:szCs w:val="20"/>
          <w:color w:val="auto"/>
        </w:rPr>
      </w:pPr>
      <w:r>
        <w:rPr>
          <w:rFonts w:ascii="Arial" w:cs="Arial" w:eastAsia="Arial" w:hAnsi="Arial"/>
          <w:sz w:val="18"/>
          <w:szCs w:val="18"/>
          <w:color w:val="auto"/>
        </w:rPr>
        <w:t>We believe that we produce some of the cleanest, highest performing alloy steels in the world for our customer’s most demanding applications. We believe our business model is unique in our industry and focuses on creating tailored products and services</w:t>
      </w:r>
    </w:p>
    <w:p>
      <w:pPr>
        <w:spacing w:after="0" w:line="103"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49</w:t>
      </w:r>
    </w:p>
    <w:p>
      <w:pPr>
        <w:sectPr>
          <w:pgSz w:w="11900" w:h="16838" w:orient="portrait"/>
          <w:cols w:equalWidth="0" w:num="1">
            <w:col w:w="11360"/>
          </w:cols>
          <w:pgMar w:left="240" w:top="459" w:right="299" w:bottom="1440" w:gutter="0" w:footer="0" w:header="0"/>
        </w:sectPr>
      </w:pPr>
    </w:p>
    <w:bookmarkStart w:id="60" w:name="page61"/>
    <w:bookmarkEnd w:id="6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jc w:val="both"/>
        <w:ind w:right="480"/>
        <w:spacing w:after="0" w:line="264" w:lineRule="auto"/>
        <w:rPr>
          <w:sz w:val="20"/>
          <w:szCs w:val="20"/>
          <w:color w:val="auto"/>
        </w:rPr>
      </w:pPr>
      <w:r>
        <w:rPr>
          <w:rFonts w:ascii="Arial" w:cs="Arial" w:eastAsia="Arial" w:hAnsi="Arial"/>
          <w:sz w:val="18"/>
          <w:szCs w:val="18"/>
          <w:color w:val="auto"/>
        </w:rPr>
        <w:t>for our customers’ most demanding applications and supply chains, and most of our steel is custom-engineered. We leverage our technical knowledge, research expertise and production and engineering capabilities across all of our products and end-markets to deliver high-performance products to our customers.</w:t>
      </w:r>
    </w:p>
    <w:p>
      <w:pPr>
        <w:spacing w:after="0" w:line="222" w:lineRule="exact"/>
        <w:rPr>
          <w:sz w:val="20"/>
          <w:szCs w:val="20"/>
          <w:color w:val="auto"/>
        </w:rPr>
      </w:pPr>
    </w:p>
    <w:p>
      <w:pPr>
        <w:ind w:left="920"/>
        <w:spacing w:after="0" w:line="293" w:lineRule="auto"/>
        <w:rPr>
          <w:sz w:val="20"/>
          <w:szCs w:val="20"/>
          <w:color w:val="auto"/>
        </w:rPr>
      </w:pPr>
      <w:r>
        <w:rPr>
          <w:rFonts w:ascii="Arial" w:cs="Arial" w:eastAsia="Arial" w:hAnsi="Arial"/>
          <w:sz w:val="16"/>
          <w:szCs w:val="16"/>
          <w:b w:val="1"/>
          <w:bCs w:val="1"/>
          <w:i w:val="1"/>
          <w:iCs w:val="1"/>
          <w:color w:val="auto"/>
        </w:rPr>
        <w:t xml:space="preserve">SBQ Steel and Seamless Mechanical Steel Tubing. </w:t>
      </w:r>
      <w:r>
        <w:rPr>
          <w:rFonts w:ascii="Arial" w:cs="Arial" w:eastAsia="Arial" w:hAnsi="Arial"/>
          <w:sz w:val="16"/>
          <w:szCs w:val="16"/>
          <w:color w:val="auto"/>
        </w:rPr>
        <w:t>Our focus is on alloy steel, although in total we manufacture more than 450 grades of high-performance carbon, micro-alloy and alloy steel, sold as ingots, bars and tubes. These products are custom-made in a variety of chemistries, lengths and finishes. Our metallurgical expertise and what we believe to be unique operational capabilities drive high-value solutions for industrial, energy and mobile customers. Our specialty steels are featured in a wide variety of end products including: oil country drill pipe, bits and collars; gears; hubs; axles; crankshafts and connecting rods; bearing races and rolling elements; bushings; fuel injectors; wind energy shafts; anti-friction bearings; and other demanding applications where mechanical power transmission is critical to the end-customer.</w:t>
      </w:r>
    </w:p>
    <w:p>
      <w:pPr>
        <w:spacing w:after="0" w:line="205" w:lineRule="exact"/>
        <w:rPr>
          <w:sz w:val="20"/>
          <w:szCs w:val="20"/>
          <w:color w:val="auto"/>
        </w:rPr>
      </w:pPr>
    </w:p>
    <w:p>
      <w:pPr>
        <w:ind w:left="920" w:right="20"/>
        <w:spacing w:after="0" w:line="291" w:lineRule="auto"/>
        <w:rPr>
          <w:sz w:val="20"/>
          <w:szCs w:val="20"/>
          <w:color w:val="auto"/>
        </w:rPr>
      </w:pPr>
      <w:r>
        <w:rPr>
          <w:rFonts w:ascii="Arial" w:cs="Arial" w:eastAsia="Arial" w:hAnsi="Arial"/>
          <w:sz w:val="16"/>
          <w:szCs w:val="16"/>
          <w:b w:val="1"/>
          <w:bCs w:val="1"/>
          <w:i w:val="1"/>
          <w:iCs w:val="1"/>
          <w:color w:val="auto"/>
        </w:rPr>
        <w:t>Value-added Precision Products and Services</w:t>
      </w:r>
      <w:r>
        <w:rPr>
          <w:rFonts w:ascii="Arial" w:cs="Arial" w:eastAsia="Arial" w:hAnsi="Arial"/>
          <w:sz w:val="16"/>
          <w:szCs w:val="16"/>
          <w:color w:val="auto"/>
        </w:rPr>
        <w:t>. In addition to our customized steels, we also custom-make precision components that provide us</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with the opportunity to further expand our market for bar and tubing products and capture additional sales by streamlining customer supply chains. Steel components provide customers, especially those in the automotive, energy and bearing industries, with ready-to-finish components that simplify vendor management, streamline supply chains and often cost less than other alternatives. We also customize products and services for the energy market sector. We offer well-boring and finishing products that, when combined with our wide range of high-quality alloy steel bars and tubes, create a one-stop steel source for customers in the energy market sector. Our experts operate precision honing, pull-boring, skiving, outside diameter turning and milling equipment to deliver precision hole-finishing to meet exacting dimensional tolerances.</w:t>
      </w:r>
    </w:p>
    <w:p>
      <w:pPr>
        <w:spacing w:after="0" w:line="37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Sales and Distribution</w:t>
      </w:r>
    </w:p>
    <w:p>
      <w:pPr>
        <w:spacing w:after="0" w:line="256" w:lineRule="exact"/>
        <w:rPr>
          <w:sz w:val="20"/>
          <w:szCs w:val="20"/>
          <w:color w:val="auto"/>
        </w:rPr>
      </w:pPr>
    </w:p>
    <w:p>
      <w:pPr>
        <w:ind w:right="60" w:firstLine="913"/>
        <w:spacing w:after="0" w:line="273" w:lineRule="auto"/>
        <w:rPr>
          <w:sz w:val="20"/>
          <w:szCs w:val="20"/>
          <w:color w:val="auto"/>
        </w:rPr>
      </w:pPr>
      <w:r>
        <w:rPr>
          <w:rFonts w:ascii="Arial" w:cs="Arial" w:eastAsia="Arial" w:hAnsi="Arial"/>
          <w:sz w:val="17"/>
          <w:szCs w:val="17"/>
          <w:color w:val="auto"/>
        </w:rPr>
        <w:t>Our products are sold by a team of engineers that are backed by a team of metallurgists and other technical experts. Approximately 40% of our salaried workforce has an engineering degree. We believe this differentiates us in the marketplace, as our experts work to provide the customized solutions that our customers are seeking for their most demanding applications. We work with customers in the automotive and truck; forging; construction; industrial equipment; oil &amp; gas drilling; anti-friction bearing and aircraft industries. These customized solutions are manufactured to exact specifications and typically shipped directly from our steel manufacturing plants to customers. While most of our products are sold directly to OE manufacturers, a portion of our sales are made through authorized distributors and steel service centers.</w:t>
      </w:r>
    </w:p>
    <w:p>
      <w:pPr>
        <w:spacing w:after="0" w:line="219" w:lineRule="exact"/>
        <w:rPr>
          <w:sz w:val="20"/>
          <w:szCs w:val="20"/>
          <w:color w:val="auto"/>
        </w:rPr>
      </w:pPr>
    </w:p>
    <w:p>
      <w:pPr>
        <w:ind w:right="20" w:firstLine="913"/>
        <w:spacing w:after="0" w:line="259" w:lineRule="auto"/>
        <w:rPr>
          <w:sz w:val="20"/>
          <w:szCs w:val="20"/>
          <w:color w:val="auto"/>
        </w:rPr>
      </w:pPr>
      <w:r>
        <w:rPr>
          <w:rFonts w:ascii="Arial" w:cs="Arial" w:eastAsia="Arial" w:hAnsi="Arial"/>
          <w:sz w:val="18"/>
          <w:szCs w:val="18"/>
          <w:color w:val="auto"/>
        </w:rPr>
        <w:t>The majority of our customers are served through individually negotiated contracts that have one-year terms. A smaller percentage of our contracts extend for more than one year and have a price fixed for a period extending beyond current shipments. Typically, these types of contracts include a commitment by the customer to purchase a designated percentage of its requirements from us. We do not believe that there is any significant loss of earnings risk associated with any given contract.</w:t>
      </w:r>
    </w:p>
    <w:p>
      <w:pPr>
        <w:spacing w:after="0" w:line="22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Competition</w:t>
      </w:r>
    </w:p>
    <w:p>
      <w:pPr>
        <w:spacing w:after="0" w:line="256" w:lineRule="exact"/>
        <w:rPr>
          <w:sz w:val="20"/>
          <w:szCs w:val="20"/>
          <w:color w:val="auto"/>
        </w:rPr>
      </w:pPr>
    </w:p>
    <w:p>
      <w:pPr>
        <w:ind w:right="80" w:firstLine="913"/>
        <w:spacing w:after="0" w:line="269" w:lineRule="auto"/>
        <w:rPr>
          <w:sz w:val="20"/>
          <w:szCs w:val="20"/>
          <w:color w:val="auto"/>
        </w:rPr>
      </w:pPr>
      <w:r>
        <w:rPr>
          <w:rFonts w:ascii="Arial" w:cs="Arial" w:eastAsia="Arial" w:hAnsi="Arial"/>
          <w:sz w:val="17"/>
          <w:szCs w:val="17"/>
          <w:color w:val="auto"/>
        </w:rPr>
        <w:t>The steel industry, both domestically and globally, is highly competitive and is expected to remain so. Maintaining high standards of product quality and reliability, while keeping production costs competitive, is essential to our ability to compete with domestic and foreign manufacturers of mechanical components and alloy steel. For bar products less than 6” in diameter, principal competitors include foreign-owned domestic producers Gerdau Special Steel North America (a unit of Brazilian steelmaker Gerdau, S.A) and Republic Steel (a unit of Mexican steel producer ICH). For bar products less than 9” in diameter, domestic producers Steel Dynamics, Inc. and Nucor Corporation are our principal competitors. For very large bars from 9” to 16” in diameter, offshore producers are the primary competitors as well as specialty forging companies in North America such as Scot Forge and Sorel Steel. Seamless tubing competitors include foreign-owned domestic producers ArcelorMittal Tubular Products (a unit of Luxembourg-based ArcelorMittal, S.A.), V&amp;M Star Tubes (a unit of Vallourec, S.A.) and Tenaris, S.A. Additionally, we compete with a wide variety of offshore producers of both bars and tubes, including Sanyo Special Steel and Ovako Group AB. We also provide unique value-added steel products and supply chain solutions to our customers in the industrial, energy and mobile sectors. Competitors within the value-added market sector are non-integrated component producers such as Linamar, Jernberg and Curtis Screw Company.</w:t>
      </w: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Backlog</w:t>
      </w:r>
    </w:p>
    <w:p>
      <w:pPr>
        <w:spacing w:after="0" w:line="270" w:lineRule="exact"/>
        <w:rPr>
          <w:sz w:val="20"/>
          <w:szCs w:val="20"/>
          <w:color w:val="auto"/>
        </w:rPr>
      </w:pPr>
    </w:p>
    <w:p>
      <w:pPr>
        <w:ind w:left="920"/>
        <w:spacing w:after="0"/>
        <w:rPr>
          <w:sz w:val="20"/>
          <w:szCs w:val="20"/>
          <w:color w:val="auto"/>
        </w:rPr>
      </w:pPr>
      <w:r>
        <w:rPr>
          <w:rFonts w:ascii="Arial" w:cs="Arial" w:eastAsia="Arial" w:hAnsi="Arial"/>
          <w:sz w:val="16"/>
          <w:szCs w:val="16"/>
          <w:color w:val="auto"/>
        </w:rPr>
        <w:t>The backlog of orders for our operations is estimated to have been $285.7 million at December 31, 2013 and $311.6 million at December 31,</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2012.</w:t>
      </w:r>
    </w:p>
    <w:p>
      <w:pPr>
        <w:spacing w:after="0" w:line="143"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50</w:t>
      </w:r>
    </w:p>
    <w:p>
      <w:pPr>
        <w:sectPr>
          <w:pgSz w:w="11900" w:h="16838" w:orient="portrait"/>
          <w:cols w:equalWidth="0" w:num="1">
            <w:col w:w="11320"/>
          </w:cols>
          <w:pgMar w:left="240" w:top="459" w:right="339" w:bottom="1440" w:gutter="0" w:footer="0" w:header="0"/>
        </w:sectPr>
      </w:pPr>
    </w:p>
    <w:bookmarkStart w:id="61" w:name="page62"/>
    <w:bookmarkEnd w:id="6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60" w:firstLine="913"/>
        <w:spacing w:after="0" w:line="259" w:lineRule="auto"/>
        <w:rPr>
          <w:sz w:val="20"/>
          <w:szCs w:val="20"/>
          <w:color w:val="auto"/>
        </w:rPr>
      </w:pPr>
      <w:r>
        <w:rPr>
          <w:rFonts w:ascii="Arial" w:cs="Arial" w:eastAsia="Arial" w:hAnsi="Arial"/>
          <w:sz w:val="18"/>
          <w:szCs w:val="18"/>
          <w:color w:val="auto"/>
        </w:rPr>
        <w:t>Virtually all of our backlog at December 31, 2013 was scheduled for delivery in the succeeding 12 months. Actual shipments depend upon customers’ ever-changing production schedules. During periods of shorter lead times, as we are experiencing currently, backlog may not be a meaningful indicator of our future sales. Accordingly, we do not believe that our backlog data and comparisons thereof, as of different dates, reliably indicate future sales or shipments.</w:t>
      </w:r>
    </w:p>
    <w:p>
      <w:pPr>
        <w:spacing w:after="0" w:line="22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Raw Materials</w:t>
      </w:r>
    </w:p>
    <w:p>
      <w:pPr>
        <w:spacing w:after="0" w:line="270" w:lineRule="exact"/>
        <w:rPr>
          <w:sz w:val="20"/>
          <w:szCs w:val="20"/>
          <w:color w:val="auto"/>
        </w:rPr>
      </w:pPr>
    </w:p>
    <w:p>
      <w:pPr>
        <w:ind w:right="40" w:firstLine="913"/>
        <w:spacing w:after="0" w:line="297" w:lineRule="auto"/>
        <w:rPr>
          <w:sz w:val="20"/>
          <w:szCs w:val="20"/>
          <w:color w:val="auto"/>
        </w:rPr>
      </w:pPr>
      <w:r>
        <w:rPr>
          <w:rFonts w:ascii="Arial" w:cs="Arial" w:eastAsia="Arial" w:hAnsi="Arial"/>
          <w:sz w:val="16"/>
          <w:szCs w:val="16"/>
          <w:color w:val="auto"/>
        </w:rPr>
        <w:t>The principal raw materials that we use to manufacture steel are recycled scrap metal, chrome, nickel, molybdenum, vanadium and other alloy materials. Raw materials comprise a significant portion of the steelmaking cost structure and are subject to price and availability changes due to global demand fluctuations and local supply limitations. Proper selection and management of raw materials can have a significant impact on procurement cost, flexibility to supply changes, steelmaking energy costs and mill productivity. Because of our diverse order book and demanding steel requirements, we have developed differentiated expertise in this area and created a raw material management system that contributes to our competitive cost position and advantage.</w:t>
      </w:r>
    </w:p>
    <w:p>
      <w:pPr>
        <w:spacing w:after="0" w:line="185" w:lineRule="exact"/>
        <w:rPr>
          <w:sz w:val="20"/>
          <w:szCs w:val="20"/>
          <w:color w:val="auto"/>
        </w:rPr>
      </w:pPr>
    </w:p>
    <w:p>
      <w:pPr>
        <w:ind w:right="80" w:firstLine="913"/>
        <w:spacing w:after="0" w:line="291" w:lineRule="auto"/>
        <w:rPr>
          <w:sz w:val="20"/>
          <w:szCs w:val="20"/>
          <w:color w:val="auto"/>
        </w:rPr>
      </w:pPr>
      <w:r>
        <w:rPr>
          <w:rFonts w:ascii="Arial" w:cs="Arial" w:eastAsia="Arial" w:hAnsi="Arial"/>
          <w:sz w:val="16"/>
          <w:szCs w:val="16"/>
          <w:color w:val="auto"/>
        </w:rPr>
        <w:t>In addition to accessing scrap and alloys through the open market, we have a scrap return supply chain established with many of our customers. In addition, we operate a scrap processing company for improved access, reliability and cost. Our raw material feeder system is designed to achieve high consistency, reliable chemistry and low variability from a number of our sources. We have extensive segregation points, chemistry monitoring, computerized modeling of variability and total systems optimization (inventory, operating practices, capacity impact, order book, procurement flexibility and strategy). Roughly 40% of our raw material sources are considered “highly controlled,” which gives us greater flexibility to substitute lower-cost scrap based on availability. Our raw material management process achieves competitive procurement at a low total cost. This part of our business solidly rests on a deep knowledge of the raw material supply industry and an extensive network of relationships that result in steady, reliable supply from our raw material sources.</w:t>
      </w:r>
    </w:p>
    <w:p>
      <w:pPr>
        <w:spacing w:after="0" w:line="20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Research</w:t>
      </w:r>
    </w:p>
    <w:p>
      <w:pPr>
        <w:spacing w:after="0" w:line="270" w:lineRule="exact"/>
        <w:rPr>
          <w:sz w:val="20"/>
          <w:szCs w:val="20"/>
          <w:color w:val="auto"/>
        </w:rPr>
      </w:pPr>
    </w:p>
    <w:p>
      <w:pPr>
        <w:ind w:right="80" w:firstLine="913"/>
        <w:spacing w:after="0" w:line="277" w:lineRule="auto"/>
        <w:rPr>
          <w:sz w:val="20"/>
          <w:szCs w:val="20"/>
          <w:color w:val="auto"/>
        </w:rPr>
      </w:pPr>
      <w:r>
        <w:rPr>
          <w:rFonts w:ascii="Arial" w:cs="Arial" w:eastAsia="Arial" w:hAnsi="Arial"/>
          <w:sz w:val="18"/>
          <w:szCs w:val="18"/>
          <w:color w:val="auto"/>
        </w:rPr>
        <w:t>Our engineers analyze customer application problems and develop new ways to solve them. We have nearly a century of experience in materials science and steelmaking. We use our technical know-how to improve the performance of our customers’ products.</w:t>
      </w:r>
    </w:p>
    <w:p>
      <w:pPr>
        <w:spacing w:after="0" w:line="197" w:lineRule="exact"/>
        <w:rPr>
          <w:sz w:val="20"/>
          <w:szCs w:val="20"/>
          <w:color w:val="auto"/>
        </w:rPr>
      </w:pPr>
    </w:p>
    <w:p>
      <w:pPr>
        <w:ind w:right="340" w:firstLine="913"/>
        <w:spacing w:after="0" w:line="312" w:lineRule="auto"/>
        <w:rPr>
          <w:sz w:val="20"/>
          <w:szCs w:val="20"/>
          <w:color w:val="auto"/>
        </w:rPr>
      </w:pPr>
      <w:r>
        <w:rPr>
          <w:rFonts w:ascii="Arial" w:cs="Arial" w:eastAsia="Arial" w:hAnsi="Arial"/>
          <w:sz w:val="16"/>
          <w:szCs w:val="16"/>
          <w:color w:val="auto"/>
        </w:rPr>
        <w:t>We invest in technology developments that result in cleaner, stronger materials. Our engineers drive technology advances in many market sectors, producing new and improved products that have demonstrated increased performance in high-stress conditions. Whether we need to develop new material specifications or help solve a customer processing problem, our advanced material engineers are among the most knowledgeable in our industry.</w:t>
      </w:r>
    </w:p>
    <w:p>
      <w:pPr>
        <w:spacing w:after="0" w:line="187" w:lineRule="exact"/>
        <w:rPr>
          <w:sz w:val="20"/>
          <w:szCs w:val="20"/>
          <w:color w:val="auto"/>
        </w:rPr>
      </w:pPr>
    </w:p>
    <w:p>
      <w:pPr>
        <w:ind w:right="200" w:firstLine="913"/>
        <w:spacing w:after="0" w:line="264" w:lineRule="auto"/>
        <w:rPr>
          <w:sz w:val="20"/>
          <w:szCs w:val="20"/>
          <w:color w:val="auto"/>
        </w:rPr>
      </w:pPr>
      <w:r>
        <w:rPr>
          <w:rFonts w:ascii="Arial" w:cs="Arial" w:eastAsia="Arial" w:hAnsi="Arial"/>
          <w:sz w:val="18"/>
          <w:szCs w:val="18"/>
          <w:color w:val="auto"/>
        </w:rPr>
        <w:t>This expertise extends to advanced process technology in which advanced material conversion, finishing, gaging and assembly enables high quality production of our products. With resources dedicated to studying, developing and implementing new manufacturing processes and technologies, we are able to support new product growth and create value for our customers.</w:t>
      </w:r>
    </w:p>
    <w:p>
      <w:pPr>
        <w:spacing w:after="0" w:line="222" w:lineRule="exact"/>
        <w:rPr>
          <w:sz w:val="20"/>
          <w:szCs w:val="20"/>
          <w:color w:val="auto"/>
        </w:rPr>
      </w:pPr>
    </w:p>
    <w:p>
      <w:pPr>
        <w:ind w:right="160" w:firstLine="913"/>
        <w:spacing w:after="0" w:line="277" w:lineRule="auto"/>
        <w:rPr>
          <w:sz w:val="20"/>
          <w:szCs w:val="20"/>
          <w:color w:val="auto"/>
        </w:rPr>
      </w:pPr>
      <w:r>
        <w:rPr>
          <w:rFonts w:ascii="Arial" w:cs="Arial" w:eastAsia="Arial" w:hAnsi="Arial"/>
          <w:sz w:val="18"/>
          <w:szCs w:val="18"/>
          <w:color w:val="auto"/>
        </w:rPr>
        <w:t>Our research and development expenditures for the years ended December 31, 2013, 2012 and 2011 were $9.4 million, $11.2 million and $10.2 million, respectively.</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Environmental Matters</w:t>
      </w:r>
    </w:p>
    <w:p>
      <w:pPr>
        <w:spacing w:after="0" w:line="270" w:lineRule="exact"/>
        <w:rPr>
          <w:sz w:val="20"/>
          <w:szCs w:val="20"/>
          <w:color w:val="auto"/>
        </w:rPr>
      </w:pPr>
    </w:p>
    <w:p>
      <w:pPr>
        <w:jc w:val="both"/>
        <w:ind w:right="80" w:firstLine="913"/>
        <w:spacing w:after="0" w:line="259" w:lineRule="auto"/>
        <w:rPr>
          <w:sz w:val="20"/>
          <w:szCs w:val="20"/>
          <w:color w:val="auto"/>
        </w:rPr>
      </w:pPr>
      <w:r>
        <w:rPr>
          <w:rFonts w:ascii="Arial" w:cs="Arial" w:eastAsia="Arial" w:hAnsi="Arial"/>
          <w:sz w:val="18"/>
          <w:szCs w:val="18"/>
          <w:color w:val="auto"/>
        </w:rPr>
        <w:t>We continue our efforts to protect the environment and comply with environmental protection laws. Additionally, we have invested in pollution control equipment and updated plant operational practices. We are committed to implementing a documented environmental management system worldwide and to becoming certified under the ISO 14001 standard where appropriate to meet or exceed customer requirements. As of the end of 2013, six of our plants had obtained ISO 14001 certification.</w:t>
      </w:r>
    </w:p>
    <w:p>
      <w:pPr>
        <w:spacing w:after="0" w:line="227" w:lineRule="exact"/>
        <w:rPr>
          <w:sz w:val="20"/>
          <w:szCs w:val="20"/>
          <w:color w:val="auto"/>
        </w:rPr>
      </w:pPr>
    </w:p>
    <w:p>
      <w:pPr>
        <w:ind w:firstLine="913"/>
        <w:spacing w:after="0" w:line="291" w:lineRule="auto"/>
        <w:rPr>
          <w:sz w:val="20"/>
          <w:szCs w:val="20"/>
          <w:color w:val="auto"/>
        </w:rPr>
      </w:pPr>
      <w:r>
        <w:rPr>
          <w:rFonts w:ascii="Arial" w:cs="Arial" w:eastAsia="Arial" w:hAnsi="Arial"/>
          <w:sz w:val="16"/>
          <w:szCs w:val="16"/>
          <w:color w:val="auto"/>
        </w:rPr>
        <w:t>We believe we have established appropriate reserves to cover our environmental expenses. We have a well-established environmental compliance audit program for our domestic units. This program measures performance against applicable laws, as well as against internal standards that have been established for all units. It is difficult to assess the possible effect of compliance with future requirements that differ from existing ones. As previously reported, we are unsure of the future financial impact to us that could result from the United States Environmental Protection Agency’s, or the EPA’s, final rules to tighten the National Ambient Air Quality Standards for fine particulate and ozone. In addition, we are unsure of the future financial impact to us that could result from the EPA instituting hourly ambient air quality standards for sulfur dioxide and nitrogen oxide. We are also unsure of the potential future financial impact to us that could result from possible future legislation regulating emissions of carbon dioxide or greenhouse gases.</w:t>
      </w:r>
    </w:p>
    <w:p>
      <w:pPr>
        <w:spacing w:after="0" w:line="10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51</w:t>
      </w:r>
    </w:p>
    <w:p>
      <w:pPr>
        <w:sectPr>
          <w:pgSz w:w="11900" w:h="16838" w:orient="portrait"/>
          <w:cols w:equalWidth="0" w:num="1">
            <w:col w:w="11400"/>
          </w:cols>
          <w:pgMar w:left="240" w:top="459" w:right="259" w:bottom="1440" w:gutter="0" w:footer="0" w:header="0"/>
        </w:sectPr>
      </w:pPr>
    </w:p>
    <w:bookmarkStart w:id="62" w:name="page63"/>
    <w:bookmarkEnd w:id="6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firstLine="913"/>
        <w:spacing w:after="0" w:line="279" w:lineRule="auto"/>
        <w:rPr>
          <w:sz w:val="20"/>
          <w:szCs w:val="20"/>
          <w:color w:val="auto"/>
        </w:rPr>
      </w:pPr>
      <w:r>
        <w:rPr>
          <w:rFonts w:ascii="Arial" w:cs="Arial" w:eastAsia="Arial" w:hAnsi="Arial"/>
          <w:sz w:val="17"/>
          <w:szCs w:val="17"/>
          <w:color w:val="auto"/>
        </w:rPr>
        <w:t>We and certain of our U.S. subsidiaries have been identified as potentially responsible parties for investigation and remediation at off-site disposal or recycling facilities under the Comprehensive Environmental Response, Compensation and Liability Act, or CERCLA, known as the Superfund, or state laws similar to CERCLA. In general, such claims for investigation and remediation have also been asserted against numerous other entities, which are believed to be financially solvent and are expected to substantially fulfill their proportionate share of any obligations.</w:t>
      </w:r>
    </w:p>
    <w:p>
      <w:pPr>
        <w:spacing w:after="0" w:line="20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Legal Proceedings</w:t>
      </w:r>
    </w:p>
    <w:p>
      <w:pPr>
        <w:spacing w:after="0" w:line="270" w:lineRule="exact"/>
        <w:rPr>
          <w:sz w:val="20"/>
          <w:szCs w:val="20"/>
          <w:color w:val="auto"/>
        </w:rPr>
      </w:pPr>
    </w:p>
    <w:p>
      <w:pPr>
        <w:ind w:right="280" w:firstLine="913"/>
        <w:spacing w:after="0" w:line="342" w:lineRule="auto"/>
        <w:rPr>
          <w:sz w:val="20"/>
          <w:szCs w:val="20"/>
          <w:color w:val="auto"/>
        </w:rPr>
      </w:pPr>
      <w:r>
        <w:rPr>
          <w:rFonts w:ascii="Arial" w:cs="Arial" w:eastAsia="Arial" w:hAnsi="Arial"/>
          <w:sz w:val="16"/>
          <w:szCs w:val="16"/>
          <w:color w:val="auto"/>
        </w:rPr>
        <w:t>We are involved in various claims and legal actions arising in the ordinary course of business. In the opinion of our management, the ultimate disposition of these matters will not have a material adverse effect on our consolidated financial position, results of operations or cash flows.</w:t>
      </w:r>
    </w:p>
    <w:p>
      <w:pPr>
        <w:spacing w:after="0" w:line="14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Patents, Trademarks and Licenses</w:t>
      </w:r>
    </w:p>
    <w:p>
      <w:pPr>
        <w:spacing w:after="0" w:line="270" w:lineRule="exact"/>
        <w:rPr>
          <w:sz w:val="20"/>
          <w:szCs w:val="20"/>
          <w:color w:val="auto"/>
        </w:rPr>
      </w:pPr>
    </w:p>
    <w:p>
      <w:pPr>
        <w:ind w:right="140" w:firstLine="913"/>
        <w:spacing w:after="0" w:line="259" w:lineRule="auto"/>
        <w:rPr>
          <w:sz w:val="20"/>
          <w:szCs w:val="20"/>
          <w:color w:val="auto"/>
        </w:rPr>
      </w:pPr>
      <w:r>
        <w:rPr>
          <w:rFonts w:ascii="Arial" w:cs="Arial" w:eastAsia="Arial" w:hAnsi="Arial"/>
          <w:sz w:val="18"/>
          <w:szCs w:val="18"/>
          <w:color w:val="auto"/>
        </w:rPr>
        <w:t>We own numerous U.S. and foreign patents, trademarks, licenses, copyrights and trade secrets, as well as substantial know-how and technology relating to certain products and the processes for their production. While we regard these as important, we do not deem any related business as a whole, or any industry sector, to be materially dependent upon any one item or group of items. See “Relationship with Timken Following the Spinoff–Material Agreements Between Timken and Us–Trademark License Agreement.”</w:t>
      </w:r>
    </w:p>
    <w:p>
      <w:pPr>
        <w:spacing w:after="0" w:line="22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Employment</w:t>
      </w:r>
    </w:p>
    <w:p>
      <w:pPr>
        <w:spacing w:after="0" w:line="256" w:lineRule="exact"/>
        <w:rPr>
          <w:sz w:val="20"/>
          <w:szCs w:val="20"/>
          <w:color w:val="auto"/>
        </w:rPr>
      </w:pPr>
    </w:p>
    <w:p>
      <w:pPr>
        <w:ind w:left="920"/>
        <w:spacing w:after="0"/>
        <w:rPr>
          <w:sz w:val="20"/>
          <w:szCs w:val="20"/>
          <w:color w:val="auto"/>
        </w:rPr>
      </w:pPr>
      <w:r>
        <w:rPr>
          <w:rFonts w:ascii="Arial" w:cs="Arial" w:eastAsia="Arial" w:hAnsi="Arial"/>
          <w:sz w:val="16"/>
          <w:szCs w:val="16"/>
          <w:color w:val="auto"/>
        </w:rPr>
        <w:t>At December 31, 2013, we had approximately 2,700 employees. Approximately 61% of our employees are covered under collective bargaining</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agreements.</w:t>
      </w:r>
    </w:p>
    <w:p>
      <w:pPr>
        <w:spacing w:after="0" w:line="24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Properties</w:t>
      </w:r>
    </w:p>
    <w:p>
      <w:pPr>
        <w:spacing w:after="0" w:line="270" w:lineRule="exact"/>
        <w:rPr>
          <w:sz w:val="20"/>
          <w:szCs w:val="20"/>
          <w:color w:val="auto"/>
        </w:rPr>
      </w:pPr>
    </w:p>
    <w:p>
      <w:pPr>
        <w:ind w:right="600" w:firstLine="913"/>
        <w:spacing w:after="0" w:line="277" w:lineRule="auto"/>
        <w:rPr>
          <w:sz w:val="20"/>
          <w:szCs w:val="20"/>
          <w:color w:val="auto"/>
        </w:rPr>
      </w:pPr>
      <w:r>
        <w:rPr>
          <w:rFonts w:ascii="Arial" w:cs="Arial" w:eastAsia="Arial" w:hAnsi="Arial"/>
          <w:sz w:val="18"/>
          <w:szCs w:val="18"/>
          <w:color w:val="auto"/>
        </w:rPr>
        <w:t>We are headquartered in Canton, Ohio, at a facility we own in fee. We will have facilities in six countries: United States, China, England, Mexico, Poland and Singapore. We will lease sales office in all of these countries.</w:t>
      </w:r>
    </w:p>
    <w:p>
      <w:pPr>
        <w:spacing w:after="0" w:line="197" w:lineRule="exact"/>
        <w:rPr>
          <w:sz w:val="20"/>
          <w:szCs w:val="20"/>
          <w:color w:val="auto"/>
        </w:rPr>
      </w:pPr>
    </w:p>
    <w:p>
      <w:pPr>
        <w:ind w:right="40" w:firstLine="913"/>
        <w:spacing w:after="0" w:line="276" w:lineRule="auto"/>
        <w:rPr>
          <w:sz w:val="20"/>
          <w:szCs w:val="20"/>
          <w:color w:val="auto"/>
        </w:rPr>
      </w:pPr>
      <w:r>
        <w:rPr>
          <w:rFonts w:ascii="Arial" w:cs="Arial" w:eastAsia="Arial" w:hAnsi="Arial"/>
          <w:sz w:val="17"/>
          <w:szCs w:val="17"/>
          <w:color w:val="auto"/>
        </w:rPr>
        <w:t>We have manufacturing facilities at multiple locations in the United States. These manufacturing facilities are located in Akron, Canton (2) and Eaton, Ohio; Columbus, North Carolina; and Houston, Texas. In addition to these manufacturing facilities, we own or lease warehouses and distribution facilities in the United States, Mexico and China. The aggregate floor area of these facilities is approximately 3.7 million square feet, of which approximately 60-70% was fully utilized at the end of 2013. Approximately 137,000 square feet of this aggregate floor area is leased and the rest is owned in fee. The buildings occupied by us are principally made of brick, steel, reinforced concrete and concrete block construction.</w:t>
      </w:r>
    </w:p>
    <w:p>
      <w:pPr>
        <w:spacing w:after="0" w:line="213" w:lineRule="exact"/>
        <w:rPr>
          <w:sz w:val="20"/>
          <w:szCs w:val="20"/>
          <w:color w:val="auto"/>
        </w:rPr>
      </w:pPr>
    </w:p>
    <w:p>
      <w:pPr>
        <w:ind w:right="40" w:firstLine="913"/>
        <w:spacing w:after="0" w:line="277" w:lineRule="auto"/>
        <w:rPr>
          <w:sz w:val="20"/>
          <w:szCs w:val="20"/>
          <w:color w:val="auto"/>
        </w:rPr>
      </w:pPr>
      <w:r>
        <w:rPr>
          <w:rFonts w:ascii="Arial" w:cs="Arial" w:eastAsia="Arial" w:hAnsi="Arial"/>
          <w:sz w:val="18"/>
          <w:szCs w:val="18"/>
          <w:color w:val="auto"/>
        </w:rPr>
        <w:t>Our facilities vary in age and condition, and each of them has an active maintenance program to ensure a safe operating environment and to keep the facilities in good condition. All buildings are in satisfactory operating condition to conduct our business.</w:t>
      </w:r>
    </w:p>
    <w:p>
      <w:pPr>
        <w:spacing w:after="0" w:line="103"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52</w:t>
      </w:r>
    </w:p>
    <w:p>
      <w:pPr>
        <w:sectPr>
          <w:pgSz w:w="11900" w:h="16838" w:orient="portrait"/>
          <w:cols w:equalWidth="0" w:num="1">
            <w:col w:w="11400"/>
          </w:cols>
          <w:pgMar w:left="240" w:top="459" w:right="259" w:bottom="1440" w:gutter="0" w:footer="0" w:header="0"/>
        </w:sectPr>
      </w:pPr>
    </w:p>
    <w:bookmarkStart w:id="63" w:name="page64"/>
    <w:bookmarkEnd w:id="6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CERTAIN RELATIONSHIPS AND RELATED TRANSACTIONS</w:t>
      </w:r>
    </w:p>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Related Party Transactions Approval Policy</w:t>
      </w:r>
    </w:p>
    <w:p>
      <w:pPr>
        <w:spacing w:after="0" w:line="256" w:lineRule="exact"/>
        <w:rPr>
          <w:sz w:val="20"/>
          <w:szCs w:val="20"/>
          <w:color w:val="auto"/>
        </w:rPr>
      </w:pPr>
    </w:p>
    <w:p>
      <w:pPr>
        <w:ind w:right="60" w:firstLine="913"/>
        <w:spacing w:after="0" w:line="279" w:lineRule="auto"/>
        <w:rPr>
          <w:sz w:val="20"/>
          <w:szCs w:val="20"/>
          <w:color w:val="auto"/>
        </w:rPr>
      </w:pPr>
      <w:r>
        <w:rPr>
          <w:rFonts w:ascii="Arial" w:cs="Arial" w:eastAsia="Arial" w:hAnsi="Arial"/>
          <w:sz w:val="17"/>
          <w:szCs w:val="17"/>
          <w:color w:val="auto"/>
        </w:rPr>
        <w:t>Our board of directors is expected to adopt written Standards of Business Ethics, which require that any potential conflicts of interest, such as significant transactions with related parties, be reported to our General Counsel. Our board of directors is also expected to adopt a written Policy Against Conflicts of Interest, which will require that an employee or director avoid placing himself or herself in a position in which his or her personal interests could interfere in any way with our interests. The Policy Against Conflicts of Interest is expected to specifically prohibit the following situations:</w:t>
      </w:r>
    </w:p>
    <w:p>
      <w:pPr>
        <w:spacing w:after="0" w:line="171" w:lineRule="exact"/>
        <w:rPr>
          <w:sz w:val="20"/>
          <w:szCs w:val="20"/>
          <w:color w:val="auto"/>
        </w:rPr>
      </w:pPr>
    </w:p>
    <w:p>
      <w:pPr>
        <w:ind w:left="1240" w:hanging="327"/>
        <w:spacing w:after="0"/>
        <w:tabs>
          <w:tab w:leader="none" w:pos="1240" w:val="left"/>
        </w:tabs>
        <w:numPr>
          <w:ilvl w:val="0"/>
          <w:numId w:val="18"/>
        </w:numPr>
        <w:rPr>
          <w:rFonts w:ascii="Arial" w:cs="Arial" w:eastAsia="Arial" w:hAnsi="Arial"/>
          <w:sz w:val="18"/>
          <w:szCs w:val="18"/>
          <w:color w:val="auto"/>
        </w:rPr>
      </w:pPr>
      <w:r>
        <w:rPr>
          <w:rFonts w:ascii="Arial" w:cs="Arial" w:eastAsia="Arial" w:hAnsi="Arial"/>
          <w:sz w:val="18"/>
          <w:szCs w:val="18"/>
          <w:color w:val="auto"/>
        </w:rPr>
        <w:t>competing against the company;</w:t>
      </w:r>
    </w:p>
    <w:p>
      <w:pPr>
        <w:spacing w:after="0" w:line="157" w:lineRule="exact"/>
        <w:rPr>
          <w:rFonts w:ascii="Arial" w:cs="Arial" w:eastAsia="Arial" w:hAnsi="Arial"/>
          <w:sz w:val="18"/>
          <w:szCs w:val="18"/>
          <w:color w:val="auto"/>
        </w:rPr>
      </w:pPr>
    </w:p>
    <w:p>
      <w:pPr>
        <w:ind w:left="1240" w:hanging="327"/>
        <w:spacing w:after="0"/>
        <w:tabs>
          <w:tab w:leader="none" w:pos="1240" w:val="left"/>
        </w:tabs>
        <w:numPr>
          <w:ilvl w:val="0"/>
          <w:numId w:val="18"/>
        </w:numPr>
        <w:rPr>
          <w:rFonts w:ascii="Arial" w:cs="Arial" w:eastAsia="Arial" w:hAnsi="Arial"/>
          <w:sz w:val="18"/>
          <w:szCs w:val="18"/>
          <w:color w:val="auto"/>
        </w:rPr>
      </w:pPr>
      <w:r>
        <w:rPr>
          <w:rFonts w:ascii="Arial" w:cs="Arial" w:eastAsia="Arial" w:hAnsi="Arial"/>
          <w:sz w:val="18"/>
          <w:szCs w:val="18"/>
          <w:color w:val="auto"/>
        </w:rPr>
        <w:t>holding a significant financial interest in a company doing business with or competing with the company;</w:t>
      </w:r>
    </w:p>
    <w:p>
      <w:pPr>
        <w:spacing w:after="0" w:line="157" w:lineRule="exact"/>
        <w:rPr>
          <w:rFonts w:ascii="Arial" w:cs="Arial" w:eastAsia="Arial" w:hAnsi="Arial"/>
          <w:sz w:val="18"/>
          <w:szCs w:val="18"/>
          <w:color w:val="auto"/>
        </w:rPr>
      </w:pPr>
    </w:p>
    <w:p>
      <w:pPr>
        <w:ind w:left="1240" w:right="380" w:hanging="327"/>
        <w:spacing w:after="0" w:line="308" w:lineRule="auto"/>
        <w:tabs>
          <w:tab w:leader="none" w:pos="1240" w:val="left"/>
        </w:tabs>
        <w:numPr>
          <w:ilvl w:val="0"/>
          <w:numId w:val="18"/>
        </w:numPr>
        <w:rPr>
          <w:rFonts w:ascii="Arial" w:cs="Arial" w:eastAsia="Arial" w:hAnsi="Arial"/>
          <w:sz w:val="17"/>
          <w:szCs w:val="17"/>
          <w:color w:val="auto"/>
        </w:rPr>
      </w:pPr>
      <w:r>
        <w:rPr>
          <w:rFonts w:ascii="Arial" w:cs="Arial" w:eastAsia="Arial" w:hAnsi="Arial"/>
          <w:sz w:val="17"/>
          <w:szCs w:val="17"/>
          <w:color w:val="auto"/>
        </w:rPr>
        <w:t>accepting gifts, gratuities or entertainment from any customer, competitor or supplier of goods or services to the company, except to the extent they are customary and reasonable in amount and not in consideration for an improper action by the recipient;</w:t>
      </w:r>
    </w:p>
    <w:p>
      <w:pPr>
        <w:spacing w:after="0" w:line="79" w:lineRule="exact"/>
        <w:rPr>
          <w:rFonts w:ascii="Arial" w:cs="Arial" w:eastAsia="Arial" w:hAnsi="Arial"/>
          <w:sz w:val="17"/>
          <w:szCs w:val="17"/>
          <w:color w:val="auto"/>
        </w:rPr>
      </w:pPr>
    </w:p>
    <w:p>
      <w:pPr>
        <w:ind w:left="1240" w:hanging="327"/>
        <w:spacing w:after="0"/>
        <w:tabs>
          <w:tab w:leader="none" w:pos="1240" w:val="left"/>
        </w:tabs>
        <w:numPr>
          <w:ilvl w:val="0"/>
          <w:numId w:val="18"/>
        </w:numPr>
        <w:rPr>
          <w:rFonts w:ascii="Arial" w:cs="Arial" w:eastAsia="Arial" w:hAnsi="Arial"/>
          <w:sz w:val="18"/>
          <w:szCs w:val="18"/>
          <w:color w:val="auto"/>
        </w:rPr>
      </w:pPr>
      <w:r>
        <w:rPr>
          <w:rFonts w:ascii="Arial" w:cs="Arial" w:eastAsia="Arial" w:hAnsi="Arial"/>
          <w:sz w:val="18"/>
          <w:szCs w:val="18"/>
          <w:color w:val="auto"/>
        </w:rPr>
        <w:t>using for personal gain any business opportunities that are identified through a person’s position with the company;</w:t>
      </w:r>
    </w:p>
    <w:p>
      <w:pPr>
        <w:spacing w:after="0" w:line="157" w:lineRule="exact"/>
        <w:rPr>
          <w:rFonts w:ascii="Arial" w:cs="Arial" w:eastAsia="Arial" w:hAnsi="Arial"/>
          <w:sz w:val="18"/>
          <w:szCs w:val="18"/>
          <w:color w:val="auto"/>
        </w:rPr>
      </w:pPr>
    </w:p>
    <w:p>
      <w:pPr>
        <w:ind w:left="1240" w:hanging="327"/>
        <w:spacing w:after="0"/>
        <w:tabs>
          <w:tab w:leader="none" w:pos="1240" w:val="left"/>
        </w:tabs>
        <w:numPr>
          <w:ilvl w:val="0"/>
          <w:numId w:val="18"/>
        </w:numPr>
        <w:rPr>
          <w:rFonts w:ascii="Arial" w:cs="Arial" w:eastAsia="Arial" w:hAnsi="Arial"/>
          <w:sz w:val="18"/>
          <w:szCs w:val="18"/>
          <w:color w:val="auto"/>
        </w:rPr>
      </w:pPr>
      <w:r>
        <w:rPr>
          <w:rFonts w:ascii="Arial" w:cs="Arial" w:eastAsia="Arial" w:hAnsi="Arial"/>
          <w:sz w:val="18"/>
          <w:szCs w:val="18"/>
          <w:color w:val="auto"/>
        </w:rPr>
        <w:t>using the company’s property, information or position for personal gain;</w:t>
      </w:r>
    </w:p>
    <w:p>
      <w:pPr>
        <w:spacing w:after="0" w:line="157" w:lineRule="exact"/>
        <w:rPr>
          <w:rFonts w:ascii="Arial" w:cs="Arial" w:eastAsia="Arial" w:hAnsi="Arial"/>
          <w:sz w:val="18"/>
          <w:szCs w:val="18"/>
          <w:color w:val="auto"/>
        </w:rPr>
      </w:pPr>
    </w:p>
    <w:p>
      <w:pPr>
        <w:ind w:left="1240" w:hanging="327"/>
        <w:spacing w:after="0"/>
        <w:tabs>
          <w:tab w:leader="none" w:pos="1240" w:val="left"/>
        </w:tabs>
        <w:numPr>
          <w:ilvl w:val="0"/>
          <w:numId w:val="18"/>
        </w:numPr>
        <w:rPr>
          <w:rFonts w:ascii="Arial" w:cs="Arial" w:eastAsia="Arial" w:hAnsi="Arial"/>
          <w:sz w:val="18"/>
          <w:szCs w:val="18"/>
          <w:color w:val="auto"/>
        </w:rPr>
      </w:pPr>
      <w:r>
        <w:rPr>
          <w:rFonts w:ascii="Arial" w:cs="Arial" w:eastAsia="Arial" w:hAnsi="Arial"/>
          <w:sz w:val="18"/>
          <w:szCs w:val="18"/>
          <w:color w:val="auto"/>
        </w:rPr>
        <w:t>using the company’s property other than in connection with our business;</w:t>
      </w:r>
    </w:p>
    <w:p>
      <w:pPr>
        <w:spacing w:after="0" w:line="157" w:lineRule="exact"/>
        <w:rPr>
          <w:rFonts w:ascii="Arial" w:cs="Arial" w:eastAsia="Arial" w:hAnsi="Arial"/>
          <w:sz w:val="18"/>
          <w:szCs w:val="18"/>
          <w:color w:val="auto"/>
        </w:rPr>
      </w:pPr>
    </w:p>
    <w:p>
      <w:pPr>
        <w:ind w:left="1240" w:hanging="327"/>
        <w:spacing w:after="0"/>
        <w:tabs>
          <w:tab w:leader="none" w:pos="1240" w:val="left"/>
        </w:tabs>
        <w:numPr>
          <w:ilvl w:val="0"/>
          <w:numId w:val="18"/>
        </w:numPr>
        <w:rPr>
          <w:rFonts w:ascii="Arial" w:cs="Arial" w:eastAsia="Arial" w:hAnsi="Arial"/>
          <w:sz w:val="18"/>
          <w:szCs w:val="18"/>
          <w:color w:val="auto"/>
        </w:rPr>
      </w:pPr>
      <w:r>
        <w:rPr>
          <w:rFonts w:ascii="Arial" w:cs="Arial" w:eastAsia="Arial" w:hAnsi="Arial"/>
          <w:sz w:val="18"/>
          <w:szCs w:val="18"/>
          <w:color w:val="auto"/>
        </w:rPr>
        <w:t>maintaining other employment or a business that adversely affects a person’s job performance at the company; and</w:t>
      </w:r>
    </w:p>
    <w:p>
      <w:pPr>
        <w:spacing w:after="0" w:line="157" w:lineRule="exact"/>
        <w:rPr>
          <w:rFonts w:ascii="Arial" w:cs="Arial" w:eastAsia="Arial" w:hAnsi="Arial"/>
          <w:sz w:val="18"/>
          <w:szCs w:val="18"/>
          <w:color w:val="auto"/>
        </w:rPr>
      </w:pPr>
    </w:p>
    <w:p>
      <w:pPr>
        <w:ind w:left="1240" w:hanging="327"/>
        <w:spacing w:after="0"/>
        <w:tabs>
          <w:tab w:leader="none" w:pos="1240" w:val="left"/>
        </w:tabs>
        <w:numPr>
          <w:ilvl w:val="0"/>
          <w:numId w:val="18"/>
        </w:numPr>
        <w:rPr>
          <w:rFonts w:ascii="Arial" w:cs="Arial" w:eastAsia="Arial" w:hAnsi="Arial"/>
          <w:sz w:val="18"/>
          <w:szCs w:val="18"/>
          <w:color w:val="auto"/>
        </w:rPr>
      </w:pPr>
      <w:r>
        <w:rPr>
          <w:rFonts w:ascii="Arial" w:cs="Arial" w:eastAsia="Arial" w:hAnsi="Arial"/>
          <w:sz w:val="18"/>
          <w:szCs w:val="18"/>
          <w:color w:val="auto"/>
        </w:rPr>
        <w:t>doing business on the company’s behalf with a relative or another company employing a relative.</w:t>
      </w:r>
    </w:p>
    <w:p>
      <w:pPr>
        <w:spacing w:after="0" w:line="306" w:lineRule="exact"/>
        <w:rPr>
          <w:sz w:val="20"/>
          <w:szCs w:val="20"/>
          <w:color w:val="auto"/>
        </w:rPr>
      </w:pPr>
    </w:p>
    <w:p>
      <w:pPr>
        <w:ind w:firstLine="913"/>
        <w:spacing w:after="0" w:line="286" w:lineRule="auto"/>
        <w:rPr>
          <w:sz w:val="20"/>
          <w:szCs w:val="20"/>
          <w:color w:val="auto"/>
        </w:rPr>
      </w:pPr>
      <w:r>
        <w:rPr>
          <w:rFonts w:ascii="Arial" w:cs="Arial" w:eastAsia="Arial" w:hAnsi="Arial"/>
          <w:sz w:val="17"/>
          <w:szCs w:val="17"/>
          <w:color w:val="auto"/>
        </w:rPr>
        <w:t>We expect that the Policy Against Conflicts of Interest will provide that in the event of any potential conflict of interest, the Nominating and Corporate Governance Committee of our board of directors will review and, considering such factors as it deems appropriate under the circumstances, make a determination as to whether to grant a waiver to the policies for any such situation. Any waiver would be promptly disclosed to shareholders.</w:t>
      </w:r>
    </w:p>
    <w:p>
      <w:pPr>
        <w:spacing w:after="0" w:line="189" w:lineRule="exact"/>
        <w:rPr>
          <w:sz w:val="20"/>
          <w:szCs w:val="20"/>
          <w:color w:val="auto"/>
        </w:rPr>
      </w:pPr>
    </w:p>
    <w:p>
      <w:pPr>
        <w:jc w:val="center"/>
        <w:ind w:right="9200"/>
        <w:spacing w:after="0"/>
        <w:rPr>
          <w:sz w:val="20"/>
          <w:szCs w:val="20"/>
          <w:color w:val="auto"/>
        </w:rPr>
      </w:pPr>
      <w:r>
        <w:rPr>
          <w:rFonts w:ascii="Arial" w:cs="Arial" w:eastAsia="Arial" w:hAnsi="Arial"/>
          <w:sz w:val="15"/>
          <w:szCs w:val="15"/>
          <w:b w:val="1"/>
          <w:bCs w:val="1"/>
          <w:color w:val="auto"/>
        </w:rPr>
        <w:t>Related Person Transactions</w:t>
      </w:r>
    </w:p>
    <w:p>
      <w:pPr>
        <w:spacing w:after="0" w:line="304" w:lineRule="exact"/>
        <w:rPr>
          <w:sz w:val="20"/>
          <w:szCs w:val="20"/>
          <w:color w:val="auto"/>
        </w:rPr>
      </w:pPr>
    </w:p>
    <w:p>
      <w:pPr>
        <w:ind w:left="920"/>
        <w:spacing w:after="0"/>
        <w:rPr>
          <w:sz w:val="20"/>
          <w:szCs w:val="20"/>
          <w:color w:val="auto"/>
        </w:rPr>
      </w:pPr>
      <w:r>
        <w:rPr>
          <w:rFonts w:ascii="Arial" w:cs="Arial" w:eastAsia="Arial" w:hAnsi="Arial"/>
          <w:sz w:val="18"/>
          <w:szCs w:val="18"/>
          <w:color w:val="auto"/>
        </w:rPr>
        <w:t>None.</w:t>
      </w:r>
    </w:p>
    <w:p>
      <w:pPr>
        <w:spacing w:after="0" w:line="158"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53</w:t>
      </w:r>
    </w:p>
    <w:p>
      <w:pPr>
        <w:sectPr>
          <w:pgSz w:w="11900" w:h="16838" w:orient="portrait"/>
          <w:cols w:equalWidth="0" w:num="1">
            <w:col w:w="11400"/>
          </w:cols>
          <w:pgMar w:left="240" w:top="459" w:right="259" w:bottom="1440" w:gutter="0" w:footer="0" w:header="0"/>
        </w:sectPr>
      </w:pPr>
    </w:p>
    <w:bookmarkStart w:id="64" w:name="page65"/>
    <w:bookmarkEnd w:id="6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RELATIONSHIP WITH TIMKEN FOLLOWING THE SPINOFF</w:t>
      </w:r>
    </w:p>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Historical Relationship with Timken</w:t>
      </w:r>
    </w:p>
    <w:p>
      <w:pPr>
        <w:spacing w:after="0" w:line="256" w:lineRule="exact"/>
        <w:rPr>
          <w:sz w:val="20"/>
          <w:szCs w:val="20"/>
          <w:color w:val="auto"/>
        </w:rPr>
      </w:pPr>
    </w:p>
    <w:p>
      <w:pPr>
        <w:ind w:right="80" w:firstLine="913"/>
        <w:spacing w:after="0" w:line="291" w:lineRule="auto"/>
        <w:rPr>
          <w:sz w:val="20"/>
          <w:szCs w:val="20"/>
          <w:color w:val="auto"/>
        </w:rPr>
      </w:pPr>
      <w:r>
        <w:rPr>
          <w:rFonts w:ascii="Arial" w:cs="Arial" w:eastAsia="Arial" w:hAnsi="Arial"/>
          <w:sz w:val="16"/>
          <w:szCs w:val="16"/>
          <w:color w:val="auto"/>
        </w:rPr>
        <w:t>We are currently a wholly owned subsidiary of Timken. We were incorporated in Ohio on October 24, 2013. In conjunction with the spinoff, Timken has transferred to us all the assets and generally all the liabilities relating to Timken’s steel business. As a result of the historical relationship between us and Timken, in the ordinary course of our business, we and our subsidiaries have received various services provided by Timken and some of its other subsidiaries, including accounting, treasury, tax, legal, risk management, communications, human resources, procurement, information technology and other services. We have also historically sold approximately 5% of our net steel production to Timken at prices we believe to be equivalent to market prices. Our Audited Consolidated Financial Statements include allocations by Timken of a portion of its overhead costs related to those services. These cost allocations have been determined on a basis that we and Timken consider to be reasonable reflections of the use of those services.</w:t>
      </w:r>
    </w:p>
    <w:p>
      <w:pPr>
        <w:spacing w:after="0" w:line="13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Timken’s Distribution of Our Shares</w:t>
      </w:r>
    </w:p>
    <w:p>
      <w:pPr>
        <w:spacing w:after="0" w:line="256" w:lineRule="exact"/>
        <w:rPr>
          <w:sz w:val="20"/>
          <w:szCs w:val="20"/>
          <w:color w:val="auto"/>
        </w:rPr>
      </w:pPr>
    </w:p>
    <w:p>
      <w:pPr>
        <w:ind w:firstLine="913"/>
        <w:spacing w:after="0" w:line="264" w:lineRule="auto"/>
        <w:rPr>
          <w:sz w:val="20"/>
          <w:szCs w:val="20"/>
          <w:color w:val="auto"/>
        </w:rPr>
      </w:pPr>
      <w:r>
        <w:rPr>
          <w:rFonts w:ascii="Arial" w:cs="Arial" w:eastAsia="Arial" w:hAnsi="Arial"/>
          <w:sz w:val="18"/>
          <w:szCs w:val="18"/>
          <w:color w:val="auto"/>
        </w:rPr>
        <w:t>Timken will be our sole shareholder until completion of the spinoff. In the spinoff, Timken is distributing its entire equity interest in us to its shareholders in a transaction that is intended to be tax-free to Timken and its U.S. shareholders. The spinoff will be subject to a number of conditions, some of which are more fully described above under “The Spinoff–Spinoff Conditions and Termination.”</w:t>
      </w:r>
    </w:p>
    <w:p>
      <w:pPr>
        <w:spacing w:after="0" w:line="15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Material Agreements Between Timken and Us</w:t>
      </w:r>
    </w:p>
    <w:p>
      <w:pPr>
        <w:spacing w:after="0" w:line="256" w:lineRule="exact"/>
        <w:rPr>
          <w:sz w:val="20"/>
          <w:szCs w:val="20"/>
          <w:color w:val="auto"/>
        </w:rPr>
      </w:pPr>
    </w:p>
    <w:p>
      <w:pPr>
        <w:ind w:firstLine="913"/>
        <w:spacing w:after="0" w:line="257" w:lineRule="auto"/>
        <w:rPr>
          <w:sz w:val="20"/>
          <w:szCs w:val="20"/>
          <w:color w:val="auto"/>
        </w:rPr>
      </w:pPr>
      <w:r>
        <w:rPr>
          <w:rFonts w:ascii="Arial" w:cs="Arial" w:eastAsia="Arial" w:hAnsi="Arial"/>
          <w:sz w:val="18"/>
          <w:szCs w:val="18"/>
          <w:color w:val="auto"/>
        </w:rPr>
        <w:t>In the discussion that immediately follows, we have summarized the terms of material agreements that we intend to enter into with Timken in connection with the spinoff and to govern our ongoing relationship with Timken following the spinoff. The summaries of these agreements are not complete and are qualified by reference to the terms of the agreements, the forms of which are included as exhibits to the registration statement of which this prospectus forms a part. We encourage you to read the full text of those agreements. The terms of those agreements have not yet been finalized; changes, some of which may be material, may be made prior to the spinoff.</w:t>
      </w:r>
    </w:p>
    <w:p>
      <w:pPr>
        <w:spacing w:after="0" w:line="188" w:lineRule="exact"/>
        <w:rPr>
          <w:sz w:val="20"/>
          <w:szCs w:val="20"/>
          <w:color w:val="auto"/>
        </w:rPr>
      </w:pPr>
    </w:p>
    <w:p>
      <w:pPr>
        <w:ind w:left="920"/>
        <w:spacing w:after="0"/>
        <w:rPr>
          <w:sz w:val="20"/>
          <w:szCs w:val="20"/>
          <w:color w:val="auto"/>
        </w:rPr>
      </w:pPr>
      <w:r>
        <w:rPr>
          <w:rFonts w:ascii="Arial" w:cs="Arial" w:eastAsia="Arial" w:hAnsi="Arial"/>
          <w:sz w:val="18"/>
          <w:szCs w:val="18"/>
          <w:b w:val="1"/>
          <w:bCs w:val="1"/>
          <w:i w:val="1"/>
          <w:iCs w:val="1"/>
          <w:color w:val="auto"/>
        </w:rPr>
        <w:t>Separation and Distribution Agreement</w:t>
      </w:r>
    </w:p>
    <w:p>
      <w:pPr>
        <w:spacing w:after="0" w:line="225" w:lineRule="exact"/>
        <w:rPr>
          <w:sz w:val="20"/>
          <w:szCs w:val="20"/>
          <w:color w:val="auto"/>
        </w:rPr>
      </w:pPr>
    </w:p>
    <w:p>
      <w:pPr>
        <w:ind w:right="80" w:firstLine="913"/>
        <w:spacing w:after="0" w:line="264" w:lineRule="auto"/>
        <w:rPr>
          <w:sz w:val="20"/>
          <w:szCs w:val="20"/>
          <w:color w:val="auto"/>
        </w:rPr>
      </w:pPr>
      <w:r>
        <w:rPr>
          <w:rFonts w:ascii="Arial" w:cs="Arial" w:eastAsia="Arial" w:hAnsi="Arial"/>
          <w:sz w:val="18"/>
          <w:szCs w:val="18"/>
          <w:color w:val="auto"/>
        </w:rPr>
        <w:t>The separation and distribution agreement will contain the key provisions relating to the spinoff, including provisions relating to the principal intercompany transactions required to effect the spinoff, the conditions to the spinoff and provisions governing the relationships between Timken and us after the spinoff.</w:t>
      </w:r>
    </w:p>
    <w:p>
      <w:pPr>
        <w:spacing w:after="0" w:line="154" w:lineRule="exact"/>
        <w:rPr>
          <w:sz w:val="20"/>
          <w:szCs w:val="20"/>
          <w:color w:val="auto"/>
        </w:rPr>
      </w:pPr>
    </w:p>
    <w:p>
      <w:pPr>
        <w:ind w:right="80" w:firstLine="913"/>
        <w:spacing w:after="0" w:line="286" w:lineRule="auto"/>
        <w:rPr>
          <w:sz w:val="20"/>
          <w:szCs w:val="20"/>
          <w:color w:val="auto"/>
        </w:rPr>
      </w:pPr>
      <w:r>
        <w:rPr>
          <w:rFonts w:ascii="Arial" w:cs="Arial" w:eastAsia="Arial" w:hAnsi="Arial"/>
          <w:sz w:val="17"/>
          <w:szCs w:val="17"/>
          <w:i w:val="1"/>
          <w:iCs w:val="1"/>
          <w:color w:val="auto"/>
        </w:rPr>
        <w:t>Transfer of Assets and Assumption of Liabilities</w:t>
      </w:r>
      <w:r>
        <w:rPr>
          <w:rFonts w:ascii="Arial" w:cs="Arial" w:eastAsia="Arial" w:hAnsi="Arial"/>
          <w:sz w:val="17"/>
          <w:szCs w:val="17"/>
          <w:color w:val="auto"/>
        </w:rPr>
        <w:t>. The separation and distribution agreement will provide for those transfers of assets and</w:t>
      </w:r>
      <w:r>
        <w:rPr>
          <w:rFonts w:ascii="Arial" w:cs="Arial" w:eastAsia="Arial" w:hAnsi="Arial"/>
          <w:sz w:val="17"/>
          <w:szCs w:val="17"/>
          <w:i w:val="1"/>
          <w:iCs w:val="1"/>
          <w:color w:val="auto"/>
        </w:rPr>
        <w:t xml:space="preserve"> </w:t>
      </w:r>
      <w:r>
        <w:rPr>
          <w:rFonts w:ascii="Arial" w:cs="Arial" w:eastAsia="Arial" w:hAnsi="Arial"/>
          <w:sz w:val="17"/>
          <w:szCs w:val="17"/>
          <w:color w:val="auto"/>
        </w:rPr>
        <w:t>assumptions of liabilities that are necessary in advance of our separation from Timken so that each of TimkenSteel and Timken retains the assets necessary to operate its respective business and retains or assumes the liabilities allocated to it in accordance with the reorganization.</w:t>
      </w:r>
    </w:p>
    <w:p>
      <w:pPr>
        <w:spacing w:after="0" w:line="125" w:lineRule="exact"/>
        <w:rPr>
          <w:sz w:val="20"/>
          <w:szCs w:val="20"/>
          <w:color w:val="auto"/>
        </w:rPr>
      </w:pPr>
    </w:p>
    <w:p>
      <w:pPr>
        <w:jc w:val="both"/>
        <w:ind w:right="40" w:firstLine="913"/>
        <w:spacing w:after="0" w:line="302" w:lineRule="auto"/>
        <w:rPr>
          <w:sz w:val="20"/>
          <w:szCs w:val="20"/>
          <w:color w:val="auto"/>
        </w:rPr>
      </w:pPr>
      <w:r>
        <w:rPr>
          <w:rFonts w:ascii="Arial" w:cs="Arial" w:eastAsia="Arial" w:hAnsi="Arial"/>
          <w:sz w:val="16"/>
          <w:szCs w:val="16"/>
          <w:i w:val="1"/>
          <w:iCs w:val="1"/>
          <w:color w:val="auto"/>
        </w:rPr>
        <w:t>Representations and Warranties</w:t>
      </w:r>
      <w:r>
        <w:rPr>
          <w:rFonts w:ascii="Arial" w:cs="Arial" w:eastAsia="Arial" w:hAnsi="Arial"/>
          <w:sz w:val="16"/>
          <w:szCs w:val="16"/>
          <w:color w:val="auto"/>
        </w:rPr>
        <w:t>. In general, neither Timken nor we will make any representations or warranties regarding any assets or liabilities</w:t>
      </w:r>
      <w:r>
        <w:rPr>
          <w:rFonts w:ascii="Arial" w:cs="Arial" w:eastAsia="Arial" w:hAnsi="Arial"/>
          <w:sz w:val="16"/>
          <w:szCs w:val="16"/>
          <w:i w:val="1"/>
          <w:iCs w:val="1"/>
          <w:color w:val="auto"/>
        </w:rPr>
        <w:t xml:space="preserve"> </w:t>
      </w:r>
      <w:r>
        <w:rPr>
          <w:rFonts w:ascii="Arial" w:cs="Arial" w:eastAsia="Arial" w:hAnsi="Arial"/>
          <w:sz w:val="16"/>
          <w:szCs w:val="16"/>
          <w:color w:val="auto"/>
        </w:rPr>
        <w:t>transferred or assumed, any consents or approvals that may be required in connection with these transfers or assumptions, the value or freedom from any lien or other security interest of any assets transferred, the absence of any defenses relating to any claim of either party or the legal sufficiency of any conveyance documents. Except as expressly set forth in the separation and distribution agreement, all assets will be transferred on an “as is,” “where is” basis.</w:t>
      </w:r>
    </w:p>
    <w:p>
      <w:pPr>
        <w:spacing w:after="0" w:line="8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54</w:t>
      </w:r>
    </w:p>
    <w:p>
      <w:pPr>
        <w:sectPr>
          <w:pgSz w:w="11900" w:h="16838" w:orient="portrait"/>
          <w:cols w:equalWidth="0" w:num="1">
            <w:col w:w="11420"/>
          </w:cols>
          <w:pgMar w:left="240" w:top="459" w:right="239" w:bottom="1440" w:gutter="0" w:footer="0" w:header="0"/>
        </w:sectPr>
      </w:pPr>
    </w:p>
    <w:bookmarkStart w:id="65" w:name="page66"/>
    <w:bookmarkEnd w:id="6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220" w:firstLine="913"/>
        <w:spacing w:after="0" w:line="279" w:lineRule="auto"/>
        <w:rPr>
          <w:sz w:val="20"/>
          <w:szCs w:val="20"/>
          <w:color w:val="auto"/>
        </w:rPr>
      </w:pPr>
      <w:r>
        <w:rPr>
          <w:rFonts w:ascii="Arial" w:cs="Arial" w:eastAsia="Arial" w:hAnsi="Arial"/>
          <w:sz w:val="17"/>
          <w:szCs w:val="17"/>
          <w:i w:val="1"/>
          <w:iCs w:val="1"/>
          <w:color w:val="auto"/>
        </w:rPr>
        <w:t>The Distribution</w:t>
      </w:r>
      <w:r>
        <w:rPr>
          <w:rFonts w:ascii="Arial" w:cs="Arial" w:eastAsia="Arial" w:hAnsi="Arial"/>
          <w:sz w:val="17"/>
          <w:szCs w:val="17"/>
          <w:color w:val="auto"/>
        </w:rPr>
        <w:t>. The separation and distribution agreement will govern Timken’s and our respective rights and obligations regarding the</w:t>
      </w:r>
      <w:r>
        <w:rPr>
          <w:rFonts w:ascii="Arial" w:cs="Arial" w:eastAsia="Arial" w:hAnsi="Arial"/>
          <w:sz w:val="17"/>
          <w:szCs w:val="17"/>
          <w:i w:val="1"/>
          <w:iCs w:val="1"/>
          <w:color w:val="auto"/>
        </w:rPr>
        <w:t xml:space="preserve"> </w:t>
      </w:r>
      <w:r>
        <w:rPr>
          <w:rFonts w:ascii="Arial" w:cs="Arial" w:eastAsia="Arial" w:hAnsi="Arial"/>
          <w:sz w:val="17"/>
          <w:szCs w:val="17"/>
          <w:color w:val="auto"/>
        </w:rPr>
        <w:t>proposed distribution. Prior to the distribution, Timken will deliver all of our issued and outstanding common shares to the distribution agent. On the distribution date, Timken will instruct the distribution agent to electronically deliver our common shares to Timken’s shareholders based on the distribution ratio. Timken will have the sole and absolute discretion to determine the terms of, and whether to proceed with, the distribution.</w:t>
      </w:r>
    </w:p>
    <w:p>
      <w:pPr>
        <w:spacing w:after="0" w:line="144" w:lineRule="exact"/>
        <w:rPr>
          <w:sz w:val="20"/>
          <w:szCs w:val="20"/>
          <w:color w:val="auto"/>
        </w:rPr>
      </w:pPr>
    </w:p>
    <w:p>
      <w:pPr>
        <w:ind w:right="100" w:firstLine="913"/>
        <w:spacing w:after="0" w:line="279" w:lineRule="auto"/>
        <w:rPr>
          <w:sz w:val="20"/>
          <w:szCs w:val="20"/>
          <w:color w:val="auto"/>
        </w:rPr>
      </w:pPr>
      <w:r>
        <w:rPr>
          <w:rFonts w:ascii="Arial" w:cs="Arial" w:eastAsia="Arial" w:hAnsi="Arial"/>
          <w:sz w:val="17"/>
          <w:szCs w:val="17"/>
          <w:i w:val="1"/>
          <w:iCs w:val="1"/>
          <w:color w:val="auto"/>
        </w:rPr>
        <w:t>Conditions</w:t>
      </w:r>
      <w:r>
        <w:rPr>
          <w:rFonts w:ascii="Arial" w:cs="Arial" w:eastAsia="Arial" w:hAnsi="Arial"/>
          <w:sz w:val="17"/>
          <w:szCs w:val="17"/>
          <w:color w:val="auto"/>
        </w:rPr>
        <w:t>. The separation and distribution agreement will also provide that several conditions must be satisfied or waived by Timken in its sole</w:t>
      </w:r>
      <w:r>
        <w:rPr>
          <w:rFonts w:ascii="Arial" w:cs="Arial" w:eastAsia="Arial" w:hAnsi="Arial"/>
          <w:sz w:val="17"/>
          <w:szCs w:val="17"/>
          <w:i w:val="1"/>
          <w:iCs w:val="1"/>
          <w:color w:val="auto"/>
        </w:rPr>
        <w:t xml:space="preserve"> </w:t>
      </w:r>
      <w:r>
        <w:rPr>
          <w:rFonts w:ascii="Arial" w:cs="Arial" w:eastAsia="Arial" w:hAnsi="Arial"/>
          <w:sz w:val="17"/>
          <w:szCs w:val="17"/>
          <w:color w:val="auto"/>
        </w:rPr>
        <w:t>and absolute discretion before the distribution can occur. For further information about these conditions, see “The Spinoff–Spinoff Conditions and Termination.” The Timken board of directors may, in its sole and absolute discretion, determine the record date, the distribution date and the terms of the spinoff and may at any time prior to the completion of the spinoff decide to abandon or modify the spinoff.</w:t>
      </w:r>
    </w:p>
    <w:p>
      <w:pPr>
        <w:spacing w:after="0" w:line="131" w:lineRule="exact"/>
        <w:rPr>
          <w:sz w:val="20"/>
          <w:szCs w:val="20"/>
          <w:color w:val="auto"/>
        </w:rPr>
      </w:pPr>
    </w:p>
    <w:p>
      <w:pPr>
        <w:ind w:right="220" w:firstLine="913"/>
        <w:spacing w:after="0" w:line="277" w:lineRule="auto"/>
        <w:rPr>
          <w:sz w:val="20"/>
          <w:szCs w:val="20"/>
          <w:color w:val="auto"/>
        </w:rPr>
      </w:pPr>
      <w:r>
        <w:rPr>
          <w:rFonts w:ascii="Arial" w:cs="Arial" w:eastAsia="Arial" w:hAnsi="Arial"/>
          <w:sz w:val="18"/>
          <w:szCs w:val="18"/>
          <w:i w:val="1"/>
          <w:iCs w:val="1"/>
          <w:color w:val="auto"/>
        </w:rPr>
        <w:t>Termination</w:t>
      </w:r>
      <w:r>
        <w:rPr>
          <w:rFonts w:ascii="Arial" w:cs="Arial" w:eastAsia="Arial" w:hAnsi="Arial"/>
          <w:sz w:val="18"/>
          <w:szCs w:val="18"/>
          <w:color w:val="auto"/>
        </w:rPr>
        <w:t>. The Timken board of directors, in its sole and absolute discretion, may terminate the separation and distribution agreement at any</w:t>
      </w:r>
      <w:r>
        <w:rPr>
          <w:rFonts w:ascii="Arial" w:cs="Arial" w:eastAsia="Arial" w:hAnsi="Arial"/>
          <w:sz w:val="18"/>
          <w:szCs w:val="18"/>
          <w:i w:val="1"/>
          <w:iCs w:val="1"/>
          <w:color w:val="auto"/>
        </w:rPr>
        <w:t xml:space="preserve"> </w:t>
      </w:r>
      <w:r>
        <w:rPr>
          <w:rFonts w:ascii="Arial" w:cs="Arial" w:eastAsia="Arial" w:hAnsi="Arial"/>
          <w:sz w:val="18"/>
          <w:szCs w:val="18"/>
          <w:color w:val="auto"/>
        </w:rPr>
        <w:t>time prior to the distribution.</w:t>
      </w:r>
    </w:p>
    <w:p>
      <w:pPr>
        <w:spacing w:after="0" w:line="130" w:lineRule="exact"/>
        <w:rPr>
          <w:sz w:val="20"/>
          <w:szCs w:val="20"/>
          <w:color w:val="auto"/>
        </w:rPr>
      </w:pPr>
    </w:p>
    <w:p>
      <w:pPr>
        <w:ind w:firstLine="913"/>
        <w:spacing w:after="0" w:line="302" w:lineRule="auto"/>
        <w:rPr>
          <w:sz w:val="20"/>
          <w:szCs w:val="20"/>
          <w:color w:val="auto"/>
        </w:rPr>
      </w:pPr>
      <w:r>
        <w:rPr>
          <w:rFonts w:ascii="Arial" w:cs="Arial" w:eastAsia="Arial" w:hAnsi="Arial"/>
          <w:sz w:val="16"/>
          <w:szCs w:val="16"/>
          <w:i w:val="1"/>
          <w:iCs w:val="1"/>
          <w:color w:val="auto"/>
        </w:rPr>
        <w:t>Release of Claims</w:t>
      </w:r>
      <w:r>
        <w:rPr>
          <w:rFonts w:ascii="Arial" w:cs="Arial" w:eastAsia="Arial" w:hAnsi="Arial"/>
          <w:sz w:val="16"/>
          <w:szCs w:val="16"/>
          <w:color w:val="auto"/>
        </w:rPr>
        <w:t>. Timken and we will each agree to release the other and its affiliates, successors and assigns, and all persons that prior to the</w:t>
      </w:r>
      <w:r>
        <w:rPr>
          <w:rFonts w:ascii="Arial" w:cs="Arial" w:eastAsia="Arial" w:hAnsi="Arial"/>
          <w:sz w:val="16"/>
          <w:szCs w:val="16"/>
          <w:i w:val="1"/>
          <w:iCs w:val="1"/>
          <w:color w:val="auto"/>
        </w:rPr>
        <w:t xml:space="preserve"> </w:t>
      </w:r>
      <w:r>
        <w:rPr>
          <w:rFonts w:ascii="Arial" w:cs="Arial" w:eastAsia="Arial" w:hAnsi="Arial"/>
          <w:sz w:val="16"/>
          <w:szCs w:val="16"/>
          <w:color w:val="auto"/>
        </w:rPr>
        <w:t>distribution have been the other’s shareholders, directors, officers, members, agents and employees, and their respective heirs, executors, administrators, successors and assigns, from any claims against any of them that arise out of or relate to events, circumstances or actions occurring or failing to occur or any conditions existing at or prior to the time of the distribution. These releases will be subject to exceptions set forth in the separation and distribution agreement.</w:t>
      </w:r>
    </w:p>
    <w:p>
      <w:pPr>
        <w:spacing w:after="0" w:line="127" w:lineRule="exact"/>
        <w:rPr>
          <w:sz w:val="20"/>
          <w:szCs w:val="20"/>
          <w:color w:val="auto"/>
        </w:rPr>
      </w:pPr>
    </w:p>
    <w:p>
      <w:pPr>
        <w:ind w:right="20" w:firstLine="913"/>
        <w:spacing w:after="0" w:line="279" w:lineRule="auto"/>
        <w:rPr>
          <w:sz w:val="20"/>
          <w:szCs w:val="20"/>
          <w:color w:val="auto"/>
        </w:rPr>
      </w:pPr>
      <w:r>
        <w:rPr>
          <w:rFonts w:ascii="Arial" w:cs="Arial" w:eastAsia="Arial" w:hAnsi="Arial"/>
          <w:sz w:val="17"/>
          <w:szCs w:val="17"/>
          <w:i w:val="1"/>
          <w:iCs w:val="1"/>
          <w:color w:val="auto"/>
        </w:rPr>
        <w:t>Indemnification</w:t>
      </w:r>
      <w:r>
        <w:rPr>
          <w:rFonts w:ascii="Arial" w:cs="Arial" w:eastAsia="Arial" w:hAnsi="Arial"/>
          <w:sz w:val="17"/>
          <w:szCs w:val="17"/>
          <w:color w:val="auto"/>
        </w:rPr>
        <w:t>. Timken and we will each agree to indemnify the other and each of the other’s past and present directors, officers and employees,</w:t>
      </w:r>
      <w:r>
        <w:rPr>
          <w:rFonts w:ascii="Arial" w:cs="Arial" w:eastAsia="Arial" w:hAnsi="Arial"/>
          <w:sz w:val="17"/>
          <w:szCs w:val="17"/>
          <w:i w:val="1"/>
          <w:iCs w:val="1"/>
          <w:color w:val="auto"/>
        </w:rPr>
        <w:t xml:space="preserve"> </w:t>
      </w:r>
      <w:r>
        <w:rPr>
          <w:rFonts w:ascii="Arial" w:cs="Arial" w:eastAsia="Arial" w:hAnsi="Arial"/>
          <w:sz w:val="17"/>
          <w:szCs w:val="17"/>
          <w:color w:val="auto"/>
        </w:rPr>
        <w:t>and each of their successors and assigns, against certain liabilities incurred in connection with the spinoff and our and Timken’s respective businesses. The amount of either Timken’s or our indemnification obligations will be reduced by any insurance proceeds the party being indemnified receives. The separation and distribution agreement will also specify procedures regarding claims subject to indemnification.</w:t>
      </w:r>
    </w:p>
    <w:p>
      <w:pPr>
        <w:spacing w:after="0" w:line="198" w:lineRule="exact"/>
        <w:rPr>
          <w:sz w:val="20"/>
          <w:szCs w:val="20"/>
          <w:color w:val="auto"/>
        </w:rPr>
      </w:pPr>
    </w:p>
    <w:p>
      <w:pPr>
        <w:ind w:left="920"/>
        <w:spacing w:after="0"/>
        <w:rPr>
          <w:sz w:val="20"/>
          <w:szCs w:val="20"/>
          <w:color w:val="auto"/>
        </w:rPr>
      </w:pPr>
      <w:r>
        <w:rPr>
          <w:rFonts w:ascii="Arial" w:cs="Arial" w:eastAsia="Arial" w:hAnsi="Arial"/>
          <w:sz w:val="18"/>
          <w:szCs w:val="18"/>
          <w:b w:val="1"/>
          <w:bCs w:val="1"/>
          <w:i w:val="1"/>
          <w:iCs w:val="1"/>
          <w:color w:val="auto"/>
        </w:rPr>
        <w:t>Tax Sharing Agreement</w:t>
      </w:r>
    </w:p>
    <w:p>
      <w:pPr>
        <w:spacing w:after="0" w:line="266" w:lineRule="exact"/>
        <w:rPr>
          <w:sz w:val="20"/>
          <w:szCs w:val="20"/>
          <w:color w:val="auto"/>
        </w:rPr>
      </w:pPr>
    </w:p>
    <w:p>
      <w:pPr>
        <w:ind w:right="100" w:firstLine="913"/>
        <w:spacing w:after="0" w:line="254" w:lineRule="auto"/>
        <w:rPr>
          <w:sz w:val="20"/>
          <w:szCs w:val="20"/>
          <w:color w:val="auto"/>
        </w:rPr>
      </w:pPr>
      <w:r>
        <w:rPr>
          <w:rFonts w:ascii="Arial" w:cs="Arial" w:eastAsia="Arial" w:hAnsi="Arial"/>
          <w:sz w:val="18"/>
          <w:szCs w:val="18"/>
          <w:color w:val="auto"/>
        </w:rPr>
        <w:t>TimkenSteel and Timken will enter into a tax sharing agreement prior to the distribution, which will generally govern Timken’s and TimkenSteel’s respective rights, responsibilities and obligations after the distribution with respect to taxes for any tax period ending on or before the distribution date, as well as tax periods beginning before and ending after the distribution date. Generally, TimkenSteel will be liable for all pre-distribution U.S. federal income taxes, foreign income taxes and non-income taxes attributable to TimkenSteel’s business, and all other taxes attributable to TimkenSteel, paid after the distribution. In addition, the tax sharing agreement will address the allocation of liability for taxes that are incurred as a result of restructuring activities undertaken to effectuate the distribution. The tax sharing agreement will also provide that TimkenSteel is liable for taxes incurred by Timken that arise as a result of TimkenSteel’s taking or failing to take, as the case may be, certain actions that result in the distribution failing to meet the requirements of a tax-free distribution under Section 355 of the Code.</w:t>
      </w:r>
    </w:p>
    <w:p>
      <w:pPr>
        <w:spacing w:after="0" w:line="12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55</w:t>
      </w:r>
    </w:p>
    <w:p>
      <w:pPr>
        <w:sectPr>
          <w:pgSz w:w="11900" w:h="16838" w:orient="portrait"/>
          <w:cols w:equalWidth="0" w:num="1">
            <w:col w:w="11420"/>
          </w:cols>
          <w:pgMar w:left="240" w:top="459" w:right="239" w:bottom="1440" w:gutter="0" w:footer="0" w:header="0"/>
        </w:sectPr>
      </w:pPr>
    </w:p>
    <w:bookmarkStart w:id="66" w:name="page67"/>
    <w:bookmarkEnd w:id="6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920"/>
        <w:spacing w:after="0"/>
        <w:rPr>
          <w:sz w:val="20"/>
          <w:szCs w:val="20"/>
          <w:color w:val="auto"/>
        </w:rPr>
      </w:pPr>
      <w:r>
        <w:rPr>
          <w:rFonts w:ascii="Arial" w:cs="Arial" w:eastAsia="Arial" w:hAnsi="Arial"/>
          <w:sz w:val="18"/>
          <w:szCs w:val="18"/>
          <w:b w:val="1"/>
          <w:bCs w:val="1"/>
          <w:i w:val="1"/>
          <w:iCs w:val="1"/>
          <w:color w:val="auto"/>
        </w:rPr>
        <w:t>Employee Matters Agreement</w:t>
      </w:r>
    </w:p>
    <w:p>
      <w:pPr>
        <w:spacing w:after="0" w:line="306" w:lineRule="exact"/>
        <w:rPr>
          <w:sz w:val="20"/>
          <w:szCs w:val="20"/>
          <w:color w:val="auto"/>
        </w:rPr>
      </w:pPr>
    </w:p>
    <w:p>
      <w:pPr>
        <w:ind w:right="40" w:firstLine="913"/>
        <w:spacing w:after="0" w:line="271" w:lineRule="auto"/>
        <w:rPr>
          <w:sz w:val="20"/>
          <w:szCs w:val="20"/>
          <w:color w:val="auto"/>
        </w:rPr>
      </w:pPr>
      <w:r>
        <w:rPr>
          <w:rFonts w:ascii="Arial" w:cs="Arial" w:eastAsia="Arial" w:hAnsi="Arial"/>
          <w:sz w:val="17"/>
          <w:szCs w:val="17"/>
          <w:color w:val="auto"/>
        </w:rPr>
        <w:t>We intend to enter into an employee matters agreement with Timken, which will generally provide that each of Timken and TimkenSteel has responsibility for its own employees and compensation plans, subject to certain exceptions as described in the agreement. In general, our employees currently participate in various retirement, health and welfare, and other employee benefit and compensation plans maintained by Timken. Following the spinoff (or earlier, in the case of the tax-qualified defined benefit plans and retiree medical plans), pursuant to the employee matters agreement, our employees and former employees will generally participate in similar plans and arrangements established and maintained by us. The employee matters agreement provides for the bifurcation of equity awards as described above. Among other things, the employee matters agreement also provides for TimkenSteel’s assumption of certain employment-related contracts that its employees originally entered into with Timken, the allocation of certain employee liabilities and the cooperation between us and Timken in the sharing of employee information.</w:t>
      </w:r>
    </w:p>
    <w:p>
      <w:pPr>
        <w:spacing w:after="0" w:line="206" w:lineRule="exact"/>
        <w:rPr>
          <w:sz w:val="20"/>
          <w:szCs w:val="20"/>
          <w:color w:val="auto"/>
        </w:rPr>
      </w:pPr>
    </w:p>
    <w:p>
      <w:pPr>
        <w:ind w:left="920"/>
        <w:spacing w:after="0"/>
        <w:rPr>
          <w:sz w:val="20"/>
          <w:szCs w:val="20"/>
          <w:color w:val="auto"/>
        </w:rPr>
      </w:pPr>
      <w:r>
        <w:rPr>
          <w:rFonts w:ascii="Arial" w:cs="Arial" w:eastAsia="Arial" w:hAnsi="Arial"/>
          <w:sz w:val="18"/>
          <w:szCs w:val="18"/>
          <w:b w:val="1"/>
          <w:bCs w:val="1"/>
          <w:i w:val="1"/>
          <w:iCs w:val="1"/>
          <w:color w:val="auto"/>
        </w:rPr>
        <w:t>Transition Services Agreement</w:t>
      </w:r>
    </w:p>
    <w:p>
      <w:pPr>
        <w:spacing w:after="0" w:line="306" w:lineRule="exact"/>
        <w:rPr>
          <w:sz w:val="20"/>
          <w:szCs w:val="20"/>
          <w:color w:val="auto"/>
        </w:rPr>
      </w:pPr>
    </w:p>
    <w:p>
      <w:pPr>
        <w:ind w:right="100" w:firstLine="913"/>
        <w:spacing w:after="0" w:line="279" w:lineRule="auto"/>
        <w:rPr>
          <w:sz w:val="20"/>
          <w:szCs w:val="20"/>
          <w:color w:val="auto"/>
        </w:rPr>
      </w:pPr>
      <w:r>
        <w:rPr>
          <w:rFonts w:ascii="Arial" w:cs="Arial" w:eastAsia="Arial" w:hAnsi="Arial"/>
          <w:sz w:val="17"/>
          <w:szCs w:val="17"/>
          <w:color w:val="auto"/>
        </w:rPr>
        <w:t>We and Timken will enter into a transition services agreement under which we and Timken will provide and/or make available various administrative services and assets to each other, expected to be a period of 24 months or less beginning on the distribution date. Services to be provided by Timken to us include certain services related to engineering, finance, facilities, information technology and employee benefits. Services to be provided by us to Timken include certain services related to engineering, operations, finance, facilities and information technology.</w:t>
      </w:r>
    </w:p>
    <w:p>
      <w:pPr>
        <w:spacing w:after="0" w:line="131" w:lineRule="exact"/>
        <w:rPr>
          <w:sz w:val="20"/>
          <w:szCs w:val="20"/>
          <w:color w:val="auto"/>
        </w:rPr>
      </w:pPr>
    </w:p>
    <w:p>
      <w:pPr>
        <w:ind w:right="280" w:firstLine="913"/>
        <w:spacing w:after="0" w:line="308" w:lineRule="auto"/>
        <w:rPr>
          <w:sz w:val="20"/>
          <w:szCs w:val="20"/>
          <w:color w:val="auto"/>
        </w:rPr>
      </w:pPr>
      <w:r>
        <w:rPr>
          <w:rFonts w:ascii="Arial" w:cs="Arial" w:eastAsia="Arial" w:hAnsi="Arial"/>
          <w:sz w:val="17"/>
          <w:szCs w:val="17"/>
          <w:color w:val="auto"/>
        </w:rPr>
        <w:t>In consideration for such services, we and Timken will each pay fees to the other for the services provided, and those fees will generally be in amounts intended to allow the party providing services to recover all of its direct and indirect costs incurred in providing those services.</w:t>
      </w:r>
    </w:p>
    <w:p>
      <w:pPr>
        <w:spacing w:after="0" w:line="106" w:lineRule="exact"/>
        <w:rPr>
          <w:sz w:val="20"/>
          <w:szCs w:val="20"/>
          <w:color w:val="auto"/>
        </w:rPr>
      </w:pPr>
    </w:p>
    <w:p>
      <w:pPr>
        <w:ind w:right="600" w:firstLine="913"/>
        <w:spacing w:after="0" w:line="308" w:lineRule="auto"/>
        <w:rPr>
          <w:sz w:val="20"/>
          <w:szCs w:val="20"/>
          <w:color w:val="auto"/>
        </w:rPr>
      </w:pPr>
      <w:r>
        <w:rPr>
          <w:rFonts w:ascii="Arial" w:cs="Arial" w:eastAsia="Arial" w:hAnsi="Arial"/>
          <w:sz w:val="17"/>
          <w:szCs w:val="17"/>
          <w:color w:val="auto"/>
        </w:rPr>
        <w:t>The personnel performing services under the transition services agreement will be employees and/or independent contractors of the party providing the service and will not be under the direction or control of the party to whom the service is being provided.</w:t>
      </w:r>
    </w:p>
    <w:p>
      <w:pPr>
        <w:spacing w:after="0" w:line="120" w:lineRule="exact"/>
        <w:rPr>
          <w:sz w:val="20"/>
          <w:szCs w:val="20"/>
          <w:color w:val="auto"/>
        </w:rPr>
      </w:pPr>
    </w:p>
    <w:p>
      <w:pPr>
        <w:ind w:left="920"/>
        <w:spacing w:after="0"/>
        <w:rPr>
          <w:sz w:val="20"/>
          <w:szCs w:val="20"/>
          <w:color w:val="auto"/>
        </w:rPr>
      </w:pPr>
      <w:r>
        <w:rPr>
          <w:rFonts w:ascii="Arial" w:cs="Arial" w:eastAsia="Arial" w:hAnsi="Arial"/>
          <w:sz w:val="18"/>
          <w:szCs w:val="18"/>
          <w:color w:val="auto"/>
        </w:rPr>
        <w:t>The transition services agreement will also contain customary mutual indemnification provisions.</w:t>
      </w:r>
    </w:p>
    <w:p>
      <w:pPr>
        <w:spacing w:after="0" w:line="185" w:lineRule="exact"/>
        <w:rPr>
          <w:sz w:val="20"/>
          <w:szCs w:val="20"/>
          <w:color w:val="auto"/>
        </w:rPr>
      </w:pPr>
    </w:p>
    <w:p>
      <w:pPr>
        <w:ind w:right="40" w:firstLine="913"/>
        <w:spacing w:after="0" w:line="277" w:lineRule="auto"/>
        <w:rPr>
          <w:sz w:val="20"/>
          <w:szCs w:val="20"/>
          <w:color w:val="auto"/>
        </w:rPr>
      </w:pPr>
      <w:r>
        <w:rPr>
          <w:rFonts w:ascii="Arial" w:cs="Arial" w:eastAsia="Arial" w:hAnsi="Arial"/>
          <w:sz w:val="18"/>
          <w:szCs w:val="18"/>
          <w:color w:val="auto"/>
        </w:rPr>
        <w:t>We will be permitted to extend or renew any of the services to be performed under the transition services agreement for a period of up to 90 days by sending advance written notice to Timken.</w:t>
      </w:r>
    </w:p>
    <w:p>
      <w:pPr>
        <w:spacing w:after="0" w:line="211" w:lineRule="exact"/>
        <w:rPr>
          <w:sz w:val="20"/>
          <w:szCs w:val="20"/>
          <w:color w:val="auto"/>
        </w:rPr>
      </w:pPr>
    </w:p>
    <w:p>
      <w:pPr>
        <w:ind w:left="920"/>
        <w:spacing w:after="0"/>
        <w:rPr>
          <w:sz w:val="20"/>
          <w:szCs w:val="20"/>
          <w:color w:val="auto"/>
        </w:rPr>
      </w:pPr>
      <w:r>
        <w:rPr>
          <w:rFonts w:ascii="Arial" w:cs="Arial" w:eastAsia="Arial" w:hAnsi="Arial"/>
          <w:sz w:val="18"/>
          <w:szCs w:val="18"/>
          <w:b w:val="1"/>
          <w:bCs w:val="1"/>
          <w:i w:val="1"/>
          <w:iCs w:val="1"/>
          <w:color w:val="auto"/>
        </w:rPr>
        <w:t>Noncompetition Agreement</w:t>
      </w:r>
    </w:p>
    <w:p>
      <w:pPr>
        <w:spacing w:after="0" w:line="252" w:lineRule="exact"/>
        <w:rPr>
          <w:sz w:val="20"/>
          <w:szCs w:val="20"/>
          <w:color w:val="auto"/>
        </w:rPr>
      </w:pPr>
    </w:p>
    <w:p>
      <w:pPr>
        <w:ind w:firstLine="913"/>
        <w:spacing w:after="0" w:line="255" w:lineRule="auto"/>
        <w:rPr>
          <w:sz w:val="20"/>
          <w:szCs w:val="20"/>
          <w:color w:val="auto"/>
        </w:rPr>
      </w:pPr>
      <w:r>
        <w:rPr>
          <w:rFonts w:ascii="Arial" w:cs="Arial" w:eastAsia="Arial" w:hAnsi="Arial"/>
          <w:sz w:val="18"/>
          <w:szCs w:val="18"/>
          <w:color w:val="auto"/>
        </w:rPr>
        <w:t>We and Timken will enter into a noncompetition agreement binding us and our subsidiaries. Timken and its subsidiaries will agree not to engage, directly or indirectly, anywhere in the world, in certain businesses related to the design, manufacture and sale of steel. In addition, we and our subsidiaries will agree not to engage, directly or indirectly, anywhere in the world, in certain businesses related to the design, manufacture and sale of certain finished components. For the term of the noncompetition agreement, subject to certain exceptions, Timken will also agree not to solicit our employees for employment with Timken and we will agree not to solicit Timken’s employees for employment with TimkenSteel. The noncompetition agreement will terminate five years after its effective date.</w:t>
      </w:r>
    </w:p>
    <w:p>
      <w:pPr>
        <w:spacing w:after="0" w:line="234" w:lineRule="exact"/>
        <w:rPr>
          <w:sz w:val="20"/>
          <w:szCs w:val="20"/>
          <w:color w:val="auto"/>
        </w:rPr>
      </w:pPr>
    </w:p>
    <w:p>
      <w:pPr>
        <w:ind w:left="920"/>
        <w:spacing w:after="0"/>
        <w:rPr>
          <w:sz w:val="20"/>
          <w:szCs w:val="20"/>
          <w:color w:val="auto"/>
        </w:rPr>
      </w:pPr>
      <w:r>
        <w:rPr>
          <w:rFonts w:ascii="Arial" w:cs="Arial" w:eastAsia="Arial" w:hAnsi="Arial"/>
          <w:sz w:val="18"/>
          <w:szCs w:val="18"/>
          <w:b w:val="1"/>
          <w:bCs w:val="1"/>
          <w:i w:val="1"/>
          <w:iCs w:val="1"/>
          <w:color w:val="auto"/>
        </w:rPr>
        <w:t>Trademark License Agreement</w:t>
      </w:r>
    </w:p>
    <w:p>
      <w:pPr>
        <w:spacing w:after="0" w:line="266" w:lineRule="exact"/>
        <w:rPr>
          <w:sz w:val="20"/>
          <w:szCs w:val="20"/>
          <w:color w:val="auto"/>
        </w:rPr>
      </w:pPr>
    </w:p>
    <w:p>
      <w:pPr>
        <w:ind w:right="20" w:firstLine="913"/>
        <w:spacing w:after="0" w:line="264" w:lineRule="auto"/>
        <w:rPr>
          <w:sz w:val="20"/>
          <w:szCs w:val="20"/>
          <w:color w:val="auto"/>
        </w:rPr>
      </w:pPr>
      <w:r>
        <w:rPr>
          <w:rFonts w:ascii="Arial" w:cs="Arial" w:eastAsia="Arial" w:hAnsi="Arial"/>
          <w:sz w:val="18"/>
          <w:szCs w:val="18"/>
          <w:color w:val="auto"/>
        </w:rPr>
        <w:t>We intend to enter into a trademark license agreement with Timken, under which Timken will license certain trademarks to us in connection with the operations of our business. The license, subject to certain limitations and exceptions, will be perpetual, irrevocable, fully paid-up, royalty-free, and worldwide, with limited and qualified rights to sublicense and assign.</w:t>
      </w:r>
    </w:p>
    <w:p>
      <w:pPr>
        <w:spacing w:after="0" w:line="11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56</w:t>
      </w:r>
    </w:p>
    <w:p>
      <w:pPr>
        <w:sectPr>
          <w:pgSz w:w="11900" w:h="16838" w:orient="portrait"/>
          <w:cols w:equalWidth="0" w:num="1">
            <w:col w:w="11400"/>
          </w:cols>
          <w:pgMar w:left="240" w:top="459" w:right="259" w:bottom="1440" w:gutter="0" w:footer="0" w:header="0"/>
        </w:sectPr>
      </w:pPr>
    </w:p>
    <w:bookmarkStart w:id="67" w:name="page68"/>
    <w:bookmarkEnd w:id="6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2">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Other Commercial Agreements or Arrangements Between Timken and Us</w:t>
      </w:r>
    </w:p>
    <w:p>
      <w:pPr>
        <w:spacing w:after="0" w:line="270" w:lineRule="exact"/>
        <w:rPr>
          <w:sz w:val="20"/>
          <w:szCs w:val="20"/>
          <w:color w:val="auto"/>
        </w:rPr>
      </w:pPr>
    </w:p>
    <w:p>
      <w:pPr>
        <w:ind w:right="300" w:firstLine="913"/>
        <w:spacing w:after="0" w:line="264" w:lineRule="auto"/>
        <w:rPr>
          <w:sz w:val="20"/>
          <w:szCs w:val="20"/>
          <w:color w:val="auto"/>
        </w:rPr>
      </w:pPr>
      <w:r>
        <w:rPr>
          <w:rFonts w:ascii="Arial" w:cs="Arial" w:eastAsia="Arial" w:hAnsi="Arial"/>
          <w:sz w:val="18"/>
          <w:szCs w:val="18"/>
          <w:color w:val="auto"/>
        </w:rPr>
        <w:t>In the discussion that immediately follows, we have summarized the terms of other commercial agreements or arrangements that we intend to enter into with Timken in connection with the spinoff that we do not deem material in amount or significance. The terms of those agreements and arrangements have not yet been finalized, and changes may be made prior to the spinoff.</w:t>
      </w:r>
    </w:p>
    <w:p>
      <w:pPr>
        <w:spacing w:after="0" w:line="181" w:lineRule="exact"/>
        <w:rPr>
          <w:sz w:val="20"/>
          <w:szCs w:val="20"/>
          <w:color w:val="auto"/>
        </w:rPr>
      </w:pPr>
    </w:p>
    <w:p>
      <w:pPr>
        <w:ind w:left="920"/>
        <w:spacing w:after="0"/>
        <w:rPr>
          <w:sz w:val="20"/>
          <w:szCs w:val="20"/>
          <w:color w:val="auto"/>
        </w:rPr>
      </w:pPr>
      <w:r>
        <w:rPr>
          <w:rFonts w:ascii="Arial" w:cs="Arial" w:eastAsia="Arial" w:hAnsi="Arial"/>
          <w:sz w:val="18"/>
          <w:szCs w:val="18"/>
          <w:b w:val="1"/>
          <w:bCs w:val="1"/>
          <w:i w:val="1"/>
          <w:iCs w:val="1"/>
          <w:color w:val="auto"/>
        </w:rPr>
        <w:t>Commercial Supply Agreement</w:t>
      </w:r>
    </w:p>
    <w:p>
      <w:pPr>
        <w:spacing w:after="0" w:line="225" w:lineRule="exact"/>
        <w:rPr>
          <w:sz w:val="20"/>
          <w:szCs w:val="20"/>
          <w:color w:val="auto"/>
        </w:rPr>
      </w:pPr>
    </w:p>
    <w:p>
      <w:pPr>
        <w:ind w:right="160" w:firstLine="913"/>
        <w:spacing w:after="0" w:line="293" w:lineRule="auto"/>
        <w:rPr>
          <w:sz w:val="20"/>
          <w:szCs w:val="20"/>
          <w:color w:val="auto"/>
        </w:rPr>
      </w:pPr>
      <w:r>
        <w:rPr>
          <w:rFonts w:ascii="Arial" w:cs="Arial" w:eastAsia="Arial" w:hAnsi="Arial"/>
          <w:sz w:val="16"/>
          <w:szCs w:val="16"/>
          <w:color w:val="auto"/>
        </w:rPr>
        <w:t>We intend to enter into a commercial supply agreement with Timken, whereby we will be a strategic supplier of choice for certain specific categories of steel products. The commercial supply agreement is expected to have an initial term of 18 months. Pursuant to the terms of the commercial supply agreement, and subject to certain conditions, Timken will agree to satisfy its requirements in North America for these product types by purchasing under this agreement. We do not consider the commercial supply agreement to be material to our business since it will be entered into in the ordinary course of our business and because, historically, intercompany sales of these products to Timken only accounted for approximately 5% of our net sales (based on 2013 full-year net sales). In addition, the commercial supply agreement will not be a “take or pay” arrangement and only has an initial term of 18 months.</w:t>
      </w:r>
    </w:p>
    <w:p>
      <w:pPr>
        <w:spacing w:after="0" w:line="165" w:lineRule="exact"/>
        <w:rPr>
          <w:sz w:val="20"/>
          <w:szCs w:val="20"/>
          <w:color w:val="auto"/>
        </w:rPr>
      </w:pPr>
    </w:p>
    <w:p>
      <w:pPr>
        <w:ind w:left="920"/>
        <w:spacing w:after="0"/>
        <w:rPr>
          <w:sz w:val="20"/>
          <w:szCs w:val="20"/>
          <w:color w:val="auto"/>
        </w:rPr>
      </w:pPr>
      <w:r>
        <w:rPr>
          <w:rFonts w:ascii="Arial" w:cs="Arial" w:eastAsia="Arial" w:hAnsi="Arial"/>
          <w:sz w:val="18"/>
          <w:szCs w:val="18"/>
          <w:b w:val="1"/>
          <w:bCs w:val="1"/>
          <w:i w:val="1"/>
          <w:iCs w:val="1"/>
          <w:color w:val="auto"/>
        </w:rPr>
        <w:t>Technology License Agreement</w:t>
      </w:r>
    </w:p>
    <w:p>
      <w:pPr>
        <w:spacing w:after="0" w:line="225" w:lineRule="exact"/>
        <w:rPr>
          <w:sz w:val="20"/>
          <w:szCs w:val="20"/>
          <w:color w:val="auto"/>
        </w:rPr>
      </w:pPr>
    </w:p>
    <w:p>
      <w:pPr>
        <w:ind w:right="80" w:firstLine="913"/>
        <w:spacing w:after="0" w:line="293" w:lineRule="auto"/>
        <w:rPr>
          <w:sz w:val="20"/>
          <w:szCs w:val="20"/>
          <w:color w:val="auto"/>
        </w:rPr>
      </w:pPr>
      <w:r>
        <w:rPr>
          <w:rFonts w:ascii="Arial" w:cs="Arial" w:eastAsia="Arial" w:hAnsi="Arial"/>
          <w:sz w:val="16"/>
          <w:szCs w:val="16"/>
          <w:color w:val="auto"/>
        </w:rPr>
        <w:t>We intend to enter into a technology license agreement with Timken. Pursuant to the technology license agreement, Timken will assign to TimkenSteel certain technology primarily related to material modeling and characterization methods used in the assessment of material performance, and we will license to Timken certain technology primarily related to characterizing and assessing the cleanliness of alloys suitable for bearing production. The technology license agreement also provides us with a license to certain bearing related steel technology that we will use to manufacture products for Timken moving forward. The technology licensed to each party pursuant to the technology license agreement is not deemed to be critical to the production process of either party, and each party believes that reasonable alternatives to such technology could be developed or obtained at a commercially reasonable cost.</w:t>
      </w:r>
    </w:p>
    <w:p>
      <w:pPr>
        <w:spacing w:after="0" w:line="165" w:lineRule="exact"/>
        <w:rPr>
          <w:sz w:val="20"/>
          <w:szCs w:val="20"/>
          <w:color w:val="auto"/>
        </w:rPr>
      </w:pPr>
    </w:p>
    <w:p>
      <w:pPr>
        <w:ind w:left="920"/>
        <w:spacing w:after="0"/>
        <w:rPr>
          <w:sz w:val="20"/>
          <w:szCs w:val="20"/>
          <w:color w:val="auto"/>
        </w:rPr>
      </w:pPr>
      <w:r>
        <w:rPr>
          <w:rFonts w:ascii="Arial" w:cs="Arial" w:eastAsia="Arial" w:hAnsi="Arial"/>
          <w:sz w:val="18"/>
          <w:szCs w:val="18"/>
          <w:b w:val="1"/>
          <w:bCs w:val="1"/>
          <w:i w:val="1"/>
          <w:iCs w:val="1"/>
          <w:color w:val="auto"/>
        </w:rPr>
        <w:t>R&amp;D Collaboration Agreement</w:t>
      </w:r>
    </w:p>
    <w:p>
      <w:pPr>
        <w:spacing w:after="0" w:line="225" w:lineRule="exact"/>
        <w:rPr>
          <w:sz w:val="20"/>
          <w:szCs w:val="20"/>
          <w:color w:val="auto"/>
        </w:rPr>
      </w:pPr>
    </w:p>
    <w:p>
      <w:pPr>
        <w:ind w:right="100" w:firstLine="913"/>
        <w:spacing w:after="0" w:line="276" w:lineRule="auto"/>
        <w:rPr>
          <w:sz w:val="20"/>
          <w:szCs w:val="20"/>
          <w:color w:val="auto"/>
        </w:rPr>
      </w:pPr>
      <w:r>
        <w:rPr>
          <w:rFonts w:ascii="Arial" w:cs="Arial" w:eastAsia="Arial" w:hAnsi="Arial"/>
          <w:sz w:val="17"/>
          <w:szCs w:val="17"/>
          <w:color w:val="auto"/>
        </w:rPr>
        <w:t>We intend to enter into an R&amp;D collaboration agreement with Timken. Pursuant to the R&amp;D collaboration agreement, we and Timken will agree to cooperate from time-to-time in the development of material fundamentals, characterization methods and modeling technology after the spinoff that will be beneficial to both parties. The R&amp;D collaboration agreement will provide an overall general framework for the collaboration, but no details as to the projects on which collaboration will occur have been finalized at this time. We do not consider this R&amp;D collaboration agreement to be material to our business as such modeling and testing could be done independently by us or in collaboration with another third party.</w:t>
      </w:r>
    </w:p>
    <w:p>
      <w:pPr>
        <w:spacing w:after="0" w:line="173" w:lineRule="exact"/>
        <w:rPr>
          <w:sz w:val="20"/>
          <w:szCs w:val="20"/>
          <w:color w:val="auto"/>
        </w:rPr>
      </w:pPr>
    </w:p>
    <w:p>
      <w:pPr>
        <w:ind w:left="920"/>
        <w:spacing w:after="0"/>
        <w:rPr>
          <w:sz w:val="20"/>
          <w:szCs w:val="20"/>
          <w:color w:val="auto"/>
        </w:rPr>
      </w:pPr>
      <w:r>
        <w:rPr>
          <w:rFonts w:ascii="Arial" w:cs="Arial" w:eastAsia="Arial" w:hAnsi="Arial"/>
          <w:sz w:val="18"/>
          <w:szCs w:val="18"/>
          <w:b w:val="1"/>
          <w:bCs w:val="1"/>
          <w:i w:val="1"/>
          <w:iCs w:val="1"/>
          <w:color w:val="auto"/>
        </w:rPr>
        <w:t>Office Lease and Subleases</w:t>
      </w:r>
    </w:p>
    <w:p>
      <w:pPr>
        <w:spacing w:after="0" w:line="225" w:lineRule="exact"/>
        <w:rPr>
          <w:sz w:val="20"/>
          <w:szCs w:val="20"/>
          <w:color w:val="auto"/>
        </w:rPr>
      </w:pPr>
    </w:p>
    <w:p>
      <w:pPr>
        <w:ind w:right="120" w:firstLine="913"/>
        <w:spacing w:after="0" w:line="259" w:lineRule="auto"/>
        <w:rPr>
          <w:sz w:val="20"/>
          <w:szCs w:val="20"/>
          <w:color w:val="auto"/>
        </w:rPr>
      </w:pPr>
      <w:r>
        <w:rPr>
          <w:rFonts w:ascii="Arial" w:cs="Arial" w:eastAsia="Arial" w:hAnsi="Arial"/>
          <w:sz w:val="18"/>
          <w:szCs w:val="18"/>
          <w:color w:val="auto"/>
        </w:rPr>
        <w:t>We and Timken expect to enter into agreements with respect to the lease or sublease of certain office space to each other following the spinoff. We expect that Timken will lease or sublease office or warehouse space to us in Mexico City, Mexico. We expect that Timken will lease or sublease office or warehouse space from us in Canton, Ohio. The rental amounts under those lease and sublease arrangements will be priced at levels reflecting either market rates or a pro rata share of square footage utilized.</w:t>
      </w:r>
    </w:p>
    <w:p>
      <w:pPr>
        <w:spacing w:after="0" w:line="187" w:lineRule="exact"/>
        <w:rPr>
          <w:sz w:val="20"/>
          <w:szCs w:val="20"/>
          <w:color w:val="auto"/>
        </w:rPr>
      </w:pPr>
    </w:p>
    <w:p>
      <w:pPr>
        <w:ind w:left="920"/>
        <w:spacing w:after="0"/>
        <w:rPr>
          <w:sz w:val="20"/>
          <w:szCs w:val="20"/>
          <w:color w:val="auto"/>
        </w:rPr>
      </w:pPr>
      <w:r>
        <w:rPr>
          <w:rFonts w:ascii="Arial" w:cs="Arial" w:eastAsia="Arial" w:hAnsi="Arial"/>
          <w:sz w:val="18"/>
          <w:szCs w:val="18"/>
          <w:b w:val="1"/>
          <w:bCs w:val="1"/>
          <w:i w:val="1"/>
          <w:iCs w:val="1"/>
          <w:color w:val="auto"/>
        </w:rPr>
        <w:t>Information Technology Data Center Arrangement</w:t>
      </w:r>
    </w:p>
    <w:p>
      <w:pPr>
        <w:spacing w:after="0" w:line="225" w:lineRule="exact"/>
        <w:rPr>
          <w:sz w:val="20"/>
          <w:szCs w:val="20"/>
          <w:color w:val="auto"/>
        </w:rPr>
      </w:pPr>
    </w:p>
    <w:p>
      <w:pPr>
        <w:ind w:right="40" w:firstLine="913"/>
        <w:spacing w:after="0" w:line="257" w:lineRule="auto"/>
        <w:rPr>
          <w:sz w:val="20"/>
          <w:szCs w:val="20"/>
          <w:color w:val="auto"/>
        </w:rPr>
      </w:pPr>
      <w:r>
        <w:rPr>
          <w:rFonts w:ascii="Arial" w:cs="Arial" w:eastAsia="Arial" w:hAnsi="Arial"/>
          <w:sz w:val="18"/>
          <w:szCs w:val="18"/>
          <w:color w:val="auto"/>
        </w:rPr>
        <w:t>We and Timken expect to enter into one or more long-term agreements to allow both companies to continue to utilize existing information technology data center and disaster recovery assets owned by Timken, which will be located at our facilities in Canton, Ohio and operated by Timken on behalf of both companies. Each company will retain responsibility for operating their respective information technology systems. We do not consider any such information technology data center arrangements to be material to our business since we believe that reasonable alternatives to these arrangements could be developed or obtained from other third parties.</w:t>
      </w:r>
    </w:p>
    <w:p>
      <w:pPr>
        <w:spacing w:after="0" w:line="188" w:lineRule="exact"/>
        <w:rPr>
          <w:sz w:val="20"/>
          <w:szCs w:val="20"/>
          <w:color w:val="auto"/>
        </w:rPr>
      </w:pPr>
    </w:p>
    <w:p>
      <w:pPr>
        <w:ind w:left="920"/>
        <w:spacing w:after="0"/>
        <w:rPr>
          <w:sz w:val="20"/>
          <w:szCs w:val="20"/>
          <w:color w:val="auto"/>
        </w:rPr>
      </w:pPr>
      <w:r>
        <w:rPr>
          <w:rFonts w:ascii="Arial" w:cs="Arial" w:eastAsia="Arial" w:hAnsi="Arial"/>
          <w:sz w:val="18"/>
          <w:szCs w:val="18"/>
          <w:b w:val="1"/>
          <w:bCs w:val="1"/>
          <w:i w:val="1"/>
          <w:iCs w:val="1"/>
          <w:color w:val="auto"/>
        </w:rPr>
        <w:t>Other Agreements or Arrangements</w:t>
      </w:r>
    </w:p>
    <w:p>
      <w:pPr>
        <w:spacing w:after="0" w:line="225" w:lineRule="exact"/>
        <w:rPr>
          <w:sz w:val="20"/>
          <w:szCs w:val="20"/>
          <w:color w:val="auto"/>
        </w:rPr>
      </w:pPr>
    </w:p>
    <w:p>
      <w:pPr>
        <w:ind w:firstLine="913"/>
        <w:spacing w:after="0" w:line="277" w:lineRule="auto"/>
        <w:rPr>
          <w:sz w:val="20"/>
          <w:szCs w:val="20"/>
          <w:color w:val="auto"/>
        </w:rPr>
      </w:pPr>
      <w:r>
        <w:rPr>
          <w:rFonts w:ascii="Arial" w:cs="Arial" w:eastAsia="Arial" w:hAnsi="Arial"/>
          <w:sz w:val="18"/>
          <w:szCs w:val="18"/>
          <w:color w:val="auto"/>
        </w:rPr>
        <w:t>We and Timken expect to enter into other commercial agreements or arrangements in connection with splitting the operations of TimkenSteel and Timken including, without limitation, relating to the repurchase of scrap material and the leasing of space.</w:t>
      </w:r>
    </w:p>
    <w:p>
      <w:pPr>
        <w:spacing w:after="0" w:line="10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57</w:t>
      </w:r>
    </w:p>
    <w:p>
      <w:pPr>
        <w:sectPr>
          <w:pgSz w:w="11900" w:h="16838" w:orient="portrait"/>
          <w:cols w:equalWidth="0" w:num="1">
            <w:col w:w="11420"/>
          </w:cols>
          <w:pgMar w:left="240" w:top="459" w:right="239" w:bottom="1440" w:gutter="0" w:footer="0" w:header="0"/>
        </w:sectPr>
      </w:pPr>
    </w:p>
    <w:bookmarkStart w:id="68" w:name="page69"/>
    <w:bookmarkEnd w:id="6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MANAGEMENT</w:t>
      </w:r>
    </w:p>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Directors, Executives Officers and Key Employees</w:t>
      </w:r>
    </w:p>
    <w:p>
      <w:pPr>
        <w:spacing w:after="0" w:line="256" w:lineRule="exact"/>
        <w:rPr>
          <w:sz w:val="20"/>
          <w:szCs w:val="20"/>
          <w:color w:val="auto"/>
        </w:rPr>
      </w:pPr>
    </w:p>
    <w:p>
      <w:pPr>
        <w:ind w:right="160" w:firstLine="913"/>
        <w:spacing w:after="0" w:line="279" w:lineRule="auto"/>
        <w:rPr>
          <w:sz w:val="20"/>
          <w:szCs w:val="20"/>
          <w:color w:val="auto"/>
        </w:rPr>
      </w:pPr>
      <w:r>
        <w:rPr>
          <w:rFonts w:ascii="Arial" w:cs="Arial" w:eastAsia="Arial" w:hAnsi="Arial"/>
          <w:sz w:val="17"/>
          <w:szCs w:val="17"/>
          <w:color w:val="auto"/>
        </w:rPr>
        <w:t>Under Ohio law, the business and affairs of TimkenSteel will be managed under the direction of its board of directors. The TimkenSteel articles of incorporation and regulations provide that the number of directors may be fixed by the board from time to time within the limits prescribed therein. As of the distribution date, the board of directors of TimkenSteel is expected to consist of the individuals listed below (ages as of January 1, 2014). The present principal occupation or employment and five-year employment history of each individual follows the list below.</w:t>
      </w:r>
    </w:p>
    <w:p>
      <w:pPr>
        <w:spacing w:after="0" w:line="244" w:lineRule="exact"/>
        <w:rPr>
          <w:sz w:val="20"/>
          <w:szCs w:val="20"/>
          <w:color w:val="auto"/>
        </w:rPr>
      </w:pPr>
    </w:p>
    <w:tbl>
      <w:tblPr>
        <w:tblLayout w:type="fixed"/>
        <w:tblInd w:w="0" w:type="dxa"/>
        <w:tblCellMar>
          <w:top w:w="0" w:type="dxa"/>
          <w:left w:w="0" w:type="dxa"/>
          <w:bottom w:w="0" w:type="dxa"/>
          <w:right w:w="0" w:type="dxa"/>
        </w:tblCellMar>
      </w:tblPr>
      <w:tr>
        <w:trPr>
          <w:trHeight w:val="185"/>
        </w:trPr>
        <w:tc>
          <w:tcPr>
            <w:tcW w:w="10180" w:type="dxa"/>
            <w:vAlign w:val="bottom"/>
            <w:gridSpan w:val="2"/>
          </w:tcPr>
          <w:p>
            <w:pPr>
              <w:spacing w:after="0"/>
              <w:rPr>
                <w:sz w:val="20"/>
                <w:szCs w:val="20"/>
                <w:color w:val="auto"/>
              </w:rPr>
            </w:pPr>
            <w:r>
              <w:rPr>
                <w:rFonts w:ascii="Arial" w:cs="Arial" w:eastAsia="Arial" w:hAnsi="Arial"/>
                <w:sz w:val="14"/>
                <w:szCs w:val="14"/>
                <w:b w:val="1"/>
                <w:bCs w:val="1"/>
                <w:color w:val="auto"/>
              </w:rPr>
              <w:t>Name</w:t>
            </w:r>
          </w:p>
        </w:tc>
        <w:tc>
          <w:tcPr>
            <w:tcW w:w="1240" w:type="dxa"/>
            <w:vAlign w:val="bottom"/>
          </w:tcPr>
          <w:p>
            <w:pPr>
              <w:jc w:val="right"/>
              <w:ind w:right="452"/>
              <w:spacing w:after="0"/>
              <w:rPr>
                <w:sz w:val="20"/>
                <w:szCs w:val="20"/>
                <w:color w:val="auto"/>
              </w:rPr>
            </w:pPr>
            <w:r>
              <w:rPr>
                <w:rFonts w:ascii="Arial" w:cs="Arial" w:eastAsia="Arial" w:hAnsi="Arial"/>
                <w:sz w:val="14"/>
                <w:szCs w:val="14"/>
                <w:b w:val="1"/>
                <w:bCs w:val="1"/>
                <w:color w:val="auto"/>
              </w:rPr>
              <w:t>Age</w:t>
            </w:r>
          </w:p>
        </w:tc>
      </w:tr>
      <w:tr>
        <w:trPr>
          <w:trHeight w:val="210"/>
        </w:trPr>
        <w:tc>
          <w:tcPr>
            <w:tcW w:w="994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Joseph A. Carrabba</w:t>
            </w:r>
          </w:p>
        </w:tc>
        <w:tc>
          <w:tcPr>
            <w:tcW w:w="240" w:type="dxa"/>
            <w:vAlign w:val="bottom"/>
            <w:tcBorders>
              <w:top w:val="single" w:sz="8" w:color="CCEEFF"/>
            </w:tcBorders>
            <w:shd w:val="clear" w:color="auto" w:fill="CCEEFF"/>
          </w:tcPr>
          <w:p>
            <w:pPr>
              <w:spacing w:after="0"/>
              <w:rPr>
                <w:sz w:val="18"/>
                <w:szCs w:val="18"/>
                <w:color w:val="auto"/>
              </w:rPr>
            </w:pPr>
          </w:p>
        </w:tc>
        <w:tc>
          <w:tcPr>
            <w:tcW w:w="1240" w:type="dxa"/>
            <w:vAlign w:val="bottom"/>
            <w:tcBorders>
              <w:top w:val="single" w:sz="8" w:color="auto"/>
            </w:tcBorders>
            <w:shd w:val="clear" w:color="auto" w:fill="CCEEFF"/>
          </w:tcPr>
          <w:p>
            <w:pPr>
              <w:jc w:val="right"/>
              <w:ind w:right="452"/>
              <w:spacing w:after="0"/>
              <w:rPr>
                <w:sz w:val="20"/>
                <w:szCs w:val="20"/>
                <w:color w:val="auto"/>
              </w:rPr>
            </w:pPr>
            <w:r>
              <w:rPr>
                <w:rFonts w:ascii="Arial" w:cs="Arial" w:eastAsia="Arial" w:hAnsi="Arial"/>
                <w:sz w:val="18"/>
                <w:szCs w:val="18"/>
                <w:color w:val="auto"/>
              </w:rPr>
              <w:t>61</w:t>
            </w:r>
          </w:p>
        </w:tc>
      </w:tr>
      <w:tr>
        <w:trPr>
          <w:trHeight w:val="216"/>
        </w:trPr>
        <w:tc>
          <w:tcPr>
            <w:tcW w:w="10180" w:type="dxa"/>
            <w:vAlign w:val="bottom"/>
            <w:gridSpan w:val="2"/>
          </w:tcPr>
          <w:p>
            <w:pPr>
              <w:spacing w:after="0"/>
              <w:rPr>
                <w:sz w:val="20"/>
                <w:szCs w:val="20"/>
                <w:color w:val="auto"/>
              </w:rPr>
            </w:pPr>
            <w:r>
              <w:rPr>
                <w:rFonts w:ascii="Arial" w:cs="Arial" w:eastAsia="Arial" w:hAnsi="Arial"/>
                <w:sz w:val="18"/>
                <w:szCs w:val="18"/>
                <w:color w:val="auto"/>
              </w:rPr>
              <w:t>Phillip R. Cox</w:t>
            </w:r>
          </w:p>
        </w:tc>
        <w:tc>
          <w:tcPr>
            <w:tcW w:w="1240" w:type="dxa"/>
            <w:vAlign w:val="bottom"/>
          </w:tcPr>
          <w:p>
            <w:pPr>
              <w:jc w:val="right"/>
              <w:ind w:right="452"/>
              <w:spacing w:after="0"/>
              <w:rPr>
                <w:sz w:val="20"/>
                <w:szCs w:val="20"/>
                <w:color w:val="auto"/>
              </w:rPr>
            </w:pPr>
            <w:r>
              <w:rPr>
                <w:rFonts w:ascii="Arial" w:cs="Arial" w:eastAsia="Arial" w:hAnsi="Arial"/>
                <w:sz w:val="18"/>
                <w:szCs w:val="18"/>
                <w:color w:val="auto"/>
              </w:rPr>
              <w:t>66</w:t>
            </w:r>
          </w:p>
        </w:tc>
      </w:tr>
      <w:tr>
        <w:trPr>
          <w:trHeight w:val="216"/>
        </w:trPr>
        <w:tc>
          <w:tcPr>
            <w:tcW w:w="101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Diane C. Creel</w:t>
            </w:r>
          </w:p>
        </w:tc>
        <w:tc>
          <w:tcPr>
            <w:tcW w:w="1240" w:type="dxa"/>
            <w:vAlign w:val="bottom"/>
            <w:shd w:val="clear" w:color="auto" w:fill="CCEEFF"/>
          </w:tcPr>
          <w:p>
            <w:pPr>
              <w:jc w:val="right"/>
              <w:ind w:right="452"/>
              <w:spacing w:after="0"/>
              <w:rPr>
                <w:sz w:val="20"/>
                <w:szCs w:val="20"/>
                <w:color w:val="auto"/>
              </w:rPr>
            </w:pPr>
            <w:r>
              <w:rPr>
                <w:rFonts w:ascii="Arial" w:cs="Arial" w:eastAsia="Arial" w:hAnsi="Arial"/>
                <w:sz w:val="18"/>
                <w:szCs w:val="18"/>
                <w:color w:val="auto"/>
              </w:rPr>
              <w:t>65</w:t>
            </w:r>
          </w:p>
        </w:tc>
      </w:tr>
      <w:tr>
        <w:trPr>
          <w:trHeight w:val="216"/>
        </w:trPr>
        <w:tc>
          <w:tcPr>
            <w:tcW w:w="10180" w:type="dxa"/>
            <w:vAlign w:val="bottom"/>
            <w:gridSpan w:val="2"/>
          </w:tcPr>
          <w:p>
            <w:pPr>
              <w:spacing w:after="0"/>
              <w:rPr>
                <w:sz w:val="20"/>
                <w:szCs w:val="20"/>
                <w:color w:val="auto"/>
              </w:rPr>
            </w:pPr>
            <w:r>
              <w:rPr>
                <w:rFonts w:ascii="Arial" w:cs="Arial" w:eastAsia="Arial" w:hAnsi="Arial"/>
                <w:sz w:val="18"/>
                <w:szCs w:val="18"/>
                <w:color w:val="auto"/>
              </w:rPr>
              <w:t>Donald T. Misheff</w:t>
            </w:r>
          </w:p>
        </w:tc>
        <w:tc>
          <w:tcPr>
            <w:tcW w:w="1240" w:type="dxa"/>
            <w:vAlign w:val="bottom"/>
          </w:tcPr>
          <w:p>
            <w:pPr>
              <w:jc w:val="right"/>
              <w:ind w:right="452"/>
              <w:spacing w:after="0"/>
              <w:rPr>
                <w:sz w:val="20"/>
                <w:szCs w:val="20"/>
                <w:color w:val="auto"/>
              </w:rPr>
            </w:pPr>
            <w:r>
              <w:rPr>
                <w:rFonts w:ascii="Arial" w:cs="Arial" w:eastAsia="Arial" w:hAnsi="Arial"/>
                <w:sz w:val="18"/>
                <w:szCs w:val="18"/>
                <w:color w:val="auto"/>
              </w:rPr>
              <w:t>57</w:t>
            </w:r>
          </w:p>
        </w:tc>
      </w:tr>
      <w:tr>
        <w:trPr>
          <w:trHeight w:val="216"/>
        </w:trPr>
        <w:tc>
          <w:tcPr>
            <w:tcW w:w="101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John P. Reilly</w:t>
            </w:r>
          </w:p>
        </w:tc>
        <w:tc>
          <w:tcPr>
            <w:tcW w:w="1240" w:type="dxa"/>
            <w:vAlign w:val="bottom"/>
            <w:shd w:val="clear" w:color="auto" w:fill="CCEEFF"/>
          </w:tcPr>
          <w:p>
            <w:pPr>
              <w:jc w:val="right"/>
              <w:ind w:right="452"/>
              <w:spacing w:after="0"/>
              <w:rPr>
                <w:sz w:val="20"/>
                <w:szCs w:val="20"/>
                <w:color w:val="auto"/>
              </w:rPr>
            </w:pPr>
            <w:r>
              <w:rPr>
                <w:rFonts w:ascii="Arial" w:cs="Arial" w:eastAsia="Arial" w:hAnsi="Arial"/>
                <w:sz w:val="18"/>
                <w:szCs w:val="18"/>
                <w:color w:val="auto"/>
              </w:rPr>
              <w:t>70</w:t>
            </w:r>
          </w:p>
        </w:tc>
      </w:tr>
      <w:tr>
        <w:trPr>
          <w:trHeight w:val="216"/>
        </w:trPr>
        <w:tc>
          <w:tcPr>
            <w:tcW w:w="10180" w:type="dxa"/>
            <w:vAlign w:val="bottom"/>
            <w:gridSpan w:val="2"/>
          </w:tcPr>
          <w:p>
            <w:pPr>
              <w:spacing w:after="0"/>
              <w:rPr>
                <w:sz w:val="20"/>
                <w:szCs w:val="20"/>
                <w:color w:val="auto"/>
              </w:rPr>
            </w:pPr>
            <w:r>
              <w:rPr>
                <w:rFonts w:ascii="Arial" w:cs="Arial" w:eastAsia="Arial" w:hAnsi="Arial"/>
                <w:sz w:val="18"/>
                <w:szCs w:val="18"/>
                <w:color w:val="auto"/>
              </w:rPr>
              <w:t>Ward J. Timken, Jr.</w:t>
            </w:r>
          </w:p>
        </w:tc>
        <w:tc>
          <w:tcPr>
            <w:tcW w:w="1240" w:type="dxa"/>
            <w:vAlign w:val="bottom"/>
          </w:tcPr>
          <w:p>
            <w:pPr>
              <w:jc w:val="right"/>
              <w:ind w:right="452"/>
              <w:spacing w:after="0"/>
              <w:rPr>
                <w:sz w:val="20"/>
                <w:szCs w:val="20"/>
                <w:color w:val="auto"/>
              </w:rPr>
            </w:pPr>
            <w:r>
              <w:rPr>
                <w:rFonts w:ascii="Arial" w:cs="Arial" w:eastAsia="Arial" w:hAnsi="Arial"/>
                <w:sz w:val="18"/>
                <w:szCs w:val="18"/>
                <w:color w:val="auto"/>
              </w:rPr>
              <w:t>46</w:t>
            </w:r>
          </w:p>
        </w:tc>
      </w:tr>
      <w:tr>
        <w:trPr>
          <w:trHeight w:val="216"/>
        </w:trPr>
        <w:tc>
          <w:tcPr>
            <w:tcW w:w="101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Randall A. Wotring</w:t>
            </w:r>
          </w:p>
        </w:tc>
        <w:tc>
          <w:tcPr>
            <w:tcW w:w="1240" w:type="dxa"/>
            <w:vAlign w:val="bottom"/>
            <w:shd w:val="clear" w:color="auto" w:fill="CCEEFF"/>
          </w:tcPr>
          <w:p>
            <w:pPr>
              <w:jc w:val="right"/>
              <w:ind w:right="452"/>
              <w:spacing w:after="0"/>
              <w:rPr>
                <w:sz w:val="20"/>
                <w:szCs w:val="20"/>
                <w:color w:val="auto"/>
              </w:rPr>
            </w:pPr>
            <w:r>
              <w:rPr>
                <w:rFonts w:ascii="Arial" w:cs="Arial" w:eastAsia="Arial" w:hAnsi="Arial"/>
                <w:sz w:val="18"/>
                <w:szCs w:val="18"/>
                <w:color w:val="auto"/>
              </w:rPr>
              <w:t>57</w:t>
            </w:r>
          </w:p>
        </w:tc>
      </w:tr>
    </w:tbl>
    <w:p>
      <w:pPr>
        <w:spacing w:after="0" w:line="242" w:lineRule="exact"/>
        <w:rPr>
          <w:sz w:val="20"/>
          <w:szCs w:val="20"/>
          <w:color w:val="auto"/>
        </w:rPr>
      </w:pPr>
    </w:p>
    <w:p>
      <w:pPr>
        <w:ind w:right="80" w:firstLine="913"/>
        <w:spacing w:after="0" w:line="290" w:lineRule="auto"/>
        <w:rPr>
          <w:sz w:val="20"/>
          <w:szCs w:val="20"/>
          <w:color w:val="auto"/>
        </w:rPr>
      </w:pPr>
      <w:r>
        <w:rPr>
          <w:rFonts w:ascii="Arial" w:cs="Arial" w:eastAsia="Arial" w:hAnsi="Arial"/>
          <w:sz w:val="16"/>
          <w:szCs w:val="16"/>
          <w:i w:val="1"/>
          <w:iCs w:val="1"/>
          <w:color w:val="auto"/>
        </w:rPr>
        <w:t xml:space="preserve">Joseph A. Carrabba </w:t>
      </w:r>
      <w:r>
        <w:rPr>
          <w:rFonts w:ascii="Arial" w:cs="Arial" w:eastAsia="Arial" w:hAnsi="Arial"/>
          <w:sz w:val="16"/>
          <w:szCs w:val="16"/>
          <w:color w:val="auto"/>
        </w:rPr>
        <w:t>– Mr. Carrabba is expected to be named as a director of TimkenSteel in connection with the spinoff. Mr. Carrabba served as</w:t>
      </w:r>
      <w:r>
        <w:rPr>
          <w:rFonts w:ascii="Arial" w:cs="Arial" w:eastAsia="Arial" w:hAnsi="Arial"/>
          <w:sz w:val="16"/>
          <w:szCs w:val="16"/>
          <w:i w:val="1"/>
          <w:iCs w:val="1"/>
          <w:color w:val="auto"/>
        </w:rPr>
        <w:t xml:space="preserve"> </w:t>
      </w:r>
      <w:r>
        <w:rPr>
          <w:rFonts w:ascii="Arial" w:cs="Arial" w:eastAsia="Arial" w:hAnsi="Arial"/>
          <w:sz w:val="16"/>
          <w:szCs w:val="16"/>
          <w:color w:val="auto"/>
        </w:rPr>
        <w:t>the Chairman, President and Chief Executive Officer of Cliffs Natural Resources Inc., an international mining and natural resources company, until his retirement in 2013. Prior to Cliffs Natural Resources, Mr. Carrabba served for over 20 years in a variety of leadership capacities at Rio Tinto, a global mining company, at locations worldwide, including the United States, Asia, Australia, Canada and Europe. Mr. Carrabba has been a director of KeyCorp since 2009, where he serves as Chair of the Compensation Committee and is a member of the Nominating and Governance Committee; a director of Newmont Mining Corporation since 2007, where he serves as Chair of the Safety and Sustainability Committee and on the Compensation Committee; and a director of Aecon Group Inc. since 2013, where he serves on the Compensation Committee and the Nominating and Governance Committee. Mr. Carrabba formerly was a director of Cliffs Natural Resources from 2006 through November 15, 2013 and of the American Iron and Steel Institute from 2006 to 2013.</w:t>
      </w:r>
    </w:p>
    <w:p>
      <w:pPr>
        <w:spacing w:after="0" w:line="207" w:lineRule="exact"/>
        <w:rPr>
          <w:sz w:val="20"/>
          <w:szCs w:val="20"/>
          <w:color w:val="auto"/>
        </w:rPr>
      </w:pPr>
    </w:p>
    <w:p>
      <w:pPr>
        <w:ind w:right="80" w:firstLine="913"/>
        <w:spacing w:after="0" w:line="259" w:lineRule="auto"/>
        <w:rPr>
          <w:sz w:val="20"/>
          <w:szCs w:val="20"/>
          <w:color w:val="auto"/>
        </w:rPr>
      </w:pPr>
      <w:r>
        <w:rPr>
          <w:rFonts w:ascii="Arial" w:cs="Arial" w:eastAsia="Arial" w:hAnsi="Arial"/>
          <w:sz w:val="18"/>
          <w:szCs w:val="18"/>
          <w:color w:val="auto"/>
        </w:rPr>
        <w:t>Having served as Chairman, President and Chief Executive Officer of a large, global, mining and exploration public company (which is a major supplier to many of the world’s largest steel companies), and having served on the board and as Chairman of the American Iron and Steel Institute from 2012 to 2013, Mr. Carrabba has a deep understanding of the global steel industry and the raw material supply chain, and is expected to provide the board with an important perspective regarding TimkenSteel’s business.</w:t>
      </w:r>
    </w:p>
    <w:p>
      <w:pPr>
        <w:spacing w:after="0" w:line="214" w:lineRule="exact"/>
        <w:rPr>
          <w:sz w:val="20"/>
          <w:szCs w:val="20"/>
          <w:color w:val="auto"/>
        </w:rPr>
      </w:pPr>
    </w:p>
    <w:p>
      <w:pPr>
        <w:ind w:right="40" w:firstLine="913"/>
        <w:spacing w:after="0" w:line="257" w:lineRule="auto"/>
        <w:rPr>
          <w:sz w:val="20"/>
          <w:szCs w:val="20"/>
          <w:color w:val="auto"/>
        </w:rPr>
      </w:pPr>
      <w:r>
        <w:rPr>
          <w:rFonts w:ascii="Arial" w:cs="Arial" w:eastAsia="Arial" w:hAnsi="Arial"/>
          <w:sz w:val="18"/>
          <w:szCs w:val="18"/>
          <w:i w:val="1"/>
          <w:iCs w:val="1"/>
          <w:color w:val="auto"/>
        </w:rPr>
        <w:t xml:space="preserve">Phillip R. Cox </w:t>
      </w:r>
      <w:r>
        <w:rPr>
          <w:rFonts w:ascii="Arial" w:cs="Arial" w:eastAsia="Arial" w:hAnsi="Arial"/>
          <w:sz w:val="18"/>
          <w:szCs w:val="18"/>
          <w:color w:val="auto"/>
        </w:rPr>
        <w:t>– Mr. Cox is expected to be named as a director of TimkenSteel in connection with the spinoff. Mr. Cox has been President and</w:t>
      </w:r>
      <w:r>
        <w:rPr>
          <w:rFonts w:ascii="Arial" w:cs="Arial" w:eastAsia="Arial" w:hAnsi="Arial"/>
          <w:sz w:val="18"/>
          <w:szCs w:val="18"/>
          <w:i w:val="1"/>
          <w:iCs w:val="1"/>
          <w:color w:val="auto"/>
        </w:rPr>
        <w:t xml:space="preserve"> </w:t>
      </w:r>
      <w:r>
        <w:rPr>
          <w:rFonts w:ascii="Arial" w:cs="Arial" w:eastAsia="Arial" w:hAnsi="Arial"/>
          <w:sz w:val="18"/>
          <w:szCs w:val="18"/>
          <w:color w:val="auto"/>
        </w:rPr>
        <w:t>Chief Executive Officer of Cox Financial Corporation, a financial services company that he founded, for over 35 years. Mr. Cox has served as a director of Timken since 2004, but it is expected that he will resign from the Timken board of directors at the time of the spinoff. In addition, Mr. Cox is currently non-executive Chairman of Cincinnati Bell, where he has served as a director since 1993. He has also served as a director of Touchstone Mutual Funds since 1994 and Diebold, Incorporated since 2005.</w:t>
      </w:r>
    </w:p>
    <w:p>
      <w:pPr>
        <w:spacing w:after="0" w:line="229" w:lineRule="exact"/>
        <w:rPr>
          <w:sz w:val="20"/>
          <w:szCs w:val="20"/>
          <w:color w:val="auto"/>
        </w:rPr>
      </w:pPr>
    </w:p>
    <w:p>
      <w:pPr>
        <w:ind w:right="40" w:firstLine="913"/>
        <w:spacing w:after="0" w:line="259" w:lineRule="auto"/>
        <w:rPr>
          <w:sz w:val="20"/>
          <w:szCs w:val="20"/>
          <w:color w:val="auto"/>
        </w:rPr>
      </w:pPr>
      <w:r>
        <w:rPr>
          <w:rFonts w:ascii="Arial" w:cs="Arial" w:eastAsia="Arial" w:hAnsi="Arial"/>
          <w:sz w:val="18"/>
          <w:szCs w:val="18"/>
          <w:color w:val="auto"/>
        </w:rPr>
        <w:t>Mr. Cox is expected to provide guidance to TimkenSteel’s board based on his extensive knowledge of finance, investments and capital markets. Mr. Cox will bring the perspective of a member of several corporate boards, including as non-executive Chairman and a member of the Audit and Finance, Governance and Nominating and Compensation committees of Cincinnati Bell and Chairman of the Compensation Committee and member of the Investment Committee of Diebold.</w:t>
      </w:r>
    </w:p>
    <w:p>
      <w:pPr>
        <w:spacing w:after="0" w:line="227" w:lineRule="exact"/>
        <w:rPr>
          <w:sz w:val="20"/>
          <w:szCs w:val="20"/>
          <w:color w:val="auto"/>
        </w:rPr>
      </w:pPr>
    </w:p>
    <w:p>
      <w:pPr>
        <w:ind w:right="100" w:firstLine="913"/>
        <w:spacing w:after="0" w:line="273" w:lineRule="auto"/>
        <w:rPr>
          <w:sz w:val="20"/>
          <w:szCs w:val="20"/>
          <w:color w:val="auto"/>
        </w:rPr>
      </w:pPr>
      <w:r>
        <w:rPr>
          <w:rFonts w:ascii="Arial" w:cs="Arial" w:eastAsia="Arial" w:hAnsi="Arial"/>
          <w:sz w:val="17"/>
          <w:szCs w:val="17"/>
          <w:i w:val="1"/>
          <w:iCs w:val="1"/>
          <w:color w:val="auto"/>
        </w:rPr>
        <w:t xml:space="preserve">Diane C. Creel </w:t>
      </w:r>
      <w:r>
        <w:rPr>
          <w:rFonts w:ascii="Arial" w:cs="Arial" w:eastAsia="Arial" w:hAnsi="Arial"/>
          <w:sz w:val="17"/>
          <w:szCs w:val="17"/>
          <w:color w:val="auto"/>
        </w:rPr>
        <w:t>– Ms. Creel is expected to be named as a director of TimkenSteel in connection with the spinoff. Ms. Creel served as Chairman,</w:t>
      </w:r>
      <w:r>
        <w:rPr>
          <w:rFonts w:ascii="Arial" w:cs="Arial" w:eastAsia="Arial" w:hAnsi="Arial"/>
          <w:sz w:val="17"/>
          <w:szCs w:val="17"/>
          <w:i w:val="1"/>
          <w:iCs w:val="1"/>
          <w:color w:val="auto"/>
        </w:rPr>
        <w:t xml:space="preserve"> </w:t>
      </w:r>
      <w:r>
        <w:rPr>
          <w:rFonts w:ascii="Arial" w:cs="Arial" w:eastAsia="Arial" w:hAnsi="Arial"/>
          <w:sz w:val="17"/>
          <w:szCs w:val="17"/>
          <w:color w:val="auto"/>
        </w:rPr>
        <w:t>Chief Executive Officer and President of Ecovation Inc., a subsidiary of Ecolab Inc., a waste stream technology company using patented technologies, until her retirement in 2008. Prior to Ecovation, Ms. Creel was Chairman, Chief Executive Officer and President of Earth Tech, Inc. from 1992 to 2003. Ms. Creel has served as a director of Allegheny Technologies Incorporated since 1996, Enpro Industries, Inc. since 2009 and, as of March 27, 2014, URS Corporation. Ms. Creel was formerly a director of Goodrich Corporation until 2012. She has served as a director of Timken since 2012, but it is expected that she will resign from the Timken board of directors when the spinoff is completed.</w:t>
      </w:r>
    </w:p>
    <w:p>
      <w:pPr>
        <w:spacing w:after="0" w:line="205" w:lineRule="exact"/>
        <w:rPr>
          <w:sz w:val="20"/>
          <w:szCs w:val="20"/>
          <w:color w:val="auto"/>
        </w:rPr>
      </w:pPr>
    </w:p>
    <w:p>
      <w:pPr>
        <w:ind w:right="40" w:firstLine="913"/>
        <w:spacing w:after="0" w:line="255" w:lineRule="auto"/>
        <w:rPr>
          <w:sz w:val="20"/>
          <w:szCs w:val="20"/>
          <w:color w:val="auto"/>
        </w:rPr>
      </w:pPr>
      <w:r>
        <w:rPr>
          <w:rFonts w:ascii="Arial" w:cs="Arial" w:eastAsia="Arial" w:hAnsi="Arial"/>
          <w:sz w:val="18"/>
          <w:szCs w:val="18"/>
          <w:color w:val="auto"/>
        </w:rPr>
        <w:t>Ms. Creel will bring TimkenSteel’s board the benefits of her deep experience as a senior executive and board member of several industrial companies. Ms. Creel’s expertise in engineering, construction and green technology is expected to provide a key industry perspective to the TimkenSteel board. Ms. Creel also has experience in mergers and acquisitions, which will serve the TimkenSteel board well when evaluating organic and inorganic growth opportunities. Ms. Creel will also bring the perspective of a member of several boards, including as Lead Independent Director as well as Chair of the Nominating and Governance Committee and member of the Finance and Personnel and Compensation Committees of Allegheny Technologies Incorporated and member of the Audit and Risk Management, Compensation and Human Resources and Nominating and Corporate Governance committees of Enpro Industries, Inc.</w:t>
      </w:r>
    </w:p>
    <w:p>
      <w:pPr>
        <w:spacing w:after="0" w:line="230" w:lineRule="exact"/>
        <w:rPr>
          <w:sz w:val="20"/>
          <w:szCs w:val="20"/>
          <w:color w:val="auto"/>
        </w:rPr>
      </w:pPr>
    </w:p>
    <w:p>
      <w:pPr>
        <w:ind w:right="60" w:firstLine="913"/>
        <w:spacing w:after="0" w:line="273" w:lineRule="auto"/>
        <w:rPr>
          <w:sz w:val="20"/>
          <w:szCs w:val="20"/>
          <w:color w:val="auto"/>
        </w:rPr>
      </w:pPr>
      <w:r>
        <w:rPr>
          <w:rFonts w:ascii="Arial" w:cs="Arial" w:eastAsia="Arial" w:hAnsi="Arial"/>
          <w:sz w:val="17"/>
          <w:szCs w:val="17"/>
          <w:i w:val="1"/>
          <w:iCs w:val="1"/>
          <w:color w:val="auto"/>
        </w:rPr>
        <w:t xml:space="preserve">Donald T. Misheff </w:t>
      </w:r>
      <w:r>
        <w:rPr>
          <w:rFonts w:ascii="Arial" w:cs="Arial" w:eastAsia="Arial" w:hAnsi="Arial"/>
          <w:sz w:val="17"/>
          <w:szCs w:val="17"/>
          <w:color w:val="auto"/>
        </w:rPr>
        <w:t>– Mr. Misheff is expected to be named as a director of TimkenSteel in connection with the spinoff. Mr. Misheff was managing</w:t>
      </w:r>
      <w:r>
        <w:rPr>
          <w:rFonts w:ascii="Arial" w:cs="Arial" w:eastAsia="Arial" w:hAnsi="Arial"/>
          <w:sz w:val="17"/>
          <w:szCs w:val="17"/>
          <w:i w:val="1"/>
          <w:iCs w:val="1"/>
          <w:color w:val="auto"/>
        </w:rPr>
        <w:t xml:space="preserve"> </w:t>
      </w:r>
      <w:r>
        <w:rPr>
          <w:rFonts w:ascii="Arial" w:cs="Arial" w:eastAsia="Arial" w:hAnsi="Arial"/>
          <w:sz w:val="17"/>
          <w:szCs w:val="17"/>
          <w:color w:val="auto"/>
        </w:rPr>
        <w:t>partner of the northeast Ohio offices of Ernst &amp; Young LLP, a public accounting firm, from 2003 until his retirement in 2011. He began his career at Ernst &amp; Young in 1978, and has had more than 30 years of experience in taxation and in performing, reviewing and overseeing the audits of financial statements of a wide range of public companies and advising those companies on financial and corporate governance issues. Mr. Misheff has been a member of the Board of Directors of FirstEnergy Corp. since 2012, where he serves on its Finance and Nuclear Committees, and previously on its Governance Committee. He also has been a director of Aleris Corporation since 2013, where he serves on its Audit Committee.</w:t>
      </w:r>
    </w:p>
    <w:p>
      <w:pPr>
        <w:spacing w:after="0" w:line="219" w:lineRule="exact"/>
        <w:rPr>
          <w:sz w:val="20"/>
          <w:szCs w:val="20"/>
          <w:color w:val="auto"/>
        </w:rPr>
      </w:pPr>
    </w:p>
    <w:p>
      <w:pPr>
        <w:ind w:right="40" w:firstLine="913"/>
        <w:spacing w:after="0" w:line="312" w:lineRule="auto"/>
        <w:rPr>
          <w:sz w:val="20"/>
          <w:szCs w:val="20"/>
          <w:color w:val="auto"/>
        </w:rPr>
      </w:pPr>
      <w:r>
        <w:rPr>
          <w:rFonts w:ascii="Arial" w:cs="Arial" w:eastAsia="Arial" w:hAnsi="Arial"/>
          <w:sz w:val="16"/>
          <w:szCs w:val="16"/>
          <w:color w:val="auto"/>
        </w:rPr>
        <w:t>Mr. Misheff’s perspective from service on numerous community boards and other public company boards (including Aleris, which is a global company focused on the production and sale of aluminum rolled and extruded products, recycled aluminum, and specifications alloy manufacturing), coupled with his extensive financial/tax and corporate governance experience, is expected to make him a significant contributor to the TimkenSteel board.</w:t>
      </w:r>
    </w:p>
    <w:p>
      <w:pPr>
        <w:sectPr>
          <w:pgSz w:w="11900" w:h="16838" w:orient="portrait"/>
          <w:cols w:equalWidth="0" w:num="1">
            <w:col w:w="11420"/>
          </w:cols>
          <w:pgMar w:left="240" w:top="459" w:right="239" w:bottom="89" w:gutter="0" w:footer="0" w:header="0"/>
        </w:sectPr>
      </w:pPr>
    </w:p>
    <w:bookmarkStart w:id="69" w:name="page70"/>
    <w:bookmarkEnd w:id="69"/>
    <w:p>
      <w:pPr>
        <w:ind w:firstLine="913"/>
        <w:spacing w:after="0" w:line="255" w:lineRule="auto"/>
        <w:rPr>
          <w:sz w:val="20"/>
          <w:szCs w:val="20"/>
          <w:color w:val="auto"/>
        </w:rPr>
      </w:pPr>
      <w:r>
        <w:rPr>
          <w:rFonts w:ascii="Arial" w:cs="Arial" w:eastAsia="Arial" w:hAnsi="Arial"/>
          <w:sz w:val="18"/>
          <w:szCs w:val="18"/>
          <w:i w:val="1"/>
          <w:iCs w:val="1"/>
          <w:color w:val="auto"/>
        </w:rPr>
        <w:t xml:space="preserve">John P. Reilly </w:t>
      </w:r>
      <w:r>
        <w:rPr>
          <w:rFonts w:ascii="Arial" w:cs="Arial" w:eastAsia="Arial" w:hAnsi="Arial"/>
          <w:sz w:val="18"/>
          <w:szCs w:val="18"/>
          <w:color w:val="auto"/>
        </w:rPr>
        <w:t>– Mr. Reilly is expected to be named Lead Director of TimkenSteel in connection with the spinoff. Mr. Reilly served as the</w:t>
      </w:r>
      <w:r>
        <w:rPr>
          <w:rFonts w:ascii="Arial" w:cs="Arial" w:eastAsia="Arial" w:hAnsi="Arial"/>
          <w:sz w:val="18"/>
          <w:szCs w:val="18"/>
          <w:i w:val="1"/>
          <w:iCs w:val="1"/>
          <w:color w:val="auto"/>
        </w:rPr>
        <w:t xml:space="preserve"> </w:t>
      </w:r>
      <w:r>
        <w:rPr>
          <w:rFonts w:ascii="Arial" w:cs="Arial" w:eastAsia="Arial" w:hAnsi="Arial"/>
          <w:sz w:val="18"/>
          <w:szCs w:val="18"/>
          <w:color w:val="auto"/>
        </w:rPr>
        <w:t>Chairman, President and Chief Executive Officer of Figgie International, an international diversified operating company, until 1998. He has more than 30 years of experience in the automotive industry, where he served as President and Chief Executive Officer of several automotive suppliers, including Stant Corporation and Tenneco Automotive. He also held leadership positions at the former Chrysler Corporation and Navistar International and served as President of Brunswick Corporation. Mr. Reilly also serves as a director and non-executive Chairman of Exide Technologies and Material Sciences Corporation, having served on each company’s board since 2004, and as a director of Timken, a position he has held since 2006. Mr. Reilly is expected to remain a director of Timken after the spinoff is completed.</w:t>
      </w:r>
    </w:p>
    <w:p>
      <w:pPr>
        <w:spacing w:after="0" w:line="12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58</w:t>
      </w:r>
    </w:p>
    <w:p>
      <w:pPr>
        <w:sectPr>
          <w:pgSz w:w="11900" w:h="16838" w:orient="portrait"/>
          <w:cols w:equalWidth="0" w:num="1">
            <w:col w:w="11420"/>
          </w:cols>
          <w:pgMar w:left="240" w:top="125" w:right="239" w:bottom="1440" w:gutter="0" w:footer="0" w:header="0"/>
        </w:sectPr>
      </w:pPr>
    </w:p>
    <w:bookmarkStart w:id="70" w:name="page71"/>
    <w:bookmarkEnd w:id="7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4">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140" w:firstLine="913"/>
        <w:spacing w:after="0" w:line="279" w:lineRule="auto"/>
        <w:rPr>
          <w:sz w:val="20"/>
          <w:szCs w:val="20"/>
          <w:color w:val="auto"/>
        </w:rPr>
      </w:pPr>
      <w:r>
        <w:rPr>
          <w:rFonts w:ascii="Arial" w:cs="Arial" w:eastAsia="Arial" w:hAnsi="Arial"/>
          <w:sz w:val="17"/>
          <w:szCs w:val="17"/>
          <w:color w:val="auto"/>
        </w:rPr>
        <w:t>Mr. Reilly will bring to TimkenSteel’s board the benefits of his extensive automotive industry experience. Based on his 40 years of successful executive leadership with Figgie International, Stant Corporation and Tenneco Automotive, Mr. Reilly will also be able to help guide the TimkenSteel board in making strategic and business decisions. Mr. Reilly will bring his perspective as non-executive Chairman of two corporate boards, as well as a member of the Compensation Committee of Exide Technologies and Audit Committee of Material Sciences Corporation.</w:t>
      </w:r>
    </w:p>
    <w:p>
      <w:pPr>
        <w:spacing w:after="0" w:line="212" w:lineRule="exact"/>
        <w:rPr>
          <w:sz w:val="20"/>
          <w:szCs w:val="20"/>
          <w:color w:val="auto"/>
        </w:rPr>
      </w:pPr>
    </w:p>
    <w:p>
      <w:pPr>
        <w:ind w:right="140" w:firstLine="913"/>
        <w:spacing w:after="0" w:line="273" w:lineRule="auto"/>
        <w:rPr>
          <w:sz w:val="20"/>
          <w:szCs w:val="20"/>
          <w:color w:val="auto"/>
        </w:rPr>
      </w:pPr>
      <w:r>
        <w:rPr>
          <w:rFonts w:ascii="Arial" w:cs="Arial" w:eastAsia="Arial" w:hAnsi="Arial"/>
          <w:sz w:val="17"/>
          <w:szCs w:val="17"/>
          <w:i w:val="1"/>
          <w:iCs w:val="1"/>
          <w:color w:val="auto"/>
        </w:rPr>
        <w:t>Ward J. Timken, Jr</w:t>
      </w:r>
      <w:r>
        <w:rPr>
          <w:rFonts w:ascii="Arial" w:cs="Arial" w:eastAsia="Arial" w:hAnsi="Arial"/>
          <w:sz w:val="17"/>
          <w:szCs w:val="17"/>
          <w:color w:val="auto"/>
        </w:rPr>
        <w:t>. – Mr. Timken has been named as a director and as Chairman, Chief Executive Officer and President of TimkenSteel in</w:t>
      </w:r>
      <w:r>
        <w:rPr>
          <w:rFonts w:ascii="Arial" w:cs="Arial" w:eastAsia="Arial" w:hAnsi="Arial"/>
          <w:sz w:val="17"/>
          <w:szCs w:val="17"/>
          <w:i w:val="1"/>
          <w:iCs w:val="1"/>
          <w:color w:val="auto"/>
        </w:rPr>
        <w:t xml:space="preserve"> </w:t>
      </w:r>
      <w:r>
        <w:rPr>
          <w:rFonts w:ascii="Arial" w:cs="Arial" w:eastAsia="Arial" w:hAnsi="Arial"/>
          <w:sz w:val="17"/>
          <w:szCs w:val="17"/>
          <w:color w:val="auto"/>
        </w:rPr>
        <w:t>connection with the spinoff. Mr. Timken has served as a director of Timken since 2002 and as Chairman of the Board of Directors of Timken since 2005 and will remain a director of Timken after the distribution date. Previously, Mr. Timken was President of Timken’s steel business from 2004 to 2005, Corporate Vice President of Timken from 2000 to 2003 and held key leadership positions in Timken’s European and Latin American businesses from 1992 to 2000. Prior to joining Timken, Mr. Timken opened and managed the Washington, D.C. office of McGough &amp; Associates, a Columbus, Ohio-based government affairs consulting firm. Mr. Timken is also a member of the board of Pella Corporation, where he has served since 2008.</w:t>
      </w:r>
    </w:p>
    <w:p>
      <w:pPr>
        <w:spacing w:after="0" w:line="219" w:lineRule="exact"/>
        <w:rPr>
          <w:sz w:val="20"/>
          <w:szCs w:val="20"/>
          <w:color w:val="auto"/>
        </w:rPr>
      </w:pPr>
    </w:p>
    <w:p>
      <w:pPr>
        <w:ind w:firstLine="913"/>
        <w:spacing w:after="0" w:line="276" w:lineRule="auto"/>
        <w:rPr>
          <w:sz w:val="20"/>
          <w:szCs w:val="20"/>
          <w:color w:val="auto"/>
        </w:rPr>
      </w:pPr>
      <w:r>
        <w:rPr>
          <w:rFonts w:ascii="Arial" w:cs="Arial" w:eastAsia="Arial" w:hAnsi="Arial"/>
          <w:sz w:val="17"/>
          <w:szCs w:val="17"/>
          <w:color w:val="auto"/>
        </w:rPr>
        <w:t>Mr. Timken will provide TimkenSteel’s board of directors with relevant experience from having served in several key leadership positions during his previous tenure with Timken. As President of the steel business (which will become TimkenSteel after the spinoff) at Timken, Mr. Timken led the business to record levels of profitability, and as Corporate Vice President, he was responsible for strategy development, including leading Timken’s diversification efforts in its Process Industries segment. Mr. Timken’s broad-based experience, along with his deep understanding of the global industry dynamics across TimkenSteel’s markets, will allow Mr. Timken to play a key role in all matters involving TimkenSteel’s board of directors.</w:t>
      </w:r>
    </w:p>
    <w:p>
      <w:pPr>
        <w:spacing w:after="0" w:line="200" w:lineRule="exact"/>
        <w:rPr>
          <w:sz w:val="20"/>
          <w:szCs w:val="20"/>
          <w:color w:val="auto"/>
        </w:rPr>
      </w:pPr>
    </w:p>
    <w:p>
      <w:pPr>
        <w:jc w:val="both"/>
        <w:ind w:right="40" w:firstLine="913"/>
        <w:spacing w:after="0" w:line="302" w:lineRule="auto"/>
        <w:rPr>
          <w:sz w:val="20"/>
          <w:szCs w:val="20"/>
          <w:color w:val="auto"/>
        </w:rPr>
      </w:pPr>
      <w:r>
        <w:rPr>
          <w:rFonts w:ascii="Arial" w:cs="Arial" w:eastAsia="Arial" w:hAnsi="Arial"/>
          <w:sz w:val="16"/>
          <w:szCs w:val="16"/>
          <w:i w:val="1"/>
          <w:iCs w:val="1"/>
          <w:color w:val="auto"/>
        </w:rPr>
        <w:t xml:space="preserve">Randall A. Wotring </w:t>
      </w:r>
      <w:r>
        <w:rPr>
          <w:rFonts w:ascii="Arial" w:cs="Arial" w:eastAsia="Arial" w:hAnsi="Arial"/>
          <w:sz w:val="16"/>
          <w:szCs w:val="16"/>
          <w:color w:val="auto"/>
        </w:rPr>
        <w:t>– Mr. Wotring is expected to be named as a director of TimkenSteel in connection with the spinoff. Mr. Wotring is Corporate</w:t>
      </w:r>
      <w:r>
        <w:rPr>
          <w:rFonts w:ascii="Arial" w:cs="Arial" w:eastAsia="Arial" w:hAnsi="Arial"/>
          <w:sz w:val="16"/>
          <w:szCs w:val="16"/>
          <w:i w:val="1"/>
          <w:iCs w:val="1"/>
          <w:color w:val="auto"/>
        </w:rPr>
        <w:t xml:space="preserve"> </w:t>
      </w:r>
      <w:r>
        <w:rPr>
          <w:rFonts w:ascii="Arial" w:cs="Arial" w:eastAsia="Arial" w:hAnsi="Arial"/>
          <w:sz w:val="16"/>
          <w:szCs w:val="16"/>
          <w:color w:val="auto"/>
        </w:rPr>
        <w:t>Vice President and President of the Federal Services division of URS Corporation, positions he has held since 2004. URS Corporation is a leading provider of engineering, construction and technical services for public agencies and private sector companies around the world. Prior to his employment with URS, Mr. Wotring held positions of increasing executive and operational responsibility for EG&amp;G Technical Services, Inc., a company acquired by URS.</w:t>
      </w:r>
    </w:p>
    <w:p>
      <w:pPr>
        <w:spacing w:after="0" w:line="195" w:lineRule="exact"/>
        <w:rPr>
          <w:sz w:val="20"/>
          <w:szCs w:val="20"/>
          <w:color w:val="auto"/>
        </w:rPr>
      </w:pPr>
    </w:p>
    <w:p>
      <w:pPr>
        <w:ind w:right="280" w:firstLine="913"/>
        <w:spacing w:after="0" w:line="286" w:lineRule="auto"/>
        <w:rPr>
          <w:sz w:val="20"/>
          <w:szCs w:val="20"/>
          <w:color w:val="auto"/>
        </w:rPr>
      </w:pPr>
      <w:r>
        <w:rPr>
          <w:rFonts w:ascii="Arial" w:cs="Arial" w:eastAsia="Arial" w:hAnsi="Arial"/>
          <w:sz w:val="17"/>
          <w:szCs w:val="17"/>
          <w:color w:val="auto"/>
        </w:rPr>
        <w:t>Mr. Wotring is a seasoned executive with more than 30 years of operational experience managing engineering and technical services, much of which involved government and international customers. Mr. Wotring’s understanding of the challenges inherent in global growth, coupled with his experience with mergers and acquisitions, is expected to aid the board in executing TimkenSteel’s growth strategies.</w:t>
      </w:r>
    </w:p>
    <w:p>
      <w:pPr>
        <w:spacing w:after="0" w:line="206" w:lineRule="exact"/>
        <w:rPr>
          <w:sz w:val="20"/>
          <w:szCs w:val="20"/>
          <w:color w:val="auto"/>
        </w:rPr>
      </w:pPr>
    </w:p>
    <w:p>
      <w:pPr>
        <w:ind w:right="60" w:firstLine="913"/>
        <w:spacing w:after="0" w:line="257" w:lineRule="auto"/>
        <w:rPr>
          <w:sz w:val="20"/>
          <w:szCs w:val="20"/>
          <w:color w:val="auto"/>
        </w:rPr>
      </w:pPr>
      <w:r>
        <w:rPr>
          <w:rFonts w:ascii="Arial" w:cs="Arial" w:eastAsia="Arial" w:hAnsi="Arial"/>
          <w:sz w:val="18"/>
          <w:szCs w:val="18"/>
          <w:color w:val="auto"/>
        </w:rPr>
        <w:t>The individuals listed below (with their ages as of January 1, 2014) are expected to be executive officers of TimkenSteel as of the distribution date. The business address of each of the individuals listed below is 1835 Dueber Avenue, S.W. Canton, Ohio, 44706-2798. The present principal occupation or employment and five-year employment history of each individual follows the list below (except that the five-year employment history for Ward J. Timken, Jr. is presented above, following the listing of expected members of the board of directors of TimkenSteel). We expect that these individuals will resign from their respective executive positions with Timken upon completion of the spinoff.</w:t>
      </w:r>
    </w:p>
    <w:p>
      <w:pPr>
        <w:spacing w:after="0" w:line="328" w:lineRule="exact"/>
        <w:rPr>
          <w:sz w:val="20"/>
          <w:szCs w:val="20"/>
          <w:color w:val="auto"/>
        </w:rPr>
      </w:pPr>
    </w:p>
    <w:tbl>
      <w:tblPr>
        <w:tblLayout w:type="fixed"/>
        <w:tblInd w:w="0" w:type="dxa"/>
        <w:tblCellMar>
          <w:top w:w="0" w:type="dxa"/>
          <w:left w:w="0" w:type="dxa"/>
          <w:bottom w:w="0" w:type="dxa"/>
          <w:right w:w="0" w:type="dxa"/>
        </w:tblCellMar>
      </w:tblPr>
      <w:tr>
        <w:trPr>
          <w:trHeight w:val="185"/>
        </w:trPr>
        <w:tc>
          <w:tcPr>
            <w:tcW w:w="5620" w:type="dxa"/>
            <w:vAlign w:val="bottom"/>
            <w:gridSpan w:val="2"/>
          </w:tcPr>
          <w:p>
            <w:pPr>
              <w:spacing w:after="0"/>
              <w:rPr>
                <w:sz w:val="20"/>
                <w:szCs w:val="20"/>
                <w:color w:val="auto"/>
              </w:rPr>
            </w:pPr>
            <w:r>
              <w:rPr>
                <w:rFonts w:ascii="Arial" w:cs="Arial" w:eastAsia="Arial" w:hAnsi="Arial"/>
                <w:sz w:val="14"/>
                <w:szCs w:val="14"/>
                <w:b w:val="1"/>
                <w:bCs w:val="1"/>
                <w:color w:val="auto"/>
              </w:rPr>
              <w:t>Name</w:t>
            </w:r>
          </w:p>
        </w:tc>
        <w:tc>
          <w:tcPr>
            <w:tcW w:w="660" w:type="dxa"/>
            <w:vAlign w:val="bottom"/>
            <w:gridSpan w:val="2"/>
          </w:tcPr>
          <w:p>
            <w:pPr>
              <w:ind w:left="20"/>
              <w:spacing w:after="0"/>
              <w:rPr>
                <w:sz w:val="20"/>
                <w:szCs w:val="20"/>
                <w:color w:val="auto"/>
              </w:rPr>
            </w:pPr>
            <w:r>
              <w:rPr>
                <w:rFonts w:ascii="Arial" w:cs="Arial" w:eastAsia="Arial" w:hAnsi="Arial"/>
                <w:sz w:val="14"/>
                <w:szCs w:val="14"/>
                <w:b w:val="1"/>
                <w:bCs w:val="1"/>
                <w:color w:val="auto"/>
              </w:rPr>
              <w:t>Age</w:t>
            </w:r>
          </w:p>
        </w:tc>
        <w:tc>
          <w:tcPr>
            <w:tcW w:w="5140" w:type="dxa"/>
            <w:vAlign w:val="bottom"/>
          </w:tcPr>
          <w:p>
            <w:pPr>
              <w:ind w:left="40"/>
              <w:spacing w:after="0"/>
              <w:rPr>
                <w:sz w:val="20"/>
                <w:szCs w:val="20"/>
                <w:color w:val="auto"/>
              </w:rPr>
            </w:pPr>
            <w:r>
              <w:rPr>
                <w:rFonts w:ascii="Arial" w:cs="Arial" w:eastAsia="Arial" w:hAnsi="Arial"/>
                <w:sz w:val="14"/>
                <w:szCs w:val="14"/>
                <w:b w:val="1"/>
                <w:bCs w:val="1"/>
                <w:color w:val="auto"/>
              </w:rPr>
              <w:t>Position with TimkenSteel</w:t>
            </w:r>
          </w:p>
        </w:tc>
      </w:tr>
      <w:tr>
        <w:trPr>
          <w:trHeight w:val="210"/>
        </w:trPr>
        <w:tc>
          <w:tcPr>
            <w:tcW w:w="550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Ward J. Timken, Jr.</w:t>
            </w:r>
          </w:p>
        </w:tc>
        <w:tc>
          <w:tcPr>
            <w:tcW w:w="120" w:type="dxa"/>
            <w:vAlign w:val="bottom"/>
            <w:tcBorders>
              <w:top w:val="single" w:sz="8" w:color="CCEEFF"/>
            </w:tcBorders>
            <w:shd w:val="clear" w:color="auto" w:fill="CCEEFF"/>
          </w:tcPr>
          <w:p>
            <w:pPr>
              <w:spacing w:after="0"/>
              <w:rPr>
                <w:sz w:val="18"/>
                <w:szCs w:val="18"/>
                <w:color w:val="auto"/>
              </w:rPr>
            </w:pPr>
          </w:p>
        </w:tc>
        <w:tc>
          <w:tcPr>
            <w:tcW w:w="560" w:type="dxa"/>
            <w:vAlign w:val="bottom"/>
            <w:tcBorders>
              <w:top w:val="single" w:sz="8" w:color="auto"/>
            </w:tcBorders>
            <w:shd w:val="clear" w:color="auto" w:fill="CCEEFF"/>
          </w:tcPr>
          <w:p>
            <w:pPr>
              <w:jc w:val="right"/>
              <w:ind w:right="114"/>
              <w:spacing w:after="0"/>
              <w:rPr>
                <w:sz w:val="20"/>
                <w:szCs w:val="20"/>
                <w:color w:val="auto"/>
              </w:rPr>
            </w:pPr>
            <w:r>
              <w:rPr>
                <w:rFonts w:ascii="Arial" w:cs="Arial" w:eastAsia="Arial" w:hAnsi="Arial"/>
                <w:sz w:val="18"/>
                <w:szCs w:val="18"/>
                <w:color w:val="auto"/>
              </w:rPr>
              <w:t>46</w:t>
            </w:r>
          </w:p>
        </w:tc>
        <w:tc>
          <w:tcPr>
            <w:tcW w:w="100" w:type="dxa"/>
            <w:vAlign w:val="bottom"/>
            <w:tcBorders>
              <w:top w:val="single" w:sz="8" w:color="CCEEFF"/>
            </w:tcBorders>
            <w:shd w:val="clear" w:color="auto" w:fill="CCEEFF"/>
          </w:tcPr>
          <w:p>
            <w:pPr>
              <w:spacing w:after="0"/>
              <w:rPr>
                <w:sz w:val="18"/>
                <w:szCs w:val="18"/>
                <w:color w:val="auto"/>
              </w:rPr>
            </w:pPr>
          </w:p>
        </w:tc>
        <w:tc>
          <w:tcPr>
            <w:tcW w:w="5140" w:type="dxa"/>
            <w:vAlign w:val="bottom"/>
            <w:tcBorders>
              <w:top w:val="single" w:sz="8" w:color="auto"/>
            </w:tcBorders>
            <w:shd w:val="clear" w:color="auto" w:fill="CCEEFF"/>
          </w:tcPr>
          <w:p>
            <w:pPr>
              <w:ind w:left="60"/>
              <w:spacing w:after="0"/>
              <w:rPr>
                <w:sz w:val="20"/>
                <w:szCs w:val="20"/>
                <w:color w:val="auto"/>
              </w:rPr>
            </w:pPr>
            <w:r>
              <w:rPr>
                <w:rFonts w:ascii="Arial" w:cs="Arial" w:eastAsia="Arial" w:hAnsi="Arial"/>
                <w:sz w:val="18"/>
                <w:szCs w:val="18"/>
                <w:color w:val="auto"/>
              </w:rPr>
              <w:t>Chairman, Chief Executive Officer and President</w:t>
            </w:r>
          </w:p>
        </w:tc>
      </w:tr>
      <w:tr>
        <w:trPr>
          <w:trHeight w:val="216"/>
        </w:trPr>
        <w:tc>
          <w:tcPr>
            <w:tcW w:w="5620" w:type="dxa"/>
            <w:vAlign w:val="bottom"/>
            <w:gridSpan w:val="2"/>
          </w:tcPr>
          <w:p>
            <w:pPr>
              <w:spacing w:after="0"/>
              <w:rPr>
                <w:sz w:val="20"/>
                <w:szCs w:val="20"/>
                <w:color w:val="auto"/>
              </w:rPr>
            </w:pPr>
            <w:r>
              <w:rPr>
                <w:rFonts w:ascii="Arial" w:cs="Arial" w:eastAsia="Arial" w:hAnsi="Arial"/>
                <w:sz w:val="18"/>
                <w:szCs w:val="18"/>
                <w:color w:val="auto"/>
              </w:rPr>
              <w:t>Christopher J. Holding</w:t>
            </w:r>
          </w:p>
        </w:tc>
        <w:tc>
          <w:tcPr>
            <w:tcW w:w="560" w:type="dxa"/>
            <w:vAlign w:val="bottom"/>
          </w:tcPr>
          <w:p>
            <w:pPr>
              <w:jc w:val="right"/>
              <w:ind w:right="114"/>
              <w:spacing w:after="0"/>
              <w:rPr>
                <w:sz w:val="20"/>
                <w:szCs w:val="20"/>
                <w:color w:val="auto"/>
              </w:rPr>
            </w:pPr>
            <w:r>
              <w:rPr>
                <w:rFonts w:ascii="Arial" w:cs="Arial" w:eastAsia="Arial" w:hAnsi="Arial"/>
                <w:sz w:val="18"/>
                <w:szCs w:val="18"/>
                <w:color w:val="auto"/>
              </w:rPr>
              <w:t>54</w:t>
            </w:r>
          </w:p>
        </w:tc>
        <w:tc>
          <w:tcPr>
            <w:tcW w:w="100" w:type="dxa"/>
            <w:vAlign w:val="bottom"/>
          </w:tcPr>
          <w:p>
            <w:pPr>
              <w:spacing w:after="0"/>
              <w:rPr>
                <w:sz w:val="18"/>
                <w:szCs w:val="18"/>
                <w:color w:val="auto"/>
              </w:rPr>
            </w:pPr>
          </w:p>
        </w:tc>
        <w:tc>
          <w:tcPr>
            <w:tcW w:w="5140" w:type="dxa"/>
            <w:vAlign w:val="bottom"/>
          </w:tcPr>
          <w:p>
            <w:pPr>
              <w:ind w:left="60"/>
              <w:spacing w:after="0"/>
              <w:rPr>
                <w:sz w:val="20"/>
                <w:szCs w:val="20"/>
                <w:color w:val="auto"/>
              </w:rPr>
            </w:pPr>
            <w:r>
              <w:rPr>
                <w:rFonts w:ascii="Arial" w:cs="Arial" w:eastAsia="Arial" w:hAnsi="Arial"/>
                <w:sz w:val="18"/>
                <w:szCs w:val="18"/>
                <w:color w:val="auto"/>
              </w:rPr>
              <w:t>Executive Vice President and Chief Financial Officer</w:t>
            </w:r>
          </w:p>
        </w:tc>
      </w:tr>
      <w:tr>
        <w:trPr>
          <w:trHeight w:val="202"/>
        </w:trPr>
        <w:tc>
          <w:tcPr>
            <w:tcW w:w="55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140" w:type="dxa"/>
            <w:vAlign w:val="bottom"/>
            <w:shd w:val="clear" w:color="auto" w:fill="CCEEFF"/>
          </w:tcPr>
          <w:p>
            <w:pPr>
              <w:ind w:left="60"/>
              <w:spacing w:after="0" w:line="201" w:lineRule="exact"/>
              <w:rPr>
                <w:sz w:val="20"/>
                <w:szCs w:val="20"/>
                <w:color w:val="auto"/>
              </w:rPr>
            </w:pPr>
            <w:r>
              <w:rPr>
                <w:rFonts w:ascii="Arial" w:cs="Arial" w:eastAsia="Arial" w:hAnsi="Arial"/>
                <w:sz w:val="18"/>
                <w:szCs w:val="18"/>
                <w:color w:val="auto"/>
                <w:w w:val="95"/>
              </w:rPr>
              <w:t>Executive Vice President of Human Resources and Organizational</w:t>
            </w:r>
          </w:p>
        </w:tc>
      </w:tr>
      <w:tr>
        <w:trPr>
          <w:trHeight w:val="230"/>
        </w:trPr>
        <w:tc>
          <w:tcPr>
            <w:tcW w:w="56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Donald L. Walker</w:t>
            </w:r>
          </w:p>
        </w:tc>
        <w:tc>
          <w:tcPr>
            <w:tcW w:w="560" w:type="dxa"/>
            <w:vAlign w:val="bottom"/>
            <w:shd w:val="clear" w:color="auto" w:fill="CCEEFF"/>
          </w:tcPr>
          <w:p>
            <w:pPr>
              <w:jc w:val="right"/>
              <w:ind w:right="114"/>
              <w:spacing w:after="0"/>
              <w:rPr>
                <w:sz w:val="20"/>
                <w:szCs w:val="20"/>
                <w:color w:val="auto"/>
              </w:rPr>
            </w:pPr>
            <w:r>
              <w:rPr>
                <w:rFonts w:ascii="Arial" w:cs="Arial" w:eastAsia="Arial" w:hAnsi="Arial"/>
                <w:sz w:val="18"/>
                <w:szCs w:val="18"/>
                <w:color w:val="auto"/>
              </w:rPr>
              <w:t>57</w:t>
            </w:r>
          </w:p>
        </w:tc>
        <w:tc>
          <w:tcPr>
            <w:tcW w:w="100" w:type="dxa"/>
            <w:vAlign w:val="bottom"/>
            <w:shd w:val="clear" w:color="auto" w:fill="CCEEFF"/>
          </w:tcPr>
          <w:p>
            <w:pPr>
              <w:spacing w:after="0"/>
              <w:rPr>
                <w:sz w:val="20"/>
                <w:szCs w:val="20"/>
                <w:color w:val="auto"/>
              </w:rPr>
            </w:pPr>
          </w:p>
        </w:tc>
        <w:tc>
          <w:tcPr>
            <w:tcW w:w="5140" w:type="dxa"/>
            <w:vAlign w:val="bottom"/>
            <w:shd w:val="clear" w:color="auto" w:fill="CCEEFF"/>
          </w:tcPr>
          <w:p>
            <w:pPr>
              <w:spacing w:after="0"/>
              <w:rPr>
                <w:sz w:val="20"/>
                <w:szCs w:val="20"/>
                <w:color w:val="auto"/>
              </w:rPr>
            </w:pPr>
            <w:r>
              <w:rPr>
                <w:rFonts w:ascii="Arial" w:cs="Arial" w:eastAsia="Arial" w:hAnsi="Arial"/>
                <w:sz w:val="18"/>
                <w:szCs w:val="18"/>
                <w:color w:val="auto"/>
              </w:rPr>
              <w:t>Advancement</w:t>
            </w:r>
          </w:p>
        </w:tc>
      </w:tr>
      <w:tr>
        <w:trPr>
          <w:trHeight w:val="230"/>
        </w:trPr>
        <w:tc>
          <w:tcPr>
            <w:tcW w:w="5620" w:type="dxa"/>
            <w:vAlign w:val="bottom"/>
            <w:gridSpan w:val="2"/>
          </w:tcPr>
          <w:p>
            <w:pPr>
              <w:spacing w:after="0"/>
              <w:rPr>
                <w:sz w:val="20"/>
                <w:szCs w:val="20"/>
                <w:color w:val="auto"/>
              </w:rPr>
            </w:pPr>
            <w:r>
              <w:rPr>
                <w:rFonts w:ascii="Arial" w:cs="Arial" w:eastAsia="Arial" w:hAnsi="Arial"/>
                <w:sz w:val="18"/>
                <w:szCs w:val="18"/>
                <w:color w:val="auto"/>
              </w:rPr>
              <w:t>Frank A. DiPiero</w:t>
            </w:r>
          </w:p>
        </w:tc>
        <w:tc>
          <w:tcPr>
            <w:tcW w:w="560" w:type="dxa"/>
            <w:vAlign w:val="bottom"/>
          </w:tcPr>
          <w:p>
            <w:pPr>
              <w:jc w:val="right"/>
              <w:ind w:right="114"/>
              <w:spacing w:after="0"/>
              <w:rPr>
                <w:sz w:val="20"/>
                <w:szCs w:val="20"/>
                <w:color w:val="auto"/>
              </w:rPr>
            </w:pPr>
            <w:r>
              <w:rPr>
                <w:rFonts w:ascii="Arial" w:cs="Arial" w:eastAsia="Arial" w:hAnsi="Arial"/>
                <w:sz w:val="18"/>
                <w:szCs w:val="18"/>
                <w:color w:val="auto"/>
              </w:rPr>
              <w:t>57</w:t>
            </w:r>
          </w:p>
        </w:tc>
        <w:tc>
          <w:tcPr>
            <w:tcW w:w="100" w:type="dxa"/>
            <w:vAlign w:val="bottom"/>
          </w:tcPr>
          <w:p>
            <w:pPr>
              <w:spacing w:after="0"/>
              <w:rPr>
                <w:sz w:val="20"/>
                <w:szCs w:val="20"/>
                <w:color w:val="auto"/>
              </w:rPr>
            </w:pPr>
          </w:p>
        </w:tc>
        <w:tc>
          <w:tcPr>
            <w:tcW w:w="5140" w:type="dxa"/>
            <w:vAlign w:val="bottom"/>
          </w:tcPr>
          <w:p>
            <w:pPr>
              <w:spacing w:after="0"/>
              <w:rPr>
                <w:sz w:val="20"/>
                <w:szCs w:val="20"/>
                <w:color w:val="auto"/>
              </w:rPr>
            </w:pPr>
            <w:r>
              <w:rPr>
                <w:rFonts w:ascii="Arial" w:cs="Arial" w:eastAsia="Arial" w:hAnsi="Arial"/>
                <w:sz w:val="18"/>
                <w:szCs w:val="18"/>
                <w:color w:val="auto"/>
              </w:rPr>
              <w:t>Executive Vice President, General Counsel and Secretary</w:t>
            </w:r>
          </w:p>
        </w:tc>
      </w:tr>
    </w:tbl>
    <w:p>
      <w:pPr>
        <w:spacing w:after="0" w:line="255" w:lineRule="exact"/>
        <w:rPr>
          <w:sz w:val="20"/>
          <w:szCs w:val="20"/>
          <w:color w:val="auto"/>
        </w:rPr>
      </w:pPr>
    </w:p>
    <w:p>
      <w:pPr>
        <w:ind w:right="200" w:firstLine="913"/>
        <w:spacing w:after="0" w:line="279" w:lineRule="auto"/>
        <w:rPr>
          <w:sz w:val="20"/>
          <w:szCs w:val="20"/>
          <w:color w:val="auto"/>
        </w:rPr>
      </w:pPr>
      <w:r>
        <w:rPr>
          <w:rFonts w:ascii="Arial" w:cs="Arial" w:eastAsia="Arial" w:hAnsi="Arial"/>
          <w:sz w:val="17"/>
          <w:szCs w:val="17"/>
          <w:color w:val="auto"/>
        </w:rPr>
        <w:t>Christopher J. Holding has been named Executive Vice President and Chief Financial Officer of TimkenSteel in connection with the spinoff. Mr. Holding was named senior vice president of tax and treasury at Timken in 2010. He joined Timken in 2004 as operations controller and was named industrial controller in 2006. He was controller of the Process Industries segment from 2008 until he was named to his present position. Mr. Holding earned his bachelor’s and master’s degrees from the University of Cincinnati and is a certified public accountant.</w:t>
      </w:r>
    </w:p>
    <w:p>
      <w:pPr>
        <w:spacing w:after="0" w:line="131" w:lineRule="exact"/>
        <w:rPr>
          <w:sz w:val="20"/>
          <w:szCs w:val="20"/>
          <w:color w:val="auto"/>
        </w:rPr>
      </w:pPr>
    </w:p>
    <w:p>
      <w:pPr>
        <w:jc w:val="both"/>
        <w:ind w:right="760" w:firstLine="913"/>
        <w:spacing w:after="0" w:line="291" w:lineRule="auto"/>
        <w:rPr>
          <w:sz w:val="20"/>
          <w:szCs w:val="20"/>
          <w:color w:val="auto"/>
        </w:rPr>
      </w:pPr>
      <w:r>
        <w:rPr>
          <w:rFonts w:ascii="Arial" w:cs="Arial" w:eastAsia="Arial" w:hAnsi="Arial"/>
          <w:sz w:val="16"/>
          <w:szCs w:val="16"/>
          <w:color w:val="auto"/>
        </w:rPr>
        <w:t>Donald L. Walker has been named Executive Vice President of Human Resources and Organizational Advancement of TimkenSteel in connection with the spinoff. Mr. Walker was named Senior Vice President - Human Resources and Organizational Advancement at Timken in 2004.</w:t>
      </w:r>
    </w:p>
    <w:p>
      <w:pPr>
        <w:jc w:val="both"/>
        <w:ind w:right="260"/>
        <w:spacing w:after="0" w:line="255" w:lineRule="auto"/>
        <w:rPr>
          <w:sz w:val="20"/>
          <w:szCs w:val="20"/>
          <w:color w:val="auto"/>
        </w:rPr>
      </w:pPr>
      <w:r>
        <w:rPr>
          <w:rFonts w:ascii="Arial" w:cs="Arial" w:eastAsia="Arial" w:hAnsi="Arial"/>
          <w:sz w:val="18"/>
          <w:szCs w:val="18"/>
          <w:color w:val="auto"/>
        </w:rPr>
        <w:t>Mr. Walker earned his bachelor’s degree in psychology and a master’s degree in industrial psychology, both from Western Michigan University, and a juris doctorate from Capital University. Mr. Walker also attended the Massachusetts Institute of Technology Sloan Fellow Program, where he earned a master’s degree in business administration.</w:t>
      </w:r>
    </w:p>
    <w:p>
      <w:pPr>
        <w:spacing w:after="0" w:line="231" w:lineRule="exact"/>
        <w:rPr>
          <w:sz w:val="20"/>
          <w:szCs w:val="20"/>
          <w:color w:val="auto"/>
        </w:rPr>
      </w:pPr>
    </w:p>
    <w:p>
      <w:pPr>
        <w:ind w:right="20" w:firstLine="913"/>
        <w:spacing w:after="0" w:line="293" w:lineRule="auto"/>
        <w:rPr>
          <w:sz w:val="20"/>
          <w:szCs w:val="20"/>
          <w:color w:val="auto"/>
        </w:rPr>
      </w:pPr>
      <w:r>
        <w:rPr>
          <w:rFonts w:ascii="Arial" w:cs="Arial" w:eastAsia="Arial" w:hAnsi="Arial"/>
          <w:sz w:val="16"/>
          <w:szCs w:val="16"/>
          <w:color w:val="auto"/>
        </w:rPr>
        <w:t>Frank A. DiPiero has been named Executive Vice President, General Counsel and Secretary of TimkenSteel in connection with the spinoff. Mr. DiPiero joined Timken in 2014, and prior to that he was Associate General Counsel, UTC Aerospace Systems of United Technologies Corporation, a provider of technology products and services to the global aerospace and building systems industries, from 2012 to 2013, Vice President, Corporate Secretary and Segment Counsel, Electronic Systems of Goodrich Corporation (Goodrich Corporation became a subsidiary of United Technologies Corporation through a merger in 2012) from 2010 to 2012, and Segment Counsel, Actuation and Landing Systems of Goodrich Corporation from 2004 to 2010. Mr. DiPiero earned his bachelor’s degree in history from Youngstown State University and a juris doctor from The University of Toledo College of Law.</w:t>
      </w:r>
    </w:p>
    <w:p>
      <w:pPr>
        <w:sectPr>
          <w:pgSz w:w="11900" w:h="16838" w:orient="portrait"/>
          <w:cols w:equalWidth="0" w:num="1">
            <w:col w:w="11420"/>
          </w:cols>
          <w:pgMar w:left="240" w:top="459" w:right="239" w:bottom="1440" w:gutter="0" w:footer="0" w:header="0"/>
        </w:sectPr>
      </w:pPr>
    </w:p>
    <w:p>
      <w:pPr>
        <w:spacing w:after="0" w:line="97"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59</w:t>
      </w:r>
    </w:p>
    <w:p>
      <w:pPr>
        <w:sectPr>
          <w:pgSz w:w="11900" w:h="16838" w:orient="portrait"/>
          <w:cols w:equalWidth="0" w:num="1">
            <w:col w:w="11420"/>
          </w:cols>
          <w:pgMar w:left="240" w:top="459" w:right="239" w:bottom="1440" w:gutter="0" w:footer="0" w:header="0"/>
          <w:type w:val="continuous"/>
        </w:sectPr>
      </w:pPr>
    </w:p>
    <w:bookmarkStart w:id="71" w:name="page72"/>
    <w:bookmarkEnd w:id="7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5">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Board of Directors</w:t>
      </w:r>
    </w:p>
    <w:p>
      <w:pPr>
        <w:spacing w:after="0" w:line="270" w:lineRule="exact"/>
        <w:rPr>
          <w:sz w:val="20"/>
          <w:szCs w:val="20"/>
          <w:color w:val="auto"/>
        </w:rPr>
      </w:pPr>
    </w:p>
    <w:p>
      <w:pPr>
        <w:ind w:right="40" w:firstLine="913"/>
        <w:spacing w:after="0" w:line="259" w:lineRule="auto"/>
        <w:rPr>
          <w:sz w:val="20"/>
          <w:szCs w:val="20"/>
          <w:color w:val="auto"/>
        </w:rPr>
      </w:pPr>
      <w:r>
        <w:rPr>
          <w:rFonts w:ascii="Arial" w:cs="Arial" w:eastAsia="Arial" w:hAnsi="Arial"/>
          <w:sz w:val="18"/>
          <w:szCs w:val="18"/>
          <w:color w:val="auto"/>
        </w:rPr>
        <w:t>As of the distribution date, we expect that our board of directors will consist of seven directors. The NYSE requires that a majority of our board of directors qualify as “independent” according to the rules and regulations of the SEC and the NYSE. We intend to comply with those requirements. We currently expect that all of our directors, other than Ward J. Timken, Jr., will qualify as independent according to the rules and regulations of the SEC and the NYSE as of the distribution date.</w:t>
      </w:r>
    </w:p>
    <w:p>
      <w:pPr>
        <w:spacing w:after="0" w:line="22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Board Leadership Structure</w:t>
      </w:r>
    </w:p>
    <w:p>
      <w:pPr>
        <w:spacing w:after="0" w:line="256" w:lineRule="exact"/>
        <w:rPr>
          <w:sz w:val="20"/>
          <w:szCs w:val="20"/>
          <w:color w:val="auto"/>
        </w:rPr>
      </w:pPr>
    </w:p>
    <w:p>
      <w:pPr>
        <w:ind w:right="360" w:firstLine="913"/>
        <w:spacing w:after="0" w:line="277" w:lineRule="auto"/>
        <w:rPr>
          <w:sz w:val="20"/>
          <w:szCs w:val="20"/>
          <w:color w:val="auto"/>
        </w:rPr>
      </w:pPr>
      <w:r>
        <w:rPr>
          <w:rFonts w:ascii="Arial" w:cs="Arial" w:eastAsia="Arial" w:hAnsi="Arial"/>
          <w:sz w:val="18"/>
          <w:szCs w:val="18"/>
          <w:color w:val="auto"/>
        </w:rPr>
        <w:t>Our board of directors will be led by Chairman Ward J. Timken, Jr. In addition, John P. Reilly has been appointed as Lead Director as of the distribution date.</w:t>
      </w:r>
    </w:p>
    <w:p>
      <w:pPr>
        <w:spacing w:after="0" w:line="211" w:lineRule="exact"/>
        <w:rPr>
          <w:sz w:val="20"/>
          <w:szCs w:val="20"/>
          <w:color w:val="auto"/>
        </w:rPr>
      </w:pPr>
    </w:p>
    <w:p>
      <w:pPr>
        <w:ind w:firstLine="913"/>
        <w:spacing w:after="0" w:line="297" w:lineRule="auto"/>
        <w:rPr>
          <w:sz w:val="20"/>
          <w:szCs w:val="20"/>
          <w:color w:val="auto"/>
        </w:rPr>
      </w:pPr>
      <w:r>
        <w:rPr>
          <w:rFonts w:ascii="Arial" w:cs="Arial" w:eastAsia="Arial" w:hAnsi="Arial"/>
          <w:sz w:val="16"/>
          <w:szCs w:val="16"/>
          <w:color w:val="auto"/>
        </w:rPr>
        <w:t>The Chairman will oversee the planning of the annual board of directors’ calendar and, in consultation with the other directors, will schedule and set the agenda for meetings of the board of directors and lead the discussions at such meetings. In addition, the Chairman will provide guidance and oversight to other members of management, help with the formulation and implementation of our strategic plans and act as the board of directors’ liaison to the rest of management. In this capacity, the Chairman will be actively engaged on significant matters affecting TimkenSteel. The Chairman will also lead our annual meetings of shareholders and perform such other functions and responsibilities as requested by the board of directors from time to time.</w:t>
      </w:r>
    </w:p>
    <w:p>
      <w:pPr>
        <w:spacing w:after="0" w:line="199" w:lineRule="exact"/>
        <w:rPr>
          <w:sz w:val="20"/>
          <w:szCs w:val="20"/>
          <w:color w:val="auto"/>
        </w:rPr>
      </w:pPr>
    </w:p>
    <w:p>
      <w:pPr>
        <w:ind w:right="20" w:firstLine="913"/>
        <w:spacing w:after="0" w:line="272" w:lineRule="auto"/>
        <w:rPr>
          <w:sz w:val="20"/>
          <w:szCs w:val="20"/>
          <w:color w:val="auto"/>
        </w:rPr>
      </w:pPr>
      <w:r>
        <w:rPr>
          <w:rFonts w:ascii="Arial" w:cs="Arial" w:eastAsia="Arial" w:hAnsi="Arial"/>
          <w:sz w:val="17"/>
          <w:szCs w:val="17"/>
          <w:color w:val="auto"/>
        </w:rPr>
        <w:t>The Lead Director’s duties are expected to include: (a) developing agendas for, and presiding over, the executive sessions of the independent directors; (b) reporting the results of the executive sessions to the Chairman, Chief Executive Officer and President; (c) providing feedback as required to the other directors on the issues discussed with the Chairman, Chief Executive Officer and President; (d) serving as a liaison with the Chairman, Chief Executive Officer and President and the independent directors; (e) presiding at all meetings of the board of directors at which the Chairman is not present; (f) approving information sent to the board of directors; (g) approving agendas for board of directors’ meetings; (h) approving board of directors’ meeting schedules to ensure that there is sufficient time for discussion of all agenda items; (i) calling meetings of the independent directors; and (j) ensuring that he or she is available for consultation and direct communications with major shareholders, as appropriate.</w:t>
      </w:r>
    </w:p>
    <w:p>
      <w:pPr>
        <w:spacing w:after="0" w:line="20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Committees of Our Board of Directors</w:t>
      </w:r>
    </w:p>
    <w:p>
      <w:pPr>
        <w:spacing w:after="0" w:line="270" w:lineRule="exact"/>
        <w:rPr>
          <w:sz w:val="20"/>
          <w:szCs w:val="20"/>
          <w:color w:val="auto"/>
        </w:rPr>
      </w:pPr>
    </w:p>
    <w:p>
      <w:pPr>
        <w:ind w:right="140" w:firstLine="913"/>
        <w:spacing w:after="0" w:line="259" w:lineRule="auto"/>
        <w:rPr>
          <w:sz w:val="20"/>
          <w:szCs w:val="20"/>
          <w:color w:val="auto"/>
        </w:rPr>
      </w:pPr>
      <w:r>
        <w:rPr>
          <w:rFonts w:ascii="Arial" w:cs="Arial" w:eastAsia="Arial" w:hAnsi="Arial"/>
          <w:sz w:val="18"/>
          <w:szCs w:val="18"/>
          <w:color w:val="auto"/>
        </w:rPr>
        <w:t>Upon completion of the spinoff, the committees of our board of directors are expected to consist of an Audit Committee, a Nominating and Corporate Governance Committee and a Compensation Committee. Each of these committees will be required to comply with the requirements of the SEC and the NYSE. Our board of directors will adopt a written charter for each of these committees, which will be posted to our website prior to the distribution date.</w:t>
      </w:r>
    </w:p>
    <w:p>
      <w:pPr>
        <w:spacing w:after="0" w:line="227"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Audit Committee</w:t>
      </w:r>
    </w:p>
    <w:p>
      <w:pPr>
        <w:spacing w:after="0" w:line="252" w:lineRule="exact"/>
        <w:rPr>
          <w:sz w:val="20"/>
          <w:szCs w:val="20"/>
          <w:color w:val="auto"/>
        </w:rPr>
      </w:pPr>
    </w:p>
    <w:p>
      <w:pPr>
        <w:ind w:right="140" w:firstLine="913"/>
        <w:spacing w:after="0" w:line="297" w:lineRule="auto"/>
        <w:rPr>
          <w:sz w:val="20"/>
          <w:szCs w:val="20"/>
          <w:color w:val="auto"/>
        </w:rPr>
      </w:pPr>
      <w:r>
        <w:rPr>
          <w:rFonts w:ascii="Arial" w:cs="Arial" w:eastAsia="Arial" w:hAnsi="Arial"/>
          <w:sz w:val="16"/>
          <w:szCs w:val="16"/>
          <w:color w:val="auto"/>
        </w:rPr>
        <w:t>Our Audit Committee will be responsible for, among other things, oversight of our independent auditors and the integrity of our financial statements. As of the distribution date, we expect that the Audit Committee will consist of Phillip R. Cox, Donald T. Misheff, John P. Reilly and Randall A. Wotring, with Donald T. Misheff serving as chair. We expect that, as of the distribution date, all the members of the Audit Committee will be independent under the rules of the NYSE and Rule 10A-3 under the Exchange Act. We also expect that, as of the distribution date, each committee member will be financially literate within the requirements of the NYSE and that Donald T. Misheff will qualify as an audit committee financial expert.</w:t>
      </w:r>
    </w:p>
    <w:p>
      <w:pPr>
        <w:spacing w:after="0" w:line="199"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Nominating and Corporate Governance Committee</w:t>
      </w:r>
    </w:p>
    <w:p>
      <w:pPr>
        <w:spacing w:after="0" w:line="293" w:lineRule="exact"/>
        <w:rPr>
          <w:sz w:val="20"/>
          <w:szCs w:val="20"/>
          <w:color w:val="auto"/>
        </w:rPr>
      </w:pPr>
    </w:p>
    <w:p>
      <w:pPr>
        <w:ind w:right="100" w:firstLine="913"/>
        <w:spacing w:after="0" w:line="257" w:lineRule="auto"/>
        <w:rPr>
          <w:sz w:val="20"/>
          <w:szCs w:val="20"/>
          <w:color w:val="auto"/>
        </w:rPr>
      </w:pPr>
      <w:r>
        <w:rPr>
          <w:rFonts w:ascii="Arial" w:cs="Arial" w:eastAsia="Arial" w:hAnsi="Arial"/>
          <w:sz w:val="18"/>
          <w:szCs w:val="18"/>
          <w:color w:val="auto"/>
        </w:rPr>
        <w:t>Our Nominating and Corporate Governance Committee will be responsible for, among other things, evaluating new director candidates and incumbent directors and recommending directors to serve as members of our board committees. As of the distribution date, we expect that the Nominating and Corporate Governance Committee will consist of Joseph A. Carrabba, Diane C. Creel, Donald T. Misheff and John P. Reilly, with John P. Reilly serving as chair. We expect that, as of the distribution date, all the members of the Nominating and Corporate Governance Committee will be independent under the rules of the NYSE.</w:t>
      </w:r>
    </w:p>
    <w:p>
      <w:pPr>
        <w:spacing w:after="0" w:line="229"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Compensation Committee</w:t>
      </w:r>
    </w:p>
    <w:p>
      <w:pPr>
        <w:spacing w:after="0" w:line="293" w:lineRule="exact"/>
        <w:rPr>
          <w:sz w:val="20"/>
          <w:szCs w:val="20"/>
          <w:color w:val="auto"/>
        </w:rPr>
      </w:pPr>
    </w:p>
    <w:p>
      <w:pPr>
        <w:jc w:val="both"/>
        <w:ind w:firstLine="913"/>
        <w:spacing w:after="0" w:line="279" w:lineRule="auto"/>
        <w:rPr>
          <w:sz w:val="20"/>
          <w:szCs w:val="20"/>
          <w:color w:val="auto"/>
        </w:rPr>
      </w:pPr>
      <w:r>
        <w:rPr>
          <w:rFonts w:ascii="Arial" w:cs="Arial" w:eastAsia="Arial" w:hAnsi="Arial"/>
          <w:sz w:val="17"/>
          <w:szCs w:val="17"/>
          <w:color w:val="auto"/>
        </w:rPr>
        <w:t>Our Compensation Committee will be responsible for, among other things, establishing and administering our policies, programs and procedures for compensating our senior management and our board of directors. As of the distribution date, we expect that the Compensation Committee will consist of Joseph A. Carrabba, Phillip R. Cox, Diane C. Creel and Randall A. Wotring, with Diane C. Creel serving as chair. We expect that, as of the distribution date, all the members of the Compensation Committee will be independent under the rules of the NYSE.</w:t>
      </w:r>
    </w:p>
    <w:p>
      <w:pPr>
        <w:sectPr>
          <w:pgSz w:w="11900" w:h="16838" w:orient="portrait"/>
          <w:cols w:equalWidth="0" w:num="1">
            <w:col w:w="11360"/>
          </w:cols>
          <w:pgMar w:left="240" w:top="459" w:right="299" w:bottom="1440" w:gutter="0" w:footer="0" w:header="0"/>
        </w:sectPr>
      </w:pPr>
    </w:p>
    <w:p>
      <w:pPr>
        <w:spacing w:after="0" w:line="104" w:lineRule="exact"/>
        <w:rPr>
          <w:sz w:val="20"/>
          <w:szCs w:val="20"/>
          <w:color w:val="auto"/>
        </w:rPr>
      </w:pPr>
    </w:p>
    <w:p>
      <w:pPr>
        <w:jc w:val="center"/>
        <w:ind w:right="-59"/>
        <w:spacing w:after="0"/>
        <w:rPr>
          <w:sz w:val="20"/>
          <w:szCs w:val="20"/>
          <w:color w:val="auto"/>
        </w:rPr>
      </w:pPr>
      <w:r>
        <w:rPr>
          <w:rFonts w:ascii="Arial" w:cs="Arial" w:eastAsia="Arial" w:hAnsi="Arial"/>
          <w:sz w:val="16"/>
          <w:szCs w:val="16"/>
          <w:color w:val="auto"/>
        </w:rPr>
        <w:t>60</w:t>
      </w:r>
    </w:p>
    <w:p>
      <w:pPr>
        <w:sectPr>
          <w:pgSz w:w="11900" w:h="16838" w:orient="portrait"/>
          <w:cols w:equalWidth="0" w:num="1">
            <w:col w:w="11360"/>
          </w:cols>
          <w:pgMar w:left="240" w:top="459" w:right="299" w:bottom="1440" w:gutter="0" w:footer="0" w:header="0"/>
          <w:type w:val="continuous"/>
        </w:sectPr>
      </w:pPr>
    </w:p>
    <w:bookmarkStart w:id="72" w:name="page73"/>
    <w:bookmarkEnd w:id="7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6">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Director Compensation</w:t>
      </w:r>
    </w:p>
    <w:p>
      <w:pPr>
        <w:spacing w:after="0" w:line="270" w:lineRule="exact"/>
        <w:rPr>
          <w:sz w:val="20"/>
          <w:szCs w:val="20"/>
          <w:color w:val="auto"/>
        </w:rPr>
      </w:pPr>
    </w:p>
    <w:p>
      <w:pPr>
        <w:ind w:left="920"/>
        <w:spacing w:after="0"/>
        <w:rPr>
          <w:sz w:val="20"/>
          <w:szCs w:val="20"/>
          <w:color w:val="auto"/>
        </w:rPr>
      </w:pPr>
      <w:r>
        <w:rPr>
          <w:rFonts w:ascii="Arial" w:cs="Arial" w:eastAsia="Arial" w:hAnsi="Arial"/>
          <w:sz w:val="18"/>
          <w:szCs w:val="18"/>
          <w:b w:val="1"/>
          <w:bCs w:val="1"/>
          <w:i w:val="1"/>
          <w:iCs w:val="1"/>
          <w:color w:val="auto"/>
        </w:rPr>
        <w:t>Cash Compensation</w:t>
      </w:r>
    </w:p>
    <w:p>
      <w:pPr>
        <w:spacing w:after="0" w:line="266" w:lineRule="exact"/>
        <w:rPr>
          <w:sz w:val="20"/>
          <w:szCs w:val="20"/>
          <w:color w:val="auto"/>
        </w:rPr>
      </w:pPr>
    </w:p>
    <w:p>
      <w:pPr>
        <w:ind w:right="20" w:firstLine="913"/>
        <w:spacing w:after="0" w:line="302" w:lineRule="auto"/>
        <w:rPr>
          <w:sz w:val="20"/>
          <w:szCs w:val="20"/>
          <w:color w:val="auto"/>
        </w:rPr>
      </w:pPr>
      <w:r>
        <w:rPr>
          <w:rFonts w:ascii="Arial" w:cs="Arial" w:eastAsia="Arial" w:hAnsi="Arial"/>
          <w:sz w:val="16"/>
          <w:szCs w:val="16"/>
          <w:color w:val="auto"/>
        </w:rPr>
        <w:t>Following the spinoff, director compensation will be determined from time to time by our board of directors with the assistance of our Compensation Committee. Initially, each of our nonemployee directors will be paid at an annual rate of $80,000 for services as a director. An additional annual fee of $20,000 will be paid to the Lead Director. In addition to base compensation, the following annual fees will be paid for service on a committee of our board of directors. We do not expect to provide directors who are also our employees any additional compensation for serving as directors.</w:t>
      </w:r>
    </w:p>
    <w:p>
      <w:pPr>
        <w:spacing w:after="0" w:line="177"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8160" w:type="dxa"/>
            <w:vAlign w:val="bottom"/>
            <w:gridSpan w:val="2"/>
          </w:tcPr>
          <w:p>
            <w:pPr>
              <w:spacing w:after="0"/>
              <w:rPr>
                <w:sz w:val="20"/>
                <w:szCs w:val="20"/>
                <w:color w:val="auto"/>
              </w:rPr>
            </w:pPr>
            <w:r>
              <w:rPr>
                <w:rFonts w:ascii="Arial" w:cs="Arial" w:eastAsia="Arial" w:hAnsi="Arial"/>
                <w:sz w:val="18"/>
                <w:szCs w:val="18"/>
                <w:b w:val="1"/>
                <w:bCs w:val="1"/>
                <w:color w:val="auto"/>
              </w:rPr>
              <w:t>Committee</w:t>
            </w:r>
          </w:p>
        </w:tc>
        <w:tc>
          <w:tcPr>
            <w:tcW w:w="1700" w:type="dxa"/>
            <w:vAlign w:val="bottom"/>
            <w:gridSpan w:val="2"/>
          </w:tcPr>
          <w:p>
            <w:pPr>
              <w:ind w:left="80"/>
              <w:spacing w:after="0"/>
              <w:rPr>
                <w:sz w:val="20"/>
                <w:szCs w:val="20"/>
                <w:color w:val="auto"/>
              </w:rPr>
            </w:pPr>
            <w:r>
              <w:rPr>
                <w:rFonts w:ascii="Arial" w:cs="Arial" w:eastAsia="Arial" w:hAnsi="Arial"/>
                <w:sz w:val="18"/>
                <w:szCs w:val="18"/>
                <w:b w:val="1"/>
                <w:bCs w:val="1"/>
                <w:color w:val="auto"/>
              </w:rPr>
              <w:t>Chairperson Fee</w:t>
            </w:r>
          </w:p>
        </w:tc>
        <w:tc>
          <w:tcPr>
            <w:tcW w:w="1560" w:type="dxa"/>
            <w:vAlign w:val="bottom"/>
          </w:tcPr>
          <w:p>
            <w:pPr>
              <w:jc w:val="right"/>
              <w:ind w:right="370"/>
              <w:spacing w:after="0"/>
              <w:rPr>
                <w:sz w:val="20"/>
                <w:szCs w:val="20"/>
                <w:color w:val="auto"/>
              </w:rPr>
            </w:pPr>
            <w:r>
              <w:rPr>
                <w:rFonts w:ascii="Arial" w:cs="Arial" w:eastAsia="Arial" w:hAnsi="Arial"/>
                <w:sz w:val="18"/>
                <w:szCs w:val="18"/>
                <w:b w:val="1"/>
                <w:bCs w:val="1"/>
                <w:color w:val="auto"/>
              </w:rPr>
              <w:t>Member Fee</w:t>
            </w:r>
          </w:p>
        </w:tc>
      </w:tr>
      <w:tr>
        <w:trPr>
          <w:trHeight w:val="210"/>
        </w:trPr>
        <w:tc>
          <w:tcPr>
            <w:tcW w:w="802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Audit</w:t>
            </w:r>
          </w:p>
        </w:tc>
        <w:tc>
          <w:tcPr>
            <w:tcW w:w="140" w:type="dxa"/>
            <w:vAlign w:val="bottom"/>
            <w:tcBorders>
              <w:top w:val="single" w:sz="8" w:color="CCEEFF"/>
            </w:tcBorders>
            <w:shd w:val="clear" w:color="auto" w:fill="CCEEFF"/>
          </w:tcPr>
          <w:p>
            <w:pPr>
              <w:spacing w:after="0"/>
              <w:rPr>
                <w:sz w:val="18"/>
                <w:szCs w:val="18"/>
                <w:color w:val="auto"/>
              </w:rPr>
            </w:pPr>
          </w:p>
        </w:tc>
        <w:tc>
          <w:tcPr>
            <w:tcW w:w="1560" w:type="dxa"/>
            <w:vAlign w:val="bottom"/>
            <w:tcBorders>
              <w:top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$30,000</w:t>
            </w:r>
          </w:p>
        </w:tc>
        <w:tc>
          <w:tcPr>
            <w:tcW w:w="140" w:type="dxa"/>
            <w:vAlign w:val="bottom"/>
            <w:tcBorders>
              <w:top w:val="single" w:sz="8" w:color="CCEEFF"/>
            </w:tcBorders>
            <w:shd w:val="clear" w:color="auto" w:fill="CCEEFF"/>
          </w:tcPr>
          <w:p>
            <w:pPr>
              <w:spacing w:after="0"/>
              <w:rPr>
                <w:sz w:val="18"/>
                <w:szCs w:val="18"/>
                <w:color w:val="auto"/>
              </w:rPr>
            </w:pPr>
          </w:p>
        </w:tc>
        <w:tc>
          <w:tcPr>
            <w:tcW w:w="1560" w:type="dxa"/>
            <w:vAlign w:val="bottom"/>
            <w:tcBorders>
              <w:top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$15,000</w:t>
            </w:r>
          </w:p>
        </w:tc>
      </w:tr>
      <w:tr>
        <w:trPr>
          <w:trHeight w:val="216"/>
        </w:trPr>
        <w:tc>
          <w:tcPr>
            <w:tcW w:w="8160" w:type="dxa"/>
            <w:vAlign w:val="bottom"/>
            <w:gridSpan w:val="2"/>
          </w:tcPr>
          <w:p>
            <w:pPr>
              <w:spacing w:after="0"/>
              <w:rPr>
                <w:sz w:val="20"/>
                <w:szCs w:val="20"/>
                <w:color w:val="auto"/>
              </w:rPr>
            </w:pPr>
            <w:r>
              <w:rPr>
                <w:rFonts w:ascii="Arial" w:cs="Arial" w:eastAsia="Arial" w:hAnsi="Arial"/>
                <w:sz w:val="18"/>
                <w:szCs w:val="18"/>
                <w:color w:val="auto"/>
              </w:rPr>
              <w:t>Compensation</w:t>
            </w:r>
          </w:p>
        </w:tc>
        <w:tc>
          <w:tcPr>
            <w:tcW w:w="1560" w:type="dxa"/>
            <w:vAlign w:val="bottom"/>
          </w:tcPr>
          <w:p>
            <w:pPr>
              <w:jc w:val="right"/>
              <w:ind w:right="10"/>
              <w:spacing w:after="0"/>
              <w:rPr>
                <w:sz w:val="20"/>
                <w:szCs w:val="20"/>
                <w:color w:val="auto"/>
              </w:rPr>
            </w:pPr>
            <w:r>
              <w:rPr>
                <w:rFonts w:ascii="Arial" w:cs="Arial" w:eastAsia="Arial" w:hAnsi="Arial"/>
                <w:sz w:val="18"/>
                <w:szCs w:val="18"/>
                <w:color w:val="auto"/>
              </w:rPr>
              <w:t>$17,500</w:t>
            </w:r>
          </w:p>
        </w:tc>
        <w:tc>
          <w:tcPr>
            <w:tcW w:w="140" w:type="dxa"/>
            <w:vAlign w:val="bottom"/>
          </w:tcPr>
          <w:p>
            <w:pPr>
              <w:spacing w:after="0"/>
              <w:rPr>
                <w:sz w:val="18"/>
                <w:szCs w:val="18"/>
                <w:color w:val="auto"/>
              </w:rPr>
            </w:pPr>
          </w:p>
        </w:tc>
        <w:tc>
          <w:tcPr>
            <w:tcW w:w="1560" w:type="dxa"/>
            <w:vAlign w:val="bottom"/>
          </w:tcPr>
          <w:p>
            <w:pPr>
              <w:jc w:val="right"/>
              <w:ind w:right="10"/>
              <w:spacing w:after="0"/>
              <w:rPr>
                <w:sz w:val="20"/>
                <w:szCs w:val="20"/>
                <w:color w:val="auto"/>
              </w:rPr>
            </w:pPr>
            <w:r>
              <w:rPr>
                <w:rFonts w:ascii="Arial" w:cs="Arial" w:eastAsia="Arial" w:hAnsi="Arial"/>
                <w:sz w:val="18"/>
                <w:szCs w:val="18"/>
                <w:color w:val="auto"/>
              </w:rPr>
              <w:t>$7,500</w:t>
            </w:r>
          </w:p>
        </w:tc>
      </w:tr>
      <w:tr>
        <w:trPr>
          <w:trHeight w:val="216"/>
        </w:trPr>
        <w:tc>
          <w:tcPr>
            <w:tcW w:w="81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Nominating and Corporate Governance</w:t>
            </w:r>
          </w:p>
        </w:tc>
        <w:tc>
          <w:tcPr>
            <w:tcW w:w="156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$17,500</w:t>
            </w:r>
          </w:p>
        </w:tc>
        <w:tc>
          <w:tcPr>
            <w:tcW w:w="140" w:type="dxa"/>
            <w:vAlign w:val="bottom"/>
            <w:shd w:val="clear" w:color="auto" w:fill="CCEEFF"/>
          </w:tcPr>
          <w:p>
            <w:pPr>
              <w:spacing w:after="0"/>
              <w:rPr>
                <w:sz w:val="18"/>
                <w:szCs w:val="18"/>
                <w:color w:val="auto"/>
              </w:rPr>
            </w:pPr>
          </w:p>
        </w:tc>
        <w:tc>
          <w:tcPr>
            <w:tcW w:w="156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$7,500</w:t>
            </w:r>
          </w:p>
        </w:tc>
      </w:tr>
    </w:tbl>
    <w:p>
      <w:pPr>
        <w:spacing w:after="0" w:line="269" w:lineRule="exact"/>
        <w:rPr>
          <w:sz w:val="20"/>
          <w:szCs w:val="20"/>
          <w:color w:val="auto"/>
        </w:rPr>
      </w:pPr>
    </w:p>
    <w:p>
      <w:pPr>
        <w:ind w:left="920"/>
        <w:spacing w:after="0"/>
        <w:rPr>
          <w:sz w:val="20"/>
          <w:szCs w:val="20"/>
          <w:color w:val="auto"/>
        </w:rPr>
      </w:pPr>
      <w:r>
        <w:rPr>
          <w:rFonts w:ascii="Arial" w:cs="Arial" w:eastAsia="Arial" w:hAnsi="Arial"/>
          <w:sz w:val="18"/>
          <w:szCs w:val="18"/>
          <w:b w:val="1"/>
          <w:bCs w:val="1"/>
          <w:i w:val="1"/>
          <w:iCs w:val="1"/>
          <w:color w:val="auto"/>
        </w:rPr>
        <w:t>Stock Compensation</w:t>
      </w:r>
    </w:p>
    <w:p>
      <w:pPr>
        <w:spacing w:after="0" w:line="293" w:lineRule="exact"/>
        <w:rPr>
          <w:sz w:val="20"/>
          <w:szCs w:val="20"/>
          <w:color w:val="auto"/>
        </w:rPr>
      </w:pPr>
    </w:p>
    <w:p>
      <w:pPr>
        <w:ind w:right="80" w:firstLine="913"/>
        <w:spacing w:after="0" w:line="255" w:lineRule="auto"/>
        <w:rPr>
          <w:sz w:val="20"/>
          <w:szCs w:val="20"/>
          <w:color w:val="auto"/>
        </w:rPr>
      </w:pPr>
      <w:r>
        <w:rPr>
          <w:rFonts w:ascii="Arial" w:cs="Arial" w:eastAsia="Arial" w:hAnsi="Arial"/>
          <w:sz w:val="18"/>
          <w:szCs w:val="18"/>
          <w:color w:val="auto"/>
        </w:rPr>
        <w:t>It is anticipated that each nonemployee director serving at the time of our annual meeting of shareholders will receive a grant of our common shares equal to an approximate target value of $120,000 following the meeting. The shares expected to be received will be required to be held by each nonemployee director until his or her departure from TimkenSteel’s board of directors. Upon a director’s initial election to the board of directors, each new nonemployee director is expected to receive a grant of restricted shares of our common stock similar to Timken’s historical practice, which will vest one-fifth annually over a five-year period. The Compensation Committee of our board of directors is expected to adopt share ownership guidelines that require nonemployee directors to own a specified number of our common shares.</w:t>
      </w:r>
    </w:p>
    <w:p>
      <w:pPr>
        <w:spacing w:after="0" w:line="27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Executive Compensation</w:t>
      </w:r>
    </w:p>
    <w:p>
      <w:pPr>
        <w:spacing w:after="0" w:line="256" w:lineRule="exact"/>
        <w:rPr>
          <w:sz w:val="20"/>
          <w:szCs w:val="20"/>
          <w:color w:val="auto"/>
        </w:rPr>
      </w:pPr>
    </w:p>
    <w:p>
      <w:pPr>
        <w:ind w:left="920"/>
        <w:spacing w:after="0"/>
        <w:rPr>
          <w:sz w:val="20"/>
          <w:szCs w:val="20"/>
          <w:color w:val="auto"/>
        </w:rPr>
      </w:pPr>
      <w:r>
        <w:rPr>
          <w:rFonts w:ascii="Arial" w:cs="Arial" w:eastAsia="Arial" w:hAnsi="Arial"/>
          <w:sz w:val="16"/>
          <w:szCs w:val="16"/>
          <w:color w:val="auto"/>
        </w:rPr>
        <w:t>Our executive compensation program is described under the headings “Compensation Discussion and Analysis” and “Executive Compensation.”</w:t>
      </w:r>
    </w:p>
    <w:p>
      <w:pPr>
        <w:spacing w:after="0" w:line="28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Code of Business Conduct and Ethics</w:t>
      </w:r>
    </w:p>
    <w:p>
      <w:pPr>
        <w:spacing w:after="0" w:line="270" w:lineRule="exact"/>
        <w:rPr>
          <w:sz w:val="20"/>
          <w:szCs w:val="20"/>
          <w:color w:val="auto"/>
        </w:rPr>
      </w:pPr>
    </w:p>
    <w:p>
      <w:pPr>
        <w:ind w:right="560" w:firstLine="913"/>
        <w:spacing w:after="0" w:line="277" w:lineRule="auto"/>
        <w:rPr>
          <w:sz w:val="20"/>
          <w:szCs w:val="20"/>
          <w:color w:val="auto"/>
        </w:rPr>
      </w:pPr>
      <w:r>
        <w:rPr>
          <w:rFonts w:ascii="Arial" w:cs="Arial" w:eastAsia="Arial" w:hAnsi="Arial"/>
          <w:sz w:val="18"/>
          <w:szCs w:val="18"/>
          <w:color w:val="auto"/>
        </w:rPr>
        <w:t>Prior to the distribution date, we will adopt written Standards of Business Ethics and a written Policy Against Conflicts of Interest that are designed to reinforce our commitment to high ethical standards and to promote:</w:t>
      </w:r>
    </w:p>
    <w:p>
      <w:pPr>
        <w:spacing w:after="0" w:line="251" w:lineRule="exact"/>
        <w:rPr>
          <w:sz w:val="20"/>
          <w:szCs w:val="20"/>
          <w:color w:val="auto"/>
        </w:rPr>
      </w:pPr>
    </w:p>
    <w:p>
      <w:pPr>
        <w:ind w:left="1240" w:hanging="327"/>
        <w:spacing w:after="0"/>
        <w:tabs>
          <w:tab w:leader="none" w:pos="1240" w:val="left"/>
        </w:tabs>
        <w:numPr>
          <w:ilvl w:val="0"/>
          <w:numId w:val="19"/>
        </w:numPr>
        <w:rPr>
          <w:rFonts w:ascii="Arial" w:cs="Arial" w:eastAsia="Arial" w:hAnsi="Arial"/>
          <w:sz w:val="18"/>
          <w:szCs w:val="18"/>
          <w:color w:val="auto"/>
        </w:rPr>
      </w:pPr>
      <w:r>
        <w:rPr>
          <w:rFonts w:ascii="Arial" w:cs="Arial" w:eastAsia="Arial" w:hAnsi="Arial"/>
          <w:sz w:val="18"/>
          <w:szCs w:val="18"/>
          <w:color w:val="auto"/>
        </w:rPr>
        <w:t>accountability and responsibility for making good decisions and for the outcomes of those decisions;</w:t>
      </w:r>
    </w:p>
    <w:p>
      <w:pPr>
        <w:spacing w:after="0" w:line="23" w:lineRule="exact"/>
        <w:rPr>
          <w:rFonts w:ascii="Arial" w:cs="Arial" w:eastAsia="Arial" w:hAnsi="Arial"/>
          <w:sz w:val="18"/>
          <w:szCs w:val="18"/>
          <w:color w:val="auto"/>
        </w:rPr>
      </w:pPr>
    </w:p>
    <w:p>
      <w:pPr>
        <w:ind w:left="1240" w:hanging="327"/>
        <w:spacing w:after="0"/>
        <w:tabs>
          <w:tab w:leader="none" w:pos="1240" w:val="left"/>
        </w:tabs>
        <w:numPr>
          <w:ilvl w:val="0"/>
          <w:numId w:val="19"/>
        </w:numPr>
        <w:rPr>
          <w:rFonts w:ascii="Arial" w:cs="Arial" w:eastAsia="Arial" w:hAnsi="Arial"/>
          <w:sz w:val="18"/>
          <w:szCs w:val="18"/>
          <w:color w:val="auto"/>
        </w:rPr>
      </w:pPr>
      <w:r>
        <w:rPr>
          <w:rFonts w:ascii="Arial" w:cs="Arial" w:eastAsia="Arial" w:hAnsi="Arial"/>
          <w:sz w:val="18"/>
          <w:szCs w:val="18"/>
          <w:color w:val="auto"/>
        </w:rPr>
        <w:t>responsibility to one another by treating all with dignity and respect;</w:t>
      </w:r>
    </w:p>
    <w:p>
      <w:pPr>
        <w:spacing w:after="0" w:line="9" w:lineRule="exact"/>
        <w:rPr>
          <w:rFonts w:ascii="Arial" w:cs="Arial" w:eastAsia="Arial" w:hAnsi="Arial"/>
          <w:sz w:val="18"/>
          <w:szCs w:val="18"/>
          <w:color w:val="auto"/>
        </w:rPr>
      </w:pPr>
    </w:p>
    <w:p>
      <w:pPr>
        <w:ind w:left="1240" w:hanging="327"/>
        <w:spacing w:after="0"/>
        <w:tabs>
          <w:tab w:leader="none" w:pos="1240" w:val="left"/>
        </w:tabs>
        <w:numPr>
          <w:ilvl w:val="0"/>
          <w:numId w:val="19"/>
        </w:numPr>
        <w:rPr>
          <w:rFonts w:ascii="Arial" w:cs="Arial" w:eastAsia="Arial" w:hAnsi="Arial"/>
          <w:sz w:val="18"/>
          <w:szCs w:val="18"/>
          <w:color w:val="auto"/>
        </w:rPr>
      </w:pPr>
      <w:r>
        <w:rPr>
          <w:rFonts w:ascii="Arial" w:cs="Arial" w:eastAsia="Arial" w:hAnsi="Arial"/>
          <w:sz w:val="18"/>
          <w:szCs w:val="18"/>
          <w:color w:val="auto"/>
        </w:rPr>
        <w:t>responsibility to the public and our shareholders by taking responsibility for our actions;</w:t>
      </w:r>
    </w:p>
    <w:p>
      <w:pPr>
        <w:spacing w:after="0" w:line="9" w:lineRule="exact"/>
        <w:rPr>
          <w:rFonts w:ascii="Arial" w:cs="Arial" w:eastAsia="Arial" w:hAnsi="Arial"/>
          <w:sz w:val="18"/>
          <w:szCs w:val="18"/>
          <w:color w:val="auto"/>
        </w:rPr>
      </w:pPr>
    </w:p>
    <w:p>
      <w:pPr>
        <w:ind w:left="1240" w:hanging="327"/>
        <w:spacing w:after="0"/>
        <w:tabs>
          <w:tab w:leader="none" w:pos="1240" w:val="left"/>
        </w:tabs>
        <w:numPr>
          <w:ilvl w:val="0"/>
          <w:numId w:val="19"/>
        </w:numPr>
        <w:rPr>
          <w:rFonts w:ascii="Arial" w:cs="Arial" w:eastAsia="Arial" w:hAnsi="Arial"/>
          <w:sz w:val="16"/>
          <w:szCs w:val="16"/>
          <w:color w:val="auto"/>
        </w:rPr>
      </w:pPr>
      <w:r>
        <w:rPr>
          <w:rFonts w:ascii="Arial" w:cs="Arial" w:eastAsia="Arial" w:hAnsi="Arial"/>
          <w:sz w:val="16"/>
          <w:szCs w:val="16"/>
          <w:color w:val="auto"/>
        </w:rPr>
        <w:t>responsibility to our business partners by treating our business partners as equals in the quest for high business conduct standards; and</w:t>
      </w:r>
    </w:p>
    <w:p>
      <w:pPr>
        <w:spacing w:after="0" w:line="32" w:lineRule="exact"/>
        <w:rPr>
          <w:rFonts w:ascii="Arial" w:cs="Arial" w:eastAsia="Arial" w:hAnsi="Arial"/>
          <w:sz w:val="16"/>
          <w:szCs w:val="16"/>
          <w:color w:val="auto"/>
        </w:rPr>
      </w:pPr>
    </w:p>
    <w:p>
      <w:pPr>
        <w:ind w:left="1240" w:hanging="327"/>
        <w:spacing w:after="0"/>
        <w:tabs>
          <w:tab w:leader="none" w:pos="1240" w:val="left"/>
        </w:tabs>
        <w:numPr>
          <w:ilvl w:val="0"/>
          <w:numId w:val="19"/>
        </w:numPr>
        <w:rPr>
          <w:rFonts w:ascii="Arial" w:cs="Arial" w:eastAsia="Arial" w:hAnsi="Arial"/>
          <w:sz w:val="18"/>
          <w:szCs w:val="18"/>
          <w:color w:val="auto"/>
        </w:rPr>
      </w:pPr>
      <w:r>
        <w:rPr>
          <w:rFonts w:ascii="Arial" w:cs="Arial" w:eastAsia="Arial" w:hAnsi="Arial"/>
          <w:sz w:val="18"/>
          <w:szCs w:val="18"/>
          <w:color w:val="auto"/>
        </w:rPr>
        <w:t>responsibility to governments and the law by complying with applicable legal and regulatory standards.</w:t>
      </w:r>
    </w:p>
    <w:p>
      <w:pPr>
        <w:spacing w:after="0" w:line="14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61</w:t>
      </w:r>
    </w:p>
    <w:p>
      <w:pPr>
        <w:sectPr>
          <w:pgSz w:w="11900" w:h="16838" w:orient="portrait"/>
          <w:cols w:equalWidth="0" w:num="1">
            <w:col w:w="11420"/>
          </w:cols>
          <w:pgMar w:left="240" w:top="459" w:right="239" w:bottom="1440" w:gutter="0" w:footer="0" w:header="0"/>
        </w:sectPr>
      </w:pPr>
    </w:p>
    <w:bookmarkStart w:id="73" w:name="page74"/>
    <w:bookmarkEnd w:id="7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7">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COMPENSATION DISCUSSION AND ANALYSIS</w:t>
      </w:r>
    </w:p>
    <w:p>
      <w:pPr>
        <w:spacing w:after="0" w:line="33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Executive Summary</w:t>
      </w:r>
    </w:p>
    <w:p>
      <w:pPr>
        <w:spacing w:after="0" w:line="310" w:lineRule="exact"/>
        <w:rPr>
          <w:sz w:val="20"/>
          <w:szCs w:val="20"/>
          <w:color w:val="auto"/>
        </w:rPr>
      </w:pPr>
    </w:p>
    <w:p>
      <w:pPr>
        <w:ind w:right="140" w:firstLine="913"/>
        <w:spacing w:after="0" w:line="272" w:lineRule="auto"/>
        <w:rPr>
          <w:sz w:val="20"/>
          <w:szCs w:val="20"/>
          <w:color w:val="auto"/>
        </w:rPr>
      </w:pPr>
      <w:r>
        <w:rPr>
          <w:rFonts w:ascii="Arial" w:cs="Arial" w:eastAsia="Arial" w:hAnsi="Arial"/>
          <w:sz w:val="17"/>
          <w:szCs w:val="17"/>
          <w:color w:val="auto"/>
        </w:rPr>
        <w:t>For purposes of this Compensation Discussion and Analysis, the four persons identified in the 2013 Summary Compensation Table below are referred to collectively as our named executive officers, or NEOs. The information provided for 2013 and any prior periods reflects compensation earned at Timken for each of NEOs based on their respective roles with Timken during 2013, and the design and objectives of its executive compensation programs in place prior to the spinoff. Mr. DiPiero is identified as an NEO because he is expected to serve as our Executive Vice President, General Counsel and Secretary. Mr. DiPiero was not a Timken employee during 2013 so the following discussion of Timken’s 2013 executive compensation program does not apply to him. The discussion of future executive compensation programs, philosophy and principles for NEO compensation does, however, apply to the compensation Mr. DiPiero is expected to receive from us following the spinoff.</w:t>
      </w:r>
    </w:p>
    <w:p>
      <w:pPr>
        <w:spacing w:after="0" w:line="205" w:lineRule="exact"/>
        <w:rPr>
          <w:sz w:val="20"/>
          <w:szCs w:val="20"/>
          <w:color w:val="auto"/>
        </w:rPr>
      </w:pPr>
    </w:p>
    <w:p>
      <w:pPr>
        <w:ind w:firstLine="913"/>
        <w:spacing w:after="0" w:line="259" w:lineRule="auto"/>
        <w:rPr>
          <w:sz w:val="20"/>
          <w:szCs w:val="20"/>
          <w:color w:val="auto"/>
        </w:rPr>
      </w:pPr>
      <w:r>
        <w:rPr>
          <w:rFonts w:ascii="Arial" w:cs="Arial" w:eastAsia="Arial" w:hAnsi="Arial"/>
          <w:sz w:val="18"/>
          <w:szCs w:val="18"/>
          <w:color w:val="auto"/>
        </w:rPr>
        <w:t>All 2013 executive compensation decisions for our NEOs prior to the spinoff were or will be made or overseen by the Timken Compensation Committee. Executive compensation decisions following the spinoff will be made by the TimkenSteel Compensation Committee. We currently anticipate that, except as otherwise described in this Compensation Discussion and Analysis, compensation programs for our NEOs immediately following the distribution date will be similar to the programs currently utilized by Timken for its executive officers.</w:t>
      </w:r>
    </w:p>
    <w:p>
      <w:pPr>
        <w:spacing w:after="0" w:line="227" w:lineRule="exact"/>
        <w:rPr>
          <w:sz w:val="20"/>
          <w:szCs w:val="20"/>
          <w:color w:val="auto"/>
        </w:rPr>
      </w:pPr>
    </w:p>
    <w:p>
      <w:pPr>
        <w:jc w:val="both"/>
        <w:ind w:right="140" w:firstLine="913"/>
        <w:spacing w:after="0" w:line="259" w:lineRule="auto"/>
        <w:rPr>
          <w:sz w:val="20"/>
          <w:szCs w:val="20"/>
          <w:color w:val="auto"/>
        </w:rPr>
      </w:pPr>
      <w:r>
        <w:rPr>
          <w:rFonts w:ascii="Arial" w:cs="Arial" w:eastAsia="Arial" w:hAnsi="Arial"/>
          <w:sz w:val="18"/>
          <w:szCs w:val="18"/>
          <w:color w:val="auto"/>
        </w:rPr>
        <w:t>Timken’s executive compensation programs are designed to reward executives for delivering exceptional performance and building shareholder value. The structure of Timken’s programs enables Timken to provide a competitive total rewards package while aligning senior executive interests to those of shareholders. The following chart highlights the key considerations behind the development, review and approval by Timken of our NEOs’ compensation for 2013:</w:t>
      </w:r>
    </w:p>
    <w:p>
      <w:pPr>
        <w:spacing w:after="0" w:line="345" w:lineRule="exact"/>
        <w:rPr>
          <w:sz w:val="20"/>
          <w:szCs w:val="20"/>
          <w:color w:val="auto"/>
        </w:rPr>
      </w:pPr>
    </w:p>
    <w:tbl>
      <w:tblPr>
        <w:tblLayout w:type="fixed"/>
        <w:tblInd w:w="160" w:type="dxa"/>
        <w:tblCellMar>
          <w:top w:w="0" w:type="dxa"/>
          <w:left w:w="0" w:type="dxa"/>
          <w:bottom w:w="0" w:type="dxa"/>
          <w:right w:w="0" w:type="dxa"/>
        </w:tblCellMar>
      </w:tblPr>
      <w:tr>
        <w:trPr>
          <w:trHeight w:val="220"/>
        </w:trPr>
        <w:tc>
          <w:tcPr>
            <w:tcW w:w="1620" w:type="dxa"/>
            <w:vAlign w:val="bottom"/>
          </w:tcPr>
          <w:p>
            <w:pPr>
              <w:spacing w:after="0"/>
              <w:rPr>
                <w:sz w:val="20"/>
                <w:szCs w:val="20"/>
                <w:color w:val="auto"/>
              </w:rPr>
            </w:pPr>
            <w:r>
              <w:rPr>
                <w:rFonts w:ascii="Arial" w:cs="Arial" w:eastAsia="Arial" w:hAnsi="Arial"/>
                <w:sz w:val="18"/>
                <w:szCs w:val="18"/>
                <w:color w:val="auto"/>
              </w:rPr>
              <w:t>Objectives</w:t>
            </w:r>
          </w:p>
        </w:tc>
        <w:tc>
          <w:tcPr>
            <w:tcW w:w="5300" w:type="dxa"/>
            <w:vAlign w:val="bottom"/>
          </w:tcPr>
          <w:p>
            <w:pPr>
              <w:ind w:left="860"/>
              <w:spacing w:after="0"/>
              <w:rPr>
                <w:sz w:val="20"/>
                <w:szCs w:val="20"/>
                <w:color w:val="auto"/>
              </w:rPr>
            </w:pPr>
            <w:r>
              <w:rPr>
                <w:rFonts w:ascii="Arial" w:cs="Arial" w:eastAsia="Arial" w:hAnsi="Arial"/>
                <w:sz w:val="18"/>
                <w:szCs w:val="18"/>
                <w:b w:val="1"/>
                <w:bCs w:val="1"/>
                <w:color w:val="auto"/>
                <w:w w:val="88"/>
              </w:rPr>
              <w:t>Timken’s executive compensation program is designed to:</w:t>
            </w:r>
          </w:p>
        </w:tc>
      </w:tr>
      <w:tr>
        <w:trPr>
          <w:trHeight w:val="216"/>
        </w:trPr>
        <w:tc>
          <w:tcPr>
            <w:tcW w:w="1620" w:type="dxa"/>
            <w:vAlign w:val="bottom"/>
          </w:tcPr>
          <w:p>
            <w:pPr>
              <w:spacing w:after="0"/>
              <w:rPr>
                <w:sz w:val="18"/>
                <w:szCs w:val="18"/>
                <w:color w:val="auto"/>
              </w:rPr>
            </w:pPr>
          </w:p>
        </w:tc>
        <w:tc>
          <w:tcPr>
            <w:tcW w:w="5300" w:type="dxa"/>
            <w:vAlign w:val="bottom"/>
          </w:tcPr>
          <w:p>
            <w:pPr>
              <w:ind w:left="860"/>
              <w:spacing w:after="0"/>
              <w:rPr>
                <w:sz w:val="20"/>
                <w:szCs w:val="20"/>
                <w:color w:val="auto"/>
              </w:rPr>
            </w:pPr>
            <w:r>
              <w:rPr>
                <w:rFonts w:ascii="Arial" w:cs="Arial" w:eastAsia="Arial" w:hAnsi="Arial"/>
                <w:sz w:val="18"/>
                <w:szCs w:val="18"/>
                <w:color w:val="auto"/>
              </w:rPr>
              <w:t>• Align the interests of executives and shareholders</w:t>
            </w:r>
          </w:p>
        </w:tc>
      </w:tr>
      <w:tr>
        <w:trPr>
          <w:trHeight w:val="216"/>
        </w:trPr>
        <w:tc>
          <w:tcPr>
            <w:tcW w:w="1620" w:type="dxa"/>
            <w:vAlign w:val="bottom"/>
          </w:tcPr>
          <w:p>
            <w:pPr>
              <w:spacing w:after="0"/>
              <w:rPr>
                <w:sz w:val="18"/>
                <w:szCs w:val="18"/>
                <w:color w:val="auto"/>
              </w:rPr>
            </w:pPr>
          </w:p>
        </w:tc>
        <w:tc>
          <w:tcPr>
            <w:tcW w:w="5300" w:type="dxa"/>
            <w:vAlign w:val="bottom"/>
          </w:tcPr>
          <w:p>
            <w:pPr>
              <w:ind w:left="860"/>
              <w:spacing w:after="0"/>
              <w:rPr>
                <w:sz w:val="20"/>
                <w:szCs w:val="20"/>
                <w:color w:val="auto"/>
              </w:rPr>
            </w:pPr>
            <w:r>
              <w:rPr>
                <w:rFonts w:ascii="Arial" w:cs="Arial" w:eastAsia="Arial" w:hAnsi="Arial"/>
                <w:sz w:val="18"/>
                <w:szCs w:val="18"/>
                <w:color w:val="auto"/>
                <w:w w:val="91"/>
              </w:rPr>
              <w:t>• Reward for sustained, strong business and financial results</w:t>
            </w:r>
          </w:p>
        </w:tc>
      </w:tr>
      <w:tr>
        <w:trPr>
          <w:trHeight w:val="230"/>
        </w:trPr>
        <w:tc>
          <w:tcPr>
            <w:tcW w:w="1620" w:type="dxa"/>
            <w:vAlign w:val="bottom"/>
          </w:tcPr>
          <w:p>
            <w:pPr>
              <w:spacing w:after="0"/>
              <w:rPr>
                <w:sz w:val="20"/>
                <w:szCs w:val="20"/>
                <w:color w:val="auto"/>
              </w:rPr>
            </w:pPr>
          </w:p>
        </w:tc>
        <w:tc>
          <w:tcPr>
            <w:tcW w:w="5300" w:type="dxa"/>
            <w:vAlign w:val="bottom"/>
          </w:tcPr>
          <w:p>
            <w:pPr>
              <w:ind w:left="860"/>
              <w:spacing w:after="0"/>
              <w:rPr>
                <w:sz w:val="20"/>
                <w:szCs w:val="20"/>
                <w:color w:val="auto"/>
              </w:rPr>
            </w:pPr>
            <w:r>
              <w:rPr>
                <w:rFonts w:ascii="Arial" w:cs="Arial" w:eastAsia="Arial" w:hAnsi="Arial"/>
                <w:sz w:val="18"/>
                <w:szCs w:val="18"/>
                <w:color w:val="auto"/>
              </w:rPr>
              <w:t>• Attract, retain and motivate the best talent</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-556895</wp:posOffset>
            </wp:positionV>
            <wp:extent cx="7254875" cy="114046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8">
                      <a:extLst>
                        <a:ext uri="{28A0092B-C50C-407E-A947-70E740481C1C}"/>
                      </a:extLst>
                    </a:blip>
                    <a:srcRect/>
                    <a:stretch>
                      <a:fillRect/>
                    </a:stretch>
                  </pic:blipFill>
                  <pic:spPr bwMode="auto">
                    <a:xfrm>
                      <a:off x="0" y="0"/>
                      <a:ext cx="7254875" cy="1140460"/>
                    </a:xfrm>
                    <a:prstGeom prst="rect">
                      <a:avLst/>
                    </a:prstGeom>
                    <a:noFill/>
                  </pic:spPr>
                </pic:pic>
              </a:graphicData>
            </a:graphic>
          </wp:anchor>
        </w:drawing>
      </w:r>
    </w:p>
    <w:tbl>
      <w:tblPr>
        <w:tblLayout w:type="fixed"/>
        <w:tblInd w:w="160" w:type="dxa"/>
        <w:tblCellMar>
          <w:top w:w="0" w:type="dxa"/>
          <w:left w:w="0" w:type="dxa"/>
          <w:bottom w:w="0" w:type="dxa"/>
          <w:right w:w="0" w:type="dxa"/>
        </w:tblCellMar>
      </w:tblPr>
      <w:tr>
        <w:trPr>
          <w:trHeight w:val="220"/>
        </w:trPr>
        <w:tc>
          <w:tcPr>
            <w:tcW w:w="1640" w:type="dxa"/>
            <w:vAlign w:val="bottom"/>
          </w:tcPr>
          <w:p>
            <w:pPr>
              <w:spacing w:after="0"/>
              <w:rPr>
                <w:sz w:val="20"/>
                <w:szCs w:val="20"/>
                <w:color w:val="auto"/>
              </w:rPr>
            </w:pPr>
            <w:r>
              <w:rPr>
                <w:rFonts w:ascii="Arial" w:cs="Arial" w:eastAsia="Arial" w:hAnsi="Arial"/>
                <w:sz w:val="18"/>
                <w:szCs w:val="18"/>
                <w:color w:val="auto"/>
              </w:rPr>
              <w:t>Philosophy</w:t>
            </w:r>
          </w:p>
        </w:tc>
        <w:tc>
          <w:tcPr>
            <w:tcW w:w="7460" w:type="dxa"/>
            <w:vAlign w:val="bottom"/>
          </w:tcPr>
          <w:p>
            <w:pPr>
              <w:ind w:left="840"/>
              <w:spacing w:after="0"/>
              <w:rPr>
                <w:sz w:val="20"/>
                <w:szCs w:val="20"/>
                <w:color w:val="auto"/>
              </w:rPr>
            </w:pPr>
            <w:r>
              <w:rPr>
                <w:rFonts w:ascii="Arial" w:cs="Arial" w:eastAsia="Arial" w:hAnsi="Arial"/>
                <w:sz w:val="18"/>
                <w:szCs w:val="18"/>
                <w:b w:val="1"/>
                <w:bCs w:val="1"/>
                <w:color w:val="auto"/>
                <w:w w:val="94"/>
              </w:rPr>
              <w:t>Timken’s executive compensation philosophy is built on the following principles:</w:t>
            </w:r>
          </w:p>
        </w:tc>
      </w:tr>
      <w:tr>
        <w:trPr>
          <w:trHeight w:val="216"/>
        </w:trPr>
        <w:tc>
          <w:tcPr>
            <w:tcW w:w="1640" w:type="dxa"/>
            <w:vAlign w:val="bottom"/>
          </w:tcPr>
          <w:p>
            <w:pPr>
              <w:spacing w:after="0"/>
              <w:rPr>
                <w:sz w:val="18"/>
                <w:szCs w:val="18"/>
                <w:color w:val="auto"/>
              </w:rPr>
            </w:pPr>
          </w:p>
        </w:tc>
        <w:tc>
          <w:tcPr>
            <w:tcW w:w="7460" w:type="dxa"/>
            <w:vAlign w:val="bottom"/>
          </w:tcPr>
          <w:p>
            <w:pPr>
              <w:ind w:left="840"/>
              <w:spacing w:after="0"/>
              <w:rPr>
                <w:sz w:val="20"/>
                <w:szCs w:val="20"/>
                <w:color w:val="auto"/>
              </w:rPr>
            </w:pPr>
            <w:r>
              <w:rPr>
                <w:rFonts w:ascii="Arial" w:cs="Arial" w:eastAsia="Arial" w:hAnsi="Arial"/>
                <w:sz w:val="18"/>
                <w:szCs w:val="18"/>
                <w:color w:val="auto"/>
              </w:rPr>
              <w:t>• Recognize that people are its strongest asset</w:t>
            </w:r>
          </w:p>
        </w:tc>
      </w:tr>
      <w:tr>
        <w:trPr>
          <w:trHeight w:val="216"/>
        </w:trPr>
        <w:tc>
          <w:tcPr>
            <w:tcW w:w="1640" w:type="dxa"/>
            <w:vAlign w:val="bottom"/>
          </w:tcPr>
          <w:p>
            <w:pPr>
              <w:spacing w:after="0"/>
              <w:rPr>
                <w:sz w:val="18"/>
                <w:szCs w:val="18"/>
                <w:color w:val="auto"/>
              </w:rPr>
            </w:pPr>
          </w:p>
        </w:tc>
        <w:tc>
          <w:tcPr>
            <w:tcW w:w="7460" w:type="dxa"/>
            <w:vAlign w:val="bottom"/>
          </w:tcPr>
          <w:p>
            <w:pPr>
              <w:ind w:left="840"/>
              <w:spacing w:after="0"/>
              <w:rPr>
                <w:sz w:val="20"/>
                <w:szCs w:val="20"/>
                <w:color w:val="auto"/>
              </w:rPr>
            </w:pPr>
            <w:r>
              <w:rPr>
                <w:rFonts w:ascii="Arial" w:cs="Arial" w:eastAsia="Arial" w:hAnsi="Arial"/>
                <w:sz w:val="18"/>
                <w:szCs w:val="18"/>
                <w:color w:val="auto"/>
                <w:w w:val="91"/>
              </w:rPr>
              <w:t>• Reward results linked to short, medium and long-term performance (pay-for-performance)</w:t>
            </w:r>
          </w:p>
        </w:tc>
      </w:tr>
      <w:tr>
        <w:trPr>
          <w:trHeight w:val="230"/>
        </w:trPr>
        <w:tc>
          <w:tcPr>
            <w:tcW w:w="1640" w:type="dxa"/>
            <w:vAlign w:val="bottom"/>
          </w:tcPr>
          <w:p>
            <w:pPr>
              <w:spacing w:after="0"/>
              <w:rPr>
                <w:sz w:val="20"/>
                <w:szCs w:val="20"/>
                <w:color w:val="auto"/>
              </w:rPr>
            </w:pPr>
          </w:p>
        </w:tc>
        <w:tc>
          <w:tcPr>
            <w:tcW w:w="7460" w:type="dxa"/>
            <w:vAlign w:val="bottom"/>
          </w:tcPr>
          <w:p>
            <w:pPr>
              <w:ind w:left="840"/>
              <w:spacing w:after="0"/>
              <w:rPr>
                <w:sz w:val="20"/>
                <w:szCs w:val="20"/>
                <w:color w:val="auto"/>
              </w:rPr>
            </w:pPr>
            <w:r>
              <w:rPr>
                <w:rFonts w:ascii="Arial" w:cs="Arial" w:eastAsia="Arial" w:hAnsi="Arial"/>
                <w:sz w:val="18"/>
                <w:szCs w:val="18"/>
                <w:color w:val="auto"/>
              </w:rPr>
              <w:t>• Position pay affordably and competitively in the marketplace</w:t>
            </w:r>
          </w:p>
        </w:tc>
      </w:tr>
    </w:tbl>
    <w:p>
      <w:pPr>
        <w:spacing w:after="0" w:line="292" w:lineRule="exact"/>
        <w:rPr>
          <w:sz w:val="20"/>
          <w:szCs w:val="20"/>
          <w:color w:val="auto"/>
        </w:rPr>
      </w:pPr>
    </w:p>
    <w:p>
      <w:pPr>
        <w:ind w:left="240"/>
        <w:spacing w:after="0"/>
        <w:rPr>
          <w:sz w:val="20"/>
          <w:szCs w:val="20"/>
          <w:color w:val="auto"/>
        </w:rPr>
      </w:pPr>
      <w:r>
        <w:rPr>
          <w:rFonts w:ascii="Arial" w:cs="Arial" w:eastAsia="Arial" w:hAnsi="Arial"/>
          <w:sz w:val="18"/>
          <w:szCs w:val="18"/>
          <w:b w:val="1"/>
          <w:bCs w:val="1"/>
          <w:color w:val="auto"/>
        </w:rPr>
        <w:t>2013 Business Performance</w:t>
      </w:r>
    </w:p>
    <w:p>
      <w:pPr>
        <w:spacing w:after="0" w:line="202" w:lineRule="exact"/>
        <w:rPr>
          <w:sz w:val="20"/>
          <w:szCs w:val="20"/>
          <w:color w:val="auto"/>
        </w:rPr>
      </w:pPr>
    </w:p>
    <w:p>
      <w:pPr>
        <w:jc w:val="both"/>
        <w:ind w:right="60" w:firstLine="913"/>
        <w:spacing w:after="0" w:line="312" w:lineRule="auto"/>
        <w:rPr>
          <w:sz w:val="20"/>
          <w:szCs w:val="20"/>
          <w:color w:val="auto"/>
        </w:rPr>
      </w:pPr>
      <w:r>
        <w:rPr>
          <w:rFonts w:ascii="Arial" w:cs="Arial" w:eastAsia="Arial" w:hAnsi="Arial"/>
          <w:sz w:val="16"/>
          <w:szCs w:val="16"/>
          <w:color w:val="auto"/>
        </w:rPr>
        <w:t>In 2013, challenging conditions in many of the markets served by Timken, alongside a weak recovery in the global economy, resulted in sales of $4.3 billion and earnings per diluted share of $2.74. Despite these economic challenges, earnings per share were among the strongest in Timken’s history, and management’s commitment to improving market exposure and internal operating performance has positioned Timken for improvement in the future.</w:t>
      </w:r>
    </w:p>
    <w:p>
      <w:pPr>
        <w:spacing w:after="0" w:line="174" w:lineRule="exact"/>
        <w:rPr>
          <w:sz w:val="20"/>
          <w:szCs w:val="20"/>
          <w:color w:val="auto"/>
        </w:rPr>
      </w:pPr>
    </w:p>
    <w:p>
      <w:pPr>
        <w:ind w:right="120" w:firstLine="913"/>
        <w:spacing w:after="0" w:line="259" w:lineRule="auto"/>
        <w:rPr>
          <w:sz w:val="20"/>
          <w:szCs w:val="20"/>
          <w:color w:val="auto"/>
        </w:rPr>
      </w:pPr>
      <w:r>
        <w:rPr>
          <w:rFonts w:ascii="Arial" w:cs="Arial" w:eastAsia="Arial" w:hAnsi="Arial"/>
          <w:sz w:val="18"/>
          <w:szCs w:val="18"/>
          <w:color w:val="auto"/>
        </w:rPr>
        <w:t>To strengthen its margins in the face of a slow economic recovery, Timken took an approach that combines long-term strategic action with more aggressive tactical adjustments. Timken has taken actions to improve its cost structure, remain focused on growth in long-term attractive markets and continue performance improvements across the company. In addition, Timken continues to expand its geographical presence in Asia and in Africa, which is expected to add long-term stability and strength to its earnings.</w:t>
      </w:r>
    </w:p>
    <w:p>
      <w:pPr>
        <w:spacing w:after="0" w:line="227" w:lineRule="exact"/>
        <w:rPr>
          <w:sz w:val="20"/>
          <w:szCs w:val="20"/>
          <w:color w:val="auto"/>
        </w:rPr>
      </w:pPr>
    </w:p>
    <w:p>
      <w:pPr>
        <w:ind w:right="120" w:firstLine="913"/>
        <w:spacing w:after="0" w:line="264" w:lineRule="auto"/>
        <w:rPr>
          <w:sz w:val="20"/>
          <w:szCs w:val="20"/>
          <w:color w:val="auto"/>
        </w:rPr>
      </w:pPr>
      <w:r>
        <w:rPr>
          <w:rFonts w:ascii="Arial" w:cs="Arial" w:eastAsia="Arial" w:hAnsi="Arial"/>
          <w:sz w:val="18"/>
          <w:szCs w:val="18"/>
          <w:color w:val="auto"/>
        </w:rPr>
        <w:t>As a result of Timken’s performance in 2013, incentive plans for our NEOs generally paid slightly below target levels. Overall, executive compensation for 2013 was consistent with Timken’s compensation objectives and reflects its operating performance, demonstrating Timken’s long-standing commitment to pay its executives for the performance they deliver.</w:t>
      </w:r>
    </w:p>
    <w:p>
      <w:pPr>
        <w:spacing w:after="0" w:line="218" w:lineRule="exact"/>
        <w:rPr>
          <w:sz w:val="20"/>
          <w:szCs w:val="20"/>
          <w:color w:val="auto"/>
        </w:rPr>
      </w:pPr>
    </w:p>
    <w:p>
      <w:pPr>
        <w:ind w:left="240"/>
        <w:spacing w:after="0"/>
        <w:rPr>
          <w:sz w:val="20"/>
          <w:szCs w:val="20"/>
          <w:color w:val="auto"/>
        </w:rPr>
      </w:pPr>
      <w:r>
        <w:rPr>
          <w:rFonts w:ascii="Arial" w:cs="Arial" w:eastAsia="Arial" w:hAnsi="Arial"/>
          <w:sz w:val="18"/>
          <w:szCs w:val="18"/>
          <w:b w:val="1"/>
          <w:bCs w:val="1"/>
          <w:color w:val="auto"/>
        </w:rPr>
        <w:t>2013 Compensation Decisions</w:t>
      </w:r>
    </w:p>
    <w:p>
      <w:pPr>
        <w:spacing w:after="0" w:line="256" w:lineRule="exact"/>
        <w:rPr>
          <w:sz w:val="20"/>
          <w:szCs w:val="20"/>
          <w:color w:val="auto"/>
        </w:rPr>
      </w:pPr>
    </w:p>
    <w:p>
      <w:pPr>
        <w:ind w:left="920"/>
        <w:spacing w:after="0"/>
        <w:rPr>
          <w:sz w:val="20"/>
          <w:szCs w:val="20"/>
          <w:color w:val="auto"/>
        </w:rPr>
      </w:pPr>
      <w:r>
        <w:rPr>
          <w:rFonts w:ascii="Arial" w:cs="Arial" w:eastAsia="Arial" w:hAnsi="Arial"/>
          <w:sz w:val="17"/>
          <w:szCs w:val="17"/>
          <w:color w:val="auto"/>
        </w:rPr>
        <w:t>The Timken Compensation Committee made the following key decisions with respect to executive compensation for our NEOs for 2013:</w:t>
      </w:r>
    </w:p>
    <w:p>
      <w:pPr>
        <w:spacing w:after="0" w:line="277" w:lineRule="exact"/>
        <w:rPr>
          <w:sz w:val="20"/>
          <w:szCs w:val="20"/>
          <w:color w:val="auto"/>
        </w:rPr>
      </w:pPr>
    </w:p>
    <w:p>
      <w:pPr>
        <w:ind w:right="60" w:firstLine="913"/>
        <w:spacing w:after="0" w:line="264" w:lineRule="auto"/>
        <w:rPr>
          <w:sz w:val="20"/>
          <w:szCs w:val="20"/>
          <w:color w:val="auto"/>
        </w:rPr>
      </w:pPr>
      <w:r>
        <w:rPr>
          <w:rFonts w:ascii="Arial" w:cs="Arial" w:eastAsia="Arial" w:hAnsi="Arial"/>
          <w:sz w:val="18"/>
          <w:szCs w:val="18"/>
          <w:i w:val="1"/>
          <w:iCs w:val="1"/>
          <w:color w:val="auto"/>
        </w:rPr>
        <w:t xml:space="preserve">Base Salary: </w:t>
      </w:r>
      <w:r>
        <w:rPr>
          <w:rFonts w:ascii="Arial" w:cs="Arial" w:eastAsia="Arial" w:hAnsi="Arial"/>
          <w:sz w:val="18"/>
          <w:szCs w:val="18"/>
          <w:color w:val="auto"/>
        </w:rPr>
        <w:t>Mr. Timken received no increase in base salary in 2013. Our other NEOs received base salary increases ranging from 4% to 5%,</w:t>
      </w:r>
      <w:r>
        <w:rPr>
          <w:rFonts w:ascii="Arial" w:cs="Arial" w:eastAsia="Arial" w:hAnsi="Arial"/>
          <w:sz w:val="18"/>
          <w:szCs w:val="18"/>
          <w:i w:val="1"/>
          <w:iCs w:val="1"/>
          <w:color w:val="auto"/>
        </w:rPr>
        <w:t xml:space="preserve"> </w:t>
      </w:r>
      <w:r>
        <w:rPr>
          <w:rFonts w:ascii="Arial" w:cs="Arial" w:eastAsia="Arial" w:hAnsi="Arial"/>
          <w:sz w:val="18"/>
          <w:szCs w:val="18"/>
          <w:color w:val="auto"/>
        </w:rPr>
        <w:t>which was within the range of salary adjustments for all Timken employees. The base salary decisions were made to maintain alignment with market practice and were effective March 1, 2013. See “Base Salary” below.</w:t>
      </w:r>
    </w:p>
    <w:p>
      <w:pPr>
        <w:spacing w:after="0" w:line="222" w:lineRule="exact"/>
        <w:rPr>
          <w:sz w:val="20"/>
          <w:szCs w:val="20"/>
          <w:color w:val="auto"/>
        </w:rPr>
      </w:pPr>
    </w:p>
    <w:p>
      <w:pPr>
        <w:ind w:right="100" w:firstLine="913"/>
        <w:spacing w:after="0" w:line="302" w:lineRule="auto"/>
        <w:rPr>
          <w:sz w:val="20"/>
          <w:szCs w:val="20"/>
          <w:color w:val="auto"/>
        </w:rPr>
      </w:pPr>
      <w:r>
        <w:rPr>
          <w:rFonts w:ascii="Arial" w:cs="Arial" w:eastAsia="Arial" w:hAnsi="Arial"/>
          <w:sz w:val="16"/>
          <w:szCs w:val="16"/>
          <w:i w:val="1"/>
          <w:iCs w:val="1"/>
          <w:color w:val="auto"/>
        </w:rPr>
        <w:t xml:space="preserve">Annual Incentive: </w:t>
      </w:r>
      <w:r>
        <w:rPr>
          <w:rFonts w:ascii="Arial" w:cs="Arial" w:eastAsia="Arial" w:hAnsi="Arial"/>
          <w:sz w:val="16"/>
          <w:szCs w:val="16"/>
          <w:color w:val="auto"/>
        </w:rPr>
        <w:t>The target annual incentive opportunity for Mr. Timken was increased from 115% to 120% of base salary. The target annual</w:t>
      </w:r>
      <w:r>
        <w:rPr>
          <w:rFonts w:ascii="Arial" w:cs="Arial" w:eastAsia="Arial" w:hAnsi="Arial"/>
          <w:sz w:val="16"/>
          <w:szCs w:val="16"/>
          <w:i w:val="1"/>
          <w:iCs w:val="1"/>
          <w:color w:val="auto"/>
        </w:rPr>
        <w:t xml:space="preserve"> </w:t>
      </w:r>
      <w:r>
        <w:rPr>
          <w:rFonts w:ascii="Arial" w:cs="Arial" w:eastAsia="Arial" w:hAnsi="Arial"/>
          <w:sz w:val="16"/>
          <w:szCs w:val="16"/>
          <w:color w:val="auto"/>
        </w:rPr>
        <w:t>bonus opportunity for Mr. Walker was increased from 55% to 60% of base salary. The target opportunities for the other NEOs remained unchanged for 2013. The target level decisions were made to maintain alignment with market practice. The awards were paid at 90% of target for Messrs. Timken and Walker and 97.5% of target for Mr. Holding for 2013, based on performance against the plan goals. See “Annual Incentive” below.</w:t>
      </w:r>
    </w:p>
    <w:p>
      <w:pPr>
        <w:spacing w:after="0" w:line="181" w:lineRule="exact"/>
        <w:rPr>
          <w:sz w:val="20"/>
          <w:szCs w:val="20"/>
          <w:color w:val="auto"/>
        </w:rPr>
      </w:pPr>
    </w:p>
    <w:p>
      <w:pPr>
        <w:ind w:right="140" w:firstLine="913"/>
        <w:spacing w:after="0" w:line="259" w:lineRule="auto"/>
        <w:rPr>
          <w:sz w:val="20"/>
          <w:szCs w:val="20"/>
          <w:color w:val="auto"/>
        </w:rPr>
      </w:pPr>
      <w:r>
        <w:rPr>
          <w:rFonts w:ascii="Arial" w:cs="Arial" w:eastAsia="Arial" w:hAnsi="Arial"/>
          <w:sz w:val="18"/>
          <w:szCs w:val="18"/>
          <w:i w:val="1"/>
          <w:iCs w:val="1"/>
          <w:color w:val="auto"/>
        </w:rPr>
        <w:t xml:space="preserve">Long-Term Incentives: </w:t>
      </w:r>
      <w:r>
        <w:rPr>
          <w:rFonts w:ascii="Arial" w:cs="Arial" w:eastAsia="Arial" w:hAnsi="Arial"/>
          <w:sz w:val="18"/>
          <w:szCs w:val="18"/>
          <w:color w:val="auto"/>
        </w:rPr>
        <w:t>Our NEOs received long-term incentive awards in 2013 with target values ranging from approximately $184,000 to $3.2</w:t>
      </w:r>
      <w:r>
        <w:rPr>
          <w:rFonts w:ascii="Arial" w:cs="Arial" w:eastAsia="Arial" w:hAnsi="Arial"/>
          <w:sz w:val="18"/>
          <w:szCs w:val="18"/>
          <w:i w:val="1"/>
          <w:iCs w:val="1"/>
          <w:color w:val="auto"/>
        </w:rPr>
        <w:t xml:space="preserve"> </w:t>
      </w:r>
      <w:r>
        <w:rPr>
          <w:rFonts w:ascii="Arial" w:cs="Arial" w:eastAsia="Arial" w:hAnsi="Arial"/>
          <w:sz w:val="18"/>
          <w:szCs w:val="18"/>
          <w:color w:val="auto"/>
        </w:rPr>
        <w:t>million. Based on return on invested capital, or ROIC, and earnings per share, or EPS, performance, our NEOs earned cash payments at 119% of target level for performance units covering the 2011-2013 performance cycle. In addition, Mr. Walker received a grant of deferred shares, which will vest on December 31, 2015 contingent on his continued employment with us. See “Long-Term Incentives” below.</w:t>
      </w:r>
    </w:p>
    <w:p>
      <w:pPr>
        <w:sectPr>
          <w:pgSz w:w="11900" w:h="16838" w:orient="portrait"/>
          <w:cols w:equalWidth="0" w:num="1">
            <w:col w:w="11420"/>
          </w:cols>
          <w:pgMar w:left="240" w:top="459" w:right="239" w:bottom="595" w:gutter="0" w:footer="0" w:header="0"/>
        </w:sectPr>
      </w:pPr>
    </w:p>
    <w:p>
      <w:pPr>
        <w:spacing w:after="0" w:line="119"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62</w:t>
      </w:r>
    </w:p>
    <w:p>
      <w:pPr>
        <w:sectPr>
          <w:pgSz w:w="11900" w:h="16838" w:orient="portrait"/>
          <w:cols w:equalWidth="0" w:num="1">
            <w:col w:w="11420"/>
          </w:cols>
          <w:pgMar w:left="240" w:top="459" w:right="239" w:bottom="595" w:gutter="0" w:footer="0" w:header="0"/>
          <w:type w:val="continuous"/>
        </w:sectPr>
      </w:pPr>
    </w:p>
    <w:bookmarkStart w:id="74" w:name="page75"/>
    <w:bookmarkEnd w:id="7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Benchmarking Our Executive Compensation Program</w:t>
      </w:r>
    </w:p>
    <w:p>
      <w:pPr>
        <w:spacing w:after="0" w:line="270" w:lineRule="exact"/>
        <w:rPr>
          <w:sz w:val="20"/>
          <w:szCs w:val="20"/>
          <w:color w:val="auto"/>
        </w:rPr>
      </w:pPr>
    </w:p>
    <w:p>
      <w:pPr>
        <w:jc w:val="both"/>
        <w:ind w:right="240" w:firstLine="913"/>
        <w:spacing w:after="0" w:line="264" w:lineRule="auto"/>
        <w:rPr>
          <w:sz w:val="20"/>
          <w:szCs w:val="20"/>
          <w:color w:val="auto"/>
        </w:rPr>
      </w:pPr>
      <w:r>
        <w:rPr>
          <w:rFonts w:ascii="Arial" w:cs="Arial" w:eastAsia="Arial" w:hAnsi="Arial"/>
          <w:sz w:val="18"/>
          <w:szCs w:val="18"/>
          <w:color w:val="auto"/>
        </w:rPr>
        <w:t>Timken establishes target compensation levels for executive officers that are consistent with market practice and internal equity considerations relative to base salaries, annual incentive awards and long-term incentive grants, as well as with the Timken Compensation Committee’s assessment of the appropriate pay element mix for the position.</w:t>
      </w:r>
    </w:p>
    <w:p>
      <w:pPr>
        <w:spacing w:after="0" w:line="222" w:lineRule="exact"/>
        <w:rPr>
          <w:sz w:val="20"/>
          <w:szCs w:val="20"/>
          <w:color w:val="auto"/>
        </w:rPr>
      </w:pPr>
    </w:p>
    <w:p>
      <w:pPr>
        <w:ind w:right="20" w:firstLine="913"/>
        <w:spacing w:after="0" w:line="286" w:lineRule="auto"/>
        <w:rPr>
          <w:sz w:val="20"/>
          <w:szCs w:val="20"/>
          <w:color w:val="auto"/>
        </w:rPr>
      </w:pPr>
      <w:r>
        <w:rPr>
          <w:rFonts w:ascii="Arial" w:cs="Arial" w:eastAsia="Arial" w:hAnsi="Arial"/>
          <w:sz w:val="17"/>
          <w:szCs w:val="17"/>
          <w:color w:val="auto"/>
        </w:rPr>
        <w:t>In order to gauge the competitiveness of its compensation programs, Timken periodically reviews survey data from nationally recognized consulting firms. Collectively, these databases reflect the pay practices of hundreds of companies in a range of industries. Timken attempts to position itself to attract and retain qualified senior executives in the face of competitive pressures in its relevant general labor markets.</w:t>
      </w:r>
    </w:p>
    <w:p>
      <w:pPr>
        <w:spacing w:after="0" w:line="193" w:lineRule="exact"/>
        <w:rPr>
          <w:sz w:val="20"/>
          <w:szCs w:val="20"/>
          <w:color w:val="auto"/>
        </w:rPr>
      </w:pPr>
    </w:p>
    <w:p>
      <w:pPr>
        <w:ind w:right="60" w:firstLine="913"/>
        <w:spacing w:after="0" w:line="255" w:lineRule="auto"/>
        <w:rPr>
          <w:sz w:val="20"/>
          <w:szCs w:val="20"/>
          <w:color w:val="auto"/>
        </w:rPr>
      </w:pPr>
      <w:r>
        <w:rPr>
          <w:rFonts w:ascii="Arial" w:cs="Arial" w:eastAsia="Arial" w:hAnsi="Arial"/>
          <w:sz w:val="18"/>
          <w:szCs w:val="18"/>
          <w:color w:val="auto"/>
        </w:rPr>
        <w:t>In 2013, Timken used information regarding the pay practices of over 600 companies in these databases with revenues adjusted (through the consultant’s use of regression analysis) to reflect a company of Timken’s revenue size. Specifically, Timken used both the Towers Watson Executive Compensation Database and the Aon Hewitt US Total Compensation Measurement Executive Survey for these purposes. The compensation data subjected to this regression analysis, and not the identity of the individual companies participating in the surveys for these databases, was the most significant factor considered by the Timken Compensation Committee with respect to its 2013 executive compensation decisions for our NEOs. The regression analysis was used to adjust the market data presented to the Timken Compensation Committee, not to narrow the list of companies to a readily identifiable subset of companies.</w:t>
      </w:r>
    </w:p>
    <w:p>
      <w:pPr>
        <w:spacing w:after="0" w:line="230" w:lineRule="exact"/>
        <w:rPr>
          <w:sz w:val="20"/>
          <w:szCs w:val="20"/>
          <w:color w:val="auto"/>
        </w:rPr>
      </w:pPr>
    </w:p>
    <w:p>
      <w:pPr>
        <w:ind w:right="180" w:firstLine="913"/>
        <w:spacing w:after="0" w:line="257" w:lineRule="auto"/>
        <w:rPr>
          <w:sz w:val="20"/>
          <w:szCs w:val="20"/>
          <w:color w:val="auto"/>
        </w:rPr>
      </w:pPr>
      <w:r>
        <w:rPr>
          <w:rFonts w:ascii="Arial" w:cs="Arial" w:eastAsia="Arial" w:hAnsi="Arial"/>
          <w:sz w:val="18"/>
          <w:szCs w:val="18"/>
          <w:color w:val="auto"/>
        </w:rPr>
        <w:t>Timken believes that revenues are an appropriate indicator of the size and complexity of an organization, which should be reflected in determining compensation levels. Furthermore, Timken views general industrial companies of comparable size as the relevant market for Timken’s senior executive talent. In light of the survey data gathered and the relative positioning of our NEOs to the competitive market, the Timken Compensation Committee elected to make nominal adjustments to targeted compensation levels for certain of our NEOs, as described above under “—2013 Compensation Decisions.”</w:t>
      </w:r>
    </w:p>
    <w:p>
      <w:pPr>
        <w:spacing w:after="0" w:line="200" w:lineRule="exact"/>
        <w:rPr>
          <w:sz w:val="20"/>
          <w:szCs w:val="20"/>
          <w:color w:val="auto"/>
        </w:rPr>
      </w:pPr>
    </w:p>
    <w:p>
      <w:pPr>
        <w:spacing w:after="0" w:line="24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Aligning Pay with Performance</w:t>
      </w:r>
    </w:p>
    <w:p>
      <w:pPr>
        <w:spacing w:after="0" w:line="189" w:lineRule="exact"/>
        <w:rPr>
          <w:sz w:val="20"/>
          <w:szCs w:val="20"/>
          <w:color w:val="auto"/>
        </w:rPr>
      </w:pPr>
    </w:p>
    <w:p>
      <w:pPr>
        <w:ind w:left="920"/>
        <w:spacing w:after="0"/>
        <w:rPr>
          <w:sz w:val="20"/>
          <w:szCs w:val="20"/>
          <w:color w:val="auto"/>
        </w:rPr>
      </w:pPr>
      <w:r>
        <w:rPr>
          <w:rFonts w:ascii="Arial" w:cs="Arial" w:eastAsia="Arial" w:hAnsi="Arial"/>
          <w:sz w:val="16"/>
          <w:szCs w:val="16"/>
          <w:color w:val="auto"/>
        </w:rPr>
        <w:t>Timken’s success depends largely on the contributions of motivated, focused and energized people all working to achieve its strategic objectives.</w:t>
      </w:r>
    </w:p>
    <w:p>
      <w:pPr>
        <w:spacing w:after="0" w:line="46" w:lineRule="exact"/>
        <w:rPr>
          <w:sz w:val="20"/>
          <w:szCs w:val="20"/>
          <w:color w:val="auto"/>
        </w:rPr>
      </w:pPr>
    </w:p>
    <w:p>
      <w:pPr>
        <w:spacing w:after="0"/>
        <w:rPr>
          <w:sz w:val="20"/>
          <w:szCs w:val="20"/>
          <w:color w:val="auto"/>
        </w:rPr>
      </w:pPr>
      <w:r>
        <w:rPr>
          <w:rFonts w:ascii="Arial" w:cs="Arial" w:eastAsia="Arial" w:hAnsi="Arial"/>
          <w:sz w:val="16"/>
          <w:szCs w:val="16"/>
          <w:color w:val="auto"/>
        </w:rPr>
        <w:t>This understanding shapes Timken’s approach to providing a competitive total rewards package to its CEO and other senior executives, including the NEOs.</w:t>
      </w:r>
    </w:p>
    <w:p>
      <w:pPr>
        <w:spacing w:after="0" w:line="274" w:lineRule="exact"/>
        <w:rPr>
          <w:sz w:val="20"/>
          <w:szCs w:val="20"/>
          <w:color w:val="auto"/>
        </w:rPr>
      </w:pPr>
    </w:p>
    <w:p>
      <w:pPr>
        <w:ind w:right="120" w:firstLine="913"/>
        <w:spacing w:after="0" w:line="259" w:lineRule="auto"/>
        <w:rPr>
          <w:sz w:val="20"/>
          <w:szCs w:val="20"/>
          <w:color w:val="auto"/>
        </w:rPr>
      </w:pPr>
      <w:r>
        <w:rPr>
          <w:rFonts w:ascii="Arial" w:cs="Arial" w:eastAsia="Arial" w:hAnsi="Arial"/>
          <w:sz w:val="18"/>
          <w:szCs w:val="18"/>
          <w:color w:val="auto"/>
        </w:rPr>
        <w:t>Pay-for-performance is one of the four principles that make up Timken’s executive compensation philosophy. To ensure that Timken is adhering to this principle, the Timken Compensation Committee evaluates the degree of alignment of its total incentive compensation to its business results, including the ratio of earnings before interest and taxes to beginning invested capital, or EBIT/BIC, ROIC and EPS over the applicable period and total shareholder return, or TSR, relative to the market over the prior three fiscal years.</w:t>
      </w:r>
    </w:p>
    <w:p>
      <w:pPr>
        <w:spacing w:after="0" w:line="214" w:lineRule="exact"/>
        <w:rPr>
          <w:sz w:val="20"/>
          <w:szCs w:val="20"/>
          <w:color w:val="auto"/>
        </w:rPr>
      </w:pPr>
    </w:p>
    <w:p>
      <w:pPr>
        <w:ind w:firstLine="913"/>
        <w:spacing w:after="0" w:line="259" w:lineRule="auto"/>
        <w:rPr>
          <w:sz w:val="20"/>
          <w:szCs w:val="20"/>
          <w:color w:val="auto"/>
        </w:rPr>
      </w:pPr>
      <w:r>
        <w:rPr>
          <w:rFonts w:ascii="Arial" w:cs="Arial" w:eastAsia="Arial" w:hAnsi="Arial"/>
          <w:sz w:val="18"/>
          <w:szCs w:val="18"/>
          <w:color w:val="auto"/>
        </w:rPr>
        <w:t>Timken uses a balance of short-term and long-term incentives as well as cash and non-cash compensation to meet these objectives. The elements of executive compensation provided by Timken to our NEOs for 2013 consisted of base salary, annual incentives, long-term incentives including strategic performance shares and stock options, retirement income programs and other benefits. Overall, Timken’s compensation programs are designed to link pay and performance.</w:t>
      </w:r>
    </w:p>
    <w:p>
      <w:pPr>
        <w:spacing w:after="0" w:line="264" w:lineRule="exact"/>
        <w:rPr>
          <w:sz w:val="20"/>
          <w:szCs w:val="20"/>
          <w:color w:val="auto"/>
        </w:rPr>
      </w:pPr>
    </w:p>
    <w:p>
      <w:pPr>
        <w:ind w:left="660" w:right="160" w:hanging="206"/>
        <w:spacing w:after="0" w:line="266" w:lineRule="auto"/>
        <w:tabs>
          <w:tab w:leader="none" w:pos="660" w:val="left"/>
        </w:tabs>
        <w:numPr>
          <w:ilvl w:val="0"/>
          <w:numId w:val="20"/>
        </w:numPr>
        <w:rPr>
          <w:rFonts w:ascii="Arial" w:cs="Arial" w:eastAsia="Arial" w:hAnsi="Arial"/>
          <w:sz w:val="18"/>
          <w:szCs w:val="18"/>
          <w:color w:val="auto"/>
        </w:rPr>
      </w:pPr>
      <w:r>
        <w:rPr>
          <w:rFonts w:ascii="Arial" w:cs="Arial" w:eastAsia="Arial" w:hAnsi="Arial"/>
          <w:sz w:val="18"/>
          <w:szCs w:val="18"/>
          <w:b w:val="1"/>
          <w:bCs w:val="1"/>
          <w:color w:val="auto"/>
        </w:rPr>
        <w:t xml:space="preserve">Program Design: </w:t>
      </w:r>
      <w:r>
        <w:rPr>
          <w:rFonts w:ascii="Arial" w:cs="Arial" w:eastAsia="Arial" w:hAnsi="Arial"/>
          <w:sz w:val="18"/>
          <w:szCs w:val="18"/>
          <w:color w:val="auto"/>
        </w:rPr>
        <w:t>A significant portion of the total direct compensation delivered to our NEOs is variable-over 75% for Mr. Timken and over 50%</w:t>
      </w:r>
      <w:r>
        <w:rPr>
          <w:rFonts w:ascii="Arial" w:cs="Arial" w:eastAsia="Arial" w:hAnsi="Arial"/>
          <w:sz w:val="18"/>
          <w:szCs w:val="18"/>
          <w:b w:val="1"/>
          <w:bCs w:val="1"/>
          <w:color w:val="auto"/>
        </w:rPr>
        <w:t xml:space="preserve"> </w:t>
      </w:r>
      <w:r>
        <w:rPr>
          <w:rFonts w:ascii="Arial" w:cs="Arial" w:eastAsia="Arial" w:hAnsi="Arial"/>
          <w:sz w:val="18"/>
          <w:szCs w:val="18"/>
          <w:color w:val="auto"/>
        </w:rPr>
        <w:t>for Messrs. Walker and Holding. With the introduction of strategic performance shares in 2012, Timken’s long-term compensation plan is more aligned with shareholder interests by aligning actual payouts with Timken’s performance results.</w:t>
      </w:r>
    </w:p>
    <w:p>
      <w:pPr>
        <w:spacing w:after="0" w:line="200" w:lineRule="exact"/>
        <w:rPr>
          <w:rFonts w:ascii="Arial" w:cs="Arial" w:eastAsia="Arial" w:hAnsi="Arial"/>
          <w:sz w:val="18"/>
          <w:szCs w:val="18"/>
          <w:color w:val="auto"/>
        </w:rPr>
      </w:pPr>
    </w:p>
    <w:p>
      <w:pPr>
        <w:spacing w:after="0" w:line="205" w:lineRule="exact"/>
        <w:rPr>
          <w:rFonts w:ascii="Arial" w:cs="Arial" w:eastAsia="Arial" w:hAnsi="Arial"/>
          <w:sz w:val="18"/>
          <w:szCs w:val="18"/>
          <w:color w:val="auto"/>
        </w:rPr>
      </w:pPr>
    </w:p>
    <w:p>
      <w:pPr>
        <w:ind w:left="660" w:right="80" w:hanging="206"/>
        <w:spacing w:after="0" w:line="289" w:lineRule="auto"/>
        <w:tabs>
          <w:tab w:leader="none" w:pos="660" w:val="left"/>
        </w:tabs>
        <w:numPr>
          <w:ilvl w:val="0"/>
          <w:numId w:val="20"/>
        </w:numPr>
        <w:rPr>
          <w:rFonts w:ascii="Arial" w:cs="Arial" w:eastAsia="Arial" w:hAnsi="Arial"/>
          <w:sz w:val="17"/>
          <w:szCs w:val="17"/>
          <w:color w:val="auto"/>
        </w:rPr>
      </w:pPr>
      <w:r>
        <w:rPr>
          <w:rFonts w:ascii="Arial" w:cs="Arial" w:eastAsia="Arial" w:hAnsi="Arial"/>
          <w:sz w:val="17"/>
          <w:szCs w:val="17"/>
          <w:b w:val="1"/>
          <w:bCs w:val="1"/>
          <w:color w:val="auto"/>
        </w:rPr>
        <w:t xml:space="preserve">Performance Assessment: </w:t>
      </w:r>
      <w:r>
        <w:rPr>
          <w:rFonts w:ascii="Arial" w:cs="Arial" w:eastAsia="Arial" w:hAnsi="Arial"/>
          <w:sz w:val="17"/>
          <w:szCs w:val="17"/>
          <w:color w:val="auto"/>
        </w:rPr>
        <w:t>The Timken Compensation Committee uses a comprehensive and well-defined process to assess company performance.</w:t>
      </w:r>
      <w:r>
        <w:rPr>
          <w:rFonts w:ascii="Arial" w:cs="Arial" w:eastAsia="Arial" w:hAnsi="Arial"/>
          <w:sz w:val="17"/>
          <w:szCs w:val="17"/>
          <w:b w:val="1"/>
          <w:bCs w:val="1"/>
          <w:color w:val="auto"/>
        </w:rPr>
        <w:t xml:space="preserve"> </w:t>
      </w:r>
      <w:r>
        <w:rPr>
          <w:rFonts w:ascii="Arial" w:cs="Arial" w:eastAsia="Arial" w:hAnsi="Arial"/>
          <w:sz w:val="17"/>
          <w:szCs w:val="17"/>
          <w:color w:val="auto"/>
        </w:rPr>
        <w:t>Timken believes its metrics focus management on the appropriate objectives for the creation of both short-, medium- and long-term shareholder value. Timken’s compensation decisions firmly demonstrate Timken’s commitment to its pay-for-performance policy.</w:t>
      </w:r>
    </w:p>
    <w:p>
      <w:pPr>
        <w:spacing w:after="0" w:line="9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63</w:t>
      </w:r>
    </w:p>
    <w:p>
      <w:pPr>
        <w:sectPr>
          <w:pgSz w:w="11900" w:h="16838" w:orient="portrait"/>
          <w:cols w:equalWidth="0" w:num="1">
            <w:col w:w="11420"/>
          </w:cols>
          <w:pgMar w:left="240" w:top="459" w:right="239" w:bottom="1440" w:gutter="0" w:footer="0" w:header="0"/>
        </w:sectPr>
      </w:pPr>
    </w:p>
    <w:bookmarkStart w:id="75" w:name="page76"/>
    <w:bookmarkEnd w:id="7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0">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140" w:firstLine="913"/>
        <w:spacing w:after="0" w:line="277" w:lineRule="auto"/>
        <w:rPr>
          <w:sz w:val="20"/>
          <w:szCs w:val="20"/>
          <w:color w:val="auto"/>
        </w:rPr>
      </w:pPr>
      <w:r>
        <w:rPr>
          <w:rFonts w:ascii="Arial" w:cs="Arial" w:eastAsia="Arial" w:hAnsi="Arial"/>
          <w:sz w:val="18"/>
          <w:szCs w:val="18"/>
          <w:color w:val="auto"/>
        </w:rPr>
        <w:t>Timken’s incentive compensation programs for executives are designed to link compensation performance with the full spectrum of its business goals, some of which are short-term, while others take several years or more to achieve:</w:t>
      </w:r>
    </w:p>
    <w:p>
      <w:pPr>
        <w:spacing w:after="0" w:line="367" w:lineRule="exact"/>
        <w:rPr>
          <w:sz w:val="20"/>
          <w:szCs w:val="20"/>
          <w:color w:val="auto"/>
        </w:rPr>
      </w:pPr>
    </w:p>
    <w:tbl>
      <w:tblPr>
        <w:tblLayout w:type="fixed"/>
        <w:tblInd w:w="0" w:type="dxa"/>
        <w:tblCellMar>
          <w:top w:w="0" w:type="dxa"/>
          <w:left w:w="0" w:type="dxa"/>
          <w:bottom w:w="0" w:type="dxa"/>
          <w:right w:w="0" w:type="dxa"/>
        </w:tblCellMar>
      </w:tblPr>
      <w:tr>
        <w:trPr>
          <w:trHeight w:val="248"/>
        </w:trPr>
        <w:tc>
          <w:tcPr>
            <w:tcW w:w="1360" w:type="dxa"/>
            <w:vAlign w:val="bottom"/>
            <w:tcBorders>
              <w:top w:val="single" w:sz="8" w:color="auto"/>
            </w:tcBorders>
            <w:shd w:val="clear" w:color="auto" w:fill="CCEEFF"/>
          </w:tcPr>
          <w:p>
            <w:pPr>
              <w:spacing w:after="0"/>
              <w:rPr>
                <w:sz w:val="21"/>
                <w:szCs w:val="21"/>
                <w:color w:val="auto"/>
              </w:rPr>
            </w:pPr>
          </w:p>
        </w:tc>
        <w:tc>
          <w:tcPr>
            <w:tcW w:w="2940" w:type="dxa"/>
            <w:vAlign w:val="bottom"/>
            <w:tcBorders>
              <w:top w:val="single" w:sz="8" w:color="auto"/>
            </w:tcBorders>
            <w:vMerge w:val="restart"/>
            <w:shd w:val="clear" w:color="auto" w:fill="CCEEFF"/>
          </w:tcPr>
          <w:p>
            <w:pPr>
              <w:ind w:left="380"/>
              <w:spacing w:after="0"/>
              <w:rPr>
                <w:sz w:val="20"/>
                <w:szCs w:val="20"/>
                <w:color w:val="auto"/>
              </w:rPr>
            </w:pPr>
            <w:r>
              <w:rPr>
                <w:rFonts w:ascii="Arial" w:cs="Arial" w:eastAsia="Arial" w:hAnsi="Arial"/>
                <w:sz w:val="18"/>
                <w:szCs w:val="18"/>
                <w:b w:val="1"/>
                <w:bCs w:val="1"/>
                <w:color w:val="auto"/>
              </w:rPr>
              <w:t>Short-Term</w:t>
            </w:r>
          </w:p>
        </w:tc>
        <w:tc>
          <w:tcPr>
            <w:tcW w:w="3220" w:type="dxa"/>
            <w:vAlign w:val="bottom"/>
            <w:tcBorders>
              <w:top w:val="single" w:sz="8" w:color="auto"/>
            </w:tcBorders>
            <w:shd w:val="clear" w:color="auto" w:fill="CCEEFF"/>
          </w:tcPr>
          <w:p>
            <w:pPr>
              <w:ind w:left="860"/>
              <w:spacing w:after="0"/>
              <w:rPr>
                <w:sz w:val="20"/>
                <w:szCs w:val="20"/>
                <w:color w:val="auto"/>
              </w:rPr>
            </w:pPr>
            <w:r>
              <w:rPr>
                <w:rFonts w:ascii="Arial" w:cs="Arial" w:eastAsia="Arial" w:hAnsi="Arial"/>
                <w:sz w:val="18"/>
                <w:szCs w:val="18"/>
                <w:b w:val="1"/>
                <w:bCs w:val="1"/>
                <w:color w:val="auto"/>
              </w:rPr>
              <w:t>Long-Term</w:t>
            </w:r>
          </w:p>
        </w:tc>
        <w:tc>
          <w:tcPr>
            <w:tcW w:w="3900" w:type="dxa"/>
            <w:vAlign w:val="bottom"/>
            <w:tcBorders>
              <w:top w:val="single" w:sz="8" w:color="auto"/>
            </w:tcBorders>
            <w:shd w:val="clear" w:color="auto" w:fill="CCEEFF"/>
          </w:tcPr>
          <w:p>
            <w:pPr>
              <w:ind w:left="820"/>
              <w:spacing w:after="0"/>
              <w:rPr>
                <w:sz w:val="20"/>
                <w:szCs w:val="20"/>
                <w:color w:val="auto"/>
              </w:rPr>
            </w:pPr>
            <w:r>
              <w:rPr>
                <w:rFonts w:ascii="Arial" w:cs="Arial" w:eastAsia="Arial" w:hAnsi="Arial"/>
                <w:sz w:val="18"/>
                <w:szCs w:val="18"/>
                <w:b w:val="1"/>
                <w:bCs w:val="1"/>
                <w:color w:val="auto"/>
              </w:rPr>
              <w:t>Long-Term</w:t>
            </w:r>
          </w:p>
        </w:tc>
        <w:tc>
          <w:tcPr>
            <w:tcW w:w="0" w:type="dxa"/>
            <w:vAlign w:val="bottom"/>
          </w:tcPr>
          <w:p>
            <w:pPr>
              <w:spacing w:after="0"/>
              <w:rPr>
                <w:sz w:val="1"/>
                <w:szCs w:val="1"/>
                <w:color w:val="auto"/>
              </w:rPr>
            </w:pPr>
          </w:p>
        </w:tc>
      </w:tr>
      <w:tr>
        <w:trPr>
          <w:trHeight w:val="76"/>
        </w:trPr>
        <w:tc>
          <w:tcPr>
            <w:tcW w:w="1360" w:type="dxa"/>
            <w:vAlign w:val="bottom"/>
            <w:shd w:val="clear" w:color="auto" w:fill="CCEEFF"/>
          </w:tcPr>
          <w:p>
            <w:pPr>
              <w:spacing w:after="0"/>
              <w:rPr>
                <w:sz w:val="6"/>
                <w:szCs w:val="6"/>
                <w:color w:val="auto"/>
              </w:rPr>
            </w:pPr>
          </w:p>
        </w:tc>
        <w:tc>
          <w:tcPr>
            <w:tcW w:w="2940" w:type="dxa"/>
            <w:vAlign w:val="bottom"/>
            <w:vMerge w:val="continue"/>
            <w:shd w:val="clear" w:color="auto" w:fill="CCEEFF"/>
          </w:tcPr>
          <w:p>
            <w:pPr>
              <w:spacing w:after="0"/>
              <w:rPr>
                <w:sz w:val="6"/>
                <w:szCs w:val="6"/>
                <w:color w:val="auto"/>
              </w:rPr>
            </w:pPr>
          </w:p>
        </w:tc>
        <w:tc>
          <w:tcPr>
            <w:tcW w:w="3220" w:type="dxa"/>
            <w:vAlign w:val="bottom"/>
            <w:vMerge w:val="restart"/>
            <w:shd w:val="clear" w:color="auto" w:fill="CCEEFF"/>
          </w:tcPr>
          <w:p>
            <w:pPr>
              <w:ind w:left="860"/>
              <w:spacing w:after="0"/>
              <w:rPr>
                <w:sz w:val="20"/>
                <w:szCs w:val="20"/>
                <w:color w:val="auto"/>
              </w:rPr>
            </w:pPr>
            <w:r>
              <w:rPr>
                <w:rFonts w:ascii="Arial" w:cs="Arial" w:eastAsia="Arial" w:hAnsi="Arial"/>
                <w:sz w:val="16"/>
                <w:szCs w:val="16"/>
                <w:color w:val="auto"/>
              </w:rPr>
              <w:t>(Equity/Cash)</w:t>
            </w:r>
          </w:p>
        </w:tc>
        <w:tc>
          <w:tcPr>
            <w:tcW w:w="3900" w:type="dxa"/>
            <w:vAlign w:val="bottom"/>
            <w:vMerge w:val="restart"/>
            <w:shd w:val="clear" w:color="auto" w:fill="CCEEFF"/>
          </w:tcPr>
          <w:p>
            <w:pPr>
              <w:ind w:left="820"/>
              <w:spacing w:after="0"/>
              <w:rPr>
                <w:sz w:val="20"/>
                <w:szCs w:val="20"/>
                <w:color w:val="auto"/>
              </w:rPr>
            </w:pPr>
            <w:r>
              <w:rPr>
                <w:rFonts w:ascii="Arial" w:cs="Arial" w:eastAsia="Arial" w:hAnsi="Arial"/>
                <w:sz w:val="16"/>
                <w:szCs w:val="16"/>
                <w:color w:val="auto"/>
              </w:rPr>
              <w:t>(Equity)</w:t>
            </w:r>
          </w:p>
        </w:tc>
        <w:tc>
          <w:tcPr>
            <w:tcW w:w="0" w:type="dxa"/>
            <w:vAlign w:val="bottom"/>
          </w:tcPr>
          <w:p>
            <w:pPr>
              <w:spacing w:after="0"/>
              <w:rPr>
                <w:sz w:val="1"/>
                <w:szCs w:val="1"/>
                <w:color w:val="auto"/>
              </w:rPr>
            </w:pPr>
          </w:p>
        </w:tc>
      </w:tr>
      <w:tr>
        <w:trPr>
          <w:trHeight w:val="143"/>
        </w:trPr>
        <w:tc>
          <w:tcPr>
            <w:tcW w:w="1360" w:type="dxa"/>
            <w:vAlign w:val="bottom"/>
            <w:shd w:val="clear" w:color="auto" w:fill="CCEEFF"/>
          </w:tcPr>
          <w:p>
            <w:pPr>
              <w:spacing w:after="0"/>
              <w:rPr>
                <w:sz w:val="12"/>
                <w:szCs w:val="12"/>
                <w:color w:val="auto"/>
              </w:rPr>
            </w:pPr>
          </w:p>
        </w:tc>
        <w:tc>
          <w:tcPr>
            <w:tcW w:w="2940" w:type="dxa"/>
            <w:vAlign w:val="bottom"/>
            <w:vMerge w:val="restart"/>
            <w:shd w:val="clear" w:color="auto" w:fill="CCEEFF"/>
          </w:tcPr>
          <w:p>
            <w:pPr>
              <w:ind w:left="380"/>
              <w:spacing w:after="0"/>
              <w:rPr>
                <w:sz w:val="20"/>
                <w:szCs w:val="20"/>
                <w:color w:val="auto"/>
              </w:rPr>
            </w:pPr>
            <w:r>
              <w:rPr>
                <w:rFonts w:ascii="Arial" w:cs="Arial" w:eastAsia="Arial" w:hAnsi="Arial"/>
                <w:sz w:val="16"/>
                <w:szCs w:val="16"/>
                <w:color w:val="auto"/>
              </w:rPr>
              <w:t>(Cash)</w:t>
            </w:r>
          </w:p>
        </w:tc>
        <w:tc>
          <w:tcPr>
            <w:tcW w:w="3220" w:type="dxa"/>
            <w:vAlign w:val="bottom"/>
            <w:vMerge w:val="continue"/>
            <w:shd w:val="clear" w:color="auto" w:fill="CCEEFF"/>
          </w:tcPr>
          <w:p>
            <w:pPr>
              <w:spacing w:after="0"/>
              <w:rPr>
                <w:sz w:val="12"/>
                <w:szCs w:val="12"/>
                <w:color w:val="auto"/>
              </w:rPr>
            </w:pPr>
          </w:p>
        </w:tc>
        <w:tc>
          <w:tcPr>
            <w:tcW w:w="3900" w:type="dxa"/>
            <w:vAlign w:val="bottom"/>
            <w:vMerge w:val="continue"/>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95"/>
        </w:trPr>
        <w:tc>
          <w:tcPr>
            <w:tcW w:w="1360" w:type="dxa"/>
            <w:vAlign w:val="bottom"/>
            <w:shd w:val="clear" w:color="auto" w:fill="CCEEFF"/>
          </w:tcPr>
          <w:p>
            <w:pPr>
              <w:spacing w:after="0"/>
              <w:rPr>
                <w:sz w:val="8"/>
                <w:szCs w:val="8"/>
                <w:color w:val="auto"/>
              </w:rPr>
            </w:pPr>
          </w:p>
        </w:tc>
        <w:tc>
          <w:tcPr>
            <w:tcW w:w="2940" w:type="dxa"/>
            <w:vAlign w:val="bottom"/>
            <w:vMerge w:val="continue"/>
            <w:shd w:val="clear" w:color="auto" w:fill="CCEEFF"/>
          </w:tcPr>
          <w:p>
            <w:pPr>
              <w:spacing w:after="0"/>
              <w:rPr>
                <w:sz w:val="8"/>
                <w:szCs w:val="8"/>
                <w:color w:val="auto"/>
              </w:rPr>
            </w:pPr>
          </w:p>
        </w:tc>
        <w:tc>
          <w:tcPr>
            <w:tcW w:w="3220" w:type="dxa"/>
            <w:vAlign w:val="bottom"/>
            <w:shd w:val="clear" w:color="auto" w:fill="CCEEFF"/>
          </w:tcPr>
          <w:p>
            <w:pPr>
              <w:spacing w:after="0"/>
              <w:rPr>
                <w:sz w:val="8"/>
                <w:szCs w:val="8"/>
                <w:color w:val="auto"/>
              </w:rPr>
            </w:pPr>
          </w:p>
        </w:tc>
        <w:tc>
          <w:tcPr>
            <w:tcW w:w="3900" w:type="dxa"/>
            <w:vAlign w:val="bottom"/>
            <w:shd w:val="clear" w:color="auto" w:fill="CCEEFF"/>
          </w:tcPr>
          <w:p>
            <w:pPr>
              <w:spacing w:after="0"/>
              <w:rPr>
                <w:sz w:val="8"/>
                <w:szCs w:val="8"/>
                <w:color w:val="auto"/>
              </w:rPr>
            </w:pPr>
          </w:p>
        </w:tc>
        <w:tc>
          <w:tcPr>
            <w:tcW w:w="0" w:type="dxa"/>
            <w:vAlign w:val="bottom"/>
          </w:tcPr>
          <w:p>
            <w:pPr>
              <w:spacing w:after="0"/>
              <w:rPr>
                <w:sz w:val="1"/>
                <w:szCs w:val="1"/>
                <w:color w:val="auto"/>
              </w:rPr>
            </w:pPr>
          </w:p>
        </w:tc>
      </w:tr>
      <w:tr>
        <w:trPr>
          <w:trHeight w:val="473"/>
        </w:trPr>
        <w:tc>
          <w:tcPr>
            <w:tcW w:w="1360" w:type="dxa"/>
            <w:vAlign w:val="bottom"/>
            <w:shd w:val="clear" w:color="auto" w:fill="CCEEFF"/>
          </w:tcPr>
          <w:p>
            <w:pPr>
              <w:spacing w:after="0"/>
              <w:rPr>
                <w:sz w:val="24"/>
                <w:szCs w:val="24"/>
                <w:color w:val="auto"/>
              </w:rPr>
            </w:pPr>
          </w:p>
        </w:tc>
        <w:tc>
          <w:tcPr>
            <w:tcW w:w="2940" w:type="dxa"/>
            <w:vAlign w:val="bottom"/>
            <w:vMerge w:val="restart"/>
            <w:shd w:val="clear" w:color="auto" w:fill="CCEEFF"/>
          </w:tcPr>
          <w:p>
            <w:pPr>
              <w:ind w:left="380"/>
              <w:spacing w:after="0"/>
              <w:rPr>
                <w:sz w:val="20"/>
                <w:szCs w:val="20"/>
                <w:color w:val="auto"/>
              </w:rPr>
            </w:pPr>
            <w:r>
              <w:rPr>
                <w:rFonts w:ascii="Arial" w:cs="Arial" w:eastAsia="Arial" w:hAnsi="Arial"/>
                <w:sz w:val="16"/>
                <w:szCs w:val="16"/>
                <w:b w:val="1"/>
                <w:bCs w:val="1"/>
                <w:color w:val="auto"/>
              </w:rPr>
              <w:t>Annual Incentive</w:t>
            </w:r>
          </w:p>
        </w:tc>
        <w:tc>
          <w:tcPr>
            <w:tcW w:w="3220" w:type="dxa"/>
            <w:vAlign w:val="bottom"/>
            <w:shd w:val="clear" w:color="auto" w:fill="CCEEFF"/>
          </w:tcPr>
          <w:p>
            <w:pPr>
              <w:ind w:left="860"/>
              <w:spacing w:after="0"/>
              <w:rPr>
                <w:sz w:val="20"/>
                <w:szCs w:val="20"/>
                <w:color w:val="auto"/>
              </w:rPr>
            </w:pPr>
            <w:r>
              <w:rPr>
                <w:rFonts w:ascii="Arial" w:cs="Arial" w:eastAsia="Arial" w:hAnsi="Arial"/>
                <w:sz w:val="16"/>
                <w:szCs w:val="16"/>
                <w:b w:val="1"/>
                <w:bCs w:val="1"/>
                <w:color w:val="auto"/>
              </w:rPr>
              <w:t>Strategic Performance</w:t>
            </w:r>
          </w:p>
        </w:tc>
        <w:tc>
          <w:tcPr>
            <w:tcW w:w="3900" w:type="dxa"/>
            <w:vAlign w:val="bottom"/>
            <w:shd w:val="clear" w:color="auto" w:fill="CCEEFF"/>
          </w:tcPr>
          <w:p>
            <w:pPr>
              <w:ind w:left="820"/>
              <w:spacing w:after="0"/>
              <w:rPr>
                <w:sz w:val="20"/>
                <w:szCs w:val="20"/>
                <w:color w:val="auto"/>
              </w:rPr>
            </w:pPr>
            <w:r>
              <w:rPr>
                <w:rFonts w:ascii="Arial" w:cs="Arial" w:eastAsia="Arial" w:hAnsi="Arial"/>
                <w:sz w:val="16"/>
                <w:szCs w:val="16"/>
                <w:b w:val="1"/>
                <w:bCs w:val="1"/>
                <w:color w:val="auto"/>
              </w:rPr>
              <w:t>Nonqualified</w:t>
            </w:r>
          </w:p>
        </w:tc>
        <w:tc>
          <w:tcPr>
            <w:tcW w:w="0" w:type="dxa"/>
            <w:vAlign w:val="bottom"/>
          </w:tcPr>
          <w:p>
            <w:pPr>
              <w:spacing w:after="0"/>
              <w:rPr>
                <w:sz w:val="1"/>
                <w:szCs w:val="1"/>
                <w:color w:val="auto"/>
              </w:rPr>
            </w:pPr>
          </w:p>
        </w:tc>
      </w:tr>
      <w:tr>
        <w:trPr>
          <w:trHeight w:val="95"/>
        </w:trPr>
        <w:tc>
          <w:tcPr>
            <w:tcW w:w="1360" w:type="dxa"/>
            <w:vAlign w:val="bottom"/>
            <w:shd w:val="clear" w:color="auto" w:fill="CCEEFF"/>
          </w:tcPr>
          <w:p>
            <w:pPr>
              <w:spacing w:after="0"/>
              <w:rPr>
                <w:sz w:val="8"/>
                <w:szCs w:val="8"/>
                <w:color w:val="auto"/>
              </w:rPr>
            </w:pPr>
          </w:p>
        </w:tc>
        <w:tc>
          <w:tcPr>
            <w:tcW w:w="2940" w:type="dxa"/>
            <w:vAlign w:val="bottom"/>
            <w:vMerge w:val="continue"/>
            <w:shd w:val="clear" w:color="auto" w:fill="CCEEFF"/>
          </w:tcPr>
          <w:p>
            <w:pPr>
              <w:spacing w:after="0"/>
              <w:rPr>
                <w:sz w:val="8"/>
                <w:szCs w:val="8"/>
                <w:color w:val="auto"/>
              </w:rPr>
            </w:pPr>
          </w:p>
        </w:tc>
        <w:tc>
          <w:tcPr>
            <w:tcW w:w="3220" w:type="dxa"/>
            <w:vAlign w:val="bottom"/>
            <w:vMerge w:val="restart"/>
            <w:shd w:val="clear" w:color="auto" w:fill="CCEEFF"/>
          </w:tcPr>
          <w:p>
            <w:pPr>
              <w:ind w:left="860"/>
              <w:spacing w:after="0"/>
              <w:rPr>
                <w:sz w:val="20"/>
                <w:szCs w:val="20"/>
                <w:color w:val="auto"/>
              </w:rPr>
            </w:pPr>
            <w:r>
              <w:rPr>
                <w:rFonts w:ascii="Arial" w:cs="Arial" w:eastAsia="Arial" w:hAnsi="Arial"/>
                <w:sz w:val="16"/>
                <w:szCs w:val="16"/>
                <w:b w:val="1"/>
                <w:bCs w:val="1"/>
                <w:color w:val="auto"/>
              </w:rPr>
              <w:t>Shares</w:t>
            </w:r>
          </w:p>
        </w:tc>
        <w:tc>
          <w:tcPr>
            <w:tcW w:w="3900" w:type="dxa"/>
            <w:vAlign w:val="bottom"/>
            <w:vMerge w:val="restart"/>
            <w:shd w:val="clear" w:color="auto" w:fill="CCEEFF"/>
          </w:tcPr>
          <w:p>
            <w:pPr>
              <w:ind w:left="820"/>
              <w:spacing w:after="0"/>
              <w:rPr>
                <w:sz w:val="20"/>
                <w:szCs w:val="20"/>
                <w:color w:val="auto"/>
              </w:rPr>
            </w:pPr>
            <w:r>
              <w:rPr>
                <w:rFonts w:ascii="Arial" w:cs="Arial" w:eastAsia="Arial" w:hAnsi="Arial"/>
                <w:sz w:val="16"/>
                <w:szCs w:val="16"/>
                <w:b w:val="1"/>
                <w:bCs w:val="1"/>
                <w:color w:val="auto"/>
              </w:rPr>
              <w:t>Stock Options</w:t>
            </w:r>
          </w:p>
        </w:tc>
        <w:tc>
          <w:tcPr>
            <w:tcW w:w="0" w:type="dxa"/>
            <w:vAlign w:val="bottom"/>
          </w:tcPr>
          <w:p>
            <w:pPr>
              <w:spacing w:after="0"/>
              <w:rPr>
                <w:sz w:val="1"/>
                <w:szCs w:val="1"/>
                <w:color w:val="auto"/>
              </w:rPr>
            </w:pPr>
          </w:p>
        </w:tc>
      </w:tr>
      <w:tr>
        <w:trPr>
          <w:trHeight w:val="162"/>
        </w:trPr>
        <w:tc>
          <w:tcPr>
            <w:tcW w:w="1360" w:type="dxa"/>
            <w:vAlign w:val="bottom"/>
            <w:tcBorders>
              <w:bottom w:val="single" w:sz="8" w:color="auto"/>
            </w:tcBorders>
            <w:shd w:val="clear" w:color="auto" w:fill="CCEEFF"/>
          </w:tcPr>
          <w:p>
            <w:pPr>
              <w:spacing w:after="0"/>
              <w:rPr>
                <w:sz w:val="14"/>
                <w:szCs w:val="14"/>
                <w:color w:val="auto"/>
              </w:rPr>
            </w:pPr>
          </w:p>
        </w:tc>
        <w:tc>
          <w:tcPr>
            <w:tcW w:w="2940" w:type="dxa"/>
            <w:vAlign w:val="bottom"/>
            <w:tcBorders>
              <w:bottom w:val="single" w:sz="8" w:color="auto"/>
            </w:tcBorders>
            <w:shd w:val="clear" w:color="auto" w:fill="CCEEFF"/>
          </w:tcPr>
          <w:p>
            <w:pPr>
              <w:spacing w:after="0"/>
              <w:rPr>
                <w:sz w:val="14"/>
                <w:szCs w:val="14"/>
                <w:color w:val="auto"/>
              </w:rPr>
            </w:pPr>
          </w:p>
        </w:tc>
        <w:tc>
          <w:tcPr>
            <w:tcW w:w="3220" w:type="dxa"/>
            <w:vAlign w:val="bottom"/>
            <w:tcBorders>
              <w:bottom w:val="single" w:sz="8" w:color="auto"/>
            </w:tcBorders>
            <w:vMerge w:val="continue"/>
            <w:shd w:val="clear" w:color="auto" w:fill="CCEEFF"/>
          </w:tcPr>
          <w:p>
            <w:pPr>
              <w:spacing w:after="0"/>
              <w:rPr>
                <w:sz w:val="14"/>
                <w:szCs w:val="14"/>
                <w:color w:val="auto"/>
              </w:rPr>
            </w:pPr>
          </w:p>
        </w:tc>
        <w:tc>
          <w:tcPr>
            <w:tcW w:w="3900" w:type="dxa"/>
            <w:vAlign w:val="bottom"/>
            <w:tcBorders>
              <w:bottom w:val="single" w:sz="8" w:color="auto"/>
            </w:tcBorders>
            <w:vMerge w:val="continue"/>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206"/>
        </w:trPr>
        <w:tc>
          <w:tcPr>
            <w:tcW w:w="1360" w:type="dxa"/>
            <w:vAlign w:val="bottom"/>
          </w:tcPr>
          <w:p>
            <w:pPr>
              <w:spacing w:after="0"/>
              <w:rPr>
                <w:sz w:val="17"/>
                <w:szCs w:val="17"/>
                <w:color w:val="auto"/>
              </w:rPr>
            </w:pPr>
          </w:p>
        </w:tc>
        <w:tc>
          <w:tcPr>
            <w:tcW w:w="2940" w:type="dxa"/>
            <w:vAlign w:val="bottom"/>
          </w:tcPr>
          <w:p>
            <w:pPr>
              <w:ind w:left="380"/>
              <w:spacing w:after="0"/>
              <w:rPr>
                <w:sz w:val="20"/>
                <w:szCs w:val="20"/>
                <w:color w:val="auto"/>
              </w:rPr>
            </w:pPr>
            <w:r>
              <w:rPr>
                <w:rFonts w:ascii="Arial" w:cs="Arial" w:eastAsia="Arial" w:hAnsi="Arial"/>
                <w:sz w:val="16"/>
                <w:szCs w:val="16"/>
                <w:color w:val="auto"/>
              </w:rPr>
              <w:t>Short-term operational</w:t>
            </w:r>
          </w:p>
        </w:tc>
        <w:tc>
          <w:tcPr>
            <w:tcW w:w="3220" w:type="dxa"/>
            <w:vAlign w:val="bottom"/>
          </w:tcPr>
          <w:p>
            <w:pPr>
              <w:ind w:left="860"/>
              <w:spacing w:after="0"/>
              <w:rPr>
                <w:sz w:val="20"/>
                <w:szCs w:val="20"/>
                <w:color w:val="auto"/>
              </w:rPr>
            </w:pPr>
            <w:r>
              <w:rPr>
                <w:rFonts w:ascii="Arial" w:cs="Arial" w:eastAsia="Arial" w:hAnsi="Arial"/>
                <w:sz w:val="16"/>
                <w:szCs w:val="16"/>
                <w:color w:val="auto"/>
              </w:rPr>
              <w:t>Medium-term strategic</w:t>
            </w:r>
          </w:p>
        </w:tc>
        <w:tc>
          <w:tcPr>
            <w:tcW w:w="3900" w:type="dxa"/>
            <w:vAlign w:val="bottom"/>
          </w:tcPr>
          <w:p>
            <w:pPr>
              <w:ind w:left="820"/>
              <w:spacing w:after="0"/>
              <w:rPr>
                <w:sz w:val="20"/>
                <w:szCs w:val="20"/>
                <w:color w:val="auto"/>
              </w:rPr>
            </w:pPr>
            <w:r>
              <w:rPr>
                <w:rFonts w:ascii="Arial" w:cs="Arial" w:eastAsia="Arial" w:hAnsi="Arial"/>
                <w:sz w:val="16"/>
                <w:szCs w:val="16"/>
                <w:color w:val="auto"/>
              </w:rPr>
              <w:t>Long-term shareholder</w:t>
            </w:r>
          </w:p>
        </w:tc>
        <w:tc>
          <w:tcPr>
            <w:tcW w:w="0" w:type="dxa"/>
            <w:vAlign w:val="bottom"/>
          </w:tcPr>
          <w:p>
            <w:pPr>
              <w:spacing w:after="0"/>
              <w:rPr>
                <w:sz w:val="1"/>
                <w:szCs w:val="1"/>
                <w:color w:val="auto"/>
              </w:rPr>
            </w:pPr>
          </w:p>
        </w:tc>
      </w:tr>
      <w:tr>
        <w:trPr>
          <w:trHeight w:val="250"/>
        </w:trPr>
        <w:tc>
          <w:tcPr>
            <w:tcW w:w="1360" w:type="dxa"/>
            <w:vAlign w:val="bottom"/>
            <w:tcBorders>
              <w:bottom w:val="single" w:sz="8" w:color="auto"/>
            </w:tcBorders>
          </w:tcPr>
          <w:p>
            <w:pPr>
              <w:spacing w:after="0"/>
              <w:rPr>
                <w:sz w:val="20"/>
                <w:szCs w:val="20"/>
                <w:color w:val="auto"/>
              </w:rPr>
            </w:pPr>
            <w:r>
              <w:rPr>
                <w:rFonts w:ascii="Arial" w:cs="Arial" w:eastAsia="Arial" w:hAnsi="Arial"/>
                <w:sz w:val="16"/>
                <w:szCs w:val="16"/>
                <w:b w:val="1"/>
                <w:bCs w:val="1"/>
                <w:color w:val="auto"/>
              </w:rPr>
              <w:t>Objective</w:t>
            </w:r>
          </w:p>
        </w:tc>
        <w:tc>
          <w:tcPr>
            <w:tcW w:w="2940" w:type="dxa"/>
            <w:vAlign w:val="bottom"/>
            <w:tcBorders>
              <w:bottom w:val="single" w:sz="8" w:color="auto"/>
            </w:tcBorders>
          </w:tcPr>
          <w:p>
            <w:pPr>
              <w:ind w:left="380"/>
              <w:spacing w:after="0"/>
              <w:rPr>
                <w:sz w:val="20"/>
                <w:szCs w:val="20"/>
                <w:color w:val="auto"/>
              </w:rPr>
            </w:pPr>
            <w:r>
              <w:rPr>
                <w:rFonts w:ascii="Arial" w:cs="Arial" w:eastAsia="Arial" w:hAnsi="Arial"/>
                <w:sz w:val="16"/>
                <w:szCs w:val="16"/>
                <w:color w:val="auto"/>
              </w:rPr>
              <w:t>business priorities</w:t>
            </w:r>
          </w:p>
        </w:tc>
        <w:tc>
          <w:tcPr>
            <w:tcW w:w="3220" w:type="dxa"/>
            <w:vAlign w:val="bottom"/>
            <w:tcBorders>
              <w:bottom w:val="single" w:sz="8" w:color="auto"/>
            </w:tcBorders>
          </w:tcPr>
          <w:p>
            <w:pPr>
              <w:ind w:left="860"/>
              <w:spacing w:after="0"/>
              <w:rPr>
                <w:sz w:val="20"/>
                <w:szCs w:val="20"/>
                <w:color w:val="auto"/>
              </w:rPr>
            </w:pPr>
            <w:r>
              <w:rPr>
                <w:rFonts w:ascii="Arial" w:cs="Arial" w:eastAsia="Arial" w:hAnsi="Arial"/>
                <w:sz w:val="16"/>
                <w:szCs w:val="16"/>
                <w:color w:val="auto"/>
              </w:rPr>
              <w:t>financial goals</w:t>
            </w:r>
          </w:p>
        </w:tc>
        <w:tc>
          <w:tcPr>
            <w:tcW w:w="3900" w:type="dxa"/>
            <w:vAlign w:val="bottom"/>
            <w:tcBorders>
              <w:bottom w:val="single" w:sz="8" w:color="auto"/>
            </w:tcBorders>
          </w:tcPr>
          <w:p>
            <w:pPr>
              <w:ind w:left="820"/>
              <w:spacing w:after="0"/>
              <w:rPr>
                <w:sz w:val="20"/>
                <w:szCs w:val="20"/>
                <w:color w:val="auto"/>
              </w:rPr>
            </w:pPr>
            <w:r>
              <w:rPr>
                <w:rFonts w:ascii="Arial" w:cs="Arial" w:eastAsia="Arial" w:hAnsi="Arial"/>
                <w:sz w:val="16"/>
                <w:szCs w:val="16"/>
                <w:color w:val="auto"/>
              </w:rPr>
              <w:t>value creation</w:t>
            </w:r>
          </w:p>
        </w:tc>
        <w:tc>
          <w:tcPr>
            <w:tcW w:w="0" w:type="dxa"/>
            <w:vAlign w:val="bottom"/>
          </w:tcPr>
          <w:p>
            <w:pPr>
              <w:spacing w:after="0"/>
              <w:rPr>
                <w:sz w:val="1"/>
                <w:szCs w:val="1"/>
                <w:color w:val="auto"/>
              </w:rPr>
            </w:pPr>
          </w:p>
        </w:tc>
      </w:tr>
      <w:tr>
        <w:trPr>
          <w:trHeight w:val="199"/>
        </w:trPr>
        <w:tc>
          <w:tcPr>
            <w:tcW w:w="1360" w:type="dxa"/>
            <w:vAlign w:val="bottom"/>
            <w:tcBorders>
              <w:bottom w:val="single" w:sz="8" w:color="auto"/>
            </w:tcBorders>
          </w:tcPr>
          <w:p>
            <w:pPr>
              <w:spacing w:after="0"/>
              <w:rPr>
                <w:sz w:val="20"/>
                <w:szCs w:val="20"/>
                <w:color w:val="auto"/>
              </w:rPr>
            </w:pPr>
            <w:r>
              <w:rPr>
                <w:rFonts w:ascii="Arial" w:cs="Arial" w:eastAsia="Arial" w:hAnsi="Arial"/>
                <w:sz w:val="16"/>
                <w:szCs w:val="16"/>
                <w:b w:val="1"/>
                <w:bCs w:val="1"/>
                <w:color w:val="auto"/>
              </w:rPr>
              <w:t>Time Horizon</w:t>
            </w:r>
          </w:p>
        </w:tc>
        <w:tc>
          <w:tcPr>
            <w:tcW w:w="2940" w:type="dxa"/>
            <w:vAlign w:val="bottom"/>
            <w:tcBorders>
              <w:bottom w:val="single" w:sz="8" w:color="auto"/>
            </w:tcBorders>
          </w:tcPr>
          <w:p>
            <w:pPr>
              <w:ind w:left="380"/>
              <w:spacing w:after="0"/>
              <w:rPr>
                <w:sz w:val="20"/>
                <w:szCs w:val="20"/>
                <w:color w:val="auto"/>
              </w:rPr>
            </w:pPr>
            <w:r>
              <w:rPr>
                <w:rFonts w:ascii="Arial" w:cs="Arial" w:eastAsia="Arial" w:hAnsi="Arial"/>
                <w:sz w:val="16"/>
                <w:szCs w:val="16"/>
                <w:color w:val="auto"/>
              </w:rPr>
              <w:t>1 Year</w:t>
            </w:r>
          </w:p>
        </w:tc>
        <w:tc>
          <w:tcPr>
            <w:tcW w:w="3220" w:type="dxa"/>
            <w:vAlign w:val="bottom"/>
            <w:tcBorders>
              <w:bottom w:val="single" w:sz="8" w:color="auto"/>
            </w:tcBorders>
          </w:tcPr>
          <w:p>
            <w:pPr>
              <w:ind w:left="860"/>
              <w:spacing w:after="0"/>
              <w:rPr>
                <w:sz w:val="20"/>
                <w:szCs w:val="20"/>
                <w:color w:val="auto"/>
              </w:rPr>
            </w:pPr>
            <w:r>
              <w:rPr>
                <w:rFonts w:ascii="Arial" w:cs="Arial" w:eastAsia="Arial" w:hAnsi="Arial"/>
                <w:sz w:val="16"/>
                <w:szCs w:val="16"/>
                <w:color w:val="auto"/>
              </w:rPr>
              <w:t>3 Years</w:t>
            </w:r>
          </w:p>
        </w:tc>
        <w:tc>
          <w:tcPr>
            <w:tcW w:w="3900" w:type="dxa"/>
            <w:vAlign w:val="bottom"/>
            <w:tcBorders>
              <w:bottom w:val="single" w:sz="8" w:color="auto"/>
            </w:tcBorders>
          </w:tcPr>
          <w:p>
            <w:pPr>
              <w:ind w:left="820"/>
              <w:spacing w:after="0"/>
              <w:rPr>
                <w:sz w:val="20"/>
                <w:szCs w:val="20"/>
                <w:color w:val="auto"/>
              </w:rPr>
            </w:pPr>
            <w:r>
              <w:rPr>
                <w:rFonts w:ascii="Arial" w:cs="Arial" w:eastAsia="Arial" w:hAnsi="Arial"/>
                <w:sz w:val="16"/>
                <w:szCs w:val="16"/>
                <w:color w:val="auto"/>
              </w:rPr>
              <w:t>10 Years</w:t>
            </w:r>
          </w:p>
        </w:tc>
        <w:tc>
          <w:tcPr>
            <w:tcW w:w="0" w:type="dxa"/>
            <w:vAlign w:val="bottom"/>
          </w:tcPr>
          <w:p>
            <w:pPr>
              <w:spacing w:after="0"/>
              <w:rPr>
                <w:sz w:val="1"/>
                <w:szCs w:val="1"/>
                <w:color w:val="auto"/>
              </w:rPr>
            </w:pPr>
          </w:p>
        </w:tc>
      </w:tr>
      <w:tr>
        <w:trPr>
          <w:trHeight w:val="200"/>
        </w:trPr>
        <w:tc>
          <w:tcPr>
            <w:tcW w:w="1360" w:type="dxa"/>
            <w:vAlign w:val="bottom"/>
          </w:tcPr>
          <w:p>
            <w:pPr>
              <w:spacing w:after="0"/>
              <w:rPr>
                <w:sz w:val="17"/>
                <w:szCs w:val="17"/>
                <w:color w:val="auto"/>
              </w:rPr>
            </w:pPr>
          </w:p>
        </w:tc>
        <w:tc>
          <w:tcPr>
            <w:tcW w:w="2940" w:type="dxa"/>
            <w:vAlign w:val="bottom"/>
          </w:tcPr>
          <w:p>
            <w:pPr>
              <w:ind w:left="380"/>
              <w:spacing w:after="0"/>
              <w:rPr>
                <w:sz w:val="20"/>
                <w:szCs w:val="20"/>
                <w:color w:val="auto"/>
              </w:rPr>
            </w:pPr>
            <w:r>
              <w:rPr>
                <w:rFonts w:ascii="Arial" w:cs="Arial" w:eastAsia="Arial" w:hAnsi="Arial"/>
                <w:sz w:val="16"/>
                <w:szCs w:val="16"/>
                <w:color w:val="auto"/>
              </w:rPr>
              <w:t>80% corporate EBIT/BIC</w:t>
            </w:r>
          </w:p>
        </w:tc>
        <w:tc>
          <w:tcPr>
            <w:tcW w:w="3220" w:type="dxa"/>
            <w:vAlign w:val="bottom"/>
          </w:tcPr>
          <w:p>
            <w:pPr>
              <w:ind w:left="860"/>
              <w:spacing w:after="0"/>
              <w:rPr>
                <w:sz w:val="20"/>
                <w:szCs w:val="20"/>
                <w:color w:val="auto"/>
              </w:rPr>
            </w:pPr>
            <w:r>
              <w:rPr>
                <w:rFonts w:ascii="Arial" w:cs="Arial" w:eastAsia="Arial" w:hAnsi="Arial"/>
                <w:sz w:val="16"/>
                <w:szCs w:val="16"/>
                <w:color w:val="auto"/>
              </w:rPr>
              <w:t>ROIC and EPS</w:t>
            </w:r>
          </w:p>
        </w:tc>
        <w:tc>
          <w:tcPr>
            <w:tcW w:w="39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50"/>
        </w:trPr>
        <w:tc>
          <w:tcPr>
            <w:tcW w:w="1360" w:type="dxa"/>
            <w:vAlign w:val="bottom"/>
            <w:tcBorders>
              <w:bottom w:val="single" w:sz="8" w:color="auto"/>
            </w:tcBorders>
          </w:tcPr>
          <w:p>
            <w:pPr>
              <w:spacing w:after="0"/>
              <w:rPr>
                <w:sz w:val="20"/>
                <w:szCs w:val="20"/>
                <w:color w:val="auto"/>
              </w:rPr>
            </w:pPr>
            <w:r>
              <w:rPr>
                <w:rFonts w:ascii="Arial" w:cs="Arial" w:eastAsia="Arial" w:hAnsi="Arial"/>
                <w:sz w:val="16"/>
                <w:szCs w:val="16"/>
                <w:b w:val="1"/>
                <w:bCs w:val="1"/>
                <w:color w:val="auto"/>
              </w:rPr>
              <w:t>Metrics</w:t>
            </w:r>
          </w:p>
        </w:tc>
        <w:tc>
          <w:tcPr>
            <w:tcW w:w="2940" w:type="dxa"/>
            <w:vAlign w:val="bottom"/>
            <w:tcBorders>
              <w:bottom w:val="single" w:sz="8" w:color="auto"/>
            </w:tcBorders>
          </w:tcPr>
          <w:p>
            <w:pPr>
              <w:ind w:left="380"/>
              <w:spacing w:after="0"/>
              <w:rPr>
                <w:sz w:val="20"/>
                <w:szCs w:val="20"/>
                <w:color w:val="auto"/>
              </w:rPr>
            </w:pPr>
            <w:r>
              <w:rPr>
                <w:rFonts w:ascii="Arial" w:cs="Arial" w:eastAsia="Arial" w:hAnsi="Arial"/>
                <w:sz w:val="16"/>
                <w:szCs w:val="16"/>
                <w:color w:val="auto"/>
              </w:rPr>
              <w:t>20% working capital/sales</w:t>
            </w:r>
          </w:p>
        </w:tc>
        <w:tc>
          <w:tcPr>
            <w:tcW w:w="3220" w:type="dxa"/>
            <w:vAlign w:val="bottom"/>
            <w:tcBorders>
              <w:bottom w:val="single" w:sz="8" w:color="auto"/>
            </w:tcBorders>
          </w:tcPr>
          <w:p>
            <w:pPr>
              <w:ind w:left="860"/>
              <w:spacing w:after="0"/>
              <w:rPr>
                <w:sz w:val="20"/>
                <w:szCs w:val="20"/>
                <w:color w:val="auto"/>
              </w:rPr>
            </w:pPr>
            <w:r>
              <w:rPr>
                <w:rFonts w:ascii="Arial" w:cs="Arial" w:eastAsia="Arial" w:hAnsi="Arial"/>
                <w:sz w:val="16"/>
                <w:szCs w:val="16"/>
                <w:color w:val="auto"/>
              </w:rPr>
              <w:t>Stock Price</w:t>
            </w:r>
          </w:p>
        </w:tc>
        <w:tc>
          <w:tcPr>
            <w:tcW w:w="3900" w:type="dxa"/>
            <w:vAlign w:val="bottom"/>
            <w:tcBorders>
              <w:bottom w:val="single" w:sz="8" w:color="auto"/>
            </w:tcBorders>
          </w:tcPr>
          <w:p>
            <w:pPr>
              <w:ind w:left="820"/>
              <w:spacing w:after="0"/>
              <w:rPr>
                <w:sz w:val="20"/>
                <w:szCs w:val="20"/>
                <w:color w:val="auto"/>
              </w:rPr>
            </w:pPr>
            <w:r>
              <w:rPr>
                <w:rFonts w:ascii="Arial" w:cs="Arial" w:eastAsia="Arial" w:hAnsi="Arial"/>
                <w:sz w:val="16"/>
                <w:szCs w:val="16"/>
                <w:color w:val="auto"/>
              </w:rPr>
              <w:t>Stock Price</w:t>
            </w:r>
          </w:p>
        </w:tc>
        <w:tc>
          <w:tcPr>
            <w:tcW w:w="0" w:type="dxa"/>
            <w:vAlign w:val="bottom"/>
          </w:tcPr>
          <w:p>
            <w:pPr>
              <w:spacing w:after="0"/>
              <w:rPr>
                <w:sz w:val="1"/>
                <w:szCs w:val="1"/>
                <w:color w:val="auto"/>
              </w:rPr>
            </w:pPr>
          </w:p>
        </w:tc>
      </w:tr>
    </w:tbl>
    <w:p>
      <w:pPr>
        <w:spacing w:after="0" w:line="242" w:lineRule="exact"/>
        <w:rPr>
          <w:sz w:val="20"/>
          <w:szCs w:val="20"/>
          <w:color w:val="auto"/>
        </w:rPr>
      </w:pPr>
    </w:p>
    <w:p>
      <w:pPr>
        <w:ind w:right="80" w:firstLine="913"/>
        <w:spacing w:after="0" w:line="302" w:lineRule="auto"/>
        <w:rPr>
          <w:sz w:val="20"/>
          <w:szCs w:val="20"/>
          <w:color w:val="auto"/>
        </w:rPr>
      </w:pPr>
      <w:r>
        <w:rPr>
          <w:rFonts w:ascii="Arial" w:cs="Arial" w:eastAsia="Arial" w:hAnsi="Arial"/>
          <w:sz w:val="16"/>
          <w:szCs w:val="16"/>
          <w:color w:val="auto"/>
        </w:rPr>
        <w:t>The mix between short-term and long-term or cash and non-cash compensation varies at Timken by management level. Mr. Timken received more of his total target compensation in the form of long-term compensation relative to our other NEOs, whose compensation packages had greater emphasis on current, cash-denominated pay for 2013. This reflects Timken’s view that more senior executives should have a more significant incentive to focus on and drive long-term performance, while priorities for executives lower in the organization are more heavily focused on shorter-term operational results.</w:t>
      </w:r>
    </w:p>
    <w:p>
      <w:pPr>
        <w:spacing w:after="0" w:line="195" w:lineRule="exact"/>
        <w:rPr>
          <w:sz w:val="20"/>
          <w:szCs w:val="20"/>
          <w:color w:val="auto"/>
        </w:rPr>
      </w:pPr>
    </w:p>
    <w:p>
      <w:pPr>
        <w:ind w:left="100"/>
        <w:spacing w:after="0"/>
        <w:rPr>
          <w:sz w:val="20"/>
          <w:szCs w:val="20"/>
          <w:color w:val="auto"/>
        </w:rPr>
      </w:pPr>
      <w:r>
        <w:rPr>
          <w:rFonts w:ascii="Arial" w:cs="Arial" w:eastAsia="Arial" w:hAnsi="Arial"/>
          <w:sz w:val="18"/>
          <w:szCs w:val="18"/>
          <w:color w:val="auto"/>
        </w:rPr>
        <w:t>Other key features of Timken’s executive compensation program for 2013 included:</w:t>
      </w:r>
    </w:p>
    <w:p>
      <w:pPr>
        <w:spacing w:after="0" w:line="200" w:lineRule="exact"/>
        <w:rPr>
          <w:sz w:val="20"/>
          <w:szCs w:val="20"/>
          <w:color w:val="auto"/>
        </w:rPr>
      </w:pPr>
    </w:p>
    <w:p>
      <w:pPr>
        <w:spacing w:after="0" w:line="224" w:lineRule="exact"/>
        <w:rPr>
          <w:sz w:val="20"/>
          <w:szCs w:val="20"/>
          <w:color w:val="auto"/>
        </w:rPr>
      </w:pPr>
    </w:p>
    <w:p>
      <w:pPr>
        <w:ind w:left="440" w:right="600" w:hanging="216"/>
        <w:spacing w:after="0" w:line="313" w:lineRule="auto"/>
        <w:tabs>
          <w:tab w:leader="none" w:pos="440" w:val="left"/>
        </w:tabs>
        <w:numPr>
          <w:ilvl w:val="0"/>
          <w:numId w:val="21"/>
        </w:numPr>
        <w:rPr>
          <w:rFonts w:ascii="Arial" w:cs="Arial" w:eastAsia="Arial" w:hAnsi="Arial"/>
          <w:sz w:val="17"/>
          <w:szCs w:val="17"/>
          <w:color w:val="auto"/>
        </w:rPr>
      </w:pPr>
      <w:r>
        <w:rPr>
          <w:rFonts w:ascii="Arial" w:cs="Arial" w:eastAsia="Arial" w:hAnsi="Arial"/>
          <w:sz w:val="17"/>
          <w:szCs w:val="17"/>
          <w:b w:val="1"/>
          <w:bCs w:val="1"/>
          <w:color w:val="auto"/>
        </w:rPr>
        <w:t xml:space="preserve">Stock ownership requirements: </w:t>
      </w:r>
      <w:r>
        <w:rPr>
          <w:rFonts w:ascii="Arial" w:cs="Arial" w:eastAsia="Arial" w:hAnsi="Arial"/>
          <w:sz w:val="17"/>
          <w:szCs w:val="17"/>
          <w:color w:val="auto"/>
        </w:rPr>
        <w:t>Timken’s stock ownership guidelines require all senior executives to meet specific ownership targets based on</w:t>
      </w:r>
      <w:r>
        <w:rPr>
          <w:rFonts w:ascii="Arial" w:cs="Arial" w:eastAsia="Arial" w:hAnsi="Arial"/>
          <w:sz w:val="17"/>
          <w:szCs w:val="17"/>
          <w:b w:val="1"/>
          <w:bCs w:val="1"/>
          <w:color w:val="auto"/>
        </w:rPr>
        <w:t xml:space="preserve"> </w:t>
      </w:r>
      <w:r>
        <w:rPr>
          <w:rFonts w:ascii="Arial" w:cs="Arial" w:eastAsia="Arial" w:hAnsi="Arial"/>
          <w:sz w:val="17"/>
          <w:szCs w:val="17"/>
          <w:color w:val="auto"/>
        </w:rPr>
        <w:t>position. This requirement subjects these executives to the same long-term stock price volatility that shareholders experience.</w:t>
      </w:r>
    </w:p>
    <w:p>
      <w:pPr>
        <w:spacing w:after="0" w:line="340" w:lineRule="exact"/>
        <w:rPr>
          <w:rFonts w:ascii="Arial" w:cs="Arial" w:eastAsia="Arial" w:hAnsi="Arial"/>
          <w:sz w:val="17"/>
          <w:szCs w:val="17"/>
          <w:color w:val="auto"/>
        </w:rPr>
      </w:pPr>
    </w:p>
    <w:p>
      <w:pPr>
        <w:ind w:left="440" w:right="140" w:hanging="216"/>
        <w:spacing w:after="0" w:line="266" w:lineRule="auto"/>
        <w:tabs>
          <w:tab w:leader="none" w:pos="440" w:val="left"/>
        </w:tabs>
        <w:numPr>
          <w:ilvl w:val="0"/>
          <w:numId w:val="21"/>
        </w:numPr>
        <w:rPr>
          <w:rFonts w:ascii="Arial" w:cs="Arial" w:eastAsia="Arial" w:hAnsi="Arial"/>
          <w:sz w:val="18"/>
          <w:szCs w:val="18"/>
          <w:color w:val="auto"/>
        </w:rPr>
      </w:pPr>
      <w:r>
        <w:rPr>
          <w:rFonts w:ascii="Arial" w:cs="Arial" w:eastAsia="Arial" w:hAnsi="Arial"/>
          <w:sz w:val="18"/>
          <w:szCs w:val="18"/>
          <w:b w:val="1"/>
          <w:bCs w:val="1"/>
          <w:color w:val="auto"/>
        </w:rPr>
        <w:t xml:space="preserve">Clawback policy: </w:t>
      </w:r>
      <w:r>
        <w:rPr>
          <w:rFonts w:ascii="Arial" w:cs="Arial" w:eastAsia="Arial" w:hAnsi="Arial"/>
          <w:sz w:val="18"/>
          <w:szCs w:val="18"/>
          <w:color w:val="auto"/>
        </w:rPr>
        <w:t>If the Timken Compensation Committee determines that an executive has engaged in detrimental activity, Timken may retract</w:t>
      </w:r>
      <w:r>
        <w:rPr>
          <w:rFonts w:ascii="Arial" w:cs="Arial" w:eastAsia="Arial" w:hAnsi="Arial"/>
          <w:sz w:val="18"/>
          <w:szCs w:val="18"/>
          <w:b w:val="1"/>
          <w:bCs w:val="1"/>
          <w:color w:val="auto"/>
        </w:rPr>
        <w:t xml:space="preserve"> </w:t>
      </w:r>
      <w:r>
        <w:rPr>
          <w:rFonts w:ascii="Arial" w:cs="Arial" w:eastAsia="Arial" w:hAnsi="Arial"/>
          <w:sz w:val="18"/>
          <w:szCs w:val="18"/>
          <w:color w:val="auto"/>
        </w:rPr>
        <w:t>compensation awarded to that executive through its incentive plans. This “clawback” policy serves to increase transparency and discourage executives from engaging in behavior that could potentially harm Timken or its shareholders.</w:t>
      </w:r>
    </w:p>
    <w:p>
      <w:pPr>
        <w:spacing w:after="0" w:line="378" w:lineRule="exact"/>
        <w:rPr>
          <w:rFonts w:ascii="Arial" w:cs="Arial" w:eastAsia="Arial" w:hAnsi="Arial"/>
          <w:sz w:val="18"/>
          <w:szCs w:val="18"/>
          <w:color w:val="auto"/>
        </w:rPr>
      </w:pPr>
    </w:p>
    <w:p>
      <w:pPr>
        <w:ind w:left="440" w:right="80" w:hanging="216"/>
        <w:spacing w:after="0" w:line="258" w:lineRule="auto"/>
        <w:tabs>
          <w:tab w:leader="none" w:pos="440" w:val="left"/>
        </w:tabs>
        <w:numPr>
          <w:ilvl w:val="0"/>
          <w:numId w:val="21"/>
        </w:numPr>
        <w:rPr>
          <w:rFonts w:ascii="Arial" w:cs="Arial" w:eastAsia="Arial" w:hAnsi="Arial"/>
          <w:sz w:val="18"/>
          <w:szCs w:val="18"/>
          <w:color w:val="auto"/>
        </w:rPr>
      </w:pPr>
      <w:r>
        <w:rPr>
          <w:rFonts w:ascii="Arial" w:cs="Arial" w:eastAsia="Arial" w:hAnsi="Arial"/>
          <w:sz w:val="18"/>
          <w:szCs w:val="18"/>
          <w:b w:val="1"/>
          <w:bCs w:val="1"/>
          <w:color w:val="auto"/>
        </w:rPr>
        <w:t xml:space="preserve">Other practices: </w:t>
      </w:r>
      <w:r>
        <w:rPr>
          <w:rFonts w:ascii="Arial" w:cs="Arial" w:eastAsia="Arial" w:hAnsi="Arial"/>
          <w:sz w:val="18"/>
          <w:szCs w:val="18"/>
          <w:color w:val="auto"/>
        </w:rPr>
        <w:t>In recent years, Timken eliminated tax gross-ups on perquisites and added “double-trigger” vesting requirements to “change-in-control” provisions in its severance agreements and equity grants. Double-trigger vesting requirements generally require a qualifying termination of employment within a specified period of time after a change in control (or, regarding equity grants, a failure for equity awards to be replaced in a change in control) before severance is paid or equity awards vest in connection with the change in control. Timken also eliminated excise tax gross-ups for new participants in its executive compensation program.</w:t>
      </w:r>
    </w:p>
    <w:p>
      <w:pPr>
        <w:spacing w:after="0" w:line="25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Consideration of Timken’s 2013 Say-on-Pay Vote</w:t>
      </w:r>
    </w:p>
    <w:p>
      <w:pPr>
        <w:spacing w:after="0" w:line="189" w:lineRule="exact"/>
        <w:rPr>
          <w:sz w:val="20"/>
          <w:szCs w:val="20"/>
          <w:color w:val="auto"/>
        </w:rPr>
      </w:pPr>
    </w:p>
    <w:p>
      <w:pPr>
        <w:ind w:right="120" w:firstLine="913"/>
        <w:spacing w:after="0" w:line="276" w:lineRule="auto"/>
        <w:rPr>
          <w:sz w:val="20"/>
          <w:szCs w:val="20"/>
          <w:color w:val="auto"/>
        </w:rPr>
      </w:pPr>
      <w:r>
        <w:rPr>
          <w:rFonts w:ascii="Arial" w:cs="Arial" w:eastAsia="Arial" w:hAnsi="Arial"/>
          <w:sz w:val="17"/>
          <w:szCs w:val="17"/>
          <w:color w:val="auto"/>
        </w:rPr>
        <w:t>In evaluating the design of Timken’s executive compensation programs and its specific compensation decisions, the Timken Compensation Committee considers shareholder input, including the advisory “say-on-pay” vote at the annual shareholder meeting. In 2013, over 87% of the votes cast approved the compensation for Timken’s NEOs described in its proxy statement for the 2013 Annual Meeting of Shareholders. Based on this vote, as well as other input from conversations held with investors during the course of 2013, the Timken Compensation Committee determined that no changes to Timken’s compensation programs were warranted as a result of the shareholder advisory vote.</w:t>
      </w:r>
    </w:p>
    <w:p>
      <w:pPr>
        <w:spacing w:after="0" w:line="20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Determining Compensation for 2013</w:t>
      </w:r>
    </w:p>
    <w:p>
      <w:pPr>
        <w:spacing w:after="0" w:line="189" w:lineRule="exact"/>
        <w:rPr>
          <w:sz w:val="20"/>
          <w:szCs w:val="20"/>
          <w:color w:val="auto"/>
        </w:rPr>
      </w:pPr>
    </w:p>
    <w:p>
      <w:pPr>
        <w:ind w:left="920"/>
        <w:spacing w:after="0"/>
        <w:rPr>
          <w:sz w:val="20"/>
          <w:szCs w:val="20"/>
          <w:color w:val="auto"/>
        </w:rPr>
      </w:pPr>
      <w:r>
        <w:rPr>
          <w:rFonts w:ascii="Arial" w:cs="Arial" w:eastAsia="Arial" w:hAnsi="Arial"/>
          <w:sz w:val="18"/>
          <w:szCs w:val="18"/>
          <w:i w:val="1"/>
          <w:iCs w:val="1"/>
          <w:color w:val="auto"/>
        </w:rPr>
        <w:t>Role of the Timken Compensation Committee</w:t>
      </w:r>
    </w:p>
    <w:p>
      <w:pPr>
        <w:spacing w:after="0" w:line="266" w:lineRule="exact"/>
        <w:rPr>
          <w:sz w:val="20"/>
          <w:szCs w:val="20"/>
          <w:color w:val="auto"/>
        </w:rPr>
      </w:pPr>
    </w:p>
    <w:p>
      <w:pPr>
        <w:ind w:right="20" w:firstLine="720"/>
        <w:spacing w:after="0" w:line="257" w:lineRule="auto"/>
        <w:rPr>
          <w:sz w:val="20"/>
          <w:szCs w:val="20"/>
          <w:color w:val="auto"/>
        </w:rPr>
      </w:pPr>
      <w:r>
        <w:rPr>
          <w:rFonts w:ascii="Arial" w:cs="Arial" w:eastAsia="Arial" w:hAnsi="Arial"/>
          <w:sz w:val="18"/>
          <w:szCs w:val="18"/>
          <w:color w:val="auto"/>
        </w:rPr>
        <w:t>Each year, the Timken Compensation Committee determines the appropriate level of compensation for all of its executive officers. As part of this process, the Timken Compensation Committee reviews all the components of compensation for its NEOs and determines that each individual’s total compensation is reasonable and consistent with Timken’s compensation philosophy. The Timken Compensation Committee may also consider additional factors, such as the executive’s operating responsibilities, experience level, retention risk and tenure and performance in the position, and make adjustments to a particular element of an executive’s compensation.</w:t>
      </w:r>
    </w:p>
    <w:p>
      <w:pPr>
        <w:sectPr>
          <w:pgSz w:w="11900" w:h="16838" w:orient="portrait"/>
          <w:cols w:equalWidth="0" w:num="1">
            <w:col w:w="11420"/>
          </w:cols>
          <w:pgMar w:left="240" w:top="459" w:right="239" w:bottom="1440" w:gutter="0" w:footer="0" w:header="0"/>
        </w:sectPr>
      </w:pPr>
    </w:p>
    <w:p>
      <w:pPr>
        <w:spacing w:after="0" w:line="121"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64</w:t>
      </w:r>
    </w:p>
    <w:p>
      <w:pPr>
        <w:sectPr>
          <w:pgSz w:w="11900" w:h="16838" w:orient="portrait"/>
          <w:cols w:equalWidth="0" w:num="1">
            <w:col w:w="11420"/>
          </w:cols>
          <w:pgMar w:left="240" w:top="459" w:right="239" w:bottom="1440" w:gutter="0" w:footer="0" w:header="0"/>
          <w:type w:val="continuous"/>
        </w:sectPr>
      </w:pPr>
    </w:p>
    <w:bookmarkStart w:id="76" w:name="page77"/>
    <w:bookmarkEnd w:id="7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1">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firstLine="913"/>
        <w:spacing w:after="0" w:line="276" w:lineRule="auto"/>
        <w:rPr>
          <w:sz w:val="20"/>
          <w:szCs w:val="20"/>
          <w:color w:val="auto"/>
        </w:rPr>
      </w:pPr>
      <w:r>
        <w:rPr>
          <w:rFonts w:ascii="Arial" w:cs="Arial" w:eastAsia="Arial" w:hAnsi="Arial"/>
          <w:sz w:val="17"/>
          <w:szCs w:val="17"/>
          <w:color w:val="auto"/>
        </w:rPr>
        <w:t>The Timken Compensation Committee then approves, with any modifications it deems appropriate, base salary ranges, target annual performance award opportunities and long-term incentive grants for executive officers. The amount of past compensation realized or potentially realizable has not directly impacted the level at which current and long-term pay opportunities have been set, though the Timken Compensation Committee does consider this information in its deliberations. The Timken Compensation Committee focuses on the pay realized by executives as a result of performance, not just the values required to be reported in the Summary Compensation Table and its supporting tables.</w:t>
      </w:r>
    </w:p>
    <w:p>
      <w:pPr>
        <w:spacing w:after="0" w:line="213" w:lineRule="exact"/>
        <w:rPr>
          <w:sz w:val="20"/>
          <w:szCs w:val="20"/>
          <w:color w:val="auto"/>
        </w:rPr>
      </w:pPr>
    </w:p>
    <w:p>
      <w:pPr>
        <w:jc w:val="both"/>
        <w:ind w:right="20" w:firstLine="913"/>
        <w:spacing w:after="0" w:line="259" w:lineRule="auto"/>
        <w:rPr>
          <w:sz w:val="20"/>
          <w:szCs w:val="20"/>
          <w:color w:val="auto"/>
        </w:rPr>
      </w:pPr>
      <w:r>
        <w:rPr>
          <w:rFonts w:ascii="Arial" w:cs="Arial" w:eastAsia="Arial" w:hAnsi="Arial"/>
          <w:sz w:val="18"/>
          <w:szCs w:val="18"/>
          <w:color w:val="auto"/>
        </w:rPr>
        <w:t>In the course of its analysis and development of proposed total compensation packages, Towers Watson, the Timken Compensation Committee’s external compensation consultant, reviews the relevant information and discusses their findings with the committee. In addition, in establishing and reviewing Timken’s executive compensation programs, the Timken Compensation Committee considers whether the programs encourage unnecessary or excessive risk-taking and has determined that they do not.</w:t>
      </w:r>
    </w:p>
    <w:p>
      <w:pPr>
        <w:spacing w:after="0" w:line="227" w:lineRule="exact"/>
        <w:rPr>
          <w:sz w:val="20"/>
          <w:szCs w:val="20"/>
          <w:color w:val="auto"/>
        </w:rPr>
      </w:pPr>
    </w:p>
    <w:p>
      <w:pPr>
        <w:ind w:left="920"/>
        <w:spacing w:after="0"/>
        <w:rPr>
          <w:sz w:val="20"/>
          <w:szCs w:val="20"/>
          <w:color w:val="auto"/>
        </w:rPr>
      </w:pPr>
      <w:r>
        <w:rPr>
          <w:rFonts w:ascii="Arial" w:cs="Arial" w:eastAsia="Arial" w:hAnsi="Arial"/>
          <w:sz w:val="18"/>
          <w:szCs w:val="18"/>
          <w:i w:val="1"/>
          <w:iCs w:val="1"/>
          <w:color w:val="auto"/>
        </w:rPr>
        <w:t>Role of the CEO</w:t>
      </w:r>
    </w:p>
    <w:p>
      <w:pPr>
        <w:spacing w:after="0" w:line="252" w:lineRule="exact"/>
        <w:rPr>
          <w:sz w:val="20"/>
          <w:szCs w:val="20"/>
          <w:color w:val="auto"/>
        </w:rPr>
      </w:pPr>
    </w:p>
    <w:p>
      <w:pPr>
        <w:ind w:right="220" w:firstLine="913"/>
        <w:spacing w:after="0" w:line="257" w:lineRule="auto"/>
        <w:rPr>
          <w:sz w:val="20"/>
          <w:szCs w:val="20"/>
          <w:color w:val="auto"/>
        </w:rPr>
      </w:pPr>
      <w:r>
        <w:rPr>
          <w:rFonts w:ascii="Arial" w:cs="Arial" w:eastAsia="Arial" w:hAnsi="Arial"/>
          <w:sz w:val="18"/>
          <w:szCs w:val="18"/>
          <w:color w:val="auto"/>
        </w:rPr>
        <w:t>Timken’s CEO, in consultation with Timken’s Senior Vice President, Human Resources and Organizational Advancement and Towers Watson, prepares compensation recommendations for Timken’s NEOs (other than the CEO and the Chairman) and presents these recommendations to the Timken Compensation Committee. These recommendations are based on the CEO’s personal review of their performance, job responsibilities, importance to Timken’s overall business strategy, and Timken’s compensation philosophy. Although these recommendations are given significant weight, the Timken Compensation Committee retains full discretion when determining compensation.</w:t>
      </w:r>
    </w:p>
    <w:p>
      <w:pPr>
        <w:spacing w:after="0" w:line="229" w:lineRule="exact"/>
        <w:rPr>
          <w:sz w:val="20"/>
          <w:szCs w:val="20"/>
          <w:color w:val="auto"/>
        </w:rPr>
      </w:pPr>
    </w:p>
    <w:p>
      <w:pPr>
        <w:ind w:right="260" w:firstLine="913"/>
        <w:spacing w:after="0" w:line="279" w:lineRule="auto"/>
        <w:rPr>
          <w:sz w:val="20"/>
          <w:szCs w:val="20"/>
          <w:color w:val="auto"/>
        </w:rPr>
      </w:pPr>
      <w:r>
        <w:rPr>
          <w:rFonts w:ascii="Arial" w:cs="Arial" w:eastAsia="Arial" w:hAnsi="Arial"/>
          <w:sz w:val="17"/>
          <w:szCs w:val="17"/>
          <w:color w:val="auto"/>
        </w:rPr>
        <w:t>As part of this process, Timken also compares each element of compensation provided to its NEOs to market data and considers the total compensation package in relation to the target established for the position, taking into account the scope of responsibilities for the particular position. Total direct compensation (base salary, annual incentives and long-term incentive grants) is also evaluated in relation to the total compensation of comparable positions derived from the general market data as well as internal equity considerations.</w:t>
      </w:r>
    </w:p>
    <w:p>
      <w:pPr>
        <w:spacing w:after="0" w:line="212" w:lineRule="exact"/>
        <w:rPr>
          <w:sz w:val="20"/>
          <w:szCs w:val="20"/>
          <w:color w:val="auto"/>
        </w:rPr>
      </w:pPr>
    </w:p>
    <w:p>
      <w:pPr>
        <w:ind w:right="60" w:firstLine="913"/>
        <w:spacing w:after="0" w:line="277" w:lineRule="auto"/>
        <w:rPr>
          <w:sz w:val="20"/>
          <w:szCs w:val="20"/>
          <w:color w:val="auto"/>
        </w:rPr>
      </w:pPr>
      <w:r>
        <w:rPr>
          <w:rFonts w:ascii="Arial" w:cs="Arial" w:eastAsia="Arial" w:hAnsi="Arial"/>
          <w:sz w:val="18"/>
          <w:szCs w:val="18"/>
          <w:color w:val="auto"/>
        </w:rPr>
        <w:t>The compensation package for Mr. Timken was determined by the Timken Compensation Committee and approved by the independent members of the Timken Board of Directors during executive session.</w:t>
      </w:r>
    </w:p>
    <w:p>
      <w:pPr>
        <w:spacing w:after="0" w:line="197" w:lineRule="exact"/>
        <w:rPr>
          <w:sz w:val="20"/>
          <w:szCs w:val="20"/>
          <w:color w:val="auto"/>
        </w:rPr>
      </w:pPr>
    </w:p>
    <w:p>
      <w:pPr>
        <w:ind w:left="920"/>
        <w:spacing w:after="0"/>
        <w:rPr>
          <w:sz w:val="20"/>
          <w:szCs w:val="20"/>
          <w:color w:val="auto"/>
        </w:rPr>
      </w:pPr>
      <w:r>
        <w:rPr>
          <w:rFonts w:ascii="Arial" w:cs="Arial" w:eastAsia="Arial" w:hAnsi="Arial"/>
          <w:sz w:val="18"/>
          <w:szCs w:val="18"/>
          <w:i w:val="1"/>
          <w:iCs w:val="1"/>
          <w:color w:val="auto"/>
        </w:rPr>
        <w:t>Role of the Compensation Consultant</w:t>
      </w:r>
    </w:p>
    <w:p>
      <w:pPr>
        <w:spacing w:after="0" w:line="266" w:lineRule="exact"/>
        <w:rPr>
          <w:sz w:val="20"/>
          <w:szCs w:val="20"/>
          <w:color w:val="auto"/>
        </w:rPr>
      </w:pPr>
    </w:p>
    <w:p>
      <w:pPr>
        <w:ind w:right="140" w:firstLine="913"/>
        <w:spacing w:after="0" w:line="273" w:lineRule="auto"/>
        <w:rPr>
          <w:sz w:val="20"/>
          <w:szCs w:val="20"/>
          <w:color w:val="auto"/>
        </w:rPr>
      </w:pPr>
      <w:r>
        <w:rPr>
          <w:rFonts w:ascii="Arial" w:cs="Arial" w:eastAsia="Arial" w:hAnsi="Arial"/>
          <w:sz w:val="17"/>
          <w:szCs w:val="17"/>
          <w:color w:val="auto"/>
        </w:rPr>
        <w:t>The Timken Compensation Committee retains the authority to approve and monitor all compensation and benefit programs (other than broad-based welfare benefit programs). However, to add rigor in the review process and to inform the committee of market trends, the committee engages the services of Towers Watson, an independent executive compensation consultant, to analyze Timken’s executive compensation structure and plan designs, and to assess whether the compensation program is competitive and supports the Timken Compensation Committee’s goal to align the interests of executive officers with those of shareholders. Towers Watson also directly provides the Timken Compensation Committee with market data, which the committee references when determining compensation for executive officers.</w:t>
      </w:r>
    </w:p>
    <w:p>
      <w:pPr>
        <w:spacing w:after="0" w:line="219" w:lineRule="exact"/>
        <w:rPr>
          <w:sz w:val="20"/>
          <w:szCs w:val="20"/>
          <w:color w:val="auto"/>
        </w:rPr>
      </w:pPr>
    </w:p>
    <w:p>
      <w:pPr>
        <w:ind w:left="920"/>
        <w:spacing w:after="0"/>
        <w:rPr>
          <w:sz w:val="20"/>
          <w:szCs w:val="20"/>
          <w:color w:val="auto"/>
        </w:rPr>
      </w:pPr>
      <w:r>
        <w:rPr>
          <w:rFonts w:ascii="Arial" w:cs="Arial" w:eastAsia="Arial" w:hAnsi="Arial"/>
          <w:sz w:val="18"/>
          <w:szCs w:val="18"/>
          <w:color w:val="auto"/>
        </w:rPr>
        <w:t>In 2013, Towers Watson’s primary areas of assistance were:</w:t>
      </w:r>
    </w:p>
    <w:p>
      <w:pPr>
        <w:spacing w:after="0" w:line="306" w:lineRule="exact"/>
        <w:rPr>
          <w:sz w:val="20"/>
          <w:szCs w:val="20"/>
          <w:color w:val="auto"/>
        </w:rPr>
      </w:pPr>
    </w:p>
    <w:p>
      <w:pPr>
        <w:ind w:left="900" w:right="860" w:hanging="676"/>
        <w:spacing w:after="0" w:line="277" w:lineRule="auto"/>
        <w:tabs>
          <w:tab w:leader="none" w:pos="900" w:val="left"/>
        </w:tabs>
        <w:numPr>
          <w:ilvl w:val="0"/>
          <w:numId w:val="22"/>
        </w:numPr>
        <w:rPr>
          <w:rFonts w:ascii="Arial" w:cs="Arial" w:eastAsia="Arial" w:hAnsi="Arial"/>
          <w:sz w:val="18"/>
          <w:szCs w:val="18"/>
          <w:color w:val="auto"/>
        </w:rPr>
      </w:pPr>
      <w:r>
        <w:rPr>
          <w:rFonts w:ascii="Arial" w:cs="Arial" w:eastAsia="Arial" w:hAnsi="Arial"/>
          <w:sz w:val="18"/>
          <w:szCs w:val="18"/>
          <w:color w:val="auto"/>
        </w:rPr>
        <w:t>Gathering information related to current trends and practices in executive compensation in response to questions raised by the Timken Compensation Committee and management;</w:t>
      </w:r>
    </w:p>
    <w:p>
      <w:pPr>
        <w:spacing w:after="0" w:line="102" w:lineRule="exact"/>
        <w:rPr>
          <w:rFonts w:ascii="Arial" w:cs="Arial" w:eastAsia="Arial" w:hAnsi="Arial"/>
          <w:sz w:val="18"/>
          <w:szCs w:val="18"/>
          <w:color w:val="auto"/>
        </w:rPr>
      </w:pPr>
    </w:p>
    <w:p>
      <w:pPr>
        <w:ind w:left="900" w:right="200" w:hanging="676"/>
        <w:spacing w:after="0" w:line="277" w:lineRule="auto"/>
        <w:tabs>
          <w:tab w:leader="none" w:pos="900" w:val="left"/>
        </w:tabs>
        <w:numPr>
          <w:ilvl w:val="0"/>
          <w:numId w:val="22"/>
        </w:numPr>
        <w:rPr>
          <w:rFonts w:ascii="Arial" w:cs="Arial" w:eastAsia="Arial" w:hAnsi="Arial"/>
          <w:sz w:val="18"/>
          <w:szCs w:val="18"/>
          <w:color w:val="auto"/>
        </w:rPr>
      </w:pPr>
      <w:r>
        <w:rPr>
          <w:rFonts w:ascii="Arial" w:cs="Arial" w:eastAsia="Arial" w:hAnsi="Arial"/>
          <w:sz w:val="18"/>
          <w:szCs w:val="18"/>
          <w:color w:val="auto"/>
        </w:rPr>
        <w:t>Reviewing information developed by management for the Timken Compensation Committee and providing its input on such information to the committee;</w:t>
      </w:r>
    </w:p>
    <w:p>
      <w:pPr>
        <w:spacing w:after="0" w:line="102" w:lineRule="exact"/>
        <w:rPr>
          <w:rFonts w:ascii="Arial" w:cs="Arial" w:eastAsia="Arial" w:hAnsi="Arial"/>
          <w:sz w:val="18"/>
          <w:szCs w:val="18"/>
          <w:color w:val="auto"/>
        </w:rPr>
      </w:pPr>
    </w:p>
    <w:p>
      <w:pPr>
        <w:ind w:left="900" w:right="400" w:hanging="676"/>
        <w:spacing w:after="0" w:line="277" w:lineRule="auto"/>
        <w:tabs>
          <w:tab w:leader="none" w:pos="900" w:val="left"/>
        </w:tabs>
        <w:numPr>
          <w:ilvl w:val="0"/>
          <w:numId w:val="22"/>
        </w:numPr>
        <w:rPr>
          <w:rFonts w:ascii="Arial" w:cs="Arial" w:eastAsia="Arial" w:hAnsi="Arial"/>
          <w:sz w:val="18"/>
          <w:szCs w:val="18"/>
          <w:color w:val="auto"/>
        </w:rPr>
      </w:pPr>
      <w:r>
        <w:rPr>
          <w:rFonts w:ascii="Arial" w:cs="Arial" w:eastAsia="Arial" w:hAnsi="Arial"/>
          <w:sz w:val="18"/>
          <w:szCs w:val="18"/>
          <w:color w:val="auto"/>
        </w:rPr>
        <w:t>Attending and participating in meetings with the Timken Compensation Committee, as well as briefings with the committee chairperson and management prior to meetings; and</w:t>
      </w:r>
    </w:p>
    <w:p>
      <w:pPr>
        <w:spacing w:after="0" w:line="102" w:lineRule="exact"/>
        <w:rPr>
          <w:rFonts w:ascii="Arial" w:cs="Arial" w:eastAsia="Arial" w:hAnsi="Arial"/>
          <w:sz w:val="18"/>
          <w:szCs w:val="18"/>
          <w:color w:val="auto"/>
        </w:rPr>
      </w:pPr>
    </w:p>
    <w:p>
      <w:pPr>
        <w:ind w:left="900" w:hanging="676"/>
        <w:spacing w:after="0"/>
        <w:tabs>
          <w:tab w:leader="none" w:pos="900" w:val="left"/>
        </w:tabs>
        <w:numPr>
          <w:ilvl w:val="0"/>
          <w:numId w:val="22"/>
        </w:numPr>
        <w:rPr>
          <w:rFonts w:ascii="Arial" w:cs="Arial" w:eastAsia="Arial" w:hAnsi="Arial"/>
          <w:sz w:val="18"/>
          <w:szCs w:val="18"/>
          <w:color w:val="auto"/>
        </w:rPr>
      </w:pPr>
      <w:r>
        <w:rPr>
          <w:rFonts w:ascii="Arial" w:cs="Arial" w:eastAsia="Arial" w:hAnsi="Arial"/>
          <w:sz w:val="18"/>
          <w:szCs w:val="18"/>
          <w:color w:val="auto"/>
        </w:rPr>
        <w:t>Reviewing with management and the Timken Compensation Committee materials to be used in Timken’s proxy statement.</w:t>
      </w:r>
    </w:p>
    <w:p>
      <w:pPr>
        <w:spacing w:after="0" w:line="293" w:lineRule="exact"/>
        <w:rPr>
          <w:sz w:val="20"/>
          <w:szCs w:val="20"/>
          <w:color w:val="auto"/>
        </w:rPr>
      </w:pPr>
    </w:p>
    <w:p>
      <w:pPr>
        <w:ind w:right="20" w:firstLine="913"/>
        <w:spacing w:after="0" w:line="277" w:lineRule="auto"/>
        <w:rPr>
          <w:sz w:val="20"/>
          <w:szCs w:val="20"/>
          <w:color w:val="auto"/>
        </w:rPr>
      </w:pPr>
      <w:r>
        <w:rPr>
          <w:rFonts w:ascii="Arial" w:cs="Arial" w:eastAsia="Arial" w:hAnsi="Arial"/>
          <w:sz w:val="18"/>
          <w:szCs w:val="18"/>
          <w:color w:val="auto"/>
        </w:rPr>
        <w:t>The Timken Compensation Committee has authorized Towers Watson to interact with Timken’s management, as needed, on behalf of the Timken Compensation Committee.</w:t>
      </w:r>
    </w:p>
    <w:p>
      <w:pPr>
        <w:spacing w:after="0" w:line="1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65</w:t>
      </w:r>
    </w:p>
    <w:p>
      <w:pPr>
        <w:sectPr>
          <w:pgSz w:w="11900" w:h="16838" w:orient="portrait"/>
          <w:cols w:equalWidth="0" w:num="1">
            <w:col w:w="11420"/>
          </w:cols>
          <w:pgMar w:left="240" w:top="459" w:right="239" w:bottom="1440" w:gutter="0" w:footer="0" w:header="0"/>
        </w:sectPr>
      </w:pPr>
    </w:p>
    <w:bookmarkStart w:id="77" w:name="page78"/>
    <w:bookmarkEnd w:id="7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2">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100" w:firstLine="913"/>
        <w:spacing w:after="0" w:line="255" w:lineRule="auto"/>
        <w:rPr>
          <w:sz w:val="20"/>
          <w:szCs w:val="20"/>
          <w:color w:val="auto"/>
        </w:rPr>
      </w:pPr>
      <w:r>
        <w:rPr>
          <w:rFonts w:ascii="Arial" w:cs="Arial" w:eastAsia="Arial" w:hAnsi="Arial"/>
          <w:sz w:val="18"/>
          <w:szCs w:val="18"/>
          <w:color w:val="auto"/>
        </w:rPr>
        <w:t>The Timken Compensation Committee has the sole authority to approve the independent compensation consultant’s fees and terms of the engagement. Thus, the Timken Compensation Committee annually reviews its relationship with Towers Watson to ensure executive compensation consulting independence. The process includes a review of the services Towers Watson provides, the quality of those services and fees associated with the services during the fiscal year. During 2013, Towers Watson received $431,000 for the executive compensation consulting services it provided to the Timken Compensation Committee. Other professional consulting services provided by Towers Watson to Timken totaled $2,363,000 for actuarial and other services to Timken and its benefit plans.</w:t>
      </w:r>
    </w:p>
    <w:p>
      <w:pPr>
        <w:spacing w:after="0" w:line="234" w:lineRule="exact"/>
        <w:rPr>
          <w:sz w:val="20"/>
          <w:szCs w:val="20"/>
          <w:color w:val="auto"/>
        </w:rPr>
      </w:pPr>
    </w:p>
    <w:p>
      <w:pPr>
        <w:ind w:right="40" w:firstLine="913"/>
        <w:spacing w:after="0" w:line="273" w:lineRule="auto"/>
        <w:rPr>
          <w:sz w:val="20"/>
          <w:szCs w:val="20"/>
          <w:color w:val="auto"/>
        </w:rPr>
      </w:pPr>
      <w:r>
        <w:rPr>
          <w:rFonts w:ascii="Arial" w:cs="Arial" w:eastAsia="Arial" w:hAnsi="Arial"/>
          <w:sz w:val="17"/>
          <w:szCs w:val="17"/>
          <w:color w:val="auto"/>
        </w:rPr>
        <w:t>The Timken Compensation Committee has concluded that the advice received from Towers Watson continues to be objective, unbiased and independent. The Timken Compensation Committee’s careful oversight of the relationship with Towers Watson with respect to compensation advice mitigates the possibility that management could potentially misuse the actuarial engagement to influence Towers Watson’s compensation work for the Timken Compensation Committee. The Timken Compensation Committee annually reviews the charges to Timken from Towers Watson for executive compensation advice and other services for the preceding three years, along with an estimate of services for the coming year. Additionally, Towers Watson has adopted internal safeguards to ensure that its executive compensation unit is maintained separately from its actuarial business.</w:t>
      </w:r>
    </w:p>
    <w:p>
      <w:pPr>
        <w:spacing w:after="0" w:line="219" w:lineRule="exact"/>
        <w:rPr>
          <w:sz w:val="20"/>
          <w:szCs w:val="20"/>
          <w:color w:val="auto"/>
        </w:rPr>
      </w:pPr>
    </w:p>
    <w:p>
      <w:pPr>
        <w:ind w:right="240" w:firstLine="913"/>
        <w:spacing w:after="0" w:line="342" w:lineRule="auto"/>
        <w:rPr>
          <w:sz w:val="20"/>
          <w:szCs w:val="20"/>
          <w:color w:val="auto"/>
        </w:rPr>
      </w:pPr>
      <w:r>
        <w:rPr>
          <w:rFonts w:ascii="Arial" w:cs="Arial" w:eastAsia="Arial" w:hAnsi="Arial"/>
          <w:sz w:val="16"/>
          <w:szCs w:val="16"/>
          <w:color w:val="auto"/>
        </w:rPr>
        <w:t>The Timken Compensation Committee had considered and assessed relevant factors that could give rise to a potential conflict of interest with respect to Towers Watson. Based on this review, we are not aware of any conflict of interest that has been raised by the work performed by Towers Watson.</w:t>
      </w:r>
    </w:p>
    <w:p>
      <w:pPr>
        <w:spacing w:after="0" w:line="14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Elements of the Executive Compensation Program</w:t>
      </w:r>
    </w:p>
    <w:p>
      <w:pPr>
        <w:spacing w:after="0" w:line="270" w:lineRule="exact"/>
        <w:rPr>
          <w:sz w:val="20"/>
          <w:szCs w:val="20"/>
          <w:color w:val="auto"/>
        </w:rPr>
      </w:pPr>
    </w:p>
    <w:p>
      <w:pPr>
        <w:ind w:left="920"/>
        <w:spacing w:after="0"/>
        <w:rPr>
          <w:sz w:val="20"/>
          <w:szCs w:val="20"/>
          <w:color w:val="auto"/>
        </w:rPr>
      </w:pPr>
      <w:r>
        <w:rPr>
          <w:rFonts w:ascii="Arial" w:cs="Arial" w:eastAsia="Arial" w:hAnsi="Arial"/>
          <w:sz w:val="18"/>
          <w:szCs w:val="18"/>
          <w:b w:val="1"/>
          <w:bCs w:val="1"/>
          <w:i w:val="1"/>
          <w:iCs w:val="1"/>
          <w:color w:val="auto"/>
        </w:rPr>
        <w:t>Key Elements of Timken’s Total Rewards Program</w:t>
      </w:r>
    </w:p>
    <w:p>
      <w:pPr>
        <w:spacing w:after="0" w:line="368" w:lineRule="exact"/>
        <w:rPr>
          <w:sz w:val="20"/>
          <w:szCs w:val="20"/>
          <w:color w:val="auto"/>
        </w:rPr>
      </w:pPr>
    </w:p>
    <w:tbl>
      <w:tblPr>
        <w:tblLayout w:type="fixed"/>
        <w:tblInd w:w="10" w:type="dxa"/>
        <w:tblCellMar>
          <w:top w:w="0" w:type="dxa"/>
          <w:left w:w="0" w:type="dxa"/>
          <w:bottom w:w="0" w:type="dxa"/>
          <w:right w:w="0" w:type="dxa"/>
        </w:tblCellMar>
      </w:tblPr>
      <w:tr>
        <w:trPr>
          <w:trHeight w:val="216"/>
        </w:trPr>
        <w:tc>
          <w:tcPr>
            <w:tcW w:w="1500" w:type="dxa"/>
            <w:vAlign w:val="bottom"/>
            <w:tcBorders>
              <w:top w:val="single" w:sz="8" w:color="auto"/>
              <w:left w:val="single" w:sz="8" w:color="auto"/>
              <w:right w:val="single" w:sz="8" w:color="auto"/>
            </w:tcBorders>
            <w:shd w:val="clear" w:color="auto" w:fill="CCEEFF"/>
          </w:tcPr>
          <w:p>
            <w:pPr>
              <w:spacing w:after="0"/>
              <w:rPr>
                <w:sz w:val="18"/>
                <w:szCs w:val="18"/>
                <w:color w:val="auto"/>
              </w:rPr>
            </w:pPr>
          </w:p>
        </w:tc>
        <w:tc>
          <w:tcPr>
            <w:tcW w:w="4260" w:type="dxa"/>
            <w:vAlign w:val="bottom"/>
            <w:tcBorders>
              <w:top w:val="single" w:sz="8" w:color="auto"/>
              <w:right w:val="single" w:sz="8" w:color="auto"/>
            </w:tcBorders>
            <w:vMerge w:val="restart"/>
            <w:shd w:val="clear" w:color="auto" w:fill="CCEEFF"/>
          </w:tcPr>
          <w:p>
            <w:pPr>
              <w:ind w:left="1220"/>
              <w:spacing w:after="0"/>
              <w:rPr>
                <w:sz w:val="20"/>
                <w:szCs w:val="20"/>
                <w:color w:val="auto"/>
              </w:rPr>
            </w:pPr>
            <w:r>
              <w:rPr>
                <w:rFonts w:ascii="Arial" w:cs="Arial" w:eastAsia="Arial" w:hAnsi="Arial"/>
                <w:sz w:val="16"/>
                <w:szCs w:val="16"/>
                <w:b w:val="1"/>
                <w:bCs w:val="1"/>
                <w:color w:val="auto"/>
              </w:rPr>
              <w:t>Link to Program Objectives</w:t>
            </w:r>
          </w:p>
        </w:tc>
        <w:tc>
          <w:tcPr>
            <w:tcW w:w="1460" w:type="dxa"/>
            <w:vAlign w:val="bottom"/>
            <w:tcBorders>
              <w:top w:val="single" w:sz="8" w:color="auto"/>
              <w:right w:val="single" w:sz="8" w:color="auto"/>
            </w:tcBorders>
            <w:shd w:val="clear" w:color="auto" w:fill="CCEEFF"/>
          </w:tcPr>
          <w:p>
            <w:pPr>
              <w:jc w:val="center"/>
              <w:spacing w:after="0"/>
              <w:rPr>
                <w:sz w:val="20"/>
                <w:szCs w:val="20"/>
                <w:color w:val="auto"/>
              </w:rPr>
            </w:pPr>
            <w:r>
              <w:rPr>
                <w:rFonts w:ascii="Arial" w:cs="Arial" w:eastAsia="Arial" w:hAnsi="Arial"/>
                <w:sz w:val="16"/>
                <w:szCs w:val="16"/>
                <w:b w:val="1"/>
                <w:bCs w:val="1"/>
                <w:color w:val="auto"/>
                <w:w w:val="91"/>
              </w:rPr>
              <w:t>Type of</w:t>
            </w:r>
          </w:p>
        </w:tc>
        <w:tc>
          <w:tcPr>
            <w:tcW w:w="200" w:type="dxa"/>
            <w:vAlign w:val="bottom"/>
            <w:tcBorders>
              <w:top w:val="single" w:sz="8" w:color="auto"/>
            </w:tcBorders>
            <w:shd w:val="clear" w:color="auto" w:fill="CCEEFF"/>
          </w:tcPr>
          <w:p>
            <w:pPr>
              <w:spacing w:after="0"/>
              <w:rPr>
                <w:sz w:val="18"/>
                <w:szCs w:val="18"/>
                <w:color w:val="auto"/>
              </w:rPr>
            </w:pPr>
          </w:p>
        </w:tc>
        <w:tc>
          <w:tcPr>
            <w:tcW w:w="4020" w:type="dxa"/>
            <w:vAlign w:val="bottom"/>
            <w:tcBorders>
              <w:top w:val="single" w:sz="8" w:color="auto"/>
              <w:right w:val="single" w:sz="8" w:color="auto"/>
            </w:tcBorders>
            <w:vMerge w:val="restart"/>
            <w:shd w:val="clear" w:color="auto" w:fill="CCEEFF"/>
          </w:tcPr>
          <w:p>
            <w:pPr>
              <w:ind w:left="1420"/>
              <w:spacing w:after="0"/>
              <w:rPr>
                <w:sz w:val="20"/>
                <w:szCs w:val="20"/>
                <w:color w:val="auto"/>
              </w:rPr>
            </w:pPr>
            <w:r>
              <w:rPr>
                <w:rFonts w:ascii="Arial" w:cs="Arial" w:eastAsia="Arial" w:hAnsi="Arial"/>
                <w:sz w:val="16"/>
                <w:szCs w:val="16"/>
                <w:b w:val="1"/>
                <w:bCs w:val="1"/>
                <w:color w:val="auto"/>
              </w:rPr>
              <w:t>Key Features</w:t>
            </w:r>
          </w:p>
        </w:tc>
        <w:tc>
          <w:tcPr>
            <w:tcW w:w="0" w:type="dxa"/>
            <w:vAlign w:val="bottom"/>
          </w:tcPr>
          <w:p>
            <w:pPr>
              <w:spacing w:after="0"/>
              <w:rPr>
                <w:sz w:val="1"/>
                <w:szCs w:val="1"/>
                <w:color w:val="auto"/>
              </w:rPr>
            </w:pPr>
          </w:p>
        </w:tc>
      </w:tr>
      <w:tr>
        <w:trPr>
          <w:trHeight w:val="48"/>
        </w:trPr>
        <w:tc>
          <w:tcPr>
            <w:tcW w:w="1500" w:type="dxa"/>
            <w:vAlign w:val="bottom"/>
            <w:tcBorders>
              <w:left w:val="single" w:sz="8" w:color="auto"/>
              <w:right w:val="single" w:sz="8" w:color="auto"/>
            </w:tcBorders>
            <w:shd w:val="clear" w:color="auto" w:fill="CCEEFF"/>
          </w:tcPr>
          <w:p>
            <w:pPr>
              <w:spacing w:after="0"/>
              <w:rPr>
                <w:sz w:val="4"/>
                <w:szCs w:val="4"/>
                <w:color w:val="auto"/>
              </w:rPr>
            </w:pPr>
          </w:p>
        </w:tc>
        <w:tc>
          <w:tcPr>
            <w:tcW w:w="4260" w:type="dxa"/>
            <w:vAlign w:val="bottom"/>
            <w:tcBorders>
              <w:right w:val="single" w:sz="8" w:color="auto"/>
            </w:tcBorders>
            <w:vMerge w:val="continue"/>
            <w:shd w:val="clear" w:color="auto" w:fill="CCEEFF"/>
          </w:tcPr>
          <w:p>
            <w:pPr>
              <w:spacing w:after="0"/>
              <w:rPr>
                <w:sz w:val="4"/>
                <w:szCs w:val="4"/>
                <w:color w:val="auto"/>
              </w:rPr>
            </w:pPr>
          </w:p>
        </w:tc>
        <w:tc>
          <w:tcPr>
            <w:tcW w:w="1460" w:type="dxa"/>
            <w:vAlign w:val="bottom"/>
            <w:tcBorders>
              <w:right w:val="single" w:sz="8" w:color="auto"/>
            </w:tcBorders>
            <w:vMerge w:val="restart"/>
            <w:shd w:val="clear" w:color="auto" w:fill="CCEEFF"/>
          </w:tcPr>
          <w:p>
            <w:pPr>
              <w:jc w:val="center"/>
              <w:spacing w:after="0"/>
              <w:rPr>
                <w:sz w:val="20"/>
                <w:szCs w:val="20"/>
                <w:color w:val="auto"/>
              </w:rPr>
            </w:pPr>
            <w:r>
              <w:rPr>
                <w:rFonts w:ascii="Arial" w:cs="Arial" w:eastAsia="Arial" w:hAnsi="Arial"/>
                <w:sz w:val="16"/>
                <w:szCs w:val="16"/>
                <w:b w:val="1"/>
                <w:bCs w:val="1"/>
                <w:color w:val="auto"/>
                <w:w w:val="89"/>
              </w:rPr>
              <w:t>Compensation</w:t>
            </w:r>
          </w:p>
        </w:tc>
        <w:tc>
          <w:tcPr>
            <w:tcW w:w="200" w:type="dxa"/>
            <w:vAlign w:val="bottom"/>
            <w:shd w:val="clear" w:color="auto" w:fill="CCEEFF"/>
          </w:tcPr>
          <w:p>
            <w:pPr>
              <w:spacing w:after="0"/>
              <w:rPr>
                <w:sz w:val="4"/>
                <w:szCs w:val="4"/>
                <w:color w:val="auto"/>
              </w:rPr>
            </w:pPr>
          </w:p>
        </w:tc>
        <w:tc>
          <w:tcPr>
            <w:tcW w:w="4020" w:type="dxa"/>
            <w:vAlign w:val="bottom"/>
            <w:tcBorders>
              <w:right w:val="single" w:sz="8" w:color="auto"/>
            </w:tcBorders>
            <w:vMerge w:val="continue"/>
            <w:shd w:val="clear" w:color="auto" w:fill="CCEEFF"/>
          </w:tcPr>
          <w:p>
            <w:pPr>
              <w:spacing w:after="0"/>
              <w:rPr>
                <w:sz w:val="4"/>
                <w:szCs w:val="4"/>
                <w:color w:val="auto"/>
              </w:rPr>
            </w:pPr>
          </w:p>
        </w:tc>
        <w:tc>
          <w:tcPr>
            <w:tcW w:w="0" w:type="dxa"/>
            <w:vAlign w:val="bottom"/>
          </w:tcPr>
          <w:p>
            <w:pPr>
              <w:spacing w:after="0"/>
              <w:rPr>
                <w:sz w:val="1"/>
                <w:szCs w:val="1"/>
                <w:color w:val="auto"/>
              </w:rPr>
            </w:pPr>
          </w:p>
        </w:tc>
      </w:tr>
      <w:tr>
        <w:trPr>
          <w:trHeight w:val="165"/>
        </w:trPr>
        <w:tc>
          <w:tcPr>
            <w:tcW w:w="1500" w:type="dxa"/>
            <w:vAlign w:val="bottom"/>
            <w:tcBorders>
              <w:left w:val="single" w:sz="8" w:color="auto"/>
              <w:bottom w:val="single" w:sz="8" w:color="auto"/>
              <w:right w:val="single" w:sz="8" w:color="auto"/>
            </w:tcBorders>
            <w:shd w:val="clear" w:color="auto" w:fill="CCEEFF"/>
          </w:tcPr>
          <w:p>
            <w:pPr>
              <w:spacing w:after="0"/>
              <w:rPr>
                <w:sz w:val="14"/>
                <w:szCs w:val="14"/>
                <w:color w:val="auto"/>
              </w:rPr>
            </w:pPr>
          </w:p>
        </w:tc>
        <w:tc>
          <w:tcPr>
            <w:tcW w:w="4260" w:type="dxa"/>
            <w:vAlign w:val="bottom"/>
            <w:tcBorders>
              <w:bottom w:val="single" w:sz="8" w:color="auto"/>
              <w:right w:val="single" w:sz="8" w:color="auto"/>
            </w:tcBorders>
            <w:shd w:val="clear" w:color="auto" w:fill="CCEEFF"/>
          </w:tcPr>
          <w:p>
            <w:pPr>
              <w:spacing w:after="0"/>
              <w:rPr>
                <w:sz w:val="14"/>
                <w:szCs w:val="14"/>
                <w:color w:val="auto"/>
              </w:rPr>
            </w:pPr>
          </w:p>
        </w:tc>
        <w:tc>
          <w:tcPr>
            <w:tcW w:w="1460" w:type="dxa"/>
            <w:vAlign w:val="bottom"/>
            <w:tcBorders>
              <w:bottom w:val="single" w:sz="8" w:color="auto"/>
              <w:right w:val="single" w:sz="8" w:color="auto"/>
            </w:tcBorders>
            <w:vMerge w:val="continue"/>
            <w:shd w:val="clear" w:color="auto" w:fill="CCEEFF"/>
          </w:tcPr>
          <w:p>
            <w:pPr>
              <w:spacing w:after="0"/>
              <w:rPr>
                <w:sz w:val="14"/>
                <w:szCs w:val="14"/>
                <w:color w:val="auto"/>
              </w:rPr>
            </w:pPr>
          </w:p>
        </w:tc>
        <w:tc>
          <w:tcPr>
            <w:tcW w:w="200" w:type="dxa"/>
            <w:vAlign w:val="bottom"/>
            <w:tcBorders>
              <w:bottom w:val="single" w:sz="8" w:color="auto"/>
            </w:tcBorders>
            <w:shd w:val="clear" w:color="auto" w:fill="CCEEFF"/>
          </w:tcPr>
          <w:p>
            <w:pPr>
              <w:spacing w:after="0"/>
              <w:rPr>
                <w:sz w:val="14"/>
                <w:szCs w:val="14"/>
                <w:color w:val="auto"/>
              </w:rPr>
            </w:pPr>
          </w:p>
        </w:tc>
        <w:tc>
          <w:tcPr>
            <w:tcW w:w="4020" w:type="dxa"/>
            <w:vAlign w:val="bottom"/>
            <w:tcBorders>
              <w:bottom w:val="single" w:sz="8" w:color="auto"/>
              <w:right w:val="single" w:sz="8" w:color="auto"/>
            </w:tcBorders>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89"/>
        </w:trPr>
        <w:tc>
          <w:tcPr>
            <w:tcW w:w="1500" w:type="dxa"/>
            <w:vAlign w:val="bottom"/>
            <w:tcBorders>
              <w:left w:val="single" w:sz="8" w:color="auto"/>
              <w:right w:val="single" w:sz="8" w:color="auto"/>
            </w:tcBorders>
          </w:tcPr>
          <w:p>
            <w:pPr>
              <w:ind w:left="160"/>
              <w:spacing w:after="0"/>
              <w:rPr>
                <w:sz w:val="20"/>
                <w:szCs w:val="20"/>
                <w:color w:val="auto"/>
              </w:rPr>
            </w:pPr>
            <w:r>
              <w:rPr>
                <w:rFonts w:ascii="Arial" w:cs="Arial" w:eastAsia="Arial" w:hAnsi="Arial"/>
                <w:sz w:val="16"/>
                <w:szCs w:val="16"/>
                <w:b w:val="1"/>
                <w:bCs w:val="1"/>
                <w:color w:val="auto"/>
              </w:rPr>
              <w:t>Base Salary</w:t>
            </w:r>
          </w:p>
        </w:tc>
        <w:tc>
          <w:tcPr>
            <w:tcW w:w="4260" w:type="dxa"/>
            <w:vAlign w:val="bottom"/>
            <w:tcBorders>
              <w:right w:val="single" w:sz="8" w:color="auto"/>
            </w:tcBorders>
          </w:tcPr>
          <w:p>
            <w:pPr>
              <w:ind w:left="120"/>
              <w:spacing w:after="0"/>
              <w:rPr>
                <w:sz w:val="20"/>
                <w:szCs w:val="20"/>
                <w:color w:val="auto"/>
              </w:rPr>
            </w:pPr>
            <w:r>
              <w:rPr>
                <w:rFonts w:ascii="Arial" w:cs="Arial" w:eastAsia="Arial" w:hAnsi="Arial"/>
                <w:sz w:val="16"/>
                <w:szCs w:val="16"/>
                <w:color w:val="auto"/>
                <w:w w:val="91"/>
              </w:rPr>
              <w:t>Timken Compensation Committee considers base salaries paid</w:t>
            </w:r>
          </w:p>
        </w:tc>
        <w:tc>
          <w:tcPr>
            <w:tcW w:w="1460" w:type="dxa"/>
            <w:vAlign w:val="bottom"/>
            <w:tcBorders>
              <w:right w:val="single" w:sz="8" w:color="auto"/>
            </w:tcBorders>
          </w:tcPr>
          <w:p>
            <w:pPr>
              <w:jc w:val="center"/>
              <w:spacing w:after="0"/>
              <w:rPr>
                <w:sz w:val="20"/>
                <w:szCs w:val="20"/>
                <w:color w:val="auto"/>
              </w:rPr>
            </w:pPr>
            <w:r>
              <w:rPr>
                <w:rFonts w:ascii="Arial" w:cs="Arial" w:eastAsia="Arial" w:hAnsi="Arial"/>
                <w:sz w:val="16"/>
                <w:szCs w:val="16"/>
                <w:color w:val="auto"/>
                <w:w w:val="85"/>
              </w:rPr>
              <w:t>Cash</w:t>
            </w:r>
          </w:p>
        </w:tc>
        <w:tc>
          <w:tcPr>
            <w:tcW w:w="4220" w:type="dxa"/>
            <w:vAlign w:val="bottom"/>
            <w:tcBorders>
              <w:right w:val="single" w:sz="8" w:color="auto"/>
            </w:tcBorders>
            <w:gridSpan w:val="2"/>
          </w:tcPr>
          <w:p>
            <w:pPr>
              <w:ind w:left="100"/>
              <w:spacing w:after="0"/>
              <w:rPr>
                <w:sz w:val="20"/>
                <w:szCs w:val="20"/>
                <w:color w:val="auto"/>
              </w:rPr>
            </w:pPr>
            <w:r>
              <w:rPr>
                <w:rFonts w:ascii="Arial" w:cs="Arial" w:eastAsia="Arial" w:hAnsi="Arial"/>
                <w:sz w:val="16"/>
                <w:szCs w:val="16"/>
                <w:color w:val="auto"/>
              </w:rPr>
              <w:t>Provides a stable source of income and is a standard</w:t>
            </w:r>
          </w:p>
        </w:tc>
        <w:tc>
          <w:tcPr>
            <w:tcW w:w="0" w:type="dxa"/>
            <w:vAlign w:val="bottom"/>
          </w:tcPr>
          <w:p>
            <w:pPr>
              <w:spacing w:after="0"/>
              <w:rPr>
                <w:sz w:val="1"/>
                <w:szCs w:val="1"/>
                <w:color w:val="auto"/>
              </w:rPr>
            </w:pPr>
          </w:p>
        </w:tc>
      </w:tr>
      <w:tr>
        <w:trPr>
          <w:trHeight w:val="199"/>
        </w:trPr>
        <w:tc>
          <w:tcPr>
            <w:tcW w:w="1500" w:type="dxa"/>
            <w:vAlign w:val="bottom"/>
            <w:tcBorders>
              <w:left w:val="single" w:sz="8" w:color="auto"/>
              <w:right w:val="single" w:sz="8" w:color="auto"/>
            </w:tcBorders>
          </w:tcPr>
          <w:p>
            <w:pPr>
              <w:spacing w:after="0"/>
              <w:rPr>
                <w:sz w:val="17"/>
                <w:szCs w:val="17"/>
                <w:color w:val="auto"/>
              </w:rPr>
            </w:pPr>
          </w:p>
        </w:tc>
        <w:tc>
          <w:tcPr>
            <w:tcW w:w="4260" w:type="dxa"/>
            <w:vAlign w:val="bottom"/>
            <w:tcBorders>
              <w:right w:val="single" w:sz="8" w:color="auto"/>
            </w:tcBorders>
          </w:tcPr>
          <w:p>
            <w:pPr>
              <w:ind w:left="120"/>
              <w:spacing w:after="0"/>
              <w:rPr>
                <w:sz w:val="20"/>
                <w:szCs w:val="20"/>
                <w:color w:val="auto"/>
              </w:rPr>
            </w:pPr>
            <w:r>
              <w:rPr>
                <w:rFonts w:ascii="Arial" w:cs="Arial" w:eastAsia="Arial" w:hAnsi="Arial"/>
                <w:sz w:val="16"/>
                <w:szCs w:val="16"/>
                <w:color w:val="auto"/>
                <w:w w:val="98"/>
              </w:rPr>
              <w:t>by companies for comparable roles in general industry and</w:t>
            </w:r>
          </w:p>
        </w:tc>
        <w:tc>
          <w:tcPr>
            <w:tcW w:w="1460" w:type="dxa"/>
            <w:vAlign w:val="bottom"/>
            <w:tcBorders>
              <w:right w:val="single" w:sz="8" w:color="auto"/>
            </w:tcBorders>
          </w:tcPr>
          <w:p>
            <w:pPr>
              <w:spacing w:after="0"/>
              <w:rPr>
                <w:sz w:val="17"/>
                <w:szCs w:val="17"/>
                <w:color w:val="auto"/>
              </w:rPr>
            </w:pPr>
          </w:p>
        </w:tc>
        <w:tc>
          <w:tcPr>
            <w:tcW w:w="4220" w:type="dxa"/>
            <w:vAlign w:val="bottom"/>
            <w:tcBorders>
              <w:right w:val="single" w:sz="8" w:color="auto"/>
            </w:tcBorders>
            <w:gridSpan w:val="2"/>
          </w:tcPr>
          <w:p>
            <w:pPr>
              <w:ind w:left="100"/>
              <w:spacing w:after="0"/>
              <w:rPr>
                <w:sz w:val="20"/>
                <w:szCs w:val="20"/>
                <w:color w:val="auto"/>
              </w:rPr>
            </w:pPr>
            <w:r>
              <w:rPr>
                <w:rFonts w:ascii="Arial" w:cs="Arial" w:eastAsia="Arial" w:hAnsi="Arial"/>
                <w:sz w:val="16"/>
                <w:szCs w:val="16"/>
                <w:color w:val="auto"/>
                <w:w w:val="95"/>
              </w:rPr>
              <w:t>compensation element in executive compensation packages</w:t>
            </w:r>
          </w:p>
        </w:tc>
        <w:tc>
          <w:tcPr>
            <w:tcW w:w="0" w:type="dxa"/>
            <w:vAlign w:val="bottom"/>
          </w:tcPr>
          <w:p>
            <w:pPr>
              <w:spacing w:after="0"/>
              <w:rPr>
                <w:sz w:val="1"/>
                <w:szCs w:val="1"/>
                <w:color w:val="auto"/>
              </w:rPr>
            </w:pPr>
          </w:p>
        </w:tc>
      </w:tr>
      <w:tr>
        <w:trPr>
          <w:trHeight w:val="216"/>
        </w:trPr>
        <w:tc>
          <w:tcPr>
            <w:tcW w:w="1500" w:type="dxa"/>
            <w:vAlign w:val="bottom"/>
            <w:tcBorders>
              <w:left w:val="single" w:sz="8" w:color="auto"/>
              <w:bottom w:val="single" w:sz="8" w:color="auto"/>
              <w:right w:val="single" w:sz="8" w:color="auto"/>
            </w:tcBorders>
          </w:tcPr>
          <w:p>
            <w:pPr>
              <w:spacing w:after="0"/>
              <w:rPr>
                <w:sz w:val="18"/>
                <w:szCs w:val="18"/>
                <w:color w:val="auto"/>
              </w:rPr>
            </w:pPr>
          </w:p>
        </w:tc>
        <w:tc>
          <w:tcPr>
            <w:tcW w:w="4260" w:type="dxa"/>
            <w:vAlign w:val="bottom"/>
            <w:tcBorders>
              <w:bottom w:val="single" w:sz="8" w:color="auto"/>
              <w:right w:val="single" w:sz="8" w:color="auto"/>
            </w:tcBorders>
          </w:tcPr>
          <w:p>
            <w:pPr>
              <w:ind w:left="120"/>
              <w:spacing w:after="0" w:line="216" w:lineRule="exact"/>
              <w:rPr>
                <w:sz w:val="20"/>
                <w:szCs w:val="20"/>
                <w:color w:val="auto"/>
              </w:rPr>
            </w:pPr>
            <w:r>
              <w:rPr>
                <w:rFonts w:ascii="Arial" w:cs="Arial" w:eastAsia="Arial" w:hAnsi="Arial"/>
                <w:sz w:val="15"/>
                <w:szCs w:val="15"/>
                <w:color w:val="auto"/>
              </w:rPr>
              <w:t>uses the 50</w:t>
            </w:r>
            <w:r>
              <w:rPr>
                <w:rFonts w:ascii="Arial" w:cs="Arial" w:eastAsia="Arial" w:hAnsi="Arial"/>
                <w:sz w:val="25"/>
                <w:szCs w:val="25"/>
                <w:color w:val="auto"/>
                <w:vertAlign w:val="superscript"/>
              </w:rPr>
              <w:t>th</w:t>
            </w:r>
            <w:r>
              <w:rPr>
                <w:rFonts w:ascii="Arial" w:cs="Arial" w:eastAsia="Arial" w:hAnsi="Arial"/>
                <w:sz w:val="15"/>
                <w:szCs w:val="15"/>
                <w:color w:val="auto"/>
              </w:rPr>
              <w:t xml:space="preserve"> percentile as a guideline</w:t>
            </w:r>
          </w:p>
        </w:tc>
        <w:tc>
          <w:tcPr>
            <w:tcW w:w="1460" w:type="dxa"/>
            <w:vAlign w:val="bottom"/>
            <w:tcBorders>
              <w:bottom w:val="single" w:sz="8" w:color="auto"/>
              <w:right w:val="single" w:sz="8" w:color="auto"/>
            </w:tcBorders>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402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82"/>
        </w:trPr>
        <w:tc>
          <w:tcPr>
            <w:tcW w:w="1500" w:type="dxa"/>
            <w:vAlign w:val="bottom"/>
            <w:tcBorders>
              <w:left w:val="single" w:sz="8" w:color="auto"/>
              <w:right w:val="single" w:sz="8" w:color="auto"/>
            </w:tcBorders>
          </w:tcPr>
          <w:p>
            <w:pPr>
              <w:ind w:left="160"/>
              <w:spacing w:after="0" w:line="182" w:lineRule="exact"/>
              <w:rPr>
                <w:sz w:val="20"/>
                <w:szCs w:val="20"/>
                <w:color w:val="auto"/>
              </w:rPr>
            </w:pPr>
            <w:r>
              <w:rPr>
                <w:rFonts w:ascii="Arial" w:cs="Arial" w:eastAsia="Arial" w:hAnsi="Arial"/>
                <w:sz w:val="16"/>
                <w:szCs w:val="16"/>
                <w:b w:val="1"/>
                <w:bCs w:val="1"/>
                <w:color w:val="auto"/>
              </w:rPr>
              <w:t>Annual</w:t>
            </w:r>
          </w:p>
        </w:tc>
        <w:tc>
          <w:tcPr>
            <w:tcW w:w="4260" w:type="dxa"/>
            <w:vAlign w:val="bottom"/>
            <w:tcBorders>
              <w:right w:val="single" w:sz="8" w:color="auto"/>
            </w:tcBorders>
          </w:tcPr>
          <w:p>
            <w:pPr>
              <w:ind w:left="120"/>
              <w:spacing w:after="0" w:line="182" w:lineRule="exact"/>
              <w:rPr>
                <w:sz w:val="20"/>
                <w:szCs w:val="20"/>
                <w:color w:val="auto"/>
              </w:rPr>
            </w:pPr>
            <w:r>
              <w:rPr>
                <w:rFonts w:ascii="Arial" w:cs="Arial" w:eastAsia="Arial" w:hAnsi="Arial"/>
                <w:sz w:val="16"/>
                <w:szCs w:val="16"/>
                <w:color w:val="auto"/>
                <w:w w:val="95"/>
              </w:rPr>
              <w:t>A cash-based award that encourages executives to focus on</w:t>
            </w:r>
          </w:p>
        </w:tc>
        <w:tc>
          <w:tcPr>
            <w:tcW w:w="1460" w:type="dxa"/>
            <w:vAlign w:val="bottom"/>
            <w:tcBorders>
              <w:right w:val="single" w:sz="8" w:color="auto"/>
            </w:tcBorders>
          </w:tcPr>
          <w:p>
            <w:pPr>
              <w:jc w:val="center"/>
              <w:spacing w:after="0" w:line="182" w:lineRule="exact"/>
              <w:rPr>
                <w:sz w:val="20"/>
                <w:szCs w:val="20"/>
                <w:color w:val="auto"/>
              </w:rPr>
            </w:pPr>
            <w:r>
              <w:rPr>
                <w:rFonts w:ascii="Arial" w:cs="Arial" w:eastAsia="Arial" w:hAnsi="Arial"/>
                <w:sz w:val="16"/>
                <w:szCs w:val="16"/>
                <w:color w:val="auto"/>
                <w:w w:val="85"/>
              </w:rPr>
              <w:t>Cash</w:t>
            </w:r>
          </w:p>
        </w:tc>
        <w:tc>
          <w:tcPr>
            <w:tcW w:w="4220" w:type="dxa"/>
            <w:vAlign w:val="bottom"/>
            <w:tcBorders>
              <w:right w:val="single" w:sz="8" w:color="auto"/>
            </w:tcBorders>
            <w:gridSpan w:val="2"/>
          </w:tcPr>
          <w:p>
            <w:pPr>
              <w:ind w:left="100"/>
              <w:spacing w:after="0" w:line="182" w:lineRule="exact"/>
              <w:rPr>
                <w:sz w:val="20"/>
                <w:szCs w:val="20"/>
                <w:color w:val="auto"/>
              </w:rPr>
            </w:pPr>
            <w:r>
              <w:rPr>
                <w:rFonts w:ascii="Arial" w:cs="Arial" w:eastAsia="Arial" w:hAnsi="Arial"/>
                <w:sz w:val="16"/>
                <w:szCs w:val="16"/>
                <w:color w:val="auto"/>
                <w:w w:val="98"/>
              </w:rPr>
              <w:t>Target incentive opportunity is set as a percentage of base</w:t>
            </w:r>
          </w:p>
        </w:tc>
        <w:tc>
          <w:tcPr>
            <w:tcW w:w="0" w:type="dxa"/>
            <w:vAlign w:val="bottom"/>
          </w:tcPr>
          <w:p>
            <w:pPr>
              <w:spacing w:after="0"/>
              <w:rPr>
                <w:sz w:val="1"/>
                <w:szCs w:val="1"/>
                <w:color w:val="auto"/>
              </w:rPr>
            </w:pPr>
          </w:p>
        </w:tc>
      </w:tr>
      <w:tr>
        <w:trPr>
          <w:trHeight w:val="207"/>
        </w:trPr>
        <w:tc>
          <w:tcPr>
            <w:tcW w:w="1500" w:type="dxa"/>
            <w:vAlign w:val="bottom"/>
            <w:tcBorders>
              <w:left w:val="single" w:sz="8" w:color="auto"/>
              <w:right w:val="single" w:sz="8" w:color="auto"/>
            </w:tcBorders>
          </w:tcPr>
          <w:p>
            <w:pPr>
              <w:ind w:left="160"/>
              <w:spacing w:after="0"/>
              <w:rPr>
                <w:sz w:val="20"/>
                <w:szCs w:val="20"/>
                <w:color w:val="auto"/>
              </w:rPr>
            </w:pPr>
            <w:r>
              <w:rPr>
                <w:rFonts w:ascii="Arial" w:cs="Arial" w:eastAsia="Arial" w:hAnsi="Arial"/>
                <w:sz w:val="16"/>
                <w:szCs w:val="16"/>
                <w:b w:val="1"/>
                <w:bCs w:val="1"/>
                <w:color w:val="auto"/>
              </w:rPr>
              <w:t>Incentive</w:t>
            </w:r>
          </w:p>
        </w:tc>
        <w:tc>
          <w:tcPr>
            <w:tcW w:w="4260" w:type="dxa"/>
            <w:vAlign w:val="bottom"/>
            <w:tcBorders>
              <w:right w:val="single" w:sz="8" w:color="auto"/>
            </w:tcBorders>
          </w:tcPr>
          <w:p>
            <w:pPr>
              <w:ind w:left="120"/>
              <w:spacing w:after="0"/>
              <w:rPr>
                <w:sz w:val="20"/>
                <w:szCs w:val="20"/>
                <w:color w:val="auto"/>
              </w:rPr>
            </w:pPr>
            <w:r>
              <w:rPr>
                <w:rFonts w:ascii="Arial" w:cs="Arial" w:eastAsia="Arial" w:hAnsi="Arial"/>
                <w:sz w:val="16"/>
                <w:szCs w:val="16"/>
                <w:color w:val="auto"/>
              </w:rPr>
              <w:t>specific short-term performance goals</w:t>
            </w:r>
          </w:p>
        </w:tc>
        <w:tc>
          <w:tcPr>
            <w:tcW w:w="1460" w:type="dxa"/>
            <w:vAlign w:val="bottom"/>
            <w:tcBorders>
              <w:right w:val="single" w:sz="8" w:color="auto"/>
            </w:tcBorders>
          </w:tcPr>
          <w:p>
            <w:pPr>
              <w:spacing w:after="0"/>
              <w:rPr>
                <w:sz w:val="17"/>
                <w:szCs w:val="17"/>
                <w:color w:val="auto"/>
              </w:rPr>
            </w:pPr>
          </w:p>
        </w:tc>
        <w:tc>
          <w:tcPr>
            <w:tcW w:w="4220" w:type="dxa"/>
            <w:vAlign w:val="bottom"/>
            <w:tcBorders>
              <w:right w:val="single" w:sz="8" w:color="auto"/>
            </w:tcBorders>
            <w:gridSpan w:val="2"/>
          </w:tcPr>
          <w:p>
            <w:pPr>
              <w:ind w:left="100"/>
              <w:spacing w:after="0"/>
              <w:rPr>
                <w:sz w:val="20"/>
                <w:szCs w:val="20"/>
                <w:color w:val="auto"/>
              </w:rPr>
            </w:pPr>
            <w:r>
              <w:rPr>
                <w:rFonts w:ascii="Arial" w:cs="Arial" w:eastAsia="Arial" w:hAnsi="Arial"/>
                <w:sz w:val="16"/>
                <w:szCs w:val="16"/>
                <w:color w:val="auto"/>
                <w:w w:val="98"/>
              </w:rPr>
              <w:t>salary, and is paid only if threshold performance levels are</w:t>
            </w:r>
          </w:p>
        </w:tc>
        <w:tc>
          <w:tcPr>
            <w:tcW w:w="0" w:type="dxa"/>
            <w:vAlign w:val="bottom"/>
          </w:tcPr>
          <w:p>
            <w:pPr>
              <w:spacing w:after="0"/>
              <w:rPr>
                <w:sz w:val="1"/>
                <w:szCs w:val="1"/>
                <w:color w:val="auto"/>
              </w:rPr>
            </w:pPr>
          </w:p>
        </w:tc>
      </w:tr>
      <w:tr>
        <w:trPr>
          <w:trHeight w:val="209"/>
        </w:trPr>
        <w:tc>
          <w:tcPr>
            <w:tcW w:w="1500" w:type="dxa"/>
            <w:vAlign w:val="bottom"/>
            <w:tcBorders>
              <w:left w:val="single" w:sz="8" w:color="auto"/>
              <w:bottom w:val="single" w:sz="8" w:color="auto"/>
              <w:right w:val="single" w:sz="8" w:color="auto"/>
            </w:tcBorders>
          </w:tcPr>
          <w:p>
            <w:pPr>
              <w:spacing w:after="0"/>
              <w:rPr>
                <w:sz w:val="18"/>
                <w:szCs w:val="18"/>
                <w:color w:val="auto"/>
              </w:rPr>
            </w:pPr>
          </w:p>
        </w:tc>
        <w:tc>
          <w:tcPr>
            <w:tcW w:w="4260" w:type="dxa"/>
            <w:vAlign w:val="bottom"/>
            <w:tcBorders>
              <w:bottom w:val="single" w:sz="8" w:color="auto"/>
              <w:right w:val="single" w:sz="8" w:color="auto"/>
            </w:tcBorders>
          </w:tcPr>
          <w:p>
            <w:pPr>
              <w:spacing w:after="0"/>
              <w:rPr>
                <w:sz w:val="18"/>
                <w:szCs w:val="18"/>
                <w:color w:val="auto"/>
              </w:rPr>
            </w:pPr>
          </w:p>
        </w:tc>
        <w:tc>
          <w:tcPr>
            <w:tcW w:w="1460" w:type="dxa"/>
            <w:vAlign w:val="bottom"/>
            <w:tcBorders>
              <w:bottom w:val="single" w:sz="8" w:color="auto"/>
              <w:right w:val="single" w:sz="8" w:color="auto"/>
            </w:tcBorders>
          </w:tcPr>
          <w:p>
            <w:pPr>
              <w:spacing w:after="0"/>
              <w:rPr>
                <w:sz w:val="18"/>
                <w:szCs w:val="18"/>
                <w:color w:val="auto"/>
              </w:rPr>
            </w:pPr>
          </w:p>
        </w:tc>
        <w:tc>
          <w:tcPr>
            <w:tcW w:w="4220" w:type="dxa"/>
            <w:vAlign w:val="bottom"/>
            <w:tcBorders>
              <w:bottom w:val="single" w:sz="8" w:color="auto"/>
              <w:right w:val="single" w:sz="8" w:color="auto"/>
            </w:tcBorders>
            <w:gridSpan w:val="2"/>
          </w:tcPr>
          <w:p>
            <w:pPr>
              <w:ind w:left="100"/>
              <w:spacing w:after="0"/>
              <w:rPr>
                <w:sz w:val="20"/>
                <w:szCs w:val="20"/>
                <w:color w:val="auto"/>
              </w:rPr>
            </w:pPr>
            <w:r>
              <w:rPr>
                <w:rFonts w:ascii="Arial" w:cs="Arial" w:eastAsia="Arial" w:hAnsi="Arial"/>
                <w:sz w:val="16"/>
                <w:szCs w:val="16"/>
                <w:color w:val="auto"/>
              </w:rPr>
              <w:t>met</w:t>
            </w:r>
          </w:p>
        </w:tc>
        <w:tc>
          <w:tcPr>
            <w:tcW w:w="0" w:type="dxa"/>
            <w:vAlign w:val="bottom"/>
          </w:tcPr>
          <w:p>
            <w:pPr>
              <w:spacing w:after="0"/>
              <w:rPr>
                <w:sz w:val="1"/>
                <w:szCs w:val="1"/>
                <w:color w:val="auto"/>
              </w:rPr>
            </w:pPr>
          </w:p>
        </w:tc>
      </w:tr>
      <w:tr>
        <w:trPr>
          <w:trHeight w:val="185"/>
        </w:trPr>
        <w:tc>
          <w:tcPr>
            <w:tcW w:w="1500" w:type="dxa"/>
            <w:vAlign w:val="bottom"/>
            <w:tcBorders>
              <w:left w:val="single" w:sz="8" w:color="auto"/>
              <w:right w:val="single" w:sz="8" w:color="auto"/>
            </w:tcBorders>
          </w:tcPr>
          <w:p>
            <w:pPr>
              <w:ind w:left="160"/>
              <w:spacing w:after="0"/>
              <w:rPr>
                <w:sz w:val="20"/>
                <w:szCs w:val="20"/>
                <w:color w:val="auto"/>
              </w:rPr>
            </w:pPr>
            <w:r>
              <w:rPr>
                <w:rFonts w:ascii="Arial" w:cs="Arial" w:eastAsia="Arial" w:hAnsi="Arial"/>
                <w:sz w:val="16"/>
                <w:szCs w:val="16"/>
                <w:b w:val="1"/>
                <w:bCs w:val="1"/>
                <w:color w:val="auto"/>
              </w:rPr>
              <w:t>Long-Term</w:t>
            </w:r>
          </w:p>
        </w:tc>
        <w:tc>
          <w:tcPr>
            <w:tcW w:w="4260" w:type="dxa"/>
            <w:vAlign w:val="bottom"/>
            <w:tcBorders>
              <w:right w:val="single" w:sz="8" w:color="auto"/>
            </w:tcBorders>
          </w:tcPr>
          <w:p>
            <w:pPr>
              <w:ind w:left="120"/>
              <w:spacing w:after="0"/>
              <w:rPr>
                <w:sz w:val="20"/>
                <w:szCs w:val="20"/>
                <w:color w:val="auto"/>
              </w:rPr>
            </w:pPr>
            <w:r>
              <w:rPr>
                <w:rFonts w:ascii="Arial" w:cs="Arial" w:eastAsia="Arial" w:hAnsi="Arial"/>
                <w:sz w:val="16"/>
                <w:szCs w:val="16"/>
                <w:color w:val="auto"/>
              </w:rPr>
              <w:t>Helps ensure that executive pay is directly linked to the</w:t>
            </w:r>
          </w:p>
        </w:tc>
        <w:tc>
          <w:tcPr>
            <w:tcW w:w="1460" w:type="dxa"/>
            <w:vAlign w:val="bottom"/>
            <w:tcBorders>
              <w:right w:val="single" w:sz="8" w:color="auto"/>
            </w:tcBorders>
          </w:tcPr>
          <w:p>
            <w:pPr>
              <w:jc w:val="center"/>
              <w:spacing w:after="0"/>
              <w:rPr>
                <w:sz w:val="20"/>
                <w:szCs w:val="20"/>
                <w:color w:val="auto"/>
              </w:rPr>
            </w:pPr>
            <w:r>
              <w:rPr>
                <w:rFonts w:ascii="Arial" w:cs="Arial" w:eastAsia="Arial" w:hAnsi="Arial"/>
                <w:sz w:val="16"/>
                <w:szCs w:val="16"/>
                <w:color w:val="auto"/>
                <w:w w:val="94"/>
              </w:rPr>
              <w:t>Long-Term</w:t>
            </w:r>
          </w:p>
        </w:tc>
        <w:tc>
          <w:tcPr>
            <w:tcW w:w="4220" w:type="dxa"/>
            <w:vAlign w:val="bottom"/>
            <w:tcBorders>
              <w:right w:val="single" w:sz="8" w:color="auto"/>
            </w:tcBorders>
            <w:gridSpan w:val="2"/>
          </w:tcPr>
          <w:p>
            <w:pPr>
              <w:ind w:left="100"/>
              <w:spacing w:after="0"/>
              <w:rPr>
                <w:sz w:val="20"/>
                <w:szCs w:val="20"/>
                <w:color w:val="auto"/>
              </w:rPr>
            </w:pPr>
            <w:r>
              <w:rPr>
                <w:rFonts w:ascii="Arial" w:cs="Arial" w:eastAsia="Arial" w:hAnsi="Arial"/>
                <w:sz w:val="16"/>
                <w:szCs w:val="16"/>
                <w:color w:val="auto"/>
                <w:w w:val="99"/>
              </w:rPr>
              <w:t>Four-year vesting promotes retention, and officers holding</w:t>
            </w:r>
          </w:p>
        </w:tc>
        <w:tc>
          <w:tcPr>
            <w:tcW w:w="0" w:type="dxa"/>
            <w:vAlign w:val="bottom"/>
          </w:tcPr>
          <w:p>
            <w:pPr>
              <w:spacing w:after="0"/>
              <w:rPr>
                <w:sz w:val="1"/>
                <w:szCs w:val="1"/>
                <w:color w:val="auto"/>
              </w:rPr>
            </w:pPr>
          </w:p>
        </w:tc>
      </w:tr>
      <w:tr>
        <w:trPr>
          <w:trHeight w:val="207"/>
        </w:trPr>
        <w:tc>
          <w:tcPr>
            <w:tcW w:w="1500" w:type="dxa"/>
            <w:vAlign w:val="bottom"/>
            <w:tcBorders>
              <w:left w:val="single" w:sz="8" w:color="auto"/>
              <w:right w:val="single" w:sz="8" w:color="auto"/>
            </w:tcBorders>
          </w:tcPr>
          <w:p>
            <w:pPr>
              <w:ind w:left="160"/>
              <w:spacing w:after="0"/>
              <w:rPr>
                <w:sz w:val="20"/>
                <w:szCs w:val="20"/>
                <w:color w:val="auto"/>
              </w:rPr>
            </w:pPr>
            <w:r>
              <w:rPr>
                <w:rFonts w:ascii="Arial" w:cs="Arial" w:eastAsia="Arial" w:hAnsi="Arial"/>
                <w:sz w:val="16"/>
                <w:szCs w:val="16"/>
                <w:b w:val="1"/>
                <w:bCs w:val="1"/>
                <w:color w:val="auto"/>
              </w:rPr>
              <w:t>Incentives:</w:t>
            </w:r>
          </w:p>
        </w:tc>
        <w:tc>
          <w:tcPr>
            <w:tcW w:w="4260" w:type="dxa"/>
            <w:vAlign w:val="bottom"/>
            <w:tcBorders>
              <w:right w:val="single" w:sz="8" w:color="auto"/>
            </w:tcBorders>
          </w:tcPr>
          <w:p>
            <w:pPr>
              <w:ind w:left="120"/>
              <w:spacing w:after="0"/>
              <w:rPr>
                <w:sz w:val="20"/>
                <w:szCs w:val="20"/>
                <w:color w:val="auto"/>
              </w:rPr>
            </w:pPr>
            <w:r>
              <w:rPr>
                <w:rFonts w:ascii="Arial" w:cs="Arial" w:eastAsia="Arial" w:hAnsi="Arial"/>
                <w:sz w:val="16"/>
                <w:szCs w:val="16"/>
                <w:color w:val="auto"/>
              </w:rPr>
              <w:t>achievement of Timken’s long-term objectives</w:t>
            </w:r>
          </w:p>
        </w:tc>
        <w:tc>
          <w:tcPr>
            <w:tcW w:w="1460" w:type="dxa"/>
            <w:vAlign w:val="bottom"/>
            <w:tcBorders>
              <w:right w:val="single" w:sz="8" w:color="auto"/>
            </w:tcBorders>
          </w:tcPr>
          <w:p>
            <w:pPr>
              <w:jc w:val="center"/>
              <w:spacing w:after="0"/>
              <w:rPr>
                <w:sz w:val="20"/>
                <w:szCs w:val="20"/>
                <w:color w:val="auto"/>
              </w:rPr>
            </w:pPr>
            <w:r>
              <w:rPr>
                <w:rFonts w:ascii="Arial" w:cs="Arial" w:eastAsia="Arial" w:hAnsi="Arial"/>
                <w:sz w:val="16"/>
                <w:szCs w:val="16"/>
                <w:color w:val="auto"/>
                <w:w w:val="98"/>
              </w:rPr>
              <w:t>Equity</w:t>
            </w:r>
          </w:p>
        </w:tc>
        <w:tc>
          <w:tcPr>
            <w:tcW w:w="4220" w:type="dxa"/>
            <w:vAlign w:val="bottom"/>
            <w:tcBorders>
              <w:right w:val="single" w:sz="8" w:color="auto"/>
            </w:tcBorders>
            <w:gridSpan w:val="2"/>
          </w:tcPr>
          <w:p>
            <w:pPr>
              <w:ind w:left="100"/>
              <w:spacing w:after="0"/>
              <w:rPr>
                <w:sz w:val="20"/>
                <w:szCs w:val="20"/>
                <w:color w:val="auto"/>
              </w:rPr>
            </w:pPr>
            <w:r>
              <w:rPr>
                <w:rFonts w:ascii="Arial" w:cs="Arial" w:eastAsia="Arial" w:hAnsi="Arial"/>
                <w:sz w:val="16"/>
                <w:szCs w:val="16"/>
                <w:color w:val="auto"/>
              </w:rPr>
              <w:t>nonqualified stock options will receive greater value if the</w:t>
            </w:r>
          </w:p>
        </w:tc>
        <w:tc>
          <w:tcPr>
            <w:tcW w:w="0" w:type="dxa"/>
            <w:vAlign w:val="bottom"/>
          </w:tcPr>
          <w:p>
            <w:pPr>
              <w:spacing w:after="0"/>
              <w:rPr>
                <w:sz w:val="1"/>
                <w:szCs w:val="1"/>
                <w:color w:val="auto"/>
              </w:rPr>
            </w:pPr>
          </w:p>
        </w:tc>
      </w:tr>
      <w:tr>
        <w:trPr>
          <w:trHeight w:val="203"/>
        </w:trPr>
        <w:tc>
          <w:tcPr>
            <w:tcW w:w="1500" w:type="dxa"/>
            <w:vAlign w:val="bottom"/>
            <w:tcBorders>
              <w:left w:val="single" w:sz="8" w:color="auto"/>
              <w:right w:val="single" w:sz="8" w:color="auto"/>
            </w:tcBorders>
          </w:tcPr>
          <w:p>
            <w:pPr>
              <w:ind w:left="160"/>
              <w:spacing w:after="0"/>
              <w:rPr>
                <w:sz w:val="20"/>
                <w:szCs w:val="20"/>
                <w:color w:val="auto"/>
              </w:rPr>
            </w:pPr>
            <w:r>
              <w:rPr>
                <w:rFonts w:ascii="Arial" w:cs="Arial" w:eastAsia="Arial" w:hAnsi="Arial"/>
                <w:sz w:val="16"/>
                <w:szCs w:val="16"/>
                <w:color w:val="auto"/>
              </w:rPr>
              <w:t>Nonqualified</w:t>
            </w:r>
          </w:p>
        </w:tc>
        <w:tc>
          <w:tcPr>
            <w:tcW w:w="4260" w:type="dxa"/>
            <w:vAlign w:val="bottom"/>
            <w:tcBorders>
              <w:right w:val="single" w:sz="8" w:color="auto"/>
            </w:tcBorders>
          </w:tcPr>
          <w:p>
            <w:pPr>
              <w:spacing w:after="0"/>
              <w:rPr>
                <w:sz w:val="17"/>
                <w:szCs w:val="17"/>
                <w:color w:val="auto"/>
              </w:rPr>
            </w:pPr>
          </w:p>
        </w:tc>
        <w:tc>
          <w:tcPr>
            <w:tcW w:w="1460" w:type="dxa"/>
            <w:vAlign w:val="bottom"/>
            <w:tcBorders>
              <w:right w:val="single" w:sz="8" w:color="auto"/>
            </w:tcBorders>
          </w:tcPr>
          <w:p>
            <w:pPr>
              <w:spacing w:after="0"/>
              <w:rPr>
                <w:sz w:val="17"/>
                <w:szCs w:val="17"/>
                <w:color w:val="auto"/>
              </w:rPr>
            </w:pPr>
          </w:p>
        </w:tc>
        <w:tc>
          <w:tcPr>
            <w:tcW w:w="4220" w:type="dxa"/>
            <w:vAlign w:val="bottom"/>
            <w:tcBorders>
              <w:right w:val="single" w:sz="8" w:color="auto"/>
            </w:tcBorders>
            <w:gridSpan w:val="2"/>
          </w:tcPr>
          <w:p>
            <w:pPr>
              <w:ind w:left="100"/>
              <w:spacing w:after="0"/>
              <w:rPr>
                <w:sz w:val="20"/>
                <w:szCs w:val="20"/>
                <w:color w:val="auto"/>
              </w:rPr>
            </w:pPr>
            <w:r>
              <w:rPr>
                <w:rFonts w:ascii="Arial" w:cs="Arial" w:eastAsia="Arial" w:hAnsi="Arial"/>
                <w:sz w:val="16"/>
                <w:szCs w:val="16"/>
                <w:color w:val="auto"/>
              </w:rPr>
              <w:t>stock price rises</w:t>
            </w:r>
          </w:p>
        </w:tc>
        <w:tc>
          <w:tcPr>
            <w:tcW w:w="0" w:type="dxa"/>
            <w:vAlign w:val="bottom"/>
          </w:tcPr>
          <w:p>
            <w:pPr>
              <w:spacing w:after="0"/>
              <w:rPr>
                <w:sz w:val="1"/>
                <w:szCs w:val="1"/>
                <w:color w:val="auto"/>
              </w:rPr>
            </w:pPr>
          </w:p>
        </w:tc>
      </w:tr>
      <w:tr>
        <w:trPr>
          <w:trHeight w:val="219"/>
        </w:trPr>
        <w:tc>
          <w:tcPr>
            <w:tcW w:w="1500" w:type="dxa"/>
            <w:vAlign w:val="bottom"/>
            <w:tcBorders>
              <w:left w:val="single" w:sz="8" w:color="auto"/>
              <w:bottom w:val="single" w:sz="8" w:color="auto"/>
              <w:right w:val="single" w:sz="8" w:color="auto"/>
            </w:tcBorders>
          </w:tcPr>
          <w:p>
            <w:pPr>
              <w:ind w:left="160"/>
              <w:spacing w:after="0"/>
              <w:rPr>
                <w:sz w:val="20"/>
                <w:szCs w:val="20"/>
                <w:color w:val="auto"/>
              </w:rPr>
            </w:pPr>
            <w:r>
              <w:rPr>
                <w:rFonts w:ascii="Arial" w:cs="Arial" w:eastAsia="Arial" w:hAnsi="Arial"/>
                <w:sz w:val="16"/>
                <w:szCs w:val="16"/>
                <w:color w:val="auto"/>
              </w:rPr>
              <w:t>Stock Options</w:t>
            </w:r>
          </w:p>
        </w:tc>
        <w:tc>
          <w:tcPr>
            <w:tcW w:w="4260" w:type="dxa"/>
            <w:vAlign w:val="bottom"/>
            <w:tcBorders>
              <w:right w:val="single" w:sz="8" w:color="auto"/>
            </w:tcBorders>
          </w:tcPr>
          <w:p>
            <w:pPr>
              <w:spacing w:after="0"/>
              <w:rPr>
                <w:sz w:val="19"/>
                <w:szCs w:val="19"/>
                <w:color w:val="auto"/>
              </w:rPr>
            </w:pPr>
          </w:p>
        </w:tc>
        <w:tc>
          <w:tcPr>
            <w:tcW w:w="1460" w:type="dxa"/>
            <w:vAlign w:val="bottom"/>
            <w:tcBorders>
              <w:bottom w:val="single" w:sz="8" w:color="auto"/>
              <w:right w:val="single" w:sz="8" w:color="auto"/>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402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179"/>
        </w:trPr>
        <w:tc>
          <w:tcPr>
            <w:tcW w:w="1500" w:type="dxa"/>
            <w:vAlign w:val="bottom"/>
            <w:tcBorders>
              <w:left w:val="single" w:sz="8" w:color="auto"/>
              <w:right w:val="single" w:sz="8" w:color="auto"/>
            </w:tcBorders>
          </w:tcPr>
          <w:p>
            <w:pPr>
              <w:ind w:left="160"/>
              <w:spacing w:after="0" w:line="179" w:lineRule="exact"/>
              <w:rPr>
                <w:sz w:val="20"/>
                <w:szCs w:val="20"/>
                <w:color w:val="auto"/>
              </w:rPr>
            </w:pPr>
            <w:r>
              <w:rPr>
                <w:rFonts w:ascii="Arial" w:cs="Arial" w:eastAsia="Arial" w:hAnsi="Arial"/>
                <w:sz w:val="16"/>
                <w:szCs w:val="16"/>
                <w:b w:val="1"/>
                <w:bCs w:val="1"/>
                <w:color w:val="auto"/>
              </w:rPr>
              <w:t>Long-Term</w:t>
            </w:r>
          </w:p>
        </w:tc>
        <w:tc>
          <w:tcPr>
            <w:tcW w:w="4260" w:type="dxa"/>
            <w:vAlign w:val="bottom"/>
            <w:tcBorders>
              <w:right w:val="single" w:sz="8" w:color="auto"/>
            </w:tcBorders>
          </w:tcPr>
          <w:p>
            <w:pPr>
              <w:ind w:left="120"/>
              <w:spacing w:after="0" w:line="179" w:lineRule="exact"/>
              <w:rPr>
                <w:sz w:val="20"/>
                <w:szCs w:val="20"/>
                <w:color w:val="auto"/>
              </w:rPr>
            </w:pPr>
            <w:r>
              <w:rPr>
                <w:rFonts w:ascii="Arial" w:cs="Arial" w:eastAsia="Arial" w:hAnsi="Arial"/>
                <w:sz w:val="16"/>
                <w:szCs w:val="16"/>
                <w:color w:val="auto"/>
                <w:w w:val="94"/>
              </w:rPr>
              <w:t>Links compensation of executives to the building of long-term</w:t>
            </w:r>
          </w:p>
        </w:tc>
        <w:tc>
          <w:tcPr>
            <w:tcW w:w="1460" w:type="dxa"/>
            <w:vAlign w:val="bottom"/>
            <w:tcBorders>
              <w:right w:val="single" w:sz="8" w:color="auto"/>
            </w:tcBorders>
          </w:tcPr>
          <w:p>
            <w:pPr>
              <w:jc w:val="center"/>
              <w:spacing w:after="0" w:line="179" w:lineRule="exact"/>
              <w:rPr>
                <w:sz w:val="20"/>
                <w:szCs w:val="20"/>
                <w:color w:val="auto"/>
              </w:rPr>
            </w:pPr>
            <w:r>
              <w:rPr>
                <w:rFonts w:ascii="Arial" w:cs="Arial" w:eastAsia="Arial" w:hAnsi="Arial"/>
                <w:sz w:val="16"/>
                <w:szCs w:val="16"/>
                <w:color w:val="auto"/>
                <w:w w:val="94"/>
              </w:rPr>
              <w:t>Long-Term</w:t>
            </w:r>
          </w:p>
        </w:tc>
        <w:tc>
          <w:tcPr>
            <w:tcW w:w="4220" w:type="dxa"/>
            <w:vAlign w:val="bottom"/>
            <w:tcBorders>
              <w:right w:val="single" w:sz="8" w:color="auto"/>
            </w:tcBorders>
            <w:gridSpan w:val="2"/>
          </w:tcPr>
          <w:p>
            <w:pPr>
              <w:ind w:left="100"/>
              <w:spacing w:after="0" w:line="179" w:lineRule="exact"/>
              <w:rPr>
                <w:sz w:val="20"/>
                <w:szCs w:val="20"/>
                <w:color w:val="auto"/>
              </w:rPr>
            </w:pPr>
            <w:r>
              <w:rPr>
                <w:rFonts w:ascii="Arial" w:cs="Arial" w:eastAsia="Arial" w:hAnsi="Arial"/>
                <w:sz w:val="16"/>
                <w:szCs w:val="16"/>
                <w:color w:val="auto"/>
                <w:w w:val="94"/>
              </w:rPr>
              <w:t>Performance-based restricted stock units designed to reward</w:t>
            </w:r>
          </w:p>
        </w:tc>
        <w:tc>
          <w:tcPr>
            <w:tcW w:w="0" w:type="dxa"/>
            <w:vAlign w:val="bottom"/>
          </w:tcPr>
          <w:p>
            <w:pPr>
              <w:spacing w:after="0"/>
              <w:rPr>
                <w:sz w:val="1"/>
                <w:szCs w:val="1"/>
                <w:color w:val="auto"/>
              </w:rPr>
            </w:pPr>
          </w:p>
        </w:tc>
      </w:tr>
      <w:tr>
        <w:trPr>
          <w:trHeight w:val="203"/>
        </w:trPr>
        <w:tc>
          <w:tcPr>
            <w:tcW w:w="1500" w:type="dxa"/>
            <w:vAlign w:val="bottom"/>
            <w:tcBorders>
              <w:left w:val="single" w:sz="8" w:color="auto"/>
              <w:right w:val="single" w:sz="8" w:color="auto"/>
            </w:tcBorders>
          </w:tcPr>
          <w:p>
            <w:pPr>
              <w:ind w:left="160"/>
              <w:spacing w:after="0"/>
              <w:rPr>
                <w:sz w:val="20"/>
                <w:szCs w:val="20"/>
                <w:color w:val="auto"/>
              </w:rPr>
            </w:pPr>
            <w:r>
              <w:rPr>
                <w:rFonts w:ascii="Arial" w:cs="Arial" w:eastAsia="Arial" w:hAnsi="Arial"/>
                <w:sz w:val="16"/>
                <w:szCs w:val="16"/>
                <w:b w:val="1"/>
                <w:bCs w:val="1"/>
                <w:color w:val="auto"/>
              </w:rPr>
              <w:t>Incentives:</w:t>
            </w:r>
          </w:p>
        </w:tc>
        <w:tc>
          <w:tcPr>
            <w:tcW w:w="4260" w:type="dxa"/>
            <w:vAlign w:val="bottom"/>
            <w:tcBorders>
              <w:right w:val="single" w:sz="8" w:color="auto"/>
            </w:tcBorders>
          </w:tcPr>
          <w:p>
            <w:pPr>
              <w:ind w:left="120"/>
              <w:spacing w:after="0"/>
              <w:rPr>
                <w:sz w:val="20"/>
                <w:szCs w:val="20"/>
                <w:color w:val="auto"/>
              </w:rPr>
            </w:pPr>
            <w:r>
              <w:rPr>
                <w:rFonts w:ascii="Arial" w:cs="Arial" w:eastAsia="Arial" w:hAnsi="Arial"/>
                <w:sz w:val="16"/>
                <w:szCs w:val="16"/>
                <w:color w:val="auto"/>
                <w:w w:val="96"/>
              </w:rPr>
              <w:t>shareholder value, balances short-term operating focus, and</w:t>
            </w:r>
          </w:p>
        </w:tc>
        <w:tc>
          <w:tcPr>
            <w:tcW w:w="1460" w:type="dxa"/>
            <w:vAlign w:val="bottom"/>
            <w:tcBorders>
              <w:right w:val="single" w:sz="8" w:color="auto"/>
            </w:tcBorders>
          </w:tcPr>
          <w:p>
            <w:pPr>
              <w:jc w:val="center"/>
              <w:spacing w:after="0"/>
              <w:rPr>
                <w:sz w:val="20"/>
                <w:szCs w:val="20"/>
                <w:color w:val="auto"/>
              </w:rPr>
            </w:pPr>
            <w:r>
              <w:rPr>
                <w:rFonts w:ascii="Arial" w:cs="Arial" w:eastAsia="Arial" w:hAnsi="Arial"/>
                <w:sz w:val="16"/>
                <w:szCs w:val="16"/>
                <w:color w:val="auto"/>
                <w:w w:val="98"/>
              </w:rPr>
              <w:t>Equity</w:t>
            </w:r>
          </w:p>
        </w:tc>
        <w:tc>
          <w:tcPr>
            <w:tcW w:w="4220" w:type="dxa"/>
            <w:vAlign w:val="bottom"/>
            <w:tcBorders>
              <w:right w:val="single" w:sz="8" w:color="auto"/>
            </w:tcBorders>
            <w:gridSpan w:val="2"/>
          </w:tcPr>
          <w:p>
            <w:pPr>
              <w:ind w:left="100"/>
              <w:spacing w:after="0"/>
              <w:rPr>
                <w:sz w:val="20"/>
                <w:szCs w:val="20"/>
                <w:color w:val="auto"/>
              </w:rPr>
            </w:pPr>
            <w:r>
              <w:rPr>
                <w:rFonts w:ascii="Arial" w:cs="Arial" w:eastAsia="Arial" w:hAnsi="Arial"/>
                <w:sz w:val="16"/>
                <w:szCs w:val="16"/>
                <w:color w:val="auto"/>
              </w:rPr>
              <w:t>executives for attainment of specified medium-term</w:t>
            </w:r>
          </w:p>
        </w:tc>
        <w:tc>
          <w:tcPr>
            <w:tcW w:w="0" w:type="dxa"/>
            <w:vAlign w:val="bottom"/>
          </w:tcPr>
          <w:p>
            <w:pPr>
              <w:spacing w:after="0"/>
              <w:rPr>
                <w:sz w:val="1"/>
                <w:szCs w:val="1"/>
                <w:color w:val="auto"/>
              </w:rPr>
            </w:pPr>
          </w:p>
        </w:tc>
      </w:tr>
      <w:tr>
        <w:trPr>
          <w:trHeight w:val="203"/>
        </w:trPr>
        <w:tc>
          <w:tcPr>
            <w:tcW w:w="1500" w:type="dxa"/>
            <w:vAlign w:val="bottom"/>
            <w:tcBorders>
              <w:left w:val="single" w:sz="8" w:color="auto"/>
              <w:right w:val="single" w:sz="8" w:color="auto"/>
            </w:tcBorders>
          </w:tcPr>
          <w:p>
            <w:pPr>
              <w:ind w:left="160"/>
              <w:spacing w:after="0"/>
              <w:rPr>
                <w:sz w:val="20"/>
                <w:szCs w:val="20"/>
                <w:color w:val="auto"/>
              </w:rPr>
            </w:pPr>
            <w:r>
              <w:rPr>
                <w:rFonts w:ascii="Arial" w:cs="Arial" w:eastAsia="Arial" w:hAnsi="Arial"/>
                <w:sz w:val="16"/>
                <w:szCs w:val="16"/>
                <w:color w:val="auto"/>
              </w:rPr>
              <w:t>Strategic</w:t>
            </w:r>
          </w:p>
        </w:tc>
        <w:tc>
          <w:tcPr>
            <w:tcW w:w="4260" w:type="dxa"/>
            <w:vAlign w:val="bottom"/>
            <w:tcBorders>
              <w:right w:val="single" w:sz="8" w:color="auto"/>
            </w:tcBorders>
          </w:tcPr>
          <w:p>
            <w:pPr>
              <w:ind w:left="120"/>
              <w:spacing w:after="0"/>
              <w:rPr>
                <w:sz w:val="20"/>
                <w:szCs w:val="20"/>
                <w:color w:val="auto"/>
              </w:rPr>
            </w:pPr>
            <w:r>
              <w:rPr>
                <w:rFonts w:ascii="Arial" w:cs="Arial" w:eastAsia="Arial" w:hAnsi="Arial"/>
                <w:sz w:val="16"/>
                <w:szCs w:val="16"/>
                <w:color w:val="auto"/>
              </w:rPr>
              <w:t>aligns the long-term financial interests of executive</w:t>
            </w:r>
          </w:p>
        </w:tc>
        <w:tc>
          <w:tcPr>
            <w:tcW w:w="1460" w:type="dxa"/>
            <w:vAlign w:val="bottom"/>
            <w:tcBorders>
              <w:right w:val="single" w:sz="8" w:color="auto"/>
            </w:tcBorders>
          </w:tcPr>
          <w:p>
            <w:pPr>
              <w:spacing w:after="0"/>
              <w:rPr>
                <w:sz w:val="17"/>
                <w:szCs w:val="17"/>
                <w:color w:val="auto"/>
              </w:rPr>
            </w:pPr>
          </w:p>
        </w:tc>
        <w:tc>
          <w:tcPr>
            <w:tcW w:w="4220" w:type="dxa"/>
            <w:vAlign w:val="bottom"/>
            <w:tcBorders>
              <w:right w:val="single" w:sz="8" w:color="auto"/>
            </w:tcBorders>
            <w:gridSpan w:val="2"/>
          </w:tcPr>
          <w:p>
            <w:pPr>
              <w:ind w:left="100"/>
              <w:spacing w:after="0"/>
              <w:rPr>
                <w:sz w:val="20"/>
                <w:szCs w:val="20"/>
                <w:color w:val="auto"/>
              </w:rPr>
            </w:pPr>
            <w:r>
              <w:rPr>
                <w:rFonts w:ascii="Arial" w:cs="Arial" w:eastAsia="Arial" w:hAnsi="Arial"/>
                <w:sz w:val="16"/>
                <w:szCs w:val="16"/>
                <w:color w:val="auto"/>
              </w:rPr>
              <w:t>corporate performance goals and the value of which is</w:t>
            </w:r>
          </w:p>
        </w:tc>
        <w:tc>
          <w:tcPr>
            <w:tcW w:w="0" w:type="dxa"/>
            <w:vAlign w:val="bottom"/>
          </w:tcPr>
          <w:p>
            <w:pPr>
              <w:spacing w:after="0"/>
              <w:rPr>
                <w:sz w:val="1"/>
                <w:szCs w:val="1"/>
                <w:color w:val="auto"/>
              </w:rPr>
            </w:pPr>
          </w:p>
        </w:tc>
      </w:tr>
      <w:tr>
        <w:trPr>
          <w:trHeight w:val="216"/>
        </w:trPr>
        <w:tc>
          <w:tcPr>
            <w:tcW w:w="1500" w:type="dxa"/>
            <w:vAlign w:val="bottom"/>
            <w:tcBorders>
              <w:left w:val="single" w:sz="8" w:color="auto"/>
              <w:right w:val="single" w:sz="8" w:color="auto"/>
            </w:tcBorders>
          </w:tcPr>
          <w:p>
            <w:pPr>
              <w:ind w:left="160"/>
              <w:spacing w:after="0"/>
              <w:rPr>
                <w:sz w:val="20"/>
                <w:szCs w:val="20"/>
                <w:color w:val="auto"/>
              </w:rPr>
            </w:pPr>
            <w:r>
              <w:rPr>
                <w:rFonts w:ascii="Arial" w:cs="Arial" w:eastAsia="Arial" w:hAnsi="Arial"/>
                <w:sz w:val="16"/>
                <w:szCs w:val="16"/>
                <w:color w:val="auto"/>
              </w:rPr>
              <w:t>Performance</w:t>
            </w:r>
          </w:p>
        </w:tc>
        <w:tc>
          <w:tcPr>
            <w:tcW w:w="4260" w:type="dxa"/>
            <w:vAlign w:val="bottom"/>
            <w:tcBorders>
              <w:right w:val="single" w:sz="8" w:color="auto"/>
            </w:tcBorders>
          </w:tcPr>
          <w:p>
            <w:pPr>
              <w:ind w:left="120"/>
              <w:spacing w:after="0"/>
              <w:rPr>
                <w:sz w:val="20"/>
                <w:szCs w:val="20"/>
                <w:color w:val="auto"/>
              </w:rPr>
            </w:pPr>
            <w:r>
              <w:rPr>
                <w:rFonts w:ascii="Arial" w:cs="Arial" w:eastAsia="Arial" w:hAnsi="Arial"/>
                <w:sz w:val="16"/>
                <w:szCs w:val="16"/>
                <w:color w:val="auto"/>
              </w:rPr>
              <w:t>management with those of shareholders</w:t>
            </w:r>
          </w:p>
        </w:tc>
        <w:tc>
          <w:tcPr>
            <w:tcW w:w="1460" w:type="dxa"/>
            <w:vAlign w:val="bottom"/>
            <w:tcBorders>
              <w:right w:val="single" w:sz="8" w:color="auto"/>
            </w:tcBorders>
          </w:tcPr>
          <w:p>
            <w:pPr>
              <w:spacing w:after="0"/>
              <w:rPr>
                <w:sz w:val="18"/>
                <w:szCs w:val="18"/>
                <w:color w:val="auto"/>
              </w:rPr>
            </w:pPr>
          </w:p>
        </w:tc>
        <w:tc>
          <w:tcPr>
            <w:tcW w:w="4220" w:type="dxa"/>
            <w:vAlign w:val="bottom"/>
            <w:tcBorders>
              <w:right w:val="single" w:sz="8" w:color="auto"/>
            </w:tcBorders>
            <w:gridSpan w:val="2"/>
          </w:tcPr>
          <w:p>
            <w:pPr>
              <w:ind w:left="100"/>
              <w:spacing w:after="0"/>
              <w:rPr>
                <w:sz w:val="20"/>
                <w:szCs w:val="20"/>
                <w:color w:val="auto"/>
              </w:rPr>
            </w:pPr>
            <w:r>
              <w:rPr>
                <w:rFonts w:ascii="Arial" w:cs="Arial" w:eastAsia="Arial" w:hAnsi="Arial"/>
                <w:sz w:val="16"/>
                <w:szCs w:val="16"/>
                <w:color w:val="auto"/>
              </w:rPr>
              <w:t>linked to the stock price</w:t>
            </w:r>
          </w:p>
        </w:tc>
        <w:tc>
          <w:tcPr>
            <w:tcW w:w="0" w:type="dxa"/>
            <w:vAlign w:val="bottom"/>
          </w:tcPr>
          <w:p>
            <w:pPr>
              <w:spacing w:after="0"/>
              <w:rPr>
                <w:sz w:val="1"/>
                <w:szCs w:val="1"/>
                <w:color w:val="auto"/>
              </w:rPr>
            </w:pPr>
          </w:p>
        </w:tc>
      </w:tr>
      <w:tr>
        <w:trPr>
          <w:trHeight w:val="219"/>
        </w:trPr>
        <w:tc>
          <w:tcPr>
            <w:tcW w:w="1500" w:type="dxa"/>
            <w:vAlign w:val="bottom"/>
            <w:tcBorders>
              <w:left w:val="single" w:sz="8" w:color="auto"/>
              <w:bottom w:val="single" w:sz="8" w:color="auto"/>
              <w:right w:val="single" w:sz="8" w:color="auto"/>
            </w:tcBorders>
          </w:tcPr>
          <w:p>
            <w:pPr>
              <w:ind w:left="160"/>
              <w:spacing w:after="0"/>
              <w:rPr>
                <w:sz w:val="20"/>
                <w:szCs w:val="20"/>
                <w:color w:val="auto"/>
              </w:rPr>
            </w:pPr>
            <w:r>
              <w:rPr>
                <w:rFonts w:ascii="Arial" w:cs="Arial" w:eastAsia="Arial" w:hAnsi="Arial"/>
                <w:sz w:val="16"/>
                <w:szCs w:val="16"/>
                <w:color w:val="auto"/>
              </w:rPr>
              <w:t>Shares</w:t>
            </w:r>
          </w:p>
        </w:tc>
        <w:tc>
          <w:tcPr>
            <w:tcW w:w="4260" w:type="dxa"/>
            <w:vAlign w:val="bottom"/>
            <w:tcBorders>
              <w:right w:val="single" w:sz="8" w:color="auto"/>
            </w:tcBorders>
          </w:tcPr>
          <w:p>
            <w:pPr>
              <w:spacing w:after="0"/>
              <w:rPr>
                <w:sz w:val="19"/>
                <w:szCs w:val="19"/>
                <w:color w:val="auto"/>
              </w:rPr>
            </w:pPr>
          </w:p>
        </w:tc>
        <w:tc>
          <w:tcPr>
            <w:tcW w:w="1460" w:type="dxa"/>
            <w:vAlign w:val="bottom"/>
            <w:tcBorders>
              <w:bottom w:val="single" w:sz="8" w:color="auto"/>
              <w:right w:val="single" w:sz="8" w:color="auto"/>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402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189"/>
        </w:trPr>
        <w:tc>
          <w:tcPr>
            <w:tcW w:w="1500" w:type="dxa"/>
            <w:vAlign w:val="bottom"/>
            <w:tcBorders>
              <w:left w:val="single" w:sz="8" w:color="auto"/>
              <w:right w:val="single" w:sz="8" w:color="auto"/>
            </w:tcBorders>
          </w:tcPr>
          <w:p>
            <w:pPr>
              <w:ind w:left="160"/>
              <w:spacing w:after="0"/>
              <w:rPr>
                <w:sz w:val="20"/>
                <w:szCs w:val="20"/>
                <w:color w:val="auto"/>
              </w:rPr>
            </w:pPr>
            <w:r>
              <w:rPr>
                <w:rFonts w:ascii="Arial" w:cs="Arial" w:eastAsia="Arial" w:hAnsi="Arial"/>
                <w:sz w:val="16"/>
                <w:szCs w:val="16"/>
                <w:b w:val="1"/>
                <w:bCs w:val="1"/>
                <w:color w:val="auto"/>
              </w:rPr>
              <w:t>Long-Term</w:t>
            </w:r>
          </w:p>
        </w:tc>
        <w:tc>
          <w:tcPr>
            <w:tcW w:w="4260" w:type="dxa"/>
            <w:vAlign w:val="bottom"/>
            <w:tcBorders>
              <w:right w:val="single" w:sz="8" w:color="auto"/>
            </w:tcBorders>
          </w:tcPr>
          <w:p>
            <w:pPr>
              <w:ind w:left="120"/>
              <w:spacing w:after="0"/>
              <w:rPr>
                <w:sz w:val="20"/>
                <w:szCs w:val="20"/>
                <w:color w:val="auto"/>
              </w:rPr>
            </w:pPr>
            <w:r>
              <w:rPr>
                <w:rFonts w:ascii="Arial" w:cs="Arial" w:eastAsia="Arial" w:hAnsi="Arial"/>
                <w:sz w:val="16"/>
                <w:szCs w:val="16"/>
                <w:color w:val="auto"/>
                <w:w w:val="92"/>
              </w:rPr>
              <w:t>Keeps the compensation program competitive and helps retain</w:t>
            </w:r>
          </w:p>
        </w:tc>
        <w:tc>
          <w:tcPr>
            <w:tcW w:w="1460" w:type="dxa"/>
            <w:vAlign w:val="bottom"/>
            <w:tcBorders>
              <w:right w:val="single" w:sz="8" w:color="auto"/>
            </w:tcBorders>
          </w:tcPr>
          <w:p>
            <w:pPr>
              <w:jc w:val="center"/>
              <w:spacing w:after="0"/>
              <w:rPr>
                <w:sz w:val="20"/>
                <w:szCs w:val="20"/>
                <w:color w:val="auto"/>
              </w:rPr>
            </w:pPr>
            <w:r>
              <w:rPr>
                <w:rFonts w:ascii="Arial" w:cs="Arial" w:eastAsia="Arial" w:hAnsi="Arial"/>
                <w:sz w:val="16"/>
                <w:szCs w:val="16"/>
                <w:color w:val="auto"/>
                <w:w w:val="94"/>
              </w:rPr>
              <w:t>Long-Term</w:t>
            </w:r>
          </w:p>
        </w:tc>
        <w:tc>
          <w:tcPr>
            <w:tcW w:w="4220" w:type="dxa"/>
            <w:vAlign w:val="bottom"/>
            <w:tcBorders>
              <w:right w:val="single" w:sz="8" w:color="auto"/>
            </w:tcBorders>
            <w:gridSpan w:val="2"/>
          </w:tcPr>
          <w:p>
            <w:pPr>
              <w:ind w:left="100"/>
              <w:spacing w:after="0"/>
              <w:rPr>
                <w:sz w:val="20"/>
                <w:szCs w:val="20"/>
                <w:color w:val="auto"/>
              </w:rPr>
            </w:pPr>
            <w:r>
              <w:rPr>
                <w:rFonts w:ascii="Arial" w:cs="Arial" w:eastAsia="Arial" w:hAnsi="Arial"/>
                <w:sz w:val="16"/>
                <w:szCs w:val="16"/>
                <w:color w:val="auto"/>
              </w:rPr>
              <w:t>Granted selectively, cliff vesting promotes retention, and</w:t>
            </w:r>
          </w:p>
        </w:tc>
        <w:tc>
          <w:tcPr>
            <w:tcW w:w="0" w:type="dxa"/>
            <w:vAlign w:val="bottom"/>
          </w:tcPr>
          <w:p>
            <w:pPr>
              <w:spacing w:after="0"/>
              <w:rPr>
                <w:sz w:val="1"/>
                <w:szCs w:val="1"/>
                <w:color w:val="auto"/>
              </w:rPr>
            </w:pPr>
          </w:p>
        </w:tc>
      </w:tr>
      <w:tr>
        <w:trPr>
          <w:trHeight w:val="207"/>
        </w:trPr>
        <w:tc>
          <w:tcPr>
            <w:tcW w:w="1500" w:type="dxa"/>
            <w:vAlign w:val="bottom"/>
            <w:tcBorders>
              <w:left w:val="single" w:sz="8" w:color="auto"/>
              <w:right w:val="single" w:sz="8" w:color="auto"/>
            </w:tcBorders>
          </w:tcPr>
          <w:p>
            <w:pPr>
              <w:ind w:left="160"/>
              <w:spacing w:after="0"/>
              <w:rPr>
                <w:sz w:val="20"/>
                <w:szCs w:val="20"/>
                <w:color w:val="auto"/>
              </w:rPr>
            </w:pPr>
            <w:r>
              <w:rPr>
                <w:rFonts w:ascii="Arial" w:cs="Arial" w:eastAsia="Arial" w:hAnsi="Arial"/>
                <w:sz w:val="16"/>
                <w:szCs w:val="16"/>
                <w:b w:val="1"/>
                <w:bCs w:val="1"/>
                <w:color w:val="auto"/>
              </w:rPr>
              <w:t>Incentives:</w:t>
            </w:r>
          </w:p>
        </w:tc>
        <w:tc>
          <w:tcPr>
            <w:tcW w:w="4260" w:type="dxa"/>
            <w:vAlign w:val="bottom"/>
            <w:tcBorders>
              <w:right w:val="single" w:sz="8" w:color="auto"/>
            </w:tcBorders>
          </w:tcPr>
          <w:p>
            <w:pPr>
              <w:ind w:left="120"/>
              <w:spacing w:after="0"/>
              <w:rPr>
                <w:sz w:val="20"/>
                <w:szCs w:val="20"/>
                <w:color w:val="auto"/>
              </w:rPr>
            </w:pPr>
            <w:r>
              <w:rPr>
                <w:rFonts w:ascii="Arial" w:cs="Arial" w:eastAsia="Arial" w:hAnsi="Arial"/>
                <w:sz w:val="16"/>
                <w:szCs w:val="16"/>
                <w:color w:val="auto"/>
              </w:rPr>
              <w:t>talent</w:t>
            </w:r>
          </w:p>
        </w:tc>
        <w:tc>
          <w:tcPr>
            <w:tcW w:w="1460" w:type="dxa"/>
            <w:vAlign w:val="bottom"/>
            <w:tcBorders>
              <w:right w:val="single" w:sz="8" w:color="auto"/>
            </w:tcBorders>
          </w:tcPr>
          <w:p>
            <w:pPr>
              <w:jc w:val="center"/>
              <w:spacing w:after="0"/>
              <w:rPr>
                <w:sz w:val="20"/>
                <w:szCs w:val="20"/>
                <w:color w:val="auto"/>
              </w:rPr>
            </w:pPr>
            <w:r>
              <w:rPr>
                <w:rFonts w:ascii="Arial" w:cs="Arial" w:eastAsia="Arial" w:hAnsi="Arial"/>
                <w:sz w:val="16"/>
                <w:szCs w:val="16"/>
                <w:color w:val="auto"/>
                <w:w w:val="98"/>
              </w:rPr>
              <w:t>Equity</w:t>
            </w:r>
          </w:p>
        </w:tc>
        <w:tc>
          <w:tcPr>
            <w:tcW w:w="4220" w:type="dxa"/>
            <w:vAlign w:val="bottom"/>
            <w:tcBorders>
              <w:right w:val="single" w:sz="8" w:color="auto"/>
            </w:tcBorders>
            <w:gridSpan w:val="2"/>
          </w:tcPr>
          <w:p>
            <w:pPr>
              <w:ind w:left="100"/>
              <w:spacing w:after="0"/>
              <w:rPr>
                <w:sz w:val="20"/>
                <w:szCs w:val="20"/>
                <w:color w:val="auto"/>
              </w:rPr>
            </w:pPr>
            <w:r>
              <w:rPr>
                <w:rFonts w:ascii="Arial" w:cs="Arial" w:eastAsia="Arial" w:hAnsi="Arial"/>
                <w:sz w:val="16"/>
                <w:szCs w:val="16"/>
                <w:color w:val="auto"/>
                <w:w w:val="95"/>
              </w:rPr>
              <w:t>executives holding deferred shares will receive greater value</w:t>
            </w:r>
          </w:p>
        </w:tc>
        <w:tc>
          <w:tcPr>
            <w:tcW w:w="0" w:type="dxa"/>
            <w:vAlign w:val="bottom"/>
          </w:tcPr>
          <w:p>
            <w:pPr>
              <w:spacing w:after="0"/>
              <w:rPr>
                <w:sz w:val="1"/>
                <w:szCs w:val="1"/>
                <w:color w:val="auto"/>
              </w:rPr>
            </w:pPr>
          </w:p>
        </w:tc>
      </w:tr>
      <w:tr>
        <w:trPr>
          <w:trHeight w:val="206"/>
        </w:trPr>
        <w:tc>
          <w:tcPr>
            <w:tcW w:w="1500" w:type="dxa"/>
            <w:vAlign w:val="bottom"/>
            <w:tcBorders>
              <w:left w:val="single" w:sz="8" w:color="auto"/>
              <w:right w:val="single" w:sz="8" w:color="auto"/>
            </w:tcBorders>
          </w:tcPr>
          <w:p>
            <w:pPr>
              <w:ind w:left="160"/>
              <w:spacing w:after="0"/>
              <w:rPr>
                <w:sz w:val="20"/>
                <w:szCs w:val="20"/>
                <w:color w:val="auto"/>
              </w:rPr>
            </w:pPr>
            <w:r>
              <w:rPr>
                <w:rFonts w:ascii="Arial" w:cs="Arial" w:eastAsia="Arial" w:hAnsi="Arial"/>
                <w:sz w:val="16"/>
                <w:szCs w:val="16"/>
                <w:color w:val="auto"/>
              </w:rPr>
              <w:t>Deferred Shares</w:t>
            </w:r>
          </w:p>
        </w:tc>
        <w:tc>
          <w:tcPr>
            <w:tcW w:w="4260" w:type="dxa"/>
            <w:vAlign w:val="bottom"/>
            <w:tcBorders>
              <w:right w:val="single" w:sz="8" w:color="auto"/>
            </w:tcBorders>
          </w:tcPr>
          <w:p>
            <w:pPr>
              <w:spacing w:after="0"/>
              <w:rPr>
                <w:sz w:val="17"/>
                <w:szCs w:val="17"/>
                <w:color w:val="auto"/>
              </w:rPr>
            </w:pPr>
          </w:p>
        </w:tc>
        <w:tc>
          <w:tcPr>
            <w:tcW w:w="1460" w:type="dxa"/>
            <w:vAlign w:val="bottom"/>
            <w:tcBorders>
              <w:right w:val="single" w:sz="8" w:color="auto"/>
            </w:tcBorders>
          </w:tcPr>
          <w:p>
            <w:pPr>
              <w:spacing w:after="0"/>
              <w:rPr>
                <w:sz w:val="17"/>
                <w:szCs w:val="17"/>
                <w:color w:val="auto"/>
              </w:rPr>
            </w:pPr>
          </w:p>
        </w:tc>
        <w:tc>
          <w:tcPr>
            <w:tcW w:w="4220" w:type="dxa"/>
            <w:vAlign w:val="bottom"/>
            <w:tcBorders>
              <w:right w:val="single" w:sz="8" w:color="auto"/>
            </w:tcBorders>
            <w:gridSpan w:val="2"/>
          </w:tcPr>
          <w:p>
            <w:pPr>
              <w:ind w:left="100"/>
              <w:spacing w:after="0"/>
              <w:rPr>
                <w:sz w:val="20"/>
                <w:szCs w:val="20"/>
                <w:color w:val="auto"/>
              </w:rPr>
            </w:pPr>
            <w:r>
              <w:rPr>
                <w:rFonts w:ascii="Arial" w:cs="Arial" w:eastAsia="Arial" w:hAnsi="Arial"/>
                <w:sz w:val="16"/>
                <w:szCs w:val="16"/>
                <w:color w:val="auto"/>
              </w:rPr>
              <w:t>if the stock price rises</w:t>
            </w:r>
          </w:p>
        </w:tc>
        <w:tc>
          <w:tcPr>
            <w:tcW w:w="0" w:type="dxa"/>
            <w:vAlign w:val="bottom"/>
          </w:tcPr>
          <w:p>
            <w:pPr>
              <w:spacing w:after="0"/>
              <w:rPr>
                <w:sz w:val="1"/>
                <w:szCs w:val="1"/>
                <w:color w:val="auto"/>
              </w:rPr>
            </w:pPr>
          </w:p>
        </w:tc>
      </w:tr>
      <w:tr>
        <w:trPr>
          <w:trHeight w:val="141"/>
        </w:trPr>
        <w:tc>
          <w:tcPr>
            <w:tcW w:w="1500" w:type="dxa"/>
            <w:vAlign w:val="bottom"/>
            <w:tcBorders>
              <w:left w:val="single" w:sz="8" w:color="auto"/>
              <w:bottom w:val="single" w:sz="8" w:color="auto"/>
              <w:right w:val="single" w:sz="8" w:color="auto"/>
            </w:tcBorders>
          </w:tcPr>
          <w:p>
            <w:pPr>
              <w:spacing w:after="0"/>
              <w:rPr>
                <w:sz w:val="12"/>
                <w:szCs w:val="12"/>
                <w:color w:val="auto"/>
              </w:rPr>
            </w:pPr>
          </w:p>
        </w:tc>
        <w:tc>
          <w:tcPr>
            <w:tcW w:w="4260" w:type="dxa"/>
            <w:vAlign w:val="bottom"/>
            <w:tcBorders>
              <w:bottom w:val="single" w:sz="8" w:color="auto"/>
              <w:right w:val="single" w:sz="8" w:color="auto"/>
            </w:tcBorders>
          </w:tcPr>
          <w:p>
            <w:pPr>
              <w:spacing w:after="0"/>
              <w:rPr>
                <w:sz w:val="12"/>
                <w:szCs w:val="12"/>
                <w:color w:val="auto"/>
              </w:rPr>
            </w:pPr>
          </w:p>
        </w:tc>
        <w:tc>
          <w:tcPr>
            <w:tcW w:w="1460" w:type="dxa"/>
            <w:vAlign w:val="bottom"/>
            <w:tcBorders>
              <w:bottom w:val="single" w:sz="8" w:color="auto"/>
              <w:right w:val="single" w:sz="8" w:color="auto"/>
            </w:tcBorders>
          </w:tcPr>
          <w:p>
            <w:pPr>
              <w:spacing w:after="0"/>
              <w:rPr>
                <w:sz w:val="12"/>
                <w:szCs w:val="12"/>
                <w:color w:val="auto"/>
              </w:rPr>
            </w:pPr>
          </w:p>
        </w:tc>
        <w:tc>
          <w:tcPr>
            <w:tcW w:w="4220" w:type="dxa"/>
            <w:vAlign w:val="bottom"/>
            <w:tcBorders>
              <w:bottom w:val="single" w:sz="8" w:color="auto"/>
              <w:right w:val="single" w:sz="8" w:color="auto"/>
            </w:tcBorders>
            <w:gridSpan w:val="2"/>
          </w:tcPr>
          <w:p>
            <w:pPr>
              <w:spacing w:after="0"/>
              <w:rPr>
                <w:sz w:val="12"/>
                <w:szCs w:val="12"/>
                <w:color w:val="auto"/>
              </w:rPr>
            </w:pPr>
          </w:p>
        </w:tc>
        <w:tc>
          <w:tcPr>
            <w:tcW w:w="0" w:type="dxa"/>
            <w:vAlign w:val="bottom"/>
          </w:tcPr>
          <w:p>
            <w:pPr>
              <w:spacing w:after="0"/>
              <w:rPr>
                <w:sz w:val="1"/>
                <w:szCs w:val="1"/>
                <w:color w:val="auto"/>
              </w:rPr>
            </w:pPr>
          </w:p>
        </w:tc>
      </w:tr>
      <w:tr>
        <w:trPr>
          <w:trHeight w:val="186"/>
        </w:trPr>
        <w:tc>
          <w:tcPr>
            <w:tcW w:w="1500" w:type="dxa"/>
            <w:vAlign w:val="bottom"/>
            <w:tcBorders>
              <w:left w:val="single" w:sz="8" w:color="auto"/>
              <w:right w:val="single" w:sz="8" w:color="auto"/>
            </w:tcBorders>
          </w:tcPr>
          <w:p>
            <w:pPr>
              <w:ind w:left="160"/>
              <w:spacing w:after="0"/>
              <w:rPr>
                <w:sz w:val="20"/>
                <w:szCs w:val="20"/>
                <w:color w:val="auto"/>
              </w:rPr>
            </w:pPr>
            <w:r>
              <w:rPr>
                <w:rFonts w:ascii="Arial" w:cs="Arial" w:eastAsia="Arial" w:hAnsi="Arial"/>
                <w:sz w:val="16"/>
                <w:szCs w:val="16"/>
                <w:b w:val="1"/>
                <w:bCs w:val="1"/>
                <w:color w:val="auto"/>
              </w:rPr>
              <w:t>Retirement</w:t>
            </w:r>
          </w:p>
        </w:tc>
        <w:tc>
          <w:tcPr>
            <w:tcW w:w="4260" w:type="dxa"/>
            <w:vAlign w:val="bottom"/>
            <w:tcBorders>
              <w:right w:val="single" w:sz="8" w:color="auto"/>
            </w:tcBorders>
          </w:tcPr>
          <w:p>
            <w:pPr>
              <w:ind w:left="120"/>
              <w:spacing w:after="0"/>
              <w:rPr>
                <w:sz w:val="20"/>
                <w:szCs w:val="20"/>
                <w:color w:val="auto"/>
              </w:rPr>
            </w:pPr>
            <w:r>
              <w:rPr>
                <w:rFonts w:ascii="Arial" w:cs="Arial" w:eastAsia="Arial" w:hAnsi="Arial"/>
                <w:sz w:val="16"/>
                <w:szCs w:val="16"/>
                <w:color w:val="auto"/>
                <w:w w:val="95"/>
              </w:rPr>
              <w:t>Critical element of a total rewards program that helps attract,</w:t>
            </w:r>
          </w:p>
        </w:tc>
        <w:tc>
          <w:tcPr>
            <w:tcW w:w="1460" w:type="dxa"/>
            <w:vAlign w:val="bottom"/>
            <w:tcBorders>
              <w:right w:val="single" w:sz="8" w:color="auto"/>
            </w:tcBorders>
          </w:tcPr>
          <w:p>
            <w:pPr>
              <w:jc w:val="center"/>
              <w:spacing w:after="0"/>
              <w:rPr>
                <w:sz w:val="20"/>
                <w:szCs w:val="20"/>
                <w:color w:val="auto"/>
              </w:rPr>
            </w:pPr>
            <w:r>
              <w:rPr>
                <w:rFonts w:ascii="Arial" w:cs="Arial" w:eastAsia="Arial" w:hAnsi="Arial"/>
                <w:sz w:val="16"/>
                <w:szCs w:val="16"/>
                <w:color w:val="auto"/>
                <w:w w:val="96"/>
              </w:rPr>
              <w:t>Benefit</w:t>
            </w:r>
          </w:p>
        </w:tc>
        <w:tc>
          <w:tcPr>
            <w:tcW w:w="4220" w:type="dxa"/>
            <w:vAlign w:val="bottom"/>
            <w:tcBorders>
              <w:right w:val="single" w:sz="8" w:color="auto"/>
            </w:tcBorders>
            <w:gridSpan w:val="2"/>
          </w:tcPr>
          <w:p>
            <w:pPr>
              <w:ind w:left="100"/>
              <w:spacing w:after="0"/>
              <w:rPr>
                <w:sz w:val="20"/>
                <w:szCs w:val="20"/>
                <w:color w:val="auto"/>
              </w:rPr>
            </w:pPr>
            <w:r>
              <w:rPr>
                <w:rFonts w:ascii="Arial" w:cs="Arial" w:eastAsia="Arial" w:hAnsi="Arial"/>
                <w:sz w:val="16"/>
                <w:szCs w:val="16"/>
                <w:color w:val="auto"/>
              </w:rPr>
              <w:t>Retirement benefits delivered through several plans:</w:t>
            </w:r>
          </w:p>
        </w:tc>
        <w:tc>
          <w:tcPr>
            <w:tcW w:w="0" w:type="dxa"/>
            <w:vAlign w:val="bottom"/>
          </w:tcPr>
          <w:p>
            <w:pPr>
              <w:spacing w:after="0"/>
              <w:rPr>
                <w:sz w:val="1"/>
                <w:szCs w:val="1"/>
                <w:color w:val="auto"/>
              </w:rPr>
            </w:pPr>
          </w:p>
        </w:tc>
      </w:tr>
      <w:tr>
        <w:trPr>
          <w:trHeight w:val="203"/>
        </w:trPr>
        <w:tc>
          <w:tcPr>
            <w:tcW w:w="1500" w:type="dxa"/>
            <w:vAlign w:val="bottom"/>
            <w:tcBorders>
              <w:left w:val="single" w:sz="8" w:color="auto"/>
              <w:right w:val="single" w:sz="8" w:color="auto"/>
            </w:tcBorders>
          </w:tcPr>
          <w:p>
            <w:pPr>
              <w:spacing w:after="0"/>
              <w:rPr>
                <w:sz w:val="17"/>
                <w:szCs w:val="17"/>
                <w:color w:val="auto"/>
              </w:rPr>
            </w:pPr>
          </w:p>
        </w:tc>
        <w:tc>
          <w:tcPr>
            <w:tcW w:w="4260" w:type="dxa"/>
            <w:vAlign w:val="bottom"/>
            <w:tcBorders>
              <w:right w:val="single" w:sz="8" w:color="auto"/>
            </w:tcBorders>
          </w:tcPr>
          <w:p>
            <w:pPr>
              <w:ind w:left="120"/>
              <w:spacing w:after="0"/>
              <w:rPr>
                <w:sz w:val="20"/>
                <w:szCs w:val="20"/>
                <w:color w:val="auto"/>
              </w:rPr>
            </w:pPr>
            <w:r>
              <w:rPr>
                <w:rFonts w:ascii="Arial" w:cs="Arial" w:eastAsia="Arial" w:hAnsi="Arial"/>
                <w:sz w:val="16"/>
                <w:szCs w:val="16"/>
                <w:color w:val="auto"/>
              </w:rPr>
              <w:t>maintain and retain executive talent</w:t>
            </w:r>
          </w:p>
        </w:tc>
        <w:tc>
          <w:tcPr>
            <w:tcW w:w="1460" w:type="dxa"/>
            <w:vAlign w:val="bottom"/>
            <w:tcBorders>
              <w:right w:val="single" w:sz="8" w:color="auto"/>
            </w:tcBorders>
          </w:tcPr>
          <w:p>
            <w:pPr>
              <w:spacing w:after="0"/>
              <w:rPr>
                <w:sz w:val="17"/>
                <w:szCs w:val="17"/>
                <w:color w:val="auto"/>
              </w:rPr>
            </w:pPr>
          </w:p>
        </w:tc>
        <w:tc>
          <w:tcPr>
            <w:tcW w:w="200" w:type="dxa"/>
            <w:vAlign w:val="bottom"/>
          </w:tcPr>
          <w:p>
            <w:pPr>
              <w:ind w:left="100"/>
              <w:spacing w:after="0"/>
              <w:rPr>
                <w:sz w:val="20"/>
                <w:szCs w:val="20"/>
                <w:color w:val="auto"/>
              </w:rPr>
            </w:pPr>
            <w:r>
              <w:rPr>
                <w:rFonts w:ascii="Arial" w:cs="Arial" w:eastAsia="Arial" w:hAnsi="Arial"/>
                <w:sz w:val="16"/>
                <w:szCs w:val="16"/>
                <w:color w:val="auto"/>
              </w:rPr>
              <w:t>•</w:t>
            </w:r>
          </w:p>
        </w:tc>
        <w:tc>
          <w:tcPr>
            <w:tcW w:w="4020" w:type="dxa"/>
            <w:vAlign w:val="bottom"/>
            <w:tcBorders>
              <w:right w:val="single" w:sz="8" w:color="auto"/>
            </w:tcBorders>
          </w:tcPr>
          <w:p>
            <w:pPr>
              <w:ind w:left="40"/>
              <w:spacing w:after="0"/>
              <w:rPr>
                <w:sz w:val="20"/>
                <w:szCs w:val="20"/>
                <w:color w:val="auto"/>
              </w:rPr>
            </w:pPr>
            <w:r>
              <w:rPr>
                <w:rFonts w:ascii="Arial" w:cs="Arial" w:eastAsia="Arial" w:hAnsi="Arial"/>
                <w:sz w:val="16"/>
                <w:szCs w:val="16"/>
                <w:color w:val="auto"/>
              </w:rPr>
              <w:t>Qualified and nonqualified defined benefit plans</w:t>
            </w:r>
          </w:p>
        </w:tc>
        <w:tc>
          <w:tcPr>
            <w:tcW w:w="0" w:type="dxa"/>
            <w:vAlign w:val="bottom"/>
          </w:tcPr>
          <w:p>
            <w:pPr>
              <w:spacing w:after="0"/>
              <w:rPr>
                <w:sz w:val="1"/>
                <w:szCs w:val="1"/>
                <w:color w:val="auto"/>
              </w:rPr>
            </w:pPr>
          </w:p>
        </w:tc>
      </w:tr>
      <w:tr>
        <w:trPr>
          <w:trHeight w:val="203"/>
        </w:trPr>
        <w:tc>
          <w:tcPr>
            <w:tcW w:w="1500" w:type="dxa"/>
            <w:vAlign w:val="bottom"/>
            <w:tcBorders>
              <w:left w:val="single" w:sz="8" w:color="auto"/>
              <w:right w:val="single" w:sz="8" w:color="auto"/>
            </w:tcBorders>
          </w:tcPr>
          <w:p>
            <w:pPr>
              <w:spacing w:after="0"/>
              <w:rPr>
                <w:sz w:val="17"/>
                <w:szCs w:val="17"/>
                <w:color w:val="auto"/>
              </w:rPr>
            </w:pPr>
          </w:p>
        </w:tc>
        <w:tc>
          <w:tcPr>
            <w:tcW w:w="4260" w:type="dxa"/>
            <w:vAlign w:val="bottom"/>
            <w:tcBorders>
              <w:right w:val="single" w:sz="8" w:color="auto"/>
            </w:tcBorders>
          </w:tcPr>
          <w:p>
            <w:pPr>
              <w:spacing w:after="0"/>
              <w:rPr>
                <w:sz w:val="17"/>
                <w:szCs w:val="17"/>
                <w:color w:val="auto"/>
              </w:rPr>
            </w:pPr>
          </w:p>
        </w:tc>
        <w:tc>
          <w:tcPr>
            <w:tcW w:w="1460" w:type="dxa"/>
            <w:vAlign w:val="bottom"/>
            <w:tcBorders>
              <w:right w:val="single" w:sz="8" w:color="auto"/>
            </w:tcBorders>
          </w:tcPr>
          <w:p>
            <w:pPr>
              <w:spacing w:after="0"/>
              <w:rPr>
                <w:sz w:val="17"/>
                <w:szCs w:val="17"/>
                <w:color w:val="auto"/>
              </w:rPr>
            </w:pPr>
          </w:p>
        </w:tc>
        <w:tc>
          <w:tcPr>
            <w:tcW w:w="200" w:type="dxa"/>
            <w:vAlign w:val="bottom"/>
          </w:tcPr>
          <w:p>
            <w:pPr>
              <w:ind w:left="100"/>
              <w:spacing w:after="0"/>
              <w:rPr>
                <w:sz w:val="20"/>
                <w:szCs w:val="20"/>
                <w:color w:val="auto"/>
              </w:rPr>
            </w:pPr>
            <w:r>
              <w:rPr>
                <w:rFonts w:ascii="Arial" w:cs="Arial" w:eastAsia="Arial" w:hAnsi="Arial"/>
                <w:sz w:val="16"/>
                <w:szCs w:val="16"/>
                <w:color w:val="auto"/>
              </w:rPr>
              <w:t>•</w:t>
            </w:r>
          </w:p>
        </w:tc>
        <w:tc>
          <w:tcPr>
            <w:tcW w:w="4020" w:type="dxa"/>
            <w:vAlign w:val="bottom"/>
            <w:tcBorders>
              <w:right w:val="single" w:sz="8" w:color="auto"/>
            </w:tcBorders>
          </w:tcPr>
          <w:p>
            <w:pPr>
              <w:ind w:left="40"/>
              <w:spacing w:after="0"/>
              <w:rPr>
                <w:sz w:val="20"/>
                <w:szCs w:val="20"/>
                <w:color w:val="auto"/>
              </w:rPr>
            </w:pPr>
            <w:r>
              <w:rPr>
                <w:rFonts w:ascii="Arial" w:cs="Arial" w:eastAsia="Arial" w:hAnsi="Arial"/>
                <w:sz w:val="16"/>
                <w:szCs w:val="16"/>
                <w:color w:val="auto"/>
              </w:rPr>
              <w:t>Qualified and nonqualified defined contribution plans</w:t>
            </w:r>
          </w:p>
        </w:tc>
        <w:tc>
          <w:tcPr>
            <w:tcW w:w="0" w:type="dxa"/>
            <w:vAlign w:val="bottom"/>
          </w:tcPr>
          <w:p>
            <w:pPr>
              <w:spacing w:after="0"/>
              <w:rPr>
                <w:sz w:val="1"/>
                <w:szCs w:val="1"/>
                <w:color w:val="auto"/>
              </w:rPr>
            </w:pPr>
          </w:p>
        </w:tc>
      </w:tr>
      <w:tr>
        <w:trPr>
          <w:trHeight w:val="206"/>
        </w:trPr>
        <w:tc>
          <w:tcPr>
            <w:tcW w:w="1500" w:type="dxa"/>
            <w:vAlign w:val="bottom"/>
            <w:tcBorders>
              <w:left w:val="single" w:sz="8" w:color="auto"/>
              <w:right w:val="single" w:sz="8" w:color="auto"/>
            </w:tcBorders>
          </w:tcPr>
          <w:p>
            <w:pPr>
              <w:spacing w:after="0"/>
              <w:rPr>
                <w:sz w:val="17"/>
                <w:szCs w:val="17"/>
                <w:color w:val="auto"/>
              </w:rPr>
            </w:pPr>
          </w:p>
        </w:tc>
        <w:tc>
          <w:tcPr>
            <w:tcW w:w="4260" w:type="dxa"/>
            <w:vAlign w:val="bottom"/>
            <w:tcBorders>
              <w:right w:val="single" w:sz="8" w:color="auto"/>
            </w:tcBorders>
          </w:tcPr>
          <w:p>
            <w:pPr>
              <w:spacing w:after="0"/>
              <w:rPr>
                <w:sz w:val="17"/>
                <w:szCs w:val="17"/>
                <w:color w:val="auto"/>
              </w:rPr>
            </w:pPr>
          </w:p>
        </w:tc>
        <w:tc>
          <w:tcPr>
            <w:tcW w:w="1460" w:type="dxa"/>
            <w:vAlign w:val="bottom"/>
            <w:tcBorders>
              <w:right w:val="single" w:sz="8" w:color="auto"/>
            </w:tcBorders>
          </w:tcPr>
          <w:p>
            <w:pPr>
              <w:spacing w:after="0"/>
              <w:rPr>
                <w:sz w:val="17"/>
                <w:szCs w:val="17"/>
                <w:color w:val="auto"/>
              </w:rPr>
            </w:pPr>
          </w:p>
        </w:tc>
        <w:tc>
          <w:tcPr>
            <w:tcW w:w="200" w:type="dxa"/>
            <w:vAlign w:val="bottom"/>
          </w:tcPr>
          <w:p>
            <w:pPr>
              <w:ind w:left="100"/>
              <w:spacing w:after="0"/>
              <w:rPr>
                <w:sz w:val="20"/>
                <w:szCs w:val="20"/>
                <w:color w:val="auto"/>
              </w:rPr>
            </w:pPr>
            <w:r>
              <w:rPr>
                <w:rFonts w:ascii="Arial" w:cs="Arial" w:eastAsia="Arial" w:hAnsi="Arial"/>
                <w:sz w:val="16"/>
                <w:szCs w:val="16"/>
                <w:color w:val="auto"/>
              </w:rPr>
              <w:t>•</w:t>
            </w:r>
          </w:p>
        </w:tc>
        <w:tc>
          <w:tcPr>
            <w:tcW w:w="4020" w:type="dxa"/>
            <w:vAlign w:val="bottom"/>
            <w:tcBorders>
              <w:right w:val="single" w:sz="8" w:color="auto"/>
            </w:tcBorders>
          </w:tcPr>
          <w:p>
            <w:pPr>
              <w:ind w:left="40"/>
              <w:spacing w:after="0"/>
              <w:rPr>
                <w:sz w:val="20"/>
                <w:szCs w:val="20"/>
                <w:color w:val="auto"/>
              </w:rPr>
            </w:pPr>
            <w:r>
              <w:rPr>
                <w:rFonts w:ascii="Arial" w:cs="Arial" w:eastAsia="Arial" w:hAnsi="Arial"/>
                <w:sz w:val="16"/>
                <w:szCs w:val="16"/>
                <w:color w:val="auto"/>
              </w:rPr>
              <w:t>Deferred compensation plan</w:t>
            </w:r>
          </w:p>
        </w:tc>
        <w:tc>
          <w:tcPr>
            <w:tcW w:w="0" w:type="dxa"/>
            <w:vAlign w:val="bottom"/>
          </w:tcPr>
          <w:p>
            <w:pPr>
              <w:spacing w:after="0"/>
              <w:rPr>
                <w:sz w:val="1"/>
                <w:szCs w:val="1"/>
                <w:color w:val="auto"/>
              </w:rPr>
            </w:pPr>
          </w:p>
        </w:tc>
      </w:tr>
      <w:tr>
        <w:trPr>
          <w:trHeight w:val="141"/>
        </w:trPr>
        <w:tc>
          <w:tcPr>
            <w:tcW w:w="1500" w:type="dxa"/>
            <w:vAlign w:val="bottom"/>
            <w:tcBorders>
              <w:left w:val="single" w:sz="8" w:color="auto"/>
              <w:bottom w:val="single" w:sz="8" w:color="auto"/>
              <w:right w:val="single" w:sz="8" w:color="auto"/>
            </w:tcBorders>
          </w:tcPr>
          <w:p>
            <w:pPr>
              <w:spacing w:after="0"/>
              <w:rPr>
                <w:sz w:val="12"/>
                <w:szCs w:val="12"/>
                <w:color w:val="auto"/>
              </w:rPr>
            </w:pPr>
          </w:p>
        </w:tc>
        <w:tc>
          <w:tcPr>
            <w:tcW w:w="4260" w:type="dxa"/>
            <w:vAlign w:val="bottom"/>
            <w:tcBorders>
              <w:bottom w:val="single" w:sz="8" w:color="auto"/>
              <w:right w:val="single" w:sz="8" w:color="auto"/>
            </w:tcBorders>
          </w:tcPr>
          <w:p>
            <w:pPr>
              <w:spacing w:after="0"/>
              <w:rPr>
                <w:sz w:val="12"/>
                <w:szCs w:val="12"/>
                <w:color w:val="auto"/>
              </w:rPr>
            </w:pPr>
          </w:p>
        </w:tc>
        <w:tc>
          <w:tcPr>
            <w:tcW w:w="1460" w:type="dxa"/>
            <w:vAlign w:val="bottom"/>
            <w:tcBorders>
              <w:bottom w:val="single" w:sz="8" w:color="auto"/>
              <w:right w:val="single" w:sz="8" w:color="auto"/>
            </w:tcBorders>
          </w:tcPr>
          <w:p>
            <w:pPr>
              <w:spacing w:after="0"/>
              <w:rPr>
                <w:sz w:val="12"/>
                <w:szCs w:val="12"/>
                <w:color w:val="auto"/>
              </w:rPr>
            </w:pPr>
          </w:p>
        </w:tc>
        <w:tc>
          <w:tcPr>
            <w:tcW w:w="4220" w:type="dxa"/>
            <w:vAlign w:val="bottom"/>
            <w:tcBorders>
              <w:bottom w:val="single" w:sz="8" w:color="auto"/>
              <w:right w:val="single" w:sz="8" w:color="auto"/>
            </w:tcBorders>
            <w:gridSpan w:val="2"/>
          </w:tcPr>
          <w:p>
            <w:pPr>
              <w:spacing w:after="0"/>
              <w:rPr>
                <w:sz w:val="12"/>
                <w:szCs w:val="12"/>
                <w:color w:val="auto"/>
              </w:rPr>
            </w:pPr>
          </w:p>
        </w:tc>
        <w:tc>
          <w:tcPr>
            <w:tcW w:w="0" w:type="dxa"/>
            <w:vAlign w:val="bottom"/>
          </w:tcPr>
          <w:p>
            <w:pPr>
              <w:spacing w:after="0"/>
              <w:rPr>
                <w:sz w:val="1"/>
                <w:szCs w:val="1"/>
                <w:color w:val="auto"/>
              </w:rPr>
            </w:pPr>
          </w:p>
        </w:tc>
      </w:tr>
      <w:tr>
        <w:trPr>
          <w:trHeight w:val="186"/>
        </w:trPr>
        <w:tc>
          <w:tcPr>
            <w:tcW w:w="1500" w:type="dxa"/>
            <w:vAlign w:val="bottom"/>
            <w:tcBorders>
              <w:left w:val="single" w:sz="8" w:color="auto"/>
              <w:right w:val="single" w:sz="8" w:color="auto"/>
            </w:tcBorders>
          </w:tcPr>
          <w:p>
            <w:pPr>
              <w:ind w:left="160"/>
              <w:spacing w:after="0"/>
              <w:rPr>
                <w:sz w:val="20"/>
                <w:szCs w:val="20"/>
                <w:color w:val="auto"/>
              </w:rPr>
            </w:pPr>
            <w:r>
              <w:rPr>
                <w:rFonts w:ascii="Arial" w:cs="Arial" w:eastAsia="Arial" w:hAnsi="Arial"/>
                <w:sz w:val="16"/>
                <w:szCs w:val="16"/>
                <w:b w:val="1"/>
                <w:bCs w:val="1"/>
                <w:color w:val="auto"/>
              </w:rPr>
              <w:t>Other Benefits</w:t>
            </w:r>
          </w:p>
        </w:tc>
        <w:tc>
          <w:tcPr>
            <w:tcW w:w="4260" w:type="dxa"/>
            <w:vAlign w:val="bottom"/>
            <w:tcBorders>
              <w:right w:val="single" w:sz="8" w:color="auto"/>
            </w:tcBorders>
          </w:tcPr>
          <w:p>
            <w:pPr>
              <w:ind w:left="120"/>
              <w:spacing w:after="0"/>
              <w:rPr>
                <w:sz w:val="20"/>
                <w:szCs w:val="20"/>
                <w:color w:val="auto"/>
              </w:rPr>
            </w:pPr>
            <w:r>
              <w:rPr>
                <w:rFonts w:ascii="Arial" w:cs="Arial" w:eastAsia="Arial" w:hAnsi="Arial"/>
                <w:sz w:val="16"/>
                <w:szCs w:val="16"/>
                <w:color w:val="auto"/>
              </w:rPr>
              <w:t>Keeps program competitive and provide protection for</w:t>
            </w:r>
          </w:p>
        </w:tc>
        <w:tc>
          <w:tcPr>
            <w:tcW w:w="1460" w:type="dxa"/>
            <w:vAlign w:val="bottom"/>
            <w:tcBorders>
              <w:right w:val="single" w:sz="8" w:color="auto"/>
            </w:tcBorders>
          </w:tcPr>
          <w:p>
            <w:pPr>
              <w:jc w:val="center"/>
              <w:spacing w:after="0"/>
              <w:rPr>
                <w:sz w:val="20"/>
                <w:szCs w:val="20"/>
                <w:color w:val="auto"/>
              </w:rPr>
            </w:pPr>
            <w:r>
              <w:rPr>
                <w:rFonts w:ascii="Arial" w:cs="Arial" w:eastAsia="Arial" w:hAnsi="Arial"/>
                <w:sz w:val="16"/>
                <w:szCs w:val="16"/>
                <w:color w:val="auto"/>
                <w:w w:val="96"/>
              </w:rPr>
              <w:t>Benefit</w:t>
            </w:r>
          </w:p>
        </w:tc>
        <w:tc>
          <w:tcPr>
            <w:tcW w:w="4220" w:type="dxa"/>
            <w:vAlign w:val="bottom"/>
            <w:tcBorders>
              <w:right w:val="single" w:sz="8" w:color="auto"/>
            </w:tcBorders>
            <w:gridSpan w:val="2"/>
          </w:tcPr>
          <w:p>
            <w:pPr>
              <w:ind w:left="100"/>
              <w:spacing w:after="0"/>
              <w:rPr>
                <w:sz w:val="20"/>
                <w:szCs w:val="20"/>
                <w:color w:val="auto"/>
              </w:rPr>
            </w:pPr>
            <w:r>
              <w:rPr>
                <w:rFonts w:ascii="Arial" w:cs="Arial" w:eastAsia="Arial" w:hAnsi="Arial"/>
                <w:sz w:val="16"/>
                <w:szCs w:val="16"/>
                <w:color w:val="auto"/>
              </w:rPr>
              <w:t>Perquisites are limited in amount and the Timken</w:t>
            </w:r>
          </w:p>
        </w:tc>
        <w:tc>
          <w:tcPr>
            <w:tcW w:w="0" w:type="dxa"/>
            <w:vAlign w:val="bottom"/>
          </w:tcPr>
          <w:p>
            <w:pPr>
              <w:spacing w:after="0"/>
              <w:rPr>
                <w:sz w:val="1"/>
                <w:szCs w:val="1"/>
                <w:color w:val="auto"/>
              </w:rPr>
            </w:pPr>
          </w:p>
        </w:tc>
      </w:tr>
      <w:tr>
        <w:trPr>
          <w:trHeight w:val="206"/>
        </w:trPr>
        <w:tc>
          <w:tcPr>
            <w:tcW w:w="1500" w:type="dxa"/>
            <w:vAlign w:val="bottom"/>
            <w:tcBorders>
              <w:left w:val="single" w:sz="8" w:color="auto"/>
              <w:right w:val="single" w:sz="8" w:color="auto"/>
            </w:tcBorders>
          </w:tcPr>
          <w:p>
            <w:pPr>
              <w:spacing w:after="0"/>
              <w:rPr>
                <w:sz w:val="17"/>
                <w:szCs w:val="17"/>
                <w:color w:val="auto"/>
              </w:rPr>
            </w:pPr>
          </w:p>
        </w:tc>
        <w:tc>
          <w:tcPr>
            <w:tcW w:w="4260" w:type="dxa"/>
            <w:vAlign w:val="bottom"/>
            <w:tcBorders>
              <w:right w:val="single" w:sz="8" w:color="auto"/>
            </w:tcBorders>
          </w:tcPr>
          <w:p>
            <w:pPr>
              <w:ind w:left="120"/>
              <w:spacing w:after="0"/>
              <w:rPr>
                <w:sz w:val="20"/>
                <w:szCs w:val="20"/>
                <w:color w:val="auto"/>
              </w:rPr>
            </w:pPr>
            <w:r>
              <w:rPr>
                <w:rFonts w:ascii="Arial" w:cs="Arial" w:eastAsia="Arial" w:hAnsi="Arial"/>
                <w:sz w:val="16"/>
                <w:szCs w:val="16"/>
                <w:color w:val="auto"/>
              </w:rPr>
              <w:t>executives, where warranted</w:t>
            </w:r>
          </w:p>
        </w:tc>
        <w:tc>
          <w:tcPr>
            <w:tcW w:w="1460" w:type="dxa"/>
            <w:vAlign w:val="bottom"/>
            <w:tcBorders>
              <w:right w:val="single" w:sz="8" w:color="auto"/>
            </w:tcBorders>
          </w:tcPr>
          <w:p>
            <w:pPr>
              <w:spacing w:after="0"/>
              <w:rPr>
                <w:sz w:val="17"/>
                <w:szCs w:val="17"/>
                <w:color w:val="auto"/>
              </w:rPr>
            </w:pPr>
          </w:p>
        </w:tc>
        <w:tc>
          <w:tcPr>
            <w:tcW w:w="4220" w:type="dxa"/>
            <w:vAlign w:val="bottom"/>
            <w:tcBorders>
              <w:right w:val="single" w:sz="8" w:color="auto"/>
            </w:tcBorders>
            <w:gridSpan w:val="2"/>
          </w:tcPr>
          <w:p>
            <w:pPr>
              <w:ind w:left="100"/>
              <w:spacing w:after="0"/>
              <w:rPr>
                <w:sz w:val="20"/>
                <w:szCs w:val="20"/>
                <w:color w:val="auto"/>
              </w:rPr>
            </w:pPr>
            <w:r>
              <w:rPr>
                <w:rFonts w:ascii="Arial" w:cs="Arial" w:eastAsia="Arial" w:hAnsi="Arial"/>
                <w:sz w:val="16"/>
                <w:szCs w:val="16"/>
                <w:color w:val="auto"/>
              </w:rPr>
              <w:t>Compensation Committee limits eligibility and use</w:t>
            </w:r>
          </w:p>
        </w:tc>
        <w:tc>
          <w:tcPr>
            <w:tcW w:w="0" w:type="dxa"/>
            <w:vAlign w:val="bottom"/>
          </w:tcPr>
          <w:p>
            <w:pPr>
              <w:spacing w:after="0"/>
              <w:rPr>
                <w:sz w:val="1"/>
                <w:szCs w:val="1"/>
                <w:color w:val="auto"/>
              </w:rPr>
            </w:pPr>
          </w:p>
        </w:tc>
      </w:tr>
      <w:tr>
        <w:trPr>
          <w:trHeight w:val="168"/>
        </w:trPr>
        <w:tc>
          <w:tcPr>
            <w:tcW w:w="1500" w:type="dxa"/>
            <w:vAlign w:val="bottom"/>
            <w:tcBorders>
              <w:left w:val="single" w:sz="8" w:color="auto"/>
              <w:bottom w:val="single" w:sz="8" w:color="auto"/>
              <w:right w:val="single" w:sz="8" w:color="auto"/>
            </w:tcBorders>
          </w:tcPr>
          <w:p>
            <w:pPr>
              <w:spacing w:after="0"/>
              <w:rPr>
                <w:sz w:val="14"/>
                <w:szCs w:val="14"/>
                <w:color w:val="auto"/>
              </w:rPr>
            </w:pPr>
          </w:p>
        </w:tc>
        <w:tc>
          <w:tcPr>
            <w:tcW w:w="4260" w:type="dxa"/>
            <w:vAlign w:val="bottom"/>
            <w:tcBorders>
              <w:bottom w:val="single" w:sz="8" w:color="auto"/>
              <w:right w:val="single" w:sz="8" w:color="auto"/>
            </w:tcBorders>
          </w:tcPr>
          <w:p>
            <w:pPr>
              <w:spacing w:after="0"/>
              <w:rPr>
                <w:sz w:val="14"/>
                <w:szCs w:val="14"/>
                <w:color w:val="auto"/>
              </w:rPr>
            </w:pPr>
          </w:p>
        </w:tc>
        <w:tc>
          <w:tcPr>
            <w:tcW w:w="1460" w:type="dxa"/>
            <w:vAlign w:val="bottom"/>
            <w:tcBorders>
              <w:bottom w:val="single" w:sz="8" w:color="auto"/>
              <w:right w:val="single" w:sz="8" w:color="auto"/>
            </w:tcBorders>
          </w:tcPr>
          <w:p>
            <w:pPr>
              <w:spacing w:after="0"/>
              <w:rPr>
                <w:sz w:val="14"/>
                <w:szCs w:val="14"/>
                <w:color w:val="auto"/>
              </w:rPr>
            </w:pPr>
          </w:p>
        </w:tc>
        <w:tc>
          <w:tcPr>
            <w:tcW w:w="4220" w:type="dxa"/>
            <w:vAlign w:val="bottom"/>
            <w:tcBorders>
              <w:bottom w:val="single" w:sz="8" w:color="auto"/>
              <w:right w:val="single" w:sz="8" w:color="auto"/>
            </w:tcBorders>
            <w:gridSpan w:val="2"/>
          </w:tcPr>
          <w:p>
            <w:pPr>
              <w:spacing w:after="0"/>
              <w:rPr>
                <w:sz w:val="14"/>
                <w:szCs w:val="14"/>
                <w:color w:val="auto"/>
              </w:rPr>
            </w:pPr>
          </w:p>
        </w:tc>
        <w:tc>
          <w:tcPr>
            <w:tcW w:w="0" w:type="dxa"/>
            <w:vAlign w:val="bottom"/>
          </w:tcPr>
          <w:p>
            <w:pPr>
              <w:spacing w:after="0"/>
              <w:rPr>
                <w:sz w:val="1"/>
                <w:szCs w:val="1"/>
                <w:color w:val="auto"/>
              </w:rPr>
            </w:pPr>
          </w:p>
        </w:tc>
      </w:tr>
      <w:tr>
        <w:trPr>
          <w:trHeight w:val="182"/>
        </w:trPr>
        <w:tc>
          <w:tcPr>
            <w:tcW w:w="1500" w:type="dxa"/>
            <w:vAlign w:val="bottom"/>
            <w:tcBorders>
              <w:left w:val="single" w:sz="8" w:color="auto"/>
              <w:right w:val="single" w:sz="8" w:color="auto"/>
            </w:tcBorders>
          </w:tcPr>
          <w:p>
            <w:pPr>
              <w:ind w:left="160"/>
              <w:spacing w:after="0" w:line="182" w:lineRule="exact"/>
              <w:rPr>
                <w:sz w:val="20"/>
                <w:szCs w:val="20"/>
                <w:color w:val="auto"/>
              </w:rPr>
            </w:pPr>
            <w:r>
              <w:rPr>
                <w:rFonts w:ascii="Arial" w:cs="Arial" w:eastAsia="Arial" w:hAnsi="Arial"/>
                <w:sz w:val="16"/>
                <w:szCs w:val="16"/>
                <w:b w:val="1"/>
                <w:bCs w:val="1"/>
                <w:color w:val="auto"/>
              </w:rPr>
              <w:t>Employment and</w:t>
            </w:r>
          </w:p>
        </w:tc>
        <w:tc>
          <w:tcPr>
            <w:tcW w:w="4260" w:type="dxa"/>
            <w:vAlign w:val="bottom"/>
            <w:tcBorders>
              <w:right w:val="single" w:sz="8" w:color="auto"/>
            </w:tcBorders>
          </w:tcPr>
          <w:p>
            <w:pPr>
              <w:ind w:left="120"/>
              <w:spacing w:after="0" w:line="182" w:lineRule="exact"/>
              <w:rPr>
                <w:sz w:val="20"/>
                <w:szCs w:val="20"/>
                <w:color w:val="auto"/>
              </w:rPr>
            </w:pPr>
            <w:r>
              <w:rPr>
                <w:rFonts w:ascii="Arial" w:cs="Arial" w:eastAsia="Arial" w:hAnsi="Arial"/>
                <w:sz w:val="16"/>
                <w:szCs w:val="16"/>
                <w:color w:val="auto"/>
              </w:rPr>
              <w:t>Helps ensure executives remain focused on creating</w:t>
            </w:r>
          </w:p>
        </w:tc>
        <w:tc>
          <w:tcPr>
            <w:tcW w:w="1460" w:type="dxa"/>
            <w:vAlign w:val="bottom"/>
            <w:tcBorders>
              <w:right w:val="single" w:sz="8" w:color="auto"/>
            </w:tcBorders>
          </w:tcPr>
          <w:p>
            <w:pPr>
              <w:jc w:val="center"/>
              <w:spacing w:after="0" w:line="182" w:lineRule="exact"/>
              <w:rPr>
                <w:sz w:val="20"/>
                <w:szCs w:val="20"/>
                <w:color w:val="auto"/>
              </w:rPr>
            </w:pPr>
            <w:r>
              <w:rPr>
                <w:rFonts w:ascii="Arial" w:cs="Arial" w:eastAsia="Arial" w:hAnsi="Arial"/>
                <w:sz w:val="16"/>
                <w:szCs w:val="16"/>
                <w:color w:val="auto"/>
                <w:w w:val="96"/>
              </w:rPr>
              <w:t>Benefit</w:t>
            </w:r>
          </w:p>
        </w:tc>
        <w:tc>
          <w:tcPr>
            <w:tcW w:w="4220" w:type="dxa"/>
            <w:vAlign w:val="bottom"/>
            <w:tcBorders>
              <w:right w:val="single" w:sz="8" w:color="auto"/>
            </w:tcBorders>
            <w:gridSpan w:val="2"/>
          </w:tcPr>
          <w:p>
            <w:pPr>
              <w:ind w:left="100"/>
              <w:spacing w:after="0" w:line="182" w:lineRule="exact"/>
              <w:rPr>
                <w:sz w:val="20"/>
                <w:szCs w:val="20"/>
                <w:color w:val="auto"/>
              </w:rPr>
            </w:pPr>
            <w:r>
              <w:rPr>
                <w:rFonts w:ascii="Arial" w:cs="Arial" w:eastAsia="Arial" w:hAnsi="Arial"/>
                <w:sz w:val="16"/>
                <w:szCs w:val="16"/>
                <w:color w:val="auto"/>
              </w:rPr>
              <w:t>Agreements protect Timken and executives from risks by</w:t>
            </w:r>
          </w:p>
        </w:tc>
        <w:tc>
          <w:tcPr>
            <w:tcW w:w="0" w:type="dxa"/>
            <w:vAlign w:val="bottom"/>
          </w:tcPr>
          <w:p>
            <w:pPr>
              <w:spacing w:after="0"/>
              <w:rPr>
                <w:sz w:val="1"/>
                <w:szCs w:val="1"/>
                <w:color w:val="auto"/>
              </w:rPr>
            </w:pPr>
          </w:p>
        </w:tc>
      </w:tr>
      <w:tr>
        <w:trPr>
          <w:trHeight w:val="203"/>
        </w:trPr>
        <w:tc>
          <w:tcPr>
            <w:tcW w:w="1500" w:type="dxa"/>
            <w:vAlign w:val="bottom"/>
            <w:tcBorders>
              <w:left w:val="single" w:sz="8" w:color="auto"/>
              <w:right w:val="single" w:sz="8" w:color="auto"/>
            </w:tcBorders>
          </w:tcPr>
          <w:p>
            <w:pPr>
              <w:ind w:left="160"/>
              <w:spacing w:after="0"/>
              <w:rPr>
                <w:sz w:val="20"/>
                <w:szCs w:val="20"/>
                <w:color w:val="auto"/>
              </w:rPr>
            </w:pPr>
            <w:r>
              <w:rPr>
                <w:rFonts w:ascii="Arial" w:cs="Arial" w:eastAsia="Arial" w:hAnsi="Arial"/>
                <w:sz w:val="16"/>
                <w:szCs w:val="16"/>
                <w:b w:val="1"/>
                <w:bCs w:val="1"/>
                <w:color w:val="auto"/>
                <w:w w:val="93"/>
              </w:rPr>
              <w:t>Change of Control</w:t>
            </w:r>
          </w:p>
        </w:tc>
        <w:tc>
          <w:tcPr>
            <w:tcW w:w="4260" w:type="dxa"/>
            <w:vAlign w:val="bottom"/>
            <w:tcBorders>
              <w:right w:val="single" w:sz="8" w:color="auto"/>
            </w:tcBorders>
          </w:tcPr>
          <w:p>
            <w:pPr>
              <w:ind w:left="120"/>
              <w:spacing w:after="0"/>
              <w:rPr>
                <w:sz w:val="20"/>
                <w:szCs w:val="20"/>
                <w:color w:val="auto"/>
              </w:rPr>
            </w:pPr>
            <w:r>
              <w:rPr>
                <w:rFonts w:ascii="Arial" w:cs="Arial" w:eastAsia="Arial" w:hAnsi="Arial"/>
                <w:sz w:val="16"/>
                <w:szCs w:val="16"/>
                <w:color w:val="auto"/>
              </w:rPr>
              <w:t>sustainable performance</w:t>
            </w:r>
          </w:p>
        </w:tc>
        <w:tc>
          <w:tcPr>
            <w:tcW w:w="1460" w:type="dxa"/>
            <w:vAlign w:val="bottom"/>
            <w:tcBorders>
              <w:right w:val="single" w:sz="8" w:color="auto"/>
            </w:tcBorders>
          </w:tcPr>
          <w:p>
            <w:pPr>
              <w:spacing w:after="0"/>
              <w:rPr>
                <w:sz w:val="17"/>
                <w:szCs w:val="17"/>
                <w:color w:val="auto"/>
              </w:rPr>
            </w:pPr>
          </w:p>
        </w:tc>
        <w:tc>
          <w:tcPr>
            <w:tcW w:w="4220" w:type="dxa"/>
            <w:vAlign w:val="bottom"/>
            <w:tcBorders>
              <w:right w:val="single" w:sz="8" w:color="auto"/>
            </w:tcBorders>
            <w:gridSpan w:val="2"/>
          </w:tcPr>
          <w:p>
            <w:pPr>
              <w:ind w:left="100"/>
              <w:spacing w:after="0"/>
              <w:rPr>
                <w:sz w:val="20"/>
                <w:szCs w:val="20"/>
                <w:color w:val="auto"/>
              </w:rPr>
            </w:pPr>
            <w:r>
              <w:rPr>
                <w:rFonts w:ascii="Arial" w:cs="Arial" w:eastAsia="Arial" w:hAnsi="Arial"/>
                <w:sz w:val="16"/>
                <w:szCs w:val="16"/>
                <w:color w:val="auto"/>
              </w:rPr>
              <w:t>providing:</w:t>
            </w:r>
          </w:p>
        </w:tc>
        <w:tc>
          <w:tcPr>
            <w:tcW w:w="0" w:type="dxa"/>
            <w:vAlign w:val="bottom"/>
          </w:tcPr>
          <w:p>
            <w:pPr>
              <w:spacing w:after="0"/>
              <w:rPr>
                <w:sz w:val="1"/>
                <w:szCs w:val="1"/>
                <w:color w:val="auto"/>
              </w:rPr>
            </w:pPr>
          </w:p>
        </w:tc>
      </w:tr>
      <w:tr>
        <w:trPr>
          <w:trHeight w:val="207"/>
        </w:trPr>
        <w:tc>
          <w:tcPr>
            <w:tcW w:w="1500" w:type="dxa"/>
            <w:vAlign w:val="bottom"/>
            <w:tcBorders>
              <w:left w:val="single" w:sz="8" w:color="auto"/>
              <w:right w:val="single" w:sz="8" w:color="auto"/>
            </w:tcBorders>
          </w:tcPr>
          <w:p>
            <w:pPr>
              <w:ind w:left="160"/>
              <w:spacing w:after="0"/>
              <w:rPr>
                <w:sz w:val="20"/>
                <w:szCs w:val="20"/>
                <w:color w:val="auto"/>
              </w:rPr>
            </w:pPr>
            <w:r>
              <w:rPr>
                <w:rFonts w:ascii="Arial" w:cs="Arial" w:eastAsia="Arial" w:hAnsi="Arial"/>
                <w:sz w:val="16"/>
                <w:szCs w:val="16"/>
                <w:b w:val="1"/>
                <w:bCs w:val="1"/>
                <w:color w:val="auto"/>
              </w:rPr>
              <w:t>Agreements</w:t>
            </w:r>
          </w:p>
        </w:tc>
        <w:tc>
          <w:tcPr>
            <w:tcW w:w="4260" w:type="dxa"/>
            <w:vAlign w:val="bottom"/>
            <w:tcBorders>
              <w:right w:val="single" w:sz="8" w:color="auto"/>
            </w:tcBorders>
          </w:tcPr>
          <w:p>
            <w:pPr>
              <w:spacing w:after="0"/>
              <w:rPr>
                <w:sz w:val="17"/>
                <w:szCs w:val="17"/>
                <w:color w:val="auto"/>
              </w:rPr>
            </w:pPr>
          </w:p>
        </w:tc>
        <w:tc>
          <w:tcPr>
            <w:tcW w:w="1460" w:type="dxa"/>
            <w:vAlign w:val="bottom"/>
            <w:tcBorders>
              <w:right w:val="single" w:sz="8" w:color="auto"/>
            </w:tcBorders>
          </w:tcPr>
          <w:p>
            <w:pPr>
              <w:spacing w:after="0"/>
              <w:rPr>
                <w:sz w:val="17"/>
                <w:szCs w:val="17"/>
                <w:color w:val="auto"/>
              </w:rPr>
            </w:pPr>
          </w:p>
        </w:tc>
        <w:tc>
          <w:tcPr>
            <w:tcW w:w="200" w:type="dxa"/>
            <w:vAlign w:val="bottom"/>
          </w:tcPr>
          <w:p>
            <w:pPr>
              <w:ind w:left="100"/>
              <w:spacing w:after="0"/>
              <w:rPr>
                <w:sz w:val="20"/>
                <w:szCs w:val="20"/>
                <w:color w:val="auto"/>
              </w:rPr>
            </w:pPr>
            <w:r>
              <w:rPr>
                <w:rFonts w:ascii="Arial" w:cs="Arial" w:eastAsia="Arial" w:hAnsi="Arial"/>
                <w:sz w:val="16"/>
                <w:szCs w:val="16"/>
                <w:color w:val="auto"/>
              </w:rPr>
              <w:t>•</w:t>
            </w:r>
          </w:p>
        </w:tc>
        <w:tc>
          <w:tcPr>
            <w:tcW w:w="4020" w:type="dxa"/>
            <w:vAlign w:val="bottom"/>
            <w:tcBorders>
              <w:right w:val="single" w:sz="8" w:color="auto"/>
            </w:tcBorders>
          </w:tcPr>
          <w:p>
            <w:pPr>
              <w:ind w:left="40"/>
              <w:spacing w:after="0"/>
              <w:rPr>
                <w:sz w:val="20"/>
                <w:szCs w:val="20"/>
                <w:color w:val="auto"/>
              </w:rPr>
            </w:pPr>
            <w:r>
              <w:rPr>
                <w:rFonts w:ascii="Arial" w:cs="Arial" w:eastAsia="Arial" w:hAnsi="Arial"/>
                <w:sz w:val="16"/>
                <w:szCs w:val="16"/>
                <w:color w:val="auto"/>
              </w:rPr>
              <w:t>Economic stability</w:t>
            </w:r>
          </w:p>
        </w:tc>
        <w:tc>
          <w:tcPr>
            <w:tcW w:w="0" w:type="dxa"/>
            <w:vAlign w:val="bottom"/>
          </w:tcPr>
          <w:p>
            <w:pPr>
              <w:spacing w:after="0"/>
              <w:rPr>
                <w:sz w:val="1"/>
                <w:szCs w:val="1"/>
                <w:color w:val="auto"/>
              </w:rPr>
            </w:pPr>
          </w:p>
        </w:tc>
      </w:tr>
      <w:tr>
        <w:trPr>
          <w:trHeight w:val="203"/>
        </w:trPr>
        <w:tc>
          <w:tcPr>
            <w:tcW w:w="1500" w:type="dxa"/>
            <w:vAlign w:val="bottom"/>
            <w:tcBorders>
              <w:left w:val="single" w:sz="8" w:color="auto"/>
              <w:right w:val="single" w:sz="8" w:color="auto"/>
            </w:tcBorders>
          </w:tcPr>
          <w:p>
            <w:pPr>
              <w:spacing w:after="0"/>
              <w:rPr>
                <w:sz w:val="17"/>
                <w:szCs w:val="17"/>
                <w:color w:val="auto"/>
              </w:rPr>
            </w:pPr>
          </w:p>
        </w:tc>
        <w:tc>
          <w:tcPr>
            <w:tcW w:w="4260" w:type="dxa"/>
            <w:vAlign w:val="bottom"/>
            <w:tcBorders>
              <w:right w:val="single" w:sz="8" w:color="auto"/>
            </w:tcBorders>
          </w:tcPr>
          <w:p>
            <w:pPr>
              <w:spacing w:after="0"/>
              <w:rPr>
                <w:sz w:val="17"/>
                <w:szCs w:val="17"/>
                <w:color w:val="auto"/>
              </w:rPr>
            </w:pPr>
          </w:p>
        </w:tc>
        <w:tc>
          <w:tcPr>
            <w:tcW w:w="1460" w:type="dxa"/>
            <w:vAlign w:val="bottom"/>
            <w:tcBorders>
              <w:right w:val="single" w:sz="8" w:color="auto"/>
            </w:tcBorders>
          </w:tcPr>
          <w:p>
            <w:pPr>
              <w:spacing w:after="0"/>
              <w:rPr>
                <w:sz w:val="17"/>
                <w:szCs w:val="17"/>
                <w:color w:val="auto"/>
              </w:rPr>
            </w:pPr>
          </w:p>
        </w:tc>
        <w:tc>
          <w:tcPr>
            <w:tcW w:w="200" w:type="dxa"/>
            <w:vAlign w:val="bottom"/>
          </w:tcPr>
          <w:p>
            <w:pPr>
              <w:ind w:left="100"/>
              <w:spacing w:after="0"/>
              <w:rPr>
                <w:sz w:val="20"/>
                <w:szCs w:val="20"/>
                <w:color w:val="auto"/>
              </w:rPr>
            </w:pPr>
            <w:r>
              <w:rPr>
                <w:rFonts w:ascii="Arial" w:cs="Arial" w:eastAsia="Arial" w:hAnsi="Arial"/>
                <w:sz w:val="16"/>
                <w:szCs w:val="16"/>
                <w:color w:val="auto"/>
              </w:rPr>
              <w:t>•</w:t>
            </w:r>
          </w:p>
        </w:tc>
        <w:tc>
          <w:tcPr>
            <w:tcW w:w="4020" w:type="dxa"/>
            <w:vAlign w:val="bottom"/>
            <w:tcBorders>
              <w:right w:val="single" w:sz="8" w:color="auto"/>
            </w:tcBorders>
          </w:tcPr>
          <w:p>
            <w:pPr>
              <w:ind w:left="40"/>
              <w:spacing w:after="0"/>
              <w:rPr>
                <w:sz w:val="20"/>
                <w:szCs w:val="20"/>
                <w:color w:val="auto"/>
              </w:rPr>
            </w:pPr>
            <w:r>
              <w:rPr>
                <w:rFonts w:ascii="Arial" w:cs="Arial" w:eastAsia="Arial" w:hAnsi="Arial"/>
                <w:sz w:val="16"/>
                <w:szCs w:val="16"/>
                <w:color w:val="auto"/>
              </w:rPr>
              <w:t>Death or disability payments</w:t>
            </w:r>
          </w:p>
        </w:tc>
        <w:tc>
          <w:tcPr>
            <w:tcW w:w="0" w:type="dxa"/>
            <w:vAlign w:val="bottom"/>
          </w:tcPr>
          <w:p>
            <w:pPr>
              <w:spacing w:after="0"/>
              <w:rPr>
                <w:sz w:val="1"/>
                <w:szCs w:val="1"/>
                <w:color w:val="auto"/>
              </w:rPr>
            </w:pPr>
          </w:p>
        </w:tc>
      </w:tr>
      <w:tr>
        <w:trPr>
          <w:trHeight w:val="206"/>
        </w:trPr>
        <w:tc>
          <w:tcPr>
            <w:tcW w:w="1500" w:type="dxa"/>
            <w:vAlign w:val="bottom"/>
            <w:tcBorders>
              <w:left w:val="single" w:sz="8" w:color="auto"/>
              <w:right w:val="single" w:sz="8" w:color="auto"/>
            </w:tcBorders>
          </w:tcPr>
          <w:p>
            <w:pPr>
              <w:spacing w:after="0"/>
              <w:rPr>
                <w:sz w:val="17"/>
                <w:szCs w:val="17"/>
                <w:color w:val="auto"/>
              </w:rPr>
            </w:pPr>
          </w:p>
        </w:tc>
        <w:tc>
          <w:tcPr>
            <w:tcW w:w="4260" w:type="dxa"/>
            <w:vAlign w:val="bottom"/>
            <w:tcBorders>
              <w:right w:val="single" w:sz="8" w:color="auto"/>
            </w:tcBorders>
          </w:tcPr>
          <w:p>
            <w:pPr>
              <w:spacing w:after="0"/>
              <w:rPr>
                <w:sz w:val="17"/>
                <w:szCs w:val="17"/>
                <w:color w:val="auto"/>
              </w:rPr>
            </w:pPr>
          </w:p>
        </w:tc>
        <w:tc>
          <w:tcPr>
            <w:tcW w:w="1460" w:type="dxa"/>
            <w:vAlign w:val="bottom"/>
            <w:tcBorders>
              <w:right w:val="single" w:sz="8" w:color="auto"/>
            </w:tcBorders>
          </w:tcPr>
          <w:p>
            <w:pPr>
              <w:spacing w:after="0"/>
              <w:rPr>
                <w:sz w:val="17"/>
                <w:szCs w:val="17"/>
                <w:color w:val="auto"/>
              </w:rPr>
            </w:pPr>
          </w:p>
        </w:tc>
        <w:tc>
          <w:tcPr>
            <w:tcW w:w="200" w:type="dxa"/>
            <w:vAlign w:val="bottom"/>
          </w:tcPr>
          <w:p>
            <w:pPr>
              <w:ind w:left="100"/>
              <w:spacing w:after="0"/>
              <w:rPr>
                <w:sz w:val="20"/>
                <w:szCs w:val="20"/>
                <w:color w:val="auto"/>
              </w:rPr>
            </w:pPr>
            <w:r>
              <w:rPr>
                <w:rFonts w:ascii="Arial" w:cs="Arial" w:eastAsia="Arial" w:hAnsi="Arial"/>
                <w:sz w:val="16"/>
                <w:szCs w:val="16"/>
                <w:color w:val="auto"/>
              </w:rPr>
              <w:t>•</w:t>
            </w:r>
          </w:p>
        </w:tc>
        <w:tc>
          <w:tcPr>
            <w:tcW w:w="4020" w:type="dxa"/>
            <w:vAlign w:val="bottom"/>
            <w:tcBorders>
              <w:right w:val="single" w:sz="8" w:color="auto"/>
            </w:tcBorders>
          </w:tcPr>
          <w:p>
            <w:pPr>
              <w:ind w:left="40"/>
              <w:spacing w:after="0"/>
              <w:rPr>
                <w:sz w:val="20"/>
                <w:szCs w:val="20"/>
                <w:color w:val="auto"/>
              </w:rPr>
            </w:pPr>
            <w:r>
              <w:rPr>
                <w:rFonts w:ascii="Arial" w:cs="Arial" w:eastAsia="Arial" w:hAnsi="Arial"/>
                <w:sz w:val="16"/>
                <w:szCs w:val="16"/>
                <w:color w:val="auto"/>
                <w:w w:val="96"/>
              </w:rPr>
              <w:t>Payments and benefits in the event of a change in control</w:t>
            </w:r>
          </w:p>
        </w:tc>
        <w:tc>
          <w:tcPr>
            <w:tcW w:w="0" w:type="dxa"/>
            <w:vAlign w:val="bottom"/>
          </w:tcPr>
          <w:p>
            <w:pPr>
              <w:spacing w:after="0"/>
              <w:rPr>
                <w:sz w:val="1"/>
                <w:szCs w:val="1"/>
                <w:color w:val="auto"/>
              </w:rPr>
            </w:pPr>
          </w:p>
        </w:tc>
      </w:tr>
      <w:tr>
        <w:trPr>
          <w:trHeight w:val="384"/>
        </w:trPr>
        <w:tc>
          <w:tcPr>
            <w:tcW w:w="1500" w:type="dxa"/>
            <w:vAlign w:val="bottom"/>
            <w:tcBorders>
              <w:left w:val="single" w:sz="8" w:color="auto"/>
              <w:bottom w:val="single" w:sz="8" w:color="auto"/>
              <w:right w:val="single" w:sz="8" w:color="auto"/>
            </w:tcBorders>
          </w:tcPr>
          <w:p>
            <w:pPr>
              <w:spacing w:after="0"/>
              <w:rPr>
                <w:sz w:val="24"/>
                <w:szCs w:val="24"/>
                <w:color w:val="auto"/>
              </w:rPr>
            </w:pPr>
          </w:p>
        </w:tc>
        <w:tc>
          <w:tcPr>
            <w:tcW w:w="4260" w:type="dxa"/>
            <w:vAlign w:val="bottom"/>
            <w:tcBorders>
              <w:bottom w:val="single" w:sz="8" w:color="auto"/>
              <w:right w:val="single" w:sz="8" w:color="auto"/>
            </w:tcBorders>
          </w:tcPr>
          <w:p>
            <w:pPr>
              <w:spacing w:after="0"/>
              <w:rPr>
                <w:sz w:val="24"/>
                <w:szCs w:val="24"/>
                <w:color w:val="auto"/>
              </w:rPr>
            </w:pPr>
          </w:p>
        </w:tc>
        <w:tc>
          <w:tcPr>
            <w:tcW w:w="1460" w:type="dxa"/>
            <w:vAlign w:val="bottom"/>
            <w:tcBorders>
              <w:bottom w:val="single" w:sz="8" w:color="auto"/>
              <w:right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40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134"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66</w:t>
      </w:r>
    </w:p>
    <w:p>
      <w:pPr>
        <w:sectPr>
          <w:pgSz w:w="11900" w:h="16838" w:orient="portrait"/>
          <w:cols w:equalWidth="0" w:num="1">
            <w:col w:w="11440"/>
          </w:cols>
          <w:pgMar w:left="240" w:top="459" w:right="219" w:bottom="1440" w:gutter="0" w:footer="0" w:header="0"/>
        </w:sectPr>
      </w:pPr>
    </w:p>
    <w:bookmarkStart w:id="78" w:name="page79"/>
    <w:bookmarkEnd w:id="7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3">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firstLine="913"/>
        <w:spacing w:after="0" w:line="259" w:lineRule="auto"/>
        <w:rPr>
          <w:sz w:val="20"/>
          <w:szCs w:val="20"/>
          <w:color w:val="auto"/>
        </w:rPr>
      </w:pPr>
      <w:r>
        <w:rPr>
          <w:rFonts w:ascii="Arial" w:cs="Arial" w:eastAsia="Arial" w:hAnsi="Arial"/>
          <w:sz w:val="18"/>
          <w:szCs w:val="18"/>
          <w:color w:val="auto"/>
        </w:rPr>
        <w:t>Timken’s guidelines for salaries, annual incentives and long-term incentive grants are based on the 50th percentile of the general industry data for comparable roles. Timken may provide target compensation above or below the 50th percentile for a particular position, however, based on internal factors such as the executive’s operating responsibilities, experience level, retention risk and tenure and performance in the position. Timken establishes compensation levels in this way for two main reasons:</w:t>
      </w:r>
    </w:p>
    <w:p>
      <w:pPr>
        <w:spacing w:after="0" w:line="268" w:lineRule="exact"/>
        <w:rPr>
          <w:sz w:val="20"/>
          <w:szCs w:val="20"/>
          <w:color w:val="auto"/>
        </w:rPr>
      </w:pPr>
    </w:p>
    <w:p>
      <w:pPr>
        <w:ind w:left="660" w:hanging="206"/>
        <w:spacing w:after="0"/>
        <w:tabs>
          <w:tab w:leader="none" w:pos="660" w:val="left"/>
        </w:tabs>
        <w:numPr>
          <w:ilvl w:val="0"/>
          <w:numId w:val="23"/>
        </w:numPr>
        <w:rPr>
          <w:rFonts w:ascii="Arial" w:cs="Arial" w:eastAsia="Arial" w:hAnsi="Arial"/>
          <w:sz w:val="18"/>
          <w:szCs w:val="18"/>
          <w:color w:val="auto"/>
        </w:rPr>
      </w:pPr>
      <w:r>
        <w:rPr>
          <w:rFonts w:ascii="Arial" w:cs="Arial" w:eastAsia="Arial" w:hAnsi="Arial"/>
          <w:sz w:val="18"/>
          <w:szCs w:val="18"/>
          <w:color w:val="auto"/>
        </w:rPr>
        <w:t>First, this approach sets fair and reasonable pay levels needed to attract and retain qualified executives; and</w:t>
      </w:r>
    </w:p>
    <w:p>
      <w:pPr>
        <w:spacing w:after="0" w:line="23" w:lineRule="exact"/>
        <w:rPr>
          <w:rFonts w:ascii="Arial" w:cs="Arial" w:eastAsia="Arial" w:hAnsi="Arial"/>
          <w:sz w:val="18"/>
          <w:szCs w:val="18"/>
          <w:color w:val="auto"/>
        </w:rPr>
      </w:pPr>
    </w:p>
    <w:p>
      <w:pPr>
        <w:ind w:left="660" w:hanging="206"/>
        <w:spacing w:after="0"/>
        <w:tabs>
          <w:tab w:leader="none" w:pos="660" w:val="left"/>
        </w:tabs>
        <w:numPr>
          <w:ilvl w:val="0"/>
          <w:numId w:val="23"/>
        </w:numPr>
        <w:rPr>
          <w:rFonts w:ascii="Arial" w:cs="Arial" w:eastAsia="Arial" w:hAnsi="Arial"/>
          <w:sz w:val="17"/>
          <w:szCs w:val="17"/>
          <w:color w:val="auto"/>
        </w:rPr>
      </w:pPr>
      <w:r>
        <w:rPr>
          <w:rFonts w:ascii="Arial" w:cs="Arial" w:eastAsia="Arial" w:hAnsi="Arial"/>
          <w:sz w:val="17"/>
          <w:szCs w:val="17"/>
          <w:color w:val="auto"/>
        </w:rPr>
        <w:t>Second, it requires excellent performance for pay that is higher than that provided by the majority of companies in the comparison group.</w:t>
      </w:r>
    </w:p>
    <w:p>
      <w:pPr>
        <w:spacing w:after="0" w:line="36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Analysis of 2013 Compensation</w:t>
      </w:r>
    </w:p>
    <w:p>
      <w:pPr>
        <w:spacing w:after="0" w:line="270" w:lineRule="exact"/>
        <w:rPr>
          <w:sz w:val="20"/>
          <w:szCs w:val="20"/>
          <w:color w:val="auto"/>
        </w:rPr>
      </w:pPr>
    </w:p>
    <w:p>
      <w:pPr>
        <w:ind w:left="920"/>
        <w:spacing w:after="0"/>
        <w:rPr>
          <w:sz w:val="20"/>
          <w:szCs w:val="20"/>
          <w:color w:val="auto"/>
        </w:rPr>
      </w:pPr>
      <w:r>
        <w:rPr>
          <w:rFonts w:ascii="Arial" w:cs="Arial" w:eastAsia="Arial" w:hAnsi="Arial"/>
          <w:sz w:val="18"/>
          <w:szCs w:val="18"/>
          <w:b w:val="1"/>
          <w:bCs w:val="1"/>
          <w:i w:val="1"/>
          <w:iCs w:val="1"/>
          <w:color w:val="auto"/>
        </w:rPr>
        <w:t>Base Salary</w:t>
      </w:r>
    </w:p>
    <w:p>
      <w:pPr>
        <w:spacing w:after="0" w:line="252" w:lineRule="exact"/>
        <w:rPr>
          <w:sz w:val="20"/>
          <w:szCs w:val="20"/>
          <w:color w:val="auto"/>
        </w:rPr>
      </w:pPr>
    </w:p>
    <w:p>
      <w:pPr>
        <w:ind w:right="20" w:firstLine="913"/>
        <w:spacing w:after="0" w:line="276" w:lineRule="auto"/>
        <w:rPr>
          <w:sz w:val="20"/>
          <w:szCs w:val="20"/>
          <w:color w:val="auto"/>
        </w:rPr>
      </w:pPr>
      <w:r>
        <w:rPr>
          <w:rFonts w:ascii="Arial" w:cs="Arial" w:eastAsia="Arial" w:hAnsi="Arial"/>
          <w:sz w:val="17"/>
          <w:szCs w:val="17"/>
          <w:color w:val="auto"/>
        </w:rPr>
        <w:t>Base salaries for our NEOs were intended to reflect the scope of their responsibilities, the length of their experience performing those responsibilities and their performance. The Timken Compensation Committee determines base salary ranges for the NEOs using external surveys of salary practices for positions with similar levels of responsibility. The Timken Compensation Committee also reviews base salaries for the NEOs annually in light of each officer’s experience, leadership, current salary and position in the salary range. When establishing base salaries for the NEOs, the Timken Compensation Committee considers as a guideline the 50</w:t>
      </w:r>
      <w:r>
        <w:rPr>
          <w:rFonts w:ascii="Arial" w:cs="Arial" w:eastAsia="Arial" w:hAnsi="Arial"/>
          <w:sz w:val="14"/>
          <w:szCs w:val="14"/>
          <w:color w:val="auto"/>
        </w:rPr>
        <w:t>th</w:t>
      </w:r>
      <w:r>
        <w:rPr>
          <w:rFonts w:ascii="Arial" w:cs="Arial" w:eastAsia="Arial" w:hAnsi="Arial"/>
          <w:sz w:val="17"/>
          <w:szCs w:val="17"/>
          <w:color w:val="auto"/>
        </w:rPr>
        <w:t xml:space="preserve"> percentile of the general industry data for comparable roles.</w:t>
      </w:r>
    </w:p>
    <w:p>
      <w:pPr>
        <w:spacing w:after="0" w:line="213" w:lineRule="exact"/>
        <w:rPr>
          <w:sz w:val="20"/>
          <w:szCs w:val="20"/>
          <w:color w:val="auto"/>
        </w:rPr>
      </w:pPr>
    </w:p>
    <w:p>
      <w:pPr>
        <w:jc w:val="both"/>
        <w:ind w:right="320" w:firstLine="913"/>
        <w:spacing w:after="0" w:line="264" w:lineRule="auto"/>
        <w:rPr>
          <w:sz w:val="20"/>
          <w:szCs w:val="20"/>
          <w:color w:val="auto"/>
        </w:rPr>
      </w:pPr>
      <w:r>
        <w:rPr>
          <w:rFonts w:ascii="Arial" w:cs="Arial" w:eastAsia="Arial" w:hAnsi="Arial"/>
          <w:sz w:val="18"/>
          <w:szCs w:val="18"/>
          <w:color w:val="auto"/>
        </w:rPr>
        <w:t>Following this review process in 2013, the Timken Compensation Committee decided not to adjust the base salary for Mr. Timken. Our other NEOs received annual base salary increases ranging from 4% to 5%, effective March 1, 2013. The base salary increases were consistent with base salary increases implemented throughout Timken.</w:t>
      </w:r>
    </w:p>
    <w:p>
      <w:pPr>
        <w:spacing w:after="0" w:line="222" w:lineRule="exact"/>
        <w:rPr>
          <w:sz w:val="20"/>
          <w:szCs w:val="20"/>
          <w:color w:val="auto"/>
        </w:rPr>
      </w:pPr>
    </w:p>
    <w:p>
      <w:pPr>
        <w:ind w:left="920"/>
        <w:spacing w:after="0"/>
        <w:rPr>
          <w:sz w:val="20"/>
          <w:szCs w:val="20"/>
          <w:color w:val="auto"/>
        </w:rPr>
      </w:pPr>
      <w:r>
        <w:rPr>
          <w:rFonts w:ascii="Arial" w:cs="Arial" w:eastAsia="Arial" w:hAnsi="Arial"/>
          <w:sz w:val="18"/>
          <w:szCs w:val="18"/>
          <w:b w:val="1"/>
          <w:bCs w:val="1"/>
          <w:i w:val="1"/>
          <w:iCs w:val="1"/>
          <w:color w:val="auto"/>
        </w:rPr>
        <w:t>Annual Incentive</w:t>
      </w:r>
    </w:p>
    <w:p>
      <w:pPr>
        <w:spacing w:after="0" w:line="252" w:lineRule="exact"/>
        <w:rPr>
          <w:sz w:val="20"/>
          <w:szCs w:val="20"/>
          <w:color w:val="auto"/>
        </w:rPr>
      </w:pPr>
    </w:p>
    <w:p>
      <w:pPr>
        <w:jc w:val="both"/>
        <w:ind w:right="100" w:firstLine="913"/>
        <w:spacing w:after="0" w:line="264" w:lineRule="auto"/>
        <w:rPr>
          <w:sz w:val="20"/>
          <w:szCs w:val="20"/>
          <w:color w:val="auto"/>
        </w:rPr>
      </w:pPr>
      <w:r>
        <w:rPr>
          <w:rFonts w:ascii="Arial" w:cs="Arial" w:eastAsia="Arial" w:hAnsi="Arial"/>
          <w:sz w:val="18"/>
          <w:szCs w:val="18"/>
          <w:color w:val="auto"/>
        </w:rPr>
        <w:t>Timken’s annual incentive provides its executive officers with the opportunity to earn annual incentive compensation based on the achievement of corporate performance goals established by the Timken Compensation Committee and approved by Timken’s board of directors. It is intended to focus the executive officers on specific performance goals in the current year.</w:t>
      </w:r>
    </w:p>
    <w:p>
      <w:pPr>
        <w:spacing w:after="0" w:line="222" w:lineRule="exact"/>
        <w:rPr>
          <w:sz w:val="20"/>
          <w:szCs w:val="20"/>
          <w:color w:val="auto"/>
        </w:rPr>
      </w:pPr>
    </w:p>
    <w:p>
      <w:pPr>
        <w:ind w:right="20" w:firstLine="913"/>
        <w:spacing w:after="0" w:line="273" w:lineRule="auto"/>
        <w:rPr>
          <w:sz w:val="20"/>
          <w:szCs w:val="20"/>
          <w:color w:val="auto"/>
        </w:rPr>
      </w:pPr>
      <w:r>
        <w:rPr>
          <w:rFonts w:ascii="Arial" w:cs="Arial" w:eastAsia="Arial" w:hAnsi="Arial"/>
          <w:sz w:val="17"/>
          <w:szCs w:val="17"/>
          <w:color w:val="auto"/>
        </w:rPr>
        <w:t>Timken’s Senior Executive Management Performance Plan is structured to permit annual incentive awards to comply with Section 162(m) of the Code. In order to qualify the amounts earned under the plan as “performance-based,” the Timken Compensation Committee can exercise discretion only to reduce an award. As a result, performance at target levels results in the Senior Management Performance Plan being funded above the level of Timken’s other annual incentive plan, the Management Performance Plan. This provides the Timken Compensation Committee with the flexibility to determine actual awards under the Senior Executive Management Performance Plan for the executive officers that are consistent with the awards made to other annual incentive plan participants under the Management Performance Plan, which has been the historical practice.</w:t>
      </w:r>
    </w:p>
    <w:p>
      <w:pPr>
        <w:spacing w:after="0" w:line="219" w:lineRule="exact"/>
        <w:rPr>
          <w:sz w:val="20"/>
          <w:szCs w:val="20"/>
          <w:color w:val="auto"/>
        </w:rPr>
      </w:pPr>
    </w:p>
    <w:p>
      <w:pPr>
        <w:ind w:right="20" w:firstLine="913"/>
        <w:spacing w:after="0" w:line="293" w:lineRule="auto"/>
        <w:rPr>
          <w:sz w:val="20"/>
          <w:szCs w:val="20"/>
          <w:color w:val="auto"/>
        </w:rPr>
      </w:pPr>
      <w:r>
        <w:rPr>
          <w:rFonts w:ascii="Arial" w:cs="Arial" w:eastAsia="Arial" w:hAnsi="Arial"/>
          <w:sz w:val="16"/>
          <w:szCs w:val="16"/>
          <w:color w:val="auto"/>
        </w:rPr>
        <w:t>For 2013, Messrs. Timken and Walker participated in the Senior Executive Management Performance Plan, while Mr. Holding participated in the Management Performance Plan. The Senior Executive Management Performance Plan provided Mr. Timken a target award opportunity of 120% of base salary and Mr. Walker a target award opportunity of 60% of base salary. The Management Performance Plan provided Mr. Holding a target award opportunity of 40% of base salary. Target award opportunity levels for executive officers were determined by the Timken Compensation Committee based on external surveys of practices for positions with similar levels of responsibility. The actual awards could be higher or lower than the target opportunity based on the results for each performance measure and the extent to which the Timken Compensation Committee uses discretion to reduce the awards.</w:t>
      </w:r>
    </w:p>
    <w:p>
      <w:pPr>
        <w:spacing w:after="0" w:line="192" w:lineRule="exact"/>
        <w:rPr>
          <w:sz w:val="20"/>
          <w:szCs w:val="20"/>
          <w:color w:val="auto"/>
        </w:rPr>
      </w:pPr>
    </w:p>
    <w:p>
      <w:pPr>
        <w:ind w:right="80" w:firstLine="913"/>
        <w:spacing w:after="0" w:line="255" w:lineRule="auto"/>
        <w:rPr>
          <w:sz w:val="20"/>
          <w:szCs w:val="20"/>
          <w:color w:val="auto"/>
        </w:rPr>
      </w:pPr>
      <w:r>
        <w:rPr>
          <w:rFonts w:ascii="Arial" w:cs="Arial" w:eastAsia="Arial" w:hAnsi="Arial"/>
          <w:sz w:val="18"/>
          <w:szCs w:val="18"/>
          <w:color w:val="auto"/>
        </w:rPr>
        <w:t>Timken used two performance measures for funding the Senior Executive Management Performance Plan for 2013: (1) corporate EBIT/BIC (calculated to exclude the effects of acquisitions and divestitures above $50 million in size, changes in tax laws or accounting principles, non-cash impairments, changes in other comprehensive income and any amounts received under the Continued Dumping and Subsidy Offset Act); and (2) working capital as a percentage of sales. Corporate EBIT/BIC constituted 80% of the total award calculation and working capital as a percentage of sales constituted 20%. The Timken Compensation Committee established corporate EBIT/BIC as the primary performance measure because it believes this measure is closely correlated with the creation of shareholder value. Working capital as a percentage of sales was used to focus Messrs. Timken and Walker on managing working capital.</w:t>
      </w:r>
    </w:p>
    <w:p>
      <w:pPr>
        <w:spacing w:after="0" w:line="12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67</w:t>
      </w:r>
    </w:p>
    <w:p>
      <w:pPr>
        <w:sectPr>
          <w:pgSz w:w="11900" w:h="16838" w:orient="portrait"/>
          <w:cols w:equalWidth="0" w:num="1">
            <w:col w:w="11420"/>
          </w:cols>
          <w:pgMar w:left="240" w:top="459" w:right="239" w:bottom="1440" w:gutter="0" w:footer="0" w:header="0"/>
        </w:sectPr>
      </w:pPr>
    </w:p>
    <w:bookmarkStart w:id="79" w:name="page80"/>
    <w:bookmarkEnd w:id="7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4">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440" w:firstLine="913"/>
        <w:spacing w:after="0" w:line="277" w:lineRule="auto"/>
        <w:rPr>
          <w:sz w:val="20"/>
          <w:szCs w:val="20"/>
          <w:color w:val="auto"/>
        </w:rPr>
      </w:pPr>
      <w:r>
        <w:rPr>
          <w:rFonts w:ascii="Arial" w:cs="Arial" w:eastAsia="Arial" w:hAnsi="Arial"/>
          <w:sz w:val="18"/>
          <w:szCs w:val="18"/>
          <w:color w:val="auto"/>
        </w:rPr>
        <w:t>Timken’s 2013 performance goals, associated plan funding levels, and actual calculated performance for the Senior Executive Management Performance Plan are summarized in the following table:</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Senior Executive Management Performance Plan - 2013</w:t>
      </w:r>
    </w:p>
    <w:p>
      <w:pPr>
        <w:spacing w:after="0" w:line="301"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3560" w:type="dxa"/>
            <w:vAlign w:val="bottom"/>
            <w:tcBorders>
              <w:top w:val="single" w:sz="8" w:color="auto"/>
              <w:bottom w:val="single" w:sz="8" w:color="auto"/>
            </w:tcBorders>
            <w:shd w:val="clear" w:color="auto" w:fill="CCEEFF"/>
          </w:tcPr>
          <w:p>
            <w:pPr>
              <w:spacing w:after="0"/>
              <w:rPr>
                <w:sz w:val="19"/>
                <w:szCs w:val="19"/>
                <w:color w:val="auto"/>
              </w:rPr>
            </w:pPr>
          </w:p>
        </w:tc>
        <w:tc>
          <w:tcPr>
            <w:tcW w:w="3260" w:type="dxa"/>
            <w:vAlign w:val="bottom"/>
            <w:tcBorders>
              <w:top w:val="single" w:sz="8" w:color="auto"/>
              <w:bottom w:val="single" w:sz="8" w:color="auto"/>
            </w:tcBorders>
            <w:shd w:val="clear" w:color="auto" w:fill="CCEEFF"/>
          </w:tcPr>
          <w:p>
            <w:pPr>
              <w:jc w:val="right"/>
              <w:ind w:right="450"/>
              <w:spacing w:after="0"/>
              <w:rPr>
                <w:sz w:val="20"/>
                <w:szCs w:val="20"/>
                <w:color w:val="auto"/>
              </w:rPr>
            </w:pPr>
            <w:r>
              <w:rPr>
                <w:rFonts w:ascii="Arial" w:cs="Arial" w:eastAsia="Arial" w:hAnsi="Arial"/>
                <w:sz w:val="18"/>
                <w:szCs w:val="18"/>
                <w:b w:val="1"/>
                <w:bCs w:val="1"/>
                <w:color w:val="auto"/>
              </w:rPr>
              <w:t>Threshold</w:t>
            </w:r>
          </w:p>
        </w:tc>
        <w:tc>
          <w:tcPr>
            <w:tcW w:w="1540" w:type="dxa"/>
            <w:vAlign w:val="bottom"/>
            <w:tcBorders>
              <w:top w:val="single" w:sz="8" w:color="auto"/>
              <w:bottom w:val="single" w:sz="8" w:color="auto"/>
            </w:tcBorders>
            <w:shd w:val="clear" w:color="auto" w:fill="CCEEFF"/>
          </w:tcPr>
          <w:p>
            <w:pPr>
              <w:jc w:val="right"/>
              <w:ind w:right="430"/>
              <w:spacing w:after="0"/>
              <w:rPr>
                <w:sz w:val="20"/>
                <w:szCs w:val="20"/>
                <w:color w:val="auto"/>
              </w:rPr>
            </w:pPr>
            <w:r>
              <w:rPr>
                <w:rFonts w:ascii="Arial" w:cs="Arial" w:eastAsia="Arial" w:hAnsi="Arial"/>
                <w:sz w:val="18"/>
                <w:szCs w:val="18"/>
                <w:b w:val="1"/>
                <w:bCs w:val="1"/>
                <w:color w:val="auto"/>
              </w:rPr>
              <w:t>Target</w:t>
            </w:r>
          </w:p>
        </w:tc>
        <w:tc>
          <w:tcPr>
            <w:tcW w:w="1860" w:type="dxa"/>
            <w:vAlign w:val="bottom"/>
            <w:tcBorders>
              <w:top w:val="single" w:sz="8" w:color="auto"/>
              <w:bottom w:val="single" w:sz="8" w:color="auto"/>
            </w:tcBorders>
            <w:shd w:val="clear" w:color="auto" w:fill="CCEEFF"/>
          </w:tcPr>
          <w:p>
            <w:pPr>
              <w:jc w:val="right"/>
              <w:ind w:right="430"/>
              <w:spacing w:after="0"/>
              <w:rPr>
                <w:sz w:val="20"/>
                <w:szCs w:val="20"/>
                <w:color w:val="auto"/>
              </w:rPr>
            </w:pPr>
            <w:r>
              <w:rPr>
                <w:rFonts w:ascii="Arial" w:cs="Arial" w:eastAsia="Arial" w:hAnsi="Arial"/>
                <w:sz w:val="18"/>
                <w:szCs w:val="18"/>
                <w:b w:val="1"/>
                <w:bCs w:val="1"/>
                <w:color w:val="auto"/>
              </w:rPr>
              <w:t>Maximum</w:t>
            </w:r>
          </w:p>
        </w:tc>
        <w:tc>
          <w:tcPr>
            <w:tcW w:w="1200" w:type="dxa"/>
            <w:vAlign w:val="bottom"/>
            <w:tcBorders>
              <w:top w:val="single" w:sz="8" w:color="auto"/>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Actual</w:t>
            </w:r>
          </w:p>
        </w:tc>
      </w:tr>
      <w:tr>
        <w:trPr>
          <w:trHeight w:val="210"/>
        </w:trPr>
        <w:tc>
          <w:tcPr>
            <w:tcW w:w="356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EBIT/BIC</w:t>
            </w:r>
          </w:p>
        </w:tc>
        <w:tc>
          <w:tcPr>
            <w:tcW w:w="3260" w:type="dxa"/>
            <w:vAlign w:val="bottom"/>
            <w:tcBorders>
              <w:bottom w:val="single" w:sz="8" w:color="auto"/>
            </w:tcBorders>
          </w:tcPr>
          <w:p>
            <w:pPr>
              <w:jc w:val="right"/>
              <w:ind w:right="450"/>
              <w:spacing w:after="0"/>
              <w:rPr>
                <w:sz w:val="20"/>
                <w:szCs w:val="20"/>
                <w:color w:val="auto"/>
              </w:rPr>
            </w:pPr>
            <w:r>
              <w:rPr>
                <w:rFonts w:ascii="Arial" w:cs="Arial" w:eastAsia="Arial" w:hAnsi="Arial"/>
                <w:sz w:val="18"/>
                <w:szCs w:val="18"/>
                <w:color w:val="auto"/>
              </w:rPr>
              <w:t>7.8%</w:t>
            </w:r>
          </w:p>
        </w:tc>
        <w:tc>
          <w:tcPr>
            <w:tcW w:w="1540" w:type="dxa"/>
            <w:vAlign w:val="bottom"/>
            <w:tcBorders>
              <w:bottom w:val="single" w:sz="8" w:color="auto"/>
            </w:tcBorders>
          </w:tcPr>
          <w:p>
            <w:pPr>
              <w:jc w:val="right"/>
              <w:ind w:right="430"/>
              <w:spacing w:after="0"/>
              <w:rPr>
                <w:sz w:val="20"/>
                <w:szCs w:val="20"/>
                <w:color w:val="auto"/>
              </w:rPr>
            </w:pPr>
            <w:r>
              <w:rPr>
                <w:rFonts w:ascii="Arial" w:cs="Arial" w:eastAsia="Arial" w:hAnsi="Arial"/>
                <w:sz w:val="18"/>
                <w:szCs w:val="18"/>
                <w:color w:val="auto"/>
              </w:rPr>
              <w:t>18.4%</w:t>
            </w:r>
          </w:p>
        </w:tc>
        <w:tc>
          <w:tcPr>
            <w:tcW w:w="1860" w:type="dxa"/>
            <w:vAlign w:val="bottom"/>
            <w:tcBorders>
              <w:bottom w:val="single" w:sz="8" w:color="auto"/>
            </w:tcBorders>
          </w:tcPr>
          <w:p>
            <w:pPr>
              <w:jc w:val="right"/>
              <w:ind w:right="430"/>
              <w:spacing w:after="0"/>
              <w:rPr>
                <w:sz w:val="20"/>
                <w:szCs w:val="20"/>
                <w:color w:val="auto"/>
              </w:rPr>
            </w:pPr>
            <w:r>
              <w:rPr>
                <w:rFonts w:ascii="Arial" w:cs="Arial" w:eastAsia="Arial" w:hAnsi="Arial"/>
                <w:sz w:val="18"/>
                <w:szCs w:val="18"/>
                <w:color w:val="auto"/>
              </w:rPr>
              <w:t>24.3%</w:t>
            </w:r>
          </w:p>
        </w:tc>
        <w:tc>
          <w:tcPr>
            <w:tcW w:w="120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13.5%</w:t>
            </w:r>
          </w:p>
        </w:tc>
      </w:tr>
      <w:tr>
        <w:trPr>
          <w:trHeight w:val="210"/>
        </w:trPr>
        <w:tc>
          <w:tcPr>
            <w:tcW w:w="356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Working Capital/Sales</w:t>
            </w:r>
          </w:p>
        </w:tc>
        <w:tc>
          <w:tcPr>
            <w:tcW w:w="3260" w:type="dxa"/>
            <w:vAlign w:val="bottom"/>
            <w:tcBorders>
              <w:bottom w:val="single" w:sz="8" w:color="auto"/>
            </w:tcBorders>
          </w:tcPr>
          <w:p>
            <w:pPr>
              <w:jc w:val="right"/>
              <w:ind w:right="450"/>
              <w:spacing w:after="0"/>
              <w:rPr>
                <w:sz w:val="20"/>
                <w:szCs w:val="20"/>
                <w:color w:val="auto"/>
              </w:rPr>
            </w:pPr>
            <w:r>
              <w:rPr>
                <w:rFonts w:ascii="Arial" w:cs="Arial" w:eastAsia="Arial" w:hAnsi="Arial"/>
                <w:sz w:val="18"/>
                <w:szCs w:val="18"/>
                <w:color w:val="auto"/>
              </w:rPr>
              <w:t>29.0%</w:t>
            </w:r>
          </w:p>
        </w:tc>
        <w:tc>
          <w:tcPr>
            <w:tcW w:w="1540" w:type="dxa"/>
            <w:vAlign w:val="bottom"/>
            <w:tcBorders>
              <w:bottom w:val="single" w:sz="8" w:color="auto"/>
            </w:tcBorders>
          </w:tcPr>
          <w:p>
            <w:pPr>
              <w:jc w:val="right"/>
              <w:ind w:right="430"/>
              <w:spacing w:after="0"/>
              <w:rPr>
                <w:sz w:val="20"/>
                <w:szCs w:val="20"/>
                <w:color w:val="auto"/>
              </w:rPr>
            </w:pPr>
            <w:r>
              <w:rPr>
                <w:rFonts w:ascii="Arial" w:cs="Arial" w:eastAsia="Arial" w:hAnsi="Arial"/>
                <w:sz w:val="18"/>
                <w:szCs w:val="18"/>
                <w:color w:val="auto"/>
              </w:rPr>
              <w:t>25.0%</w:t>
            </w:r>
          </w:p>
        </w:tc>
        <w:tc>
          <w:tcPr>
            <w:tcW w:w="1860" w:type="dxa"/>
            <w:vAlign w:val="bottom"/>
            <w:tcBorders>
              <w:bottom w:val="single" w:sz="8" w:color="auto"/>
            </w:tcBorders>
          </w:tcPr>
          <w:p>
            <w:pPr>
              <w:jc w:val="right"/>
              <w:ind w:right="430"/>
              <w:spacing w:after="0"/>
              <w:rPr>
                <w:sz w:val="20"/>
                <w:szCs w:val="20"/>
                <w:color w:val="auto"/>
              </w:rPr>
            </w:pPr>
            <w:r>
              <w:rPr>
                <w:rFonts w:ascii="Arial" w:cs="Arial" w:eastAsia="Arial" w:hAnsi="Arial"/>
                <w:sz w:val="18"/>
                <w:szCs w:val="18"/>
                <w:color w:val="auto"/>
              </w:rPr>
              <w:t>21.0%</w:t>
            </w:r>
          </w:p>
        </w:tc>
        <w:tc>
          <w:tcPr>
            <w:tcW w:w="120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26.8%</w:t>
            </w:r>
          </w:p>
        </w:tc>
      </w:tr>
      <w:tr>
        <w:trPr>
          <w:trHeight w:val="210"/>
        </w:trPr>
        <w:tc>
          <w:tcPr>
            <w:tcW w:w="356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b w:val="1"/>
                <w:bCs w:val="1"/>
                <w:color w:val="auto"/>
              </w:rPr>
              <w:t>Plan Funding</w:t>
            </w:r>
          </w:p>
        </w:tc>
        <w:tc>
          <w:tcPr>
            <w:tcW w:w="3260" w:type="dxa"/>
            <w:vAlign w:val="bottom"/>
            <w:tcBorders>
              <w:bottom w:val="single" w:sz="8" w:color="auto"/>
            </w:tcBorders>
            <w:shd w:val="clear" w:color="auto" w:fill="CCEEFF"/>
          </w:tcPr>
          <w:p>
            <w:pPr>
              <w:jc w:val="right"/>
              <w:ind w:right="450"/>
              <w:spacing w:after="0"/>
              <w:rPr>
                <w:sz w:val="20"/>
                <w:szCs w:val="20"/>
                <w:color w:val="auto"/>
              </w:rPr>
            </w:pPr>
            <w:r>
              <w:rPr>
                <w:rFonts w:ascii="Arial" w:cs="Arial" w:eastAsia="Arial" w:hAnsi="Arial"/>
                <w:sz w:val="18"/>
                <w:szCs w:val="18"/>
                <w:b w:val="1"/>
                <w:bCs w:val="1"/>
                <w:color w:val="auto"/>
              </w:rPr>
              <w:t>80%</w:t>
            </w:r>
          </w:p>
        </w:tc>
        <w:tc>
          <w:tcPr>
            <w:tcW w:w="1540" w:type="dxa"/>
            <w:vAlign w:val="bottom"/>
            <w:tcBorders>
              <w:bottom w:val="single" w:sz="8" w:color="auto"/>
            </w:tcBorders>
            <w:shd w:val="clear" w:color="auto" w:fill="CCEEFF"/>
          </w:tcPr>
          <w:p>
            <w:pPr>
              <w:jc w:val="right"/>
              <w:ind w:right="430"/>
              <w:spacing w:after="0"/>
              <w:rPr>
                <w:sz w:val="20"/>
                <w:szCs w:val="20"/>
                <w:color w:val="auto"/>
              </w:rPr>
            </w:pPr>
            <w:r>
              <w:rPr>
                <w:rFonts w:ascii="Arial" w:cs="Arial" w:eastAsia="Arial" w:hAnsi="Arial"/>
                <w:sz w:val="18"/>
                <w:szCs w:val="18"/>
                <w:b w:val="1"/>
                <w:bCs w:val="1"/>
                <w:color w:val="auto"/>
              </w:rPr>
              <w:t>170%</w:t>
            </w:r>
          </w:p>
        </w:tc>
        <w:tc>
          <w:tcPr>
            <w:tcW w:w="1860" w:type="dxa"/>
            <w:vAlign w:val="bottom"/>
            <w:tcBorders>
              <w:bottom w:val="single" w:sz="8" w:color="auto"/>
            </w:tcBorders>
            <w:shd w:val="clear" w:color="auto" w:fill="CCEEFF"/>
          </w:tcPr>
          <w:p>
            <w:pPr>
              <w:jc w:val="right"/>
              <w:ind w:right="430"/>
              <w:spacing w:after="0"/>
              <w:rPr>
                <w:sz w:val="20"/>
                <w:szCs w:val="20"/>
                <w:color w:val="auto"/>
              </w:rPr>
            </w:pPr>
            <w:r>
              <w:rPr>
                <w:rFonts w:ascii="Arial" w:cs="Arial" w:eastAsia="Arial" w:hAnsi="Arial"/>
                <w:sz w:val="18"/>
                <w:szCs w:val="18"/>
                <w:b w:val="1"/>
                <w:bCs w:val="1"/>
                <w:color w:val="auto"/>
              </w:rPr>
              <w:t>260%</w:t>
            </w:r>
          </w:p>
        </w:tc>
        <w:tc>
          <w:tcPr>
            <w:tcW w:w="120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128.6%</w:t>
            </w:r>
          </w:p>
        </w:tc>
      </w:tr>
    </w:tbl>
    <w:p>
      <w:pPr>
        <w:spacing w:after="0" w:line="242" w:lineRule="exact"/>
        <w:rPr>
          <w:sz w:val="20"/>
          <w:szCs w:val="20"/>
          <w:color w:val="auto"/>
        </w:rPr>
      </w:pPr>
    </w:p>
    <w:p>
      <w:pPr>
        <w:ind w:right="160" w:firstLine="913"/>
        <w:spacing w:after="0" w:line="276" w:lineRule="auto"/>
        <w:rPr>
          <w:sz w:val="20"/>
          <w:szCs w:val="20"/>
          <w:color w:val="auto"/>
        </w:rPr>
      </w:pPr>
      <w:r>
        <w:rPr>
          <w:rFonts w:ascii="Arial" w:cs="Arial" w:eastAsia="Arial" w:hAnsi="Arial"/>
          <w:sz w:val="17"/>
          <w:szCs w:val="17"/>
          <w:color w:val="auto"/>
        </w:rPr>
        <w:t>For the Management Performance Plan for 2013, the metrics were: (1) 40% based on corporate EBIT/BIC (calculated as above); (2) 30% based on business unit EBIT/BIC (calculated as above, using a weighted average of the business segments for corporate participants); (3) 15% based on working capital as a percentage of sales (using a weighted average of the business segments for corporate participants); and (4) 15% based on a weighted average of performance on customer service in the Bearing and Power Transmission business and new business sales ratio in the Steel segment. The calculated result is then adjusted up or down by up to 30% to reflect individual performance.</w:t>
      </w:r>
    </w:p>
    <w:p>
      <w:pPr>
        <w:spacing w:after="0" w:line="200" w:lineRule="exact"/>
        <w:rPr>
          <w:sz w:val="20"/>
          <w:szCs w:val="20"/>
          <w:color w:val="auto"/>
        </w:rPr>
      </w:pPr>
    </w:p>
    <w:p>
      <w:pPr>
        <w:ind w:right="40" w:firstLine="913"/>
        <w:spacing w:after="0" w:line="255" w:lineRule="auto"/>
        <w:rPr>
          <w:sz w:val="20"/>
          <w:szCs w:val="20"/>
          <w:color w:val="auto"/>
        </w:rPr>
      </w:pPr>
      <w:r>
        <w:rPr>
          <w:rFonts w:ascii="Arial" w:cs="Arial" w:eastAsia="Arial" w:hAnsi="Arial"/>
          <w:sz w:val="18"/>
          <w:szCs w:val="18"/>
          <w:color w:val="auto"/>
        </w:rPr>
        <w:t>The target levels for both plans for 2013 were set based on Timken’s business plan for 2013 and taking into account ongoing uncertainty in most of Timken’s global markets. For the Senior Executive Management Performance Plan, the actual calculated corporate EBIT/BIC was 13.5%, while the ratio of working capital to sales was 26.8%. As a result, the Senior Executive Management Performance Plan was eligible to be funded at 128.6% of target. For the Management Performance Plan, the actual calculated payout was 75%. As a result, the 2013 cash payout under the Senior Executive Management Performance Plan equaled 90% of the target opportunity for Messrs. Timken and Walker, while the cash payout under the Management Performance Plan equaled 97.5% of the target opportunity for Mr. Holding.</w:t>
      </w:r>
    </w:p>
    <w:p>
      <w:pPr>
        <w:spacing w:after="0" w:line="234" w:lineRule="exact"/>
        <w:rPr>
          <w:sz w:val="20"/>
          <w:szCs w:val="20"/>
          <w:color w:val="auto"/>
        </w:rPr>
      </w:pPr>
    </w:p>
    <w:p>
      <w:pPr>
        <w:ind w:left="920"/>
        <w:spacing w:after="0"/>
        <w:rPr>
          <w:sz w:val="20"/>
          <w:szCs w:val="20"/>
          <w:color w:val="auto"/>
        </w:rPr>
      </w:pPr>
      <w:r>
        <w:rPr>
          <w:rFonts w:ascii="Arial" w:cs="Arial" w:eastAsia="Arial" w:hAnsi="Arial"/>
          <w:sz w:val="18"/>
          <w:szCs w:val="18"/>
          <w:b w:val="1"/>
          <w:bCs w:val="1"/>
          <w:i w:val="1"/>
          <w:iCs w:val="1"/>
          <w:color w:val="auto"/>
        </w:rPr>
        <w:t>Long-Term Incentives</w:t>
      </w:r>
    </w:p>
    <w:p>
      <w:pPr>
        <w:spacing w:after="0" w:line="266" w:lineRule="exact"/>
        <w:rPr>
          <w:sz w:val="20"/>
          <w:szCs w:val="20"/>
          <w:color w:val="auto"/>
        </w:rPr>
      </w:pPr>
    </w:p>
    <w:p>
      <w:pPr>
        <w:ind w:right="20" w:firstLine="913"/>
        <w:spacing w:after="0" w:line="259" w:lineRule="auto"/>
        <w:rPr>
          <w:sz w:val="20"/>
          <w:szCs w:val="20"/>
          <w:color w:val="auto"/>
        </w:rPr>
      </w:pPr>
      <w:r>
        <w:rPr>
          <w:rFonts w:ascii="Arial" w:cs="Arial" w:eastAsia="Arial" w:hAnsi="Arial"/>
          <w:sz w:val="18"/>
          <w:szCs w:val="18"/>
          <w:color w:val="auto"/>
        </w:rPr>
        <w:t>The Timken Compensation Committee administers The Timken Long-Term Incentive Plan, which was approved by Timken’s shareholders. Awards under the Timken Long-Term Incentive Plan can be made in the form of nonqualified stock options, incentive stock options, appreciation rights, performance shares, performance units, restricted shares, restricted stock units and deferred shares. In 2013, Timken utilized three different types of long-term incentive grants for our NEOs:</w:t>
      </w:r>
    </w:p>
    <w:p>
      <w:pPr>
        <w:spacing w:after="0" w:line="268" w:lineRule="exact"/>
        <w:rPr>
          <w:sz w:val="20"/>
          <w:szCs w:val="20"/>
          <w:color w:val="auto"/>
        </w:rPr>
      </w:pPr>
    </w:p>
    <w:p>
      <w:pPr>
        <w:ind w:left="900" w:right="40" w:hanging="676"/>
        <w:spacing w:after="0" w:line="277" w:lineRule="auto"/>
        <w:tabs>
          <w:tab w:leader="none" w:pos="900" w:val="left"/>
        </w:tabs>
        <w:numPr>
          <w:ilvl w:val="0"/>
          <w:numId w:val="24"/>
        </w:numPr>
        <w:rPr>
          <w:rFonts w:ascii="Arial" w:cs="Arial" w:eastAsia="Arial" w:hAnsi="Arial"/>
          <w:sz w:val="18"/>
          <w:szCs w:val="18"/>
          <w:color w:val="auto"/>
        </w:rPr>
      </w:pPr>
      <w:r>
        <w:rPr>
          <w:rFonts w:ascii="Arial" w:cs="Arial" w:eastAsia="Arial" w:hAnsi="Arial"/>
          <w:sz w:val="18"/>
          <w:szCs w:val="18"/>
          <w:color w:val="auto"/>
        </w:rPr>
        <w:t>Nonqualified stock options, which vest over time (four years) and are intended to provide value to the holder only if Timken shareholders receive additional value after the date of grant;</w:t>
      </w:r>
    </w:p>
    <w:p>
      <w:pPr>
        <w:spacing w:after="0" w:line="102" w:lineRule="exact"/>
        <w:rPr>
          <w:rFonts w:ascii="Arial" w:cs="Arial" w:eastAsia="Arial" w:hAnsi="Arial"/>
          <w:sz w:val="18"/>
          <w:szCs w:val="18"/>
          <w:color w:val="auto"/>
        </w:rPr>
      </w:pPr>
    </w:p>
    <w:p>
      <w:pPr>
        <w:ind w:left="900" w:right="500" w:hanging="676"/>
        <w:spacing w:after="0" w:line="308" w:lineRule="auto"/>
        <w:tabs>
          <w:tab w:leader="none" w:pos="900" w:val="left"/>
        </w:tabs>
        <w:numPr>
          <w:ilvl w:val="0"/>
          <w:numId w:val="24"/>
        </w:numPr>
        <w:rPr>
          <w:rFonts w:ascii="Arial" w:cs="Arial" w:eastAsia="Arial" w:hAnsi="Arial"/>
          <w:sz w:val="17"/>
          <w:szCs w:val="17"/>
          <w:color w:val="auto"/>
        </w:rPr>
      </w:pPr>
      <w:r>
        <w:rPr>
          <w:rFonts w:ascii="Arial" w:cs="Arial" w:eastAsia="Arial" w:hAnsi="Arial"/>
          <w:sz w:val="17"/>
          <w:szCs w:val="17"/>
          <w:color w:val="auto"/>
        </w:rPr>
        <w:t>Strategic performance shares, which are performance-based restricted stock units designed to reward executives for attainment of specified medium-term corporate performance goals and the value of which is linked to Timken’s stock price; and</w:t>
      </w:r>
    </w:p>
    <w:p>
      <w:pPr>
        <w:spacing w:after="0" w:line="79" w:lineRule="exact"/>
        <w:rPr>
          <w:rFonts w:ascii="Arial" w:cs="Arial" w:eastAsia="Arial" w:hAnsi="Arial"/>
          <w:sz w:val="17"/>
          <w:szCs w:val="17"/>
          <w:color w:val="auto"/>
        </w:rPr>
      </w:pPr>
    </w:p>
    <w:p>
      <w:pPr>
        <w:ind w:left="900" w:hanging="676"/>
        <w:spacing w:after="0"/>
        <w:tabs>
          <w:tab w:leader="none" w:pos="900" w:val="left"/>
        </w:tabs>
        <w:numPr>
          <w:ilvl w:val="0"/>
          <w:numId w:val="24"/>
        </w:numPr>
        <w:rPr>
          <w:rFonts w:ascii="Arial" w:cs="Arial" w:eastAsia="Arial" w:hAnsi="Arial"/>
          <w:sz w:val="18"/>
          <w:szCs w:val="18"/>
          <w:color w:val="auto"/>
        </w:rPr>
      </w:pPr>
      <w:r>
        <w:rPr>
          <w:rFonts w:ascii="Arial" w:cs="Arial" w:eastAsia="Arial" w:hAnsi="Arial"/>
          <w:sz w:val="18"/>
          <w:szCs w:val="18"/>
          <w:color w:val="auto"/>
        </w:rPr>
        <w:t>Deferred shares, which vest on a defined date and were granted to Mr. Walker to encourage his retention.</w:t>
      </w:r>
    </w:p>
    <w:p>
      <w:pPr>
        <w:spacing w:after="0" w:line="293" w:lineRule="exact"/>
        <w:rPr>
          <w:sz w:val="20"/>
          <w:szCs w:val="20"/>
          <w:color w:val="auto"/>
        </w:rPr>
      </w:pPr>
    </w:p>
    <w:p>
      <w:pPr>
        <w:ind w:right="120" w:firstLine="913"/>
        <w:spacing w:after="0" w:line="264" w:lineRule="auto"/>
        <w:rPr>
          <w:sz w:val="20"/>
          <w:szCs w:val="20"/>
          <w:color w:val="auto"/>
        </w:rPr>
      </w:pPr>
      <w:r>
        <w:rPr>
          <w:rFonts w:ascii="Arial" w:cs="Arial" w:eastAsia="Arial" w:hAnsi="Arial"/>
          <w:sz w:val="18"/>
          <w:szCs w:val="18"/>
          <w:color w:val="auto"/>
        </w:rPr>
        <w:t>In total, Timken believes that these grants provide a balanced focus on shareholder value creation and retention of key managers over the course of a full business cycle. These grants also serve to balance the short-term operating focus of Timken and align the long-term financial interests of executive management with those of its shareholders.</w:t>
      </w:r>
    </w:p>
    <w:p>
      <w:pPr>
        <w:spacing w:after="0" w:line="222" w:lineRule="exact"/>
        <w:rPr>
          <w:sz w:val="20"/>
          <w:szCs w:val="20"/>
          <w:color w:val="auto"/>
        </w:rPr>
      </w:pPr>
    </w:p>
    <w:p>
      <w:pPr>
        <w:ind w:right="20" w:firstLine="913"/>
        <w:spacing w:after="0" w:line="297" w:lineRule="auto"/>
        <w:rPr>
          <w:sz w:val="20"/>
          <w:szCs w:val="20"/>
          <w:color w:val="auto"/>
        </w:rPr>
      </w:pPr>
      <w:r>
        <w:rPr>
          <w:rFonts w:ascii="Arial" w:cs="Arial" w:eastAsia="Arial" w:hAnsi="Arial"/>
          <w:sz w:val="16"/>
          <w:szCs w:val="16"/>
          <w:color w:val="auto"/>
        </w:rPr>
        <w:t>The value of each type of long-term incentive grant is linked directly to Timken’s performance or the price of its common shares. In the case of stock options, the recipient recognizes value only to the extent that the stock price rises above the market price of the stock at the time the option is granted. For strategic performance shares, a payout is entirely contingent on the attainment of specified corporate performance targets and the value of the payout is directly linked to the stock price. And for deferred shares, the value of the shares is dependent upon the stock price at the time the shares vest. In each case, an executive must remain employed by Timken for a specified period of time to earn the full value of any award, which aids Timken in retaining executives.</w:t>
      </w:r>
    </w:p>
    <w:p>
      <w:pPr>
        <w:spacing w:after="0" w:line="9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68</w:t>
      </w:r>
    </w:p>
    <w:p>
      <w:pPr>
        <w:sectPr>
          <w:pgSz w:w="11900" w:h="16838" w:orient="portrait"/>
          <w:cols w:equalWidth="0" w:num="1">
            <w:col w:w="11420"/>
          </w:cols>
          <w:pgMar w:left="240" w:top="459" w:right="239" w:bottom="1440" w:gutter="0" w:footer="0" w:header="0"/>
        </w:sectPr>
      </w:pPr>
    </w:p>
    <w:bookmarkStart w:id="80" w:name="page81"/>
    <w:bookmarkEnd w:id="8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60" w:firstLine="913"/>
        <w:spacing w:after="0" w:line="264" w:lineRule="auto"/>
        <w:rPr>
          <w:sz w:val="20"/>
          <w:szCs w:val="20"/>
          <w:color w:val="auto"/>
        </w:rPr>
      </w:pPr>
      <w:r>
        <w:rPr>
          <w:rFonts w:ascii="Arial" w:cs="Arial" w:eastAsia="Arial" w:hAnsi="Arial"/>
          <w:sz w:val="18"/>
          <w:szCs w:val="18"/>
          <w:color w:val="auto"/>
        </w:rPr>
        <w:t>The size of the long-term incentive grants, and the allocation of grant value among the long-term incentive grant types is based on a combination of market practice, internal equity considerations and the relative importance of the objectives behind each of the grants (to reward attainment of multi-year performance goals, provide value tied to stock price appreciation and foster stock ownership).</w:t>
      </w:r>
    </w:p>
    <w:p>
      <w:pPr>
        <w:spacing w:after="0" w:line="222" w:lineRule="exact"/>
        <w:rPr>
          <w:sz w:val="20"/>
          <w:szCs w:val="20"/>
          <w:color w:val="auto"/>
        </w:rPr>
      </w:pPr>
    </w:p>
    <w:p>
      <w:pPr>
        <w:ind w:right="60" w:firstLine="913"/>
        <w:spacing w:after="0" w:line="257" w:lineRule="auto"/>
        <w:rPr>
          <w:sz w:val="20"/>
          <w:szCs w:val="20"/>
          <w:color w:val="auto"/>
        </w:rPr>
      </w:pPr>
      <w:r>
        <w:rPr>
          <w:rFonts w:ascii="Arial" w:cs="Arial" w:eastAsia="Arial" w:hAnsi="Arial"/>
          <w:sz w:val="18"/>
          <w:szCs w:val="18"/>
          <w:color w:val="auto"/>
        </w:rPr>
        <w:t>For the grants made in 2013, the target value to be delivered in stock options and strategic performance shares was 400% of base salary midpoint for Mr. Timken, 100% of base salary midpoint for Mr. Walker and 75% of base salary midpoint for Mr. Holding. The allocation percentage between stock options and strategic performance shares was 60/40 for Mr. Timken, 50/50 for Mr. Walker and 40/60 for Mr. Holding. Greater emphasis was placed on the stock option component for Mr. Timken, reflecting the Timken Compensation Committee’s belief that he was more directly accountable for long-term shareholder value creation.</w:t>
      </w:r>
    </w:p>
    <w:p>
      <w:pPr>
        <w:spacing w:after="0" w:line="229" w:lineRule="exact"/>
        <w:rPr>
          <w:sz w:val="20"/>
          <w:szCs w:val="20"/>
          <w:color w:val="auto"/>
        </w:rPr>
      </w:pPr>
    </w:p>
    <w:p>
      <w:pPr>
        <w:jc w:val="both"/>
        <w:ind w:right="20" w:firstLine="913"/>
        <w:spacing w:after="0" w:line="264" w:lineRule="auto"/>
        <w:rPr>
          <w:sz w:val="20"/>
          <w:szCs w:val="20"/>
          <w:color w:val="auto"/>
        </w:rPr>
      </w:pPr>
      <w:r>
        <w:rPr>
          <w:rFonts w:ascii="Arial" w:cs="Arial" w:eastAsia="Arial" w:hAnsi="Arial"/>
          <w:sz w:val="18"/>
          <w:szCs w:val="18"/>
          <w:color w:val="auto"/>
        </w:rPr>
        <w:t>The target value for each grant is converted to a number of shares or options based on a calculated average stock price over a defined period prior to the grant. The Timken Compensation Committee used the average price over the five trading days immediately preceding the grant date in determining the number of shares granted in 2013.</w:t>
      </w:r>
    </w:p>
    <w:p>
      <w:pPr>
        <w:spacing w:after="0" w:line="208" w:lineRule="exact"/>
        <w:rPr>
          <w:sz w:val="20"/>
          <w:szCs w:val="20"/>
          <w:color w:val="auto"/>
        </w:rPr>
      </w:pPr>
    </w:p>
    <w:p>
      <w:pPr>
        <w:ind w:right="40" w:firstLine="913"/>
        <w:spacing w:after="0" w:line="277" w:lineRule="auto"/>
        <w:rPr>
          <w:sz w:val="20"/>
          <w:szCs w:val="20"/>
          <w:color w:val="auto"/>
        </w:rPr>
      </w:pPr>
      <w:r>
        <w:rPr>
          <w:rFonts w:ascii="Arial" w:cs="Arial" w:eastAsia="Arial" w:hAnsi="Arial"/>
          <w:sz w:val="18"/>
          <w:szCs w:val="18"/>
          <w:color w:val="auto"/>
        </w:rPr>
        <w:t>The Timken Compensation Committee typically makes long-term incentive grants at the first regularly scheduled meeting of each year, when the Timken Compensation Committee determines all elements of the executive officers’ compensation for the year.</w:t>
      </w:r>
    </w:p>
    <w:p>
      <w:pPr>
        <w:spacing w:after="0" w:line="211" w:lineRule="exact"/>
        <w:rPr>
          <w:sz w:val="20"/>
          <w:szCs w:val="20"/>
          <w:color w:val="auto"/>
        </w:rPr>
      </w:pPr>
    </w:p>
    <w:p>
      <w:pPr>
        <w:ind w:left="920"/>
        <w:spacing w:after="0"/>
        <w:rPr>
          <w:sz w:val="20"/>
          <w:szCs w:val="20"/>
          <w:color w:val="auto"/>
        </w:rPr>
      </w:pPr>
      <w:r>
        <w:rPr>
          <w:rFonts w:ascii="Arial" w:cs="Arial" w:eastAsia="Arial" w:hAnsi="Arial"/>
          <w:sz w:val="18"/>
          <w:szCs w:val="18"/>
          <w:i w:val="1"/>
          <w:iCs w:val="1"/>
          <w:color w:val="auto"/>
        </w:rPr>
        <w:t>Stock Options</w:t>
      </w:r>
    </w:p>
    <w:p>
      <w:pPr>
        <w:spacing w:after="0" w:line="266" w:lineRule="exact"/>
        <w:rPr>
          <w:sz w:val="20"/>
          <w:szCs w:val="20"/>
          <w:color w:val="auto"/>
        </w:rPr>
      </w:pPr>
    </w:p>
    <w:p>
      <w:pPr>
        <w:ind w:left="920"/>
        <w:spacing w:after="0"/>
        <w:rPr>
          <w:sz w:val="20"/>
          <w:szCs w:val="20"/>
          <w:color w:val="auto"/>
        </w:rPr>
      </w:pPr>
      <w:r>
        <w:rPr>
          <w:rFonts w:ascii="Arial" w:cs="Arial" w:eastAsia="Arial" w:hAnsi="Arial"/>
          <w:sz w:val="18"/>
          <w:szCs w:val="18"/>
          <w:color w:val="auto"/>
        </w:rPr>
        <w:t>In 2013, Timken’s key employees (including our NEOs) received nonqualified stock options that:</w:t>
      </w:r>
    </w:p>
    <w:p>
      <w:pPr>
        <w:spacing w:after="0" w:line="306" w:lineRule="exact"/>
        <w:rPr>
          <w:sz w:val="20"/>
          <w:szCs w:val="20"/>
          <w:color w:val="auto"/>
        </w:rPr>
      </w:pPr>
    </w:p>
    <w:p>
      <w:pPr>
        <w:ind w:left="2160" w:hanging="558"/>
        <w:spacing w:after="0"/>
        <w:tabs>
          <w:tab w:leader="none" w:pos="2160" w:val="left"/>
        </w:tabs>
        <w:numPr>
          <w:ilvl w:val="0"/>
          <w:numId w:val="25"/>
        </w:numPr>
        <w:rPr>
          <w:rFonts w:ascii="Arial" w:cs="Arial" w:eastAsia="Arial" w:hAnsi="Arial"/>
          <w:sz w:val="18"/>
          <w:szCs w:val="18"/>
          <w:color w:val="auto"/>
        </w:rPr>
      </w:pPr>
      <w:r>
        <w:rPr>
          <w:rFonts w:ascii="Arial" w:cs="Arial" w:eastAsia="Arial" w:hAnsi="Arial"/>
          <w:sz w:val="18"/>
          <w:szCs w:val="18"/>
          <w:color w:val="auto"/>
        </w:rPr>
        <w:t>had an exercise price equal to the market price of Timken stock on the date of grant;</w:t>
      </w:r>
    </w:p>
    <w:p>
      <w:pPr>
        <w:spacing w:after="0" w:line="157" w:lineRule="exact"/>
        <w:rPr>
          <w:rFonts w:ascii="Arial" w:cs="Arial" w:eastAsia="Arial" w:hAnsi="Arial"/>
          <w:sz w:val="18"/>
          <w:szCs w:val="18"/>
          <w:color w:val="auto"/>
        </w:rPr>
      </w:pPr>
    </w:p>
    <w:p>
      <w:pPr>
        <w:ind w:left="2160" w:hanging="558"/>
        <w:spacing w:after="0"/>
        <w:tabs>
          <w:tab w:leader="none" w:pos="2160" w:val="left"/>
        </w:tabs>
        <w:numPr>
          <w:ilvl w:val="0"/>
          <w:numId w:val="25"/>
        </w:numPr>
        <w:rPr>
          <w:rFonts w:ascii="Arial" w:cs="Arial" w:eastAsia="Arial" w:hAnsi="Arial"/>
          <w:sz w:val="18"/>
          <w:szCs w:val="18"/>
          <w:color w:val="auto"/>
        </w:rPr>
      </w:pPr>
      <w:r>
        <w:rPr>
          <w:rFonts w:ascii="Arial" w:cs="Arial" w:eastAsia="Arial" w:hAnsi="Arial"/>
          <w:sz w:val="18"/>
          <w:szCs w:val="18"/>
          <w:color w:val="auto"/>
        </w:rPr>
        <w:t>generally vest over a four-year period in equal amounts each year; and</w:t>
      </w:r>
    </w:p>
    <w:p>
      <w:pPr>
        <w:spacing w:after="0" w:line="157" w:lineRule="exact"/>
        <w:rPr>
          <w:rFonts w:ascii="Arial" w:cs="Arial" w:eastAsia="Arial" w:hAnsi="Arial"/>
          <w:sz w:val="18"/>
          <w:szCs w:val="18"/>
          <w:color w:val="auto"/>
        </w:rPr>
      </w:pPr>
    </w:p>
    <w:p>
      <w:pPr>
        <w:ind w:left="2160" w:hanging="558"/>
        <w:spacing w:after="0"/>
        <w:tabs>
          <w:tab w:leader="none" w:pos="2160" w:val="left"/>
        </w:tabs>
        <w:numPr>
          <w:ilvl w:val="0"/>
          <w:numId w:val="25"/>
        </w:numPr>
        <w:rPr>
          <w:rFonts w:ascii="Arial" w:cs="Arial" w:eastAsia="Arial" w:hAnsi="Arial"/>
          <w:sz w:val="18"/>
          <w:szCs w:val="18"/>
          <w:color w:val="auto"/>
        </w:rPr>
      </w:pPr>
      <w:r>
        <w:rPr>
          <w:rFonts w:ascii="Arial" w:cs="Arial" w:eastAsia="Arial" w:hAnsi="Arial"/>
          <w:sz w:val="18"/>
          <w:szCs w:val="18"/>
          <w:color w:val="auto"/>
        </w:rPr>
        <w:t>generally will expire ten years after the date of grant.</w:t>
      </w:r>
    </w:p>
    <w:p>
      <w:pPr>
        <w:spacing w:after="0" w:line="252" w:lineRule="exact"/>
        <w:rPr>
          <w:sz w:val="20"/>
          <w:szCs w:val="20"/>
          <w:color w:val="auto"/>
        </w:rPr>
      </w:pPr>
    </w:p>
    <w:p>
      <w:pPr>
        <w:ind w:firstLine="913"/>
        <w:spacing w:after="0" w:line="302" w:lineRule="auto"/>
        <w:rPr>
          <w:sz w:val="20"/>
          <w:szCs w:val="20"/>
          <w:color w:val="auto"/>
        </w:rPr>
      </w:pPr>
      <w:r>
        <w:rPr>
          <w:rFonts w:ascii="Arial" w:cs="Arial" w:eastAsia="Arial" w:hAnsi="Arial"/>
          <w:sz w:val="16"/>
          <w:szCs w:val="16"/>
          <w:color w:val="auto"/>
        </w:rPr>
        <w:t>The Timken Compensation Committee believes that these awards help Timken retain executives and focus attention on longer-term performance. Stock options are an effective motivational tool because they only have value to the extent the stock price on the date of exercise exceeds the exercise price on the grant date. They are an effective element of compensation and retention, however, only if the stock price grows over the term of the award. For information about the specific number of stock options awarded in 2013 to each of our NEOs, see the “2013 Grants of Plan-Based Awards Table” below.</w:t>
      </w:r>
    </w:p>
    <w:p>
      <w:pPr>
        <w:spacing w:after="0" w:line="195" w:lineRule="exact"/>
        <w:rPr>
          <w:sz w:val="20"/>
          <w:szCs w:val="20"/>
          <w:color w:val="auto"/>
        </w:rPr>
      </w:pPr>
    </w:p>
    <w:p>
      <w:pPr>
        <w:ind w:left="920"/>
        <w:spacing w:after="0"/>
        <w:rPr>
          <w:sz w:val="20"/>
          <w:szCs w:val="20"/>
          <w:color w:val="auto"/>
        </w:rPr>
      </w:pPr>
      <w:r>
        <w:rPr>
          <w:rFonts w:ascii="Arial" w:cs="Arial" w:eastAsia="Arial" w:hAnsi="Arial"/>
          <w:sz w:val="16"/>
          <w:szCs w:val="16"/>
          <w:color w:val="auto"/>
        </w:rPr>
        <w:t>Under accounting rules, the fair value of the stock options on the grant date is expensed over the vesting period in the year the options become</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vested.</w:t>
      </w:r>
    </w:p>
    <w:p>
      <w:pPr>
        <w:spacing w:after="0" w:line="251" w:lineRule="exact"/>
        <w:rPr>
          <w:sz w:val="20"/>
          <w:szCs w:val="20"/>
          <w:color w:val="auto"/>
        </w:rPr>
      </w:pPr>
    </w:p>
    <w:p>
      <w:pPr>
        <w:ind w:left="920"/>
        <w:spacing w:after="0"/>
        <w:rPr>
          <w:sz w:val="20"/>
          <w:szCs w:val="20"/>
          <w:color w:val="auto"/>
        </w:rPr>
      </w:pPr>
      <w:r>
        <w:rPr>
          <w:rFonts w:ascii="Arial" w:cs="Arial" w:eastAsia="Arial" w:hAnsi="Arial"/>
          <w:sz w:val="18"/>
          <w:szCs w:val="18"/>
          <w:i w:val="1"/>
          <w:iCs w:val="1"/>
          <w:color w:val="auto"/>
        </w:rPr>
        <w:t>Strategic Performance Shares</w:t>
      </w:r>
    </w:p>
    <w:p>
      <w:pPr>
        <w:spacing w:after="0" w:line="252" w:lineRule="exact"/>
        <w:rPr>
          <w:sz w:val="20"/>
          <w:szCs w:val="20"/>
          <w:color w:val="auto"/>
        </w:rPr>
      </w:pPr>
    </w:p>
    <w:p>
      <w:pPr>
        <w:ind w:right="40" w:firstLine="913"/>
        <w:spacing w:after="0" w:line="276" w:lineRule="auto"/>
        <w:rPr>
          <w:sz w:val="20"/>
          <w:szCs w:val="20"/>
          <w:color w:val="auto"/>
        </w:rPr>
      </w:pPr>
      <w:r>
        <w:rPr>
          <w:rFonts w:ascii="Arial" w:cs="Arial" w:eastAsia="Arial" w:hAnsi="Arial"/>
          <w:sz w:val="17"/>
          <w:szCs w:val="17"/>
          <w:color w:val="auto"/>
        </w:rPr>
        <w:t>In an effort to further align the long-term interests of executive leadership with those of Timken shareholders, and to provide an incentive to achieve medium-term financial objectives, the Timken Compensation Committee in 2012 began granting strategic performance shares in lieu of performance units and performance shares used in prior years. Strategic performance shares are performance-based restricted stock units that vest based on achievement of specified performance objectives. Strategic performance shares serve to both reward and retain executives, as the receipt of a payout is linked to performance and the value of the payout is linked to the stock price when the shares vest.</w:t>
      </w:r>
    </w:p>
    <w:p>
      <w:pPr>
        <w:spacing w:after="0" w:line="213" w:lineRule="exact"/>
        <w:rPr>
          <w:sz w:val="20"/>
          <w:szCs w:val="20"/>
          <w:color w:val="auto"/>
        </w:rPr>
      </w:pPr>
    </w:p>
    <w:p>
      <w:pPr>
        <w:ind w:right="60" w:firstLine="913"/>
        <w:spacing w:after="0" w:line="273" w:lineRule="auto"/>
        <w:rPr>
          <w:sz w:val="20"/>
          <w:szCs w:val="20"/>
          <w:color w:val="auto"/>
        </w:rPr>
      </w:pPr>
      <w:r>
        <w:rPr>
          <w:rFonts w:ascii="Arial" w:cs="Arial" w:eastAsia="Arial" w:hAnsi="Arial"/>
          <w:sz w:val="17"/>
          <w:szCs w:val="17"/>
          <w:color w:val="auto"/>
        </w:rPr>
        <w:t>The performance objectives for strategic performance shares granted in 2013 were average corporate ROIC and cumulative EPS for the three-year performance period. The Timken Compensation Committee selected these metrics because it believes they are key components of shareholder value creation and highly correlated to achievement of Timken’s business strategy. Actual performance is calculated to exclude the effects of changes in tax laws or accounting principles, non-cash impairments, changes in other comprehensive income and any amounts received under the Continued Dumping and Subsidy Offset Act. At the time the specific performance targets for each metric were established, the Timken Compensation Committee believed that the targets for the strategic performance shares granted in 2013 were very challenging, but achievable.</w:t>
      </w:r>
    </w:p>
    <w:p>
      <w:pPr>
        <w:spacing w:after="0" w:line="11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69</w:t>
      </w:r>
    </w:p>
    <w:p>
      <w:pPr>
        <w:sectPr>
          <w:pgSz w:w="11900" w:h="16838" w:orient="portrait"/>
          <w:cols w:equalWidth="0" w:num="1">
            <w:col w:w="11420"/>
          </w:cols>
          <w:pgMar w:left="240" w:top="459" w:right="239" w:bottom="1440" w:gutter="0" w:footer="0" w:header="0"/>
        </w:sectPr>
      </w:pPr>
    </w:p>
    <w:bookmarkStart w:id="81" w:name="page82"/>
    <w:bookmarkEnd w:id="8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6">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920"/>
        <w:spacing w:after="0"/>
        <w:rPr>
          <w:sz w:val="20"/>
          <w:szCs w:val="20"/>
          <w:color w:val="auto"/>
        </w:rPr>
      </w:pPr>
      <w:r>
        <w:rPr>
          <w:rFonts w:ascii="Arial" w:cs="Arial" w:eastAsia="Arial" w:hAnsi="Arial"/>
          <w:sz w:val="18"/>
          <w:szCs w:val="18"/>
          <w:color w:val="auto"/>
        </w:rPr>
        <w:t>Timken’s performance targets for the strategic performance shares granted in 2013 are summarized in the following table:</w:t>
      </w:r>
    </w:p>
    <w:p>
      <w:pPr>
        <w:spacing w:after="0" w:line="266"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2013 to 2015 Strategic Performance Shares Targets</w:t>
      </w:r>
    </w:p>
    <w:p>
      <w:pPr>
        <w:spacing w:after="0" w:line="15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3940" w:type="dxa"/>
            <w:vAlign w:val="bottom"/>
            <w:tcBorders>
              <w:top w:val="single" w:sz="8" w:color="auto"/>
              <w:bottom w:val="single" w:sz="8" w:color="auto"/>
            </w:tcBorders>
            <w:shd w:val="clear" w:color="auto" w:fill="CCEEFF"/>
          </w:tcPr>
          <w:p>
            <w:pPr>
              <w:spacing w:after="0"/>
              <w:rPr>
                <w:sz w:val="19"/>
                <w:szCs w:val="19"/>
                <w:color w:val="auto"/>
              </w:rPr>
            </w:pPr>
          </w:p>
        </w:tc>
        <w:tc>
          <w:tcPr>
            <w:tcW w:w="4160" w:type="dxa"/>
            <w:vAlign w:val="bottom"/>
            <w:tcBorders>
              <w:top w:val="single" w:sz="8" w:color="auto"/>
              <w:bottom w:val="single" w:sz="8" w:color="auto"/>
            </w:tcBorders>
            <w:shd w:val="clear" w:color="auto" w:fill="CCEEFF"/>
          </w:tcPr>
          <w:p>
            <w:pPr>
              <w:jc w:val="right"/>
              <w:ind w:right="550"/>
              <w:spacing w:after="0"/>
              <w:rPr>
                <w:sz w:val="20"/>
                <w:szCs w:val="20"/>
                <w:color w:val="auto"/>
              </w:rPr>
            </w:pPr>
            <w:r>
              <w:rPr>
                <w:rFonts w:ascii="Arial" w:cs="Arial" w:eastAsia="Arial" w:hAnsi="Arial"/>
                <w:sz w:val="18"/>
                <w:szCs w:val="18"/>
                <w:b w:val="1"/>
                <w:bCs w:val="1"/>
                <w:color w:val="auto"/>
              </w:rPr>
              <w:t>Threshold</w:t>
            </w:r>
          </w:p>
        </w:tc>
        <w:tc>
          <w:tcPr>
            <w:tcW w:w="1780" w:type="dxa"/>
            <w:vAlign w:val="bottom"/>
            <w:tcBorders>
              <w:top w:val="single" w:sz="8" w:color="auto"/>
              <w:bottom w:val="single" w:sz="8" w:color="auto"/>
            </w:tcBorders>
            <w:shd w:val="clear" w:color="auto" w:fill="CCEEFF"/>
          </w:tcPr>
          <w:p>
            <w:pPr>
              <w:jc w:val="right"/>
              <w:ind w:right="550"/>
              <w:spacing w:after="0"/>
              <w:rPr>
                <w:sz w:val="20"/>
                <w:szCs w:val="20"/>
                <w:color w:val="auto"/>
              </w:rPr>
            </w:pPr>
            <w:r>
              <w:rPr>
                <w:rFonts w:ascii="Arial" w:cs="Arial" w:eastAsia="Arial" w:hAnsi="Arial"/>
                <w:sz w:val="18"/>
                <w:szCs w:val="18"/>
                <w:b w:val="1"/>
                <w:bCs w:val="1"/>
                <w:color w:val="auto"/>
              </w:rPr>
              <w:t>Target</w:t>
            </w:r>
          </w:p>
        </w:tc>
        <w:tc>
          <w:tcPr>
            <w:tcW w:w="1540" w:type="dxa"/>
            <w:vAlign w:val="bottom"/>
            <w:tcBorders>
              <w:top w:val="single" w:sz="8" w:color="auto"/>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Maximum</w:t>
            </w:r>
          </w:p>
        </w:tc>
      </w:tr>
      <w:tr>
        <w:trPr>
          <w:trHeight w:val="210"/>
        </w:trPr>
        <w:tc>
          <w:tcPr>
            <w:tcW w:w="39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ROIC</w:t>
            </w:r>
          </w:p>
        </w:tc>
        <w:tc>
          <w:tcPr>
            <w:tcW w:w="4160" w:type="dxa"/>
            <w:vAlign w:val="bottom"/>
            <w:tcBorders>
              <w:bottom w:val="single" w:sz="8" w:color="auto"/>
            </w:tcBorders>
          </w:tcPr>
          <w:p>
            <w:pPr>
              <w:jc w:val="right"/>
              <w:ind w:right="550"/>
              <w:spacing w:after="0"/>
              <w:rPr>
                <w:sz w:val="20"/>
                <w:szCs w:val="20"/>
                <w:color w:val="auto"/>
              </w:rPr>
            </w:pPr>
            <w:r>
              <w:rPr>
                <w:rFonts w:ascii="Arial" w:cs="Arial" w:eastAsia="Arial" w:hAnsi="Arial"/>
                <w:sz w:val="18"/>
                <w:szCs w:val="18"/>
                <w:color w:val="auto"/>
              </w:rPr>
              <w:t>10.0%</w:t>
            </w:r>
          </w:p>
        </w:tc>
        <w:tc>
          <w:tcPr>
            <w:tcW w:w="1780" w:type="dxa"/>
            <w:vAlign w:val="bottom"/>
            <w:tcBorders>
              <w:bottom w:val="single" w:sz="8" w:color="auto"/>
            </w:tcBorders>
          </w:tcPr>
          <w:p>
            <w:pPr>
              <w:jc w:val="right"/>
              <w:ind w:right="550"/>
              <w:spacing w:after="0"/>
              <w:rPr>
                <w:sz w:val="20"/>
                <w:szCs w:val="20"/>
                <w:color w:val="auto"/>
              </w:rPr>
            </w:pPr>
            <w:r>
              <w:rPr>
                <w:rFonts w:ascii="Arial" w:cs="Arial" w:eastAsia="Arial" w:hAnsi="Arial"/>
                <w:sz w:val="18"/>
                <w:szCs w:val="18"/>
                <w:color w:val="auto"/>
              </w:rPr>
              <w:t>15.0%</w:t>
            </w:r>
          </w:p>
        </w:tc>
        <w:tc>
          <w:tcPr>
            <w:tcW w:w="154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16.0%</w:t>
            </w:r>
          </w:p>
        </w:tc>
      </w:tr>
      <w:tr>
        <w:trPr>
          <w:trHeight w:val="210"/>
        </w:trPr>
        <w:tc>
          <w:tcPr>
            <w:tcW w:w="39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Cumulative EPS</w:t>
            </w:r>
          </w:p>
        </w:tc>
        <w:tc>
          <w:tcPr>
            <w:tcW w:w="4160" w:type="dxa"/>
            <w:vAlign w:val="bottom"/>
            <w:tcBorders>
              <w:bottom w:val="single" w:sz="8" w:color="auto"/>
            </w:tcBorders>
          </w:tcPr>
          <w:p>
            <w:pPr>
              <w:jc w:val="right"/>
              <w:ind w:right="550"/>
              <w:spacing w:after="0"/>
              <w:rPr>
                <w:sz w:val="20"/>
                <w:szCs w:val="20"/>
                <w:color w:val="auto"/>
              </w:rPr>
            </w:pPr>
            <w:r>
              <w:rPr>
                <w:rFonts w:ascii="Arial" w:cs="Arial" w:eastAsia="Arial" w:hAnsi="Arial"/>
                <w:sz w:val="18"/>
                <w:szCs w:val="18"/>
                <w:color w:val="auto"/>
              </w:rPr>
              <w:t>$9.00</w:t>
            </w:r>
          </w:p>
        </w:tc>
        <w:tc>
          <w:tcPr>
            <w:tcW w:w="1780" w:type="dxa"/>
            <w:vAlign w:val="bottom"/>
            <w:tcBorders>
              <w:bottom w:val="single" w:sz="8" w:color="auto"/>
            </w:tcBorders>
          </w:tcPr>
          <w:p>
            <w:pPr>
              <w:jc w:val="right"/>
              <w:ind w:right="550"/>
              <w:spacing w:after="0"/>
              <w:rPr>
                <w:sz w:val="20"/>
                <w:szCs w:val="20"/>
                <w:color w:val="auto"/>
              </w:rPr>
            </w:pPr>
            <w:r>
              <w:rPr>
                <w:rFonts w:ascii="Arial" w:cs="Arial" w:eastAsia="Arial" w:hAnsi="Arial"/>
                <w:sz w:val="18"/>
                <w:szCs w:val="18"/>
                <w:color w:val="auto"/>
              </w:rPr>
              <w:t>$14.75</w:t>
            </w:r>
          </w:p>
        </w:tc>
        <w:tc>
          <w:tcPr>
            <w:tcW w:w="154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$16.50</w:t>
            </w:r>
          </w:p>
        </w:tc>
      </w:tr>
      <w:tr>
        <w:trPr>
          <w:trHeight w:val="210"/>
        </w:trPr>
        <w:tc>
          <w:tcPr>
            <w:tcW w:w="394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b w:val="1"/>
                <w:bCs w:val="1"/>
                <w:color w:val="auto"/>
              </w:rPr>
              <w:t>Plan Funding</w:t>
            </w:r>
          </w:p>
        </w:tc>
        <w:tc>
          <w:tcPr>
            <w:tcW w:w="4160" w:type="dxa"/>
            <w:vAlign w:val="bottom"/>
            <w:tcBorders>
              <w:bottom w:val="single" w:sz="8" w:color="auto"/>
            </w:tcBorders>
            <w:shd w:val="clear" w:color="auto" w:fill="CCEEFF"/>
          </w:tcPr>
          <w:p>
            <w:pPr>
              <w:jc w:val="right"/>
              <w:ind w:right="550"/>
              <w:spacing w:after="0"/>
              <w:rPr>
                <w:sz w:val="20"/>
                <w:szCs w:val="20"/>
                <w:color w:val="auto"/>
              </w:rPr>
            </w:pPr>
            <w:r>
              <w:rPr>
                <w:rFonts w:ascii="Arial" w:cs="Arial" w:eastAsia="Arial" w:hAnsi="Arial"/>
                <w:sz w:val="18"/>
                <w:szCs w:val="18"/>
                <w:b w:val="1"/>
                <w:bCs w:val="1"/>
                <w:color w:val="auto"/>
              </w:rPr>
              <w:t>50%</w:t>
            </w:r>
          </w:p>
        </w:tc>
        <w:tc>
          <w:tcPr>
            <w:tcW w:w="1780" w:type="dxa"/>
            <w:vAlign w:val="bottom"/>
            <w:tcBorders>
              <w:bottom w:val="single" w:sz="8" w:color="auto"/>
            </w:tcBorders>
            <w:shd w:val="clear" w:color="auto" w:fill="CCEEFF"/>
          </w:tcPr>
          <w:p>
            <w:pPr>
              <w:jc w:val="right"/>
              <w:ind w:right="550"/>
              <w:spacing w:after="0"/>
              <w:rPr>
                <w:sz w:val="20"/>
                <w:szCs w:val="20"/>
                <w:color w:val="auto"/>
              </w:rPr>
            </w:pPr>
            <w:r>
              <w:rPr>
                <w:rFonts w:ascii="Arial" w:cs="Arial" w:eastAsia="Arial" w:hAnsi="Arial"/>
                <w:sz w:val="18"/>
                <w:szCs w:val="18"/>
                <w:b w:val="1"/>
                <w:bCs w:val="1"/>
                <w:color w:val="auto"/>
              </w:rPr>
              <w:t>100%</w:t>
            </w:r>
          </w:p>
        </w:tc>
        <w:tc>
          <w:tcPr>
            <w:tcW w:w="154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150%</w:t>
            </w:r>
          </w:p>
        </w:tc>
      </w:tr>
    </w:tbl>
    <w:p>
      <w:pPr>
        <w:spacing w:after="0" w:line="269" w:lineRule="exact"/>
        <w:rPr>
          <w:sz w:val="20"/>
          <w:szCs w:val="20"/>
          <w:color w:val="auto"/>
        </w:rPr>
      </w:pPr>
    </w:p>
    <w:p>
      <w:pPr>
        <w:ind w:right="20" w:firstLine="913"/>
        <w:spacing w:after="0" w:line="254" w:lineRule="auto"/>
        <w:rPr>
          <w:sz w:val="20"/>
          <w:szCs w:val="20"/>
          <w:color w:val="auto"/>
        </w:rPr>
      </w:pPr>
      <w:r>
        <w:rPr>
          <w:rFonts w:ascii="Arial" w:cs="Arial" w:eastAsia="Arial" w:hAnsi="Arial"/>
          <w:sz w:val="18"/>
          <w:szCs w:val="18"/>
          <w:color w:val="auto"/>
        </w:rPr>
        <w:t>The award was designed so that, for any award to be earned, actual performance must achieve at least the threshold performance levels for both ROIC and EPS. If the threshold performance level for either measure is not attained, then no payment will occur. If an award is payable, the number of shares earned could range from 50% to 150% of target based upon the actual performance over the three-year performance period. The value of the shares would be equal to the stock price when the shares vest. Executives who have met their share ownership requirement at the time of grant receive the value of any final award in cash. Executives who have not met their share ownership requirement at the time of grant receive half of the value of any final award in cash and the other half in equity. At the time the strategic performance shares were granted in 2013, all of the NEOs that received a grant had met their share ownership requirement. For information about the strategic performance shares awarded in 2013 to each of our NEOs, see the “2013 Grants of Plan-Based Awards Table” below.</w:t>
      </w:r>
    </w:p>
    <w:p>
      <w:pPr>
        <w:spacing w:after="0" w:line="233" w:lineRule="exact"/>
        <w:rPr>
          <w:sz w:val="20"/>
          <w:szCs w:val="20"/>
          <w:color w:val="auto"/>
        </w:rPr>
      </w:pPr>
    </w:p>
    <w:p>
      <w:pPr>
        <w:ind w:firstLine="913"/>
        <w:spacing w:after="0" w:line="286" w:lineRule="auto"/>
        <w:rPr>
          <w:sz w:val="20"/>
          <w:szCs w:val="20"/>
          <w:color w:val="auto"/>
        </w:rPr>
      </w:pPr>
      <w:r>
        <w:rPr>
          <w:rFonts w:ascii="Arial" w:cs="Arial" w:eastAsia="Arial" w:hAnsi="Arial"/>
          <w:sz w:val="17"/>
          <w:szCs w:val="17"/>
          <w:color w:val="auto"/>
        </w:rPr>
        <w:t>Under the accounting rules, strategic performance shares that are paid in cash result in variable accounting, whereby Timken’s expense equals the actual value paid to the executives. As such, the ultimate expense is not determinable until the end of the three-year performance period. For strategic performance shares that are paid in equity, the grant date fair value is expensed over the service/vesting period.</w:t>
      </w:r>
    </w:p>
    <w:p>
      <w:pPr>
        <w:spacing w:after="0" w:line="206" w:lineRule="exact"/>
        <w:rPr>
          <w:sz w:val="20"/>
          <w:szCs w:val="20"/>
          <w:color w:val="auto"/>
        </w:rPr>
      </w:pPr>
    </w:p>
    <w:p>
      <w:pPr>
        <w:ind w:left="920"/>
        <w:spacing w:after="0"/>
        <w:rPr>
          <w:sz w:val="20"/>
          <w:szCs w:val="20"/>
          <w:color w:val="auto"/>
        </w:rPr>
      </w:pPr>
      <w:r>
        <w:rPr>
          <w:rFonts w:ascii="Arial" w:cs="Arial" w:eastAsia="Arial" w:hAnsi="Arial"/>
          <w:sz w:val="18"/>
          <w:szCs w:val="18"/>
          <w:i w:val="1"/>
          <w:iCs w:val="1"/>
          <w:color w:val="auto"/>
        </w:rPr>
        <w:t>Deferred Shares</w:t>
      </w:r>
    </w:p>
    <w:p>
      <w:pPr>
        <w:spacing w:after="0" w:line="252" w:lineRule="exact"/>
        <w:rPr>
          <w:sz w:val="20"/>
          <w:szCs w:val="20"/>
          <w:color w:val="auto"/>
        </w:rPr>
      </w:pPr>
    </w:p>
    <w:p>
      <w:pPr>
        <w:ind w:right="560" w:firstLine="913"/>
        <w:spacing w:after="0" w:line="264" w:lineRule="auto"/>
        <w:rPr>
          <w:sz w:val="20"/>
          <w:szCs w:val="20"/>
          <w:color w:val="auto"/>
        </w:rPr>
      </w:pPr>
      <w:r>
        <w:rPr>
          <w:rFonts w:ascii="Arial" w:cs="Arial" w:eastAsia="Arial" w:hAnsi="Arial"/>
          <w:sz w:val="18"/>
          <w:szCs w:val="18"/>
          <w:color w:val="auto"/>
        </w:rPr>
        <w:t>Mr. Walker received a one-time grant of 8,000 deferred shares in 2013, which will vest on December 31, 2015, contingent on continued employment with us. The Timken Compensation Committee determined that the size and type of this grant was appropriate to encourage Mr. Walker’s retention. Mr. Walker signed a non-compete agreement in connection with this grant.</w:t>
      </w:r>
    </w:p>
    <w:p>
      <w:pPr>
        <w:spacing w:after="0" w:line="222" w:lineRule="exact"/>
        <w:rPr>
          <w:sz w:val="20"/>
          <w:szCs w:val="20"/>
          <w:color w:val="auto"/>
        </w:rPr>
      </w:pPr>
    </w:p>
    <w:p>
      <w:pPr>
        <w:ind w:left="920"/>
        <w:spacing w:after="0"/>
        <w:rPr>
          <w:sz w:val="20"/>
          <w:szCs w:val="20"/>
          <w:color w:val="auto"/>
        </w:rPr>
      </w:pPr>
      <w:r>
        <w:rPr>
          <w:rFonts w:ascii="Arial" w:cs="Arial" w:eastAsia="Arial" w:hAnsi="Arial"/>
          <w:sz w:val="18"/>
          <w:szCs w:val="18"/>
          <w:color w:val="auto"/>
        </w:rPr>
        <w:t>Under the accounting rules, the grant date fair value is expensed over the service/vesting period.</w:t>
      </w:r>
    </w:p>
    <w:p>
      <w:pPr>
        <w:spacing w:after="0" w:line="266" w:lineRule="exact"/>
        <w:rPr>
          <w:sz w:val="20"/>
          <w:szCs w:val="20"/>
          <w:color w:val="auto"/>
        </w:rPr>
      </w:pPr>
    </w:p>
    <w:p>
      <w:pPr>
        <w:ind w:left="920"/>
        <w:spacing w:after="0"/>
        <w:rPr>
          <w:sz w:val="20"/>
          <w:szCs w:val="20"/>
          <w:color w:val="auto"/>
        </w:rPr>
      </w:pPr>
      <w:r>
        <w:rPr>
          <w:rFonts w:ascii="Arial" w:cs="Arial" w:eastAsia="Arial" w:hAnsi="Arial"/>
          <w:sz w:val="18"/>
          <w:szCs w:val="18"/>
          <w:i w:val="1"/>
          <w:iCs w:val="1"/>
          <w:color w:val="auto"/>
        </w:rPr>
        <w:t>Performance Units</w:t>
      </w:r>
    </w:p>
    <w:p>
      <w:pPr>
        <w:spacing w:after="0" w:line="252" w:lineRule="exact"/>
        <w:rPr>
          <w:sz w:val="20"/>
          <w:szCs w:val="20"/>
          <w:color w:val="auto"/>
        </w:rPr>
      </w:pPr>
    </w:p>
    <w:p>
      <w:pPr>
        <w:ind w:right="500" w:firstLine="913"/>
        <w:spacing w:after="0" w:line="312" w:lineRule="auto"/>
        <w:rPr>
          <w:sz w:val="20"/>
          <w:szCs w:val="20"/>
          <w:color w:val="auto"/>
        </w:rPr>
      </w:pPr>
      <w:r>
        <w:rPr>
          <w:rFonts w:ascii="Arial" w:cs="Arial" w:eastAsia="Arial" w:hAnsi="Arial"/>
          <w:sz w:val="16"/>
          <w:szCs w:val="16"/>
          <w:color w:val="auto"/>
        </w:rPr>
        <w:t>In 2011, our NEOs received awards of performance units from Timken. The awards were designed to focus the NEO’s efforts on Timken’s medium-term performance goals. The three-year performance cycle started on January 1 and concluded on December 31, 2013. Cash payouts for the performance units are expected to be made by March 2014, following approval by the Timken Compensation Committee at its first meeting in 2014.</w:t>
      </w:r>
    </w:p>
    <w:p>
      <w:pPr>
        <w:spacing w:after="0" w:line="187" w:lineRule="exact"/>
        <w:rPr>
          <w:sz w:val="20"/>
          <w:szCs w:val="20"/>
          <w:color w:val="auto"/>
        </w:rPr>
      </w:pPr>
    </w:p>
    <w:p>
      <w:pPr>
        <w:ind w:right="180" w:firstLine="913"/>
        <w:spacing w:after="0" w:line="276" w:lineRule="auto"/>
        <w:rPr>
          <w:sz w:val="20"/>
          <w:szCs w:val="20"/>
          <w:color w:val="auto"/>
        </w:rPr>
      </w:pPr>
      <w:r>
        <w:rPr>
          <w:rFonts w:ascii="Arial" w:cs="Arial" w:eastAsia="Arial" w:hAnsi="Arial"/>
          <w:sz w:val="17"/>
          <w:szCs w:val="17"/>
          <w:color w:val="auto"/>
        </w:rPr>
        <w:t>For the 2011 to 2013 performance cycle, the Timken Compensation Committee established two performance measures: (1) ROIC and (2) EPS. The Timken Compensation Committee selected these metrics because it believed they were key components of shareholder value creation and highly correlated to achievement of Timken’s business strategy. Each metric was weighted equally because it was viewed as equally important for the performance cycle. Actual performance is calculated to exclude the effects of changes in tax laws or accounting principles, non-cash impairments, changes in other comprehensive income and any amounts received under the Continued Dumping and Subsidy Offset Act.</w:t>
      </w:r>
    </w:p>
    <w:p>
      <w:pPr>
        <w:spacing w:after="0" w:line="213" w:lineRule="exact"/>
        <w:rPr>
          <w:sz w:val="20"/>
          <w:szCs w:val="20"/>
          <w:color w:val="auto"/>
        </w:rPr>
      </w:pPr>
    </w:p>
    <w:p>
      <w:pPr>
        <w:ind w:right="80" w:firstLine="913"/>
        <w:spacing w:after="0" w:line="259" w:lineRule="auto"/>
        <w:rPr>
          <w:sz w:val="20"/>
          <w:szCs w:val="20"/>
          <w:color w:val="auto"/>
        </w:rPr>
      </w:pPr>
      <w:r>
        <w:rPr>
          <w:rFonts w:ascii="Arial" w:cs="Arial" w:eastAsia="Arial" w:hAnsi="Arial"/>
          <w:sz w:val="18"/>
          <w:szCs w:val="18"/>
          <w:color w:val="auto"/>
        </w:rPr>
        <w:t>The specific performance targets for each measure were tied to Timken’s three-year strategic plan. Given the uncertain environment at the time the targets were established, the Timken Compensation Committee believed that the targets for the 2011 to 2013 cycle were very challenging, but achievable. The target payout opportunity as a percentage of salary (as of January 1, 2011) for the 2011 to 2013 performance cycle was 100% for Mr. Timken, 50% for Mr. Walker and 20% for Mr. Holding.</w:t>
      </w:r>
    </w:p>
    <w:p>
      <w:pPr>
        <w:spacing w:after="0" w:line="11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70</w:t>
      </w:r>
    </w:p>
    <w:p>
      <w:pPr>
        <w:sectPr>
          <w:pgSz w:w="11900" w:h="16838" w:orient="portrait"/>
          <w:cols w:equalWidth="0" w:num="1">
            <w:col w:w="11420"/>
          </w:cols>
          <w:pgMar w:left="240" w:top="459" w:right="239" w:bottom="1440" w:gutter="0" w:footer="0" w:header="0"/>
        </w:sectPr>
      </w:pPr>
    </w:p>
    <w:bookmarkStart w:id="82" w:name="page83"/>
    <w:bookmarkEnd w:id="8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7">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920"/>
        <w:spacing w:after="0"/>
        <w:rPr>
          <w:sz w:val="20"/>
          <w:szCs w:val="20"/>
          <w:color w:val="auto"/>
        </w:rPr>
      </w:pPr>
      <w:r>
        <w:rPr>
          <w:rFonts w:ascii="Arial" w:cs="Arial" w:eastAsia="Arial" w:hAnsi="Arial"/>
          <w:sz w:val="18"/>
          <w:szCs w:val="18"/>
          <w:color w:val="auto"/>
        </w:rPr>
        <w:t>Timken’s performance goals and actual calculated results for the 2011 to 2013 cycle are summarized in the following table:</w:t>
      </w:r>
    </w:p>
    <w:p>
      <w:pPr>
        <w:spacing w:after="0" w:line="266"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2011 to 2013 Performance Units</w:t>
      </w:r>
    </w:p>
    <w:p>
      <w:pPr>
        <w:spacing w:after="0" w:line="15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3320" w:type="dxa"/>
            <w:vAlign w:val="bottom"/>
            <w:tcBorders>
              <w:top w:val="single" w:sz="8" w:color="auto"/>
              <w:bottom w:val="single" w:sz="8" w:color="auto"/>
            </w:tcBorders>
            <w:shd w:val="clear" w:color="auto" w:fill="CCEEFF"/>
          </w:tcPr>
          <w:p>
            <w:pPr>
              <w:spacing w:after="0"/>
              <w:rPr>
                <w:sz w:val="19"/>
                <w:szCs w:val="19"/>
                <w:color w:val="auto"/>
              </w:rPr>
            </w:pPr>
          </w:p>
        </w:tc>
        <w:tc>
          <w:tcPr>
            <w:tcW w:w="3580" w:type="dxa"/>
            <w:vAlign w:val="bottom"/>
            <w:tcBorders>
              <w:top w:val="single" w:sz="8" w:color="auto"/>
              <w:bottom w:val="single" w:sz="8" w:color="auto"/>
            </w:tcBorders>
            <w:shd w:val="clear" w:color="auto" w:fill="CCEEFF"/>
          </w:tcPr>
          <w:p>
            <w:pPr>
              <w:jc w:val="right"/>
              <w:ind w:right="430"/>
              <w:spacing w:after="0"/>
              <w:rPr>
                <w:sz w:val="20"/>
                <w:szCs w:val="20"/>
                <w:color w:val="auto"/>
              </w:rPr>
            </w:pPr>
            <w:r>
              <w:rPr>
                <w:rFonts w:ascii="Arial" w:cs="Arial" w:eastAsia="Arial" w:hAnsi="Arial"/>
                <w:sz w:val="18"/>
                <w:szCs w:val="18"/>
                <w:b w:val="1"/>
                <w:bCs w:val="1"/>
                <w:color w:val="auto"/>
              </w:rPr>
              <w:t>Threshold</w:t>
            </w:r>
          </w:p>
        </w:tc>
        <w:tc>
          <w:tcPr>
            <w:tcW w:w="1540" w:type="dxa"/>
            <w:vAlign w:val="bottom"/>
            <w:tcBorders>
              <w:top w:val="single" w:sz="8" w:color="auto"/>
              <w:bottom w:val="single" w:sz="8" w:color="auto"/>
            </w:tcBorders>
            <w:shd w:val="clear" w:color="auto" w:fill="CCEEFF"/>
          </w:tcPr>
          <w:p>
            <w:pPr>
              <w:jc w:val="right"/>
              <w:ind w:right="430"/>
              <w:spacing w:after="0"/>
              <w:rPr>
                <w:sz w:val="20"/>
                <w:szCs w:val="20"/>
                <w:color w:val="auto"/>
              </w:rPr>
            </w:pPr>
            <w:r>
              <w:rPr>
                <w:rFonts w:ascii="Arial" w:cs="Arial" w:eastAsia="Arial" w:hAnsi="Arial"/>
                <w:sz w:val="18"/>
                <w:szCs w:val="18"/>
                <w:b w:val="1"/>
                <w:bCs w:val="1"/>
                <w:color w:val="auto"/>
              </w:rPr>
              <w:t>Target</w:t>
            </w:r>
          </w:p>
        </w:tc>
        <w:tc>
          <w:tcPr>
            <w:tcW w:w="1860" w:type="dxa"/>
            <w:vAlign w:val="bottom"/>
            <w:tcBorders>
              <w:top w:val="single" w:sz="8" w:color="auto"/>
              <w:bottom w:val="single" w:sz="8" w:color="auto"/>
            </w:tcBorders>
            <w:shd w:val="clear" w:color="auto" w:fill="CCEEFF"/>
          </w:tcPr>
          <w:p>
            <w:pPr>
              <w:jc w:val="right"/>
              <w:ind w:right="430"/>
              <w:spacing w:after="0"/>
              <w:rPr>
                <w:sz w:val="20"/>
                <w:szCs w:val="20"/>
                <w:color w:val="auto"/>
              </w:rPr>
            </w:pPr>
            <w:r>
              <w:rPr>
                <w:rFonts w:ascii="Arial" w:cs="Arial" w:eastAsia="Arial" w:hAnsi="Arial"/>
                <w:sz w:val="18"/>
                <w:szCs w:val="18"/>
                <w:b w:val="1"/>
                <w:bCs w:val="1"/>
                <w:color w:val="auto"/>
              </w:rPr>
              <w:t>Maximum</w:t>
            </w:r>
          </w:p>
        </w:tc>
        <w:tc>
          <w:tcPr>
            <w:tcW w:w="1120" w:type="dxa"/>
            <w:vAlign w:val="bottom"/>
            <w:tcBorders>
              <w:top w:val="single" w:sz="8" w:color="auto"/>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Actual</w:t>
            </w:r>
          </w:p>
        </w:tc>
      </w:tr>
      <w:tr>
        <w:trPr>
          <w:trHeight w:val="210"/>
        </w:trPr>
        <w:tc>
          <w:tcPr>
            <w:tcW w:w="332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ROIC</w:t>
            </w:r>
          </w:p>
        </w:tc>
        <w:tc>
          <w:tcPr>
            <w:tcW w:w="3580" w:type="dxa"/>
            <w:vAlign w:val="bottom"/>
            <w:tcBorders>
              <w:bottom w:val="single" w:sz="8" w:color="auto"/>
            </w:tcBorders>
          </w:tcPr>
          <w:p>
            <w:pPr>
              <w:jc w:val="right"/>
              <w:ind w:right="430"/>
              <w:spacing w:after="0"/>
              <w:rPr>
                <w:sz w:val="20"/>
                <w:szCs w:val="20"/>
                <w:color w:val="auto"/>
              </w:rPr>
            </w:pPr>
            <w:r>
              <w:rPr>
                <w:rFonts w:ascii="Arial" w:cs="Arial" w:eastAsia="Arial" w:hAnsi="Arial"/>
                <w:sz w:val="18"/>
                <w:szCs w:val="18"/>
                <w:color w:val="auto"/>
              </w:rPr>
              <w:t>6.5%</w:t>
            </w:r>
          </w:p>
        </w:tc>
        <w:tc>
          <w:tcPr>
            <w:tcW w:w="1540" w:type="dxa"/>
            <w:vAlign w:val="bottom"/>
            <w:tcBorders>
              <w:bottom w:val="single" w:sz="8" w:color="auto"/>
            </w:tcBorders>
          </w:tcPr>
          <w:p>
            <w:pPr>
              <w:jc w:val="right"/>
              <w:ind w:right="430"/>
              <w:spacing w:after="0"/>
              <w:rPr>
                <w:sz w:val="20"/>
                <w:szCs w:val="20"/>
                <w:color w:val="auto"/>
              </w:rPr>
            </w:pPr>
            <w:r>
              <w:rPr>
                <w:rFonts w:ascii="Arial" w:cs="Arial" w:eastAsia="Arial" w:hAnsi="Arial"/>
                <w:sz w:val="18"/>
                <w:szCs w:val="18"/>
                <w:color w:val="auto"/>
              </w:rPr>
              <w:t>12.5%</w:t>
            </w:r>
          </w:p>
        </w:tc>
        <w:tc>
          <w:tcPr>
            <w:tcW w:w="1860" w:type="dxa"/>
            <w:vAlign w:val="bottom"/>
            <w:tcBorders>
              <w:bottom w:val="single" w:sz="8" w:color="auto"/>
            </w:tcBorders>
          </w:tcPr>
          <w:p>
            <w:pPr>
              <w:jc w:val="right"/>
              <w:ind w:right="430"/>
              <w:spacing w:after="0"/>
              <w:rPr>
                <w:sz w:val="20"/>
                <w:szCs w:val="20"/>
                <w:color w:val="auto"/>
              </w:rPr>
            </w:pPr>
            <w:r>
              <w:rPr>
                <w:rFonts w:ascii="Arial" w:cs="Arial" w:eastAsia="Arial" w:hAnsi="Arial"/>
                <w:sz w:val="18"/>
                <w:szCs w:val="18"/>
                <w:color w:val="auto"/>
              </w:rPr>
              <w:t>18.5%</w:t>
            </w:r>
          </w:p>
        </w:tc>
        <w:tc>
          <w:tcPr>
            <w:tcW w:w="112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14.9%</w:t>
            </w:r>
          </w:p>
        </w:tc>
      </w:tr>
      <w:tr>
        <w:trPr>
          <w:trHeight w:val="210"/>
        </w:trPr>
        <w:tc>
          <w:tcPr>
            <w:tcW w:w="332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EPS</w:t>
            </w:r>
          </w:p>
        </w:tc>
        <w:tc>
          <w:tcPr>
            <w:tcW w:w="3580" w:type="dxa"/>
            <w:vAlign w:val="bottom"/>
            <w:tcBorders>
              <w:bottom w:val="single" w:sz="8" w:color="auto"/>
            </w:tcBorders>
          </w:tcPr>
          <w:p>
            <w:pPr>
              <w:jc w:val="right"/>
              <w:ind w:right="430"/>
              <w:spacing w:after="0"/>
              <w:rPr>
                <w:sz w:val="20"/>
                <w:szCs w:val="20"/>
                <w:color w:val="auto"/>
              </w:rPr>
            </w:pPr>
            <w:r>
              <w:rPr>
                <w:rFonts w:ascii="Arial" w:cs="Arial" w:eastAsia="Arial" w:hAnsi="Arial"/>
                <w:sz w:val="18"/>
                <w:szCs w:val="18"/>
                <w:color w:val="auto"/>
              </w:rPr>
              <w:t>$5.50</w:t>
            </w:r>
          </w:p>
        </w:tc>
        <w:tc>
          <w:tcPr>
            <w:tcW w:w="1540" w:type="dxa"/>
            <w:vAlign w:val="bottom"/>
            <w:tcBorders>
              <w:bottom w:val="single" w:sz="8" w:color="auto"/>
            </w:tcBorders>
          </w:tcPr>
          <w:p>
            <w:pPr>
              <w:jc w:val="right"/>
              <w:ind w:right="430"/>
              <w:spacing w:after="0"/>
              <w:rPr>
                <w:sz w:val="20"/>
                <w:szCs w:val="20"/>
                <w:color w:val="auto"/>
              </w:rPr>
            </w:pPr>
            <w:r>
              <w:rPr>
                <w:rFonts w:ascii="Arial" w:cs="Arial" w:eastAsia="Arial" w:hAnsi="Arial"/>
                <w:sz w:val="18"/>
                <w:szCs w:val="18"/>
                <w:color w:val="auto"/>
              </w:rPr>
              <w:t>$10.50</w:t>
            </w:r>
          </w:p>
        </w:tc>
        <w:tc>
          <w:tcPr>
            <w:tcW w:w="1860" w:type="dxa"/>
            <w:vAlign w:val="bottom"/>
            <w:tcBorders>
              <w:bottom w:val="single" w:sz="8" w:color="auto"/>
            </w:tcBorders>
          </w:tcPr>
          <w:p>
            <w:pPr>
              <w:jc w:val="right"/>
              <w:ind w:right="430"/>
              <w:spacing w:after="0"/>
              <w:rPr>
                <w:sz w:val="20"/>
                <w:szCs w:val="20"/>
                <w:color w:val="auto"/>
              </w:rPr>
            </w:pPr>
            <w:r>
              <w:rPr>
                <w:rFonts w:ascii="Arial" w:cs="Arial" w:eastAsia="Arial" w:hAnsi="Arial"/>
                <w:sz w:val="18"/>
                <w:szCs w:val="18"/>
                <w:color w:val="auto"/>
              </w:rPr>
              <w:t>$15.50</w:t>
            </w:r>
          </w:p>
        </w:tc>
        <w:tc>
          <w:tcPr>
            <w:tcW w:w="112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$12.25</w:t>
            </w:r>
          </w:p>
        </w:tc>
      </w:tr>
      <w:tr>
        <w:trPr>
          <w:trHeight w:val="210"/>
        </w:trPr>
        <w:tc>
          <w:tcPr>
            <w:tcW w:w="332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b w:val="1"/>
                <w:bCs w:val="1"/>
                <w:color w:val="auto"/>
              </w:rPr>
              <w:t>Plan Funding</w:t>
            </w:r>
          </w:p>
        </w:tc>
        <w:tc>
          <w:tcPr>
            <w:tcW w:w="3580" w:type="dxa"/>
            <w:vAlign w:val="bottom"/>
            <w:tcBorders>
              <w:bottom w:val="single" w:sz="8" w:color="auto"/>
            </w:tcBorders>
            <w:shd w:val="clear" w:color="auto" w:fill="CCEEFF"/>
          </w:tcPr>
          <w:p>
            <w:pPr>
              <w:jc w:val="right"/>
              <w:ind w:right="430"/>
              <w:spacing w:after="0"/>
              <w:rPr>
                <w:sz w:val="20"/>
                <w:szCs w:val="20"/>
                <w:color w:val="auto"/>
              </w:rPr>
            </w:pPr>
            <w:r>
              <w:rPr>
                <w:rFonts w:ascii="Arial" w:cs="Arial" w:eastAsia="Arial" w:hAnsi="Arial"/>
                <w:sz w:val="18"/>
                <w:szCs w:val="18"/>
                <w:b w:val="1"/>
                <w:bCs w:val="1"/>
                <w:color w:val="auto"/>
              </w:rPr>
              <w:t>50%</w:t>
            </w:r>
          </w:p>
        </w:tc>
        <w:tc>
          <w:tcPr>
            <w:tcW w:w="1540" w:type="dxa"/>
            <w:vAlign w:val="bottom"/>
            <w:tcBorders>
              <w:bottom w:val="single" w:sz="8" w:color="auto"/>
            </w:tcBorders>
            <w:shd w:val="clear" w:color="auto" w:fill="CCEEFF"/>
          </w:tcPr>
          <w:p>
            <w:pPr>
              <w:jc w:val="right"/>
              <w:ind w:right="430"/>
              <w:spacing w:after="0"/>
              <w:rPr>
                <w:sz w:val="20"/>
                <w:szCs w:val="20"/>
                <w:color w:val="auto"/>
              </w:rPr>
            </w:pPr>
            <w:r>
              <w:rPr>
                <w:rFonts w:ascii="Arial" w:cs="Arial" w:eastAsia="Arial" w:hAnsi="Arial"/>
                <w:sz w:val="18"/>
                <w:szCs w:val="18"/>
                <w:b w:val="1"/>
                <w:bCs w:val="1"/>
                <w:color w:val="auto"/>
              </w:rPr>
              <w:t>100%</w:t>
            </w:r>
          </w:p>
        </w:tc>
        <w:tc>
          <w:tcPr>
            <w:tcW w:w="1860" w:type="dxa"/>
            <w:vAlign w:val="bottom"/>
            <w:tcBorders>
              <w:bottom w:val="single" w:sz="8" w:color="auto"/>
            </w:tcBorders>
            <w:shd w:val="clear" w:color="auto" w:fill="CCEEFF"/>
          </w:tcPr>
          <w:p>
            <w:pPr>
              <w:jc w:val="right"/>
              <w:ind w:right="430"/>
              <w:spacing w:after="0"/>
              <w:rPr>
                <w:sz w:val="20"/>
                <w:szCs w:val="20"/>
                <w:color w:val="auto"/>
              </w:rPr>
            </w:pPr>
            <w:r>
              <w:rPr>
                <w:rFonts w:ascii="Arial" w:cs="Arial" w:eastAsia="Arial" w:hAnsi="Arial"/>
                <w:sz w:val="18"/>
                <w:szCs w:val="18"/>
                <w:b w:val="1"/>
                <w:bCs w:val="1"/>
                <w:color w:val="auto"/>
              </w:rPr>
              <w:t>150%</w:t>
            </w:r>
          </w:p>
        </w:tc>
        <w:tc>
          <w:tcPr>
            <w:tcW w:w="11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119%</w:t>
            </w:r>
          </w:p>
        </w:tc>
      </w:tr>
    </w:tbl>
    <w:p>
      <w:pPr>
        <w:spacing w:after="0" w:line="242" w:lineRule="exact"/>
        <w:rPr>
          <w:sz w:val="20"/>
          <w:szCs w:val="20"/>
          <w:color w:val="auto"/>
        </w:rPr>
      </w:pPr>
    </w:p>
    <w:p>
      <w:pPr>
        <w:jc w:val="both"/>
        <w:ind w:right="100" w:firstLine="913"/>
        <w:spacing w:after="0" w:line="277" w:lineRule="auto"/>
        <w:rPr>
          <w:sz w:val="20"/>
          <w:szCs w:val="20"/>
          <w:color w:val="auto"/>
        </w:rPr>
      </w:pPr>
      <w:r>
        <w:rPr>
          <w:rFonts w:ascii="Arial" w:cs="Arial" w:eastAsia="Arial" w:hAnsi="Arial"/>
          <w:sz w:val="18"/>
          <w:szCs w:val="18"/>
          <w:color w:val="auto"/>
        </w:rPr>
        <w:t>Based on these results, Mr. Timken received a cash payment equal to 119% of his January 1, 2011 base salary and our other NEOs received cash payments equal to 24% to 59% of their January 1, 2011 base salaries for the 2011-2013 performance unit awards.</w:t>
      </w:r>
    </w:p>
    <w:p>
      <w:pPr>
        <w:spacing w:after="0" w:line="197" w:lineRule="exact"/>
        <w:rPr>
          <w:sz w:val="20"/>
          <w:szCs w:val="20"/>
          <w:color w:val="auto"/>
        </w:rPr>
      </w:pPr>
    </w:p>
    <w:p>
      <w:pPr>
        <w:ind w:right="280" w:firstLine="913"/>
        <w:spacing w:after="0" w:line="277" w:lineRule="auto"/>
        <w:rPr>
          <w:sz w:val="20"/>
          <w:szCs w:val="20"/>
          <w:color w:val="auto"/>
        </w:rPr>
      </w:pPr>
      <w:r>
        <w:rPr>
          <w:rFonts w:ascii="Arial" w:cs="Arial" w:eastAsia="Arial" w:hAnsi="Arial"/>
          <w:sz w:val="18"/>
          <w:szCs w:val="18"/>
          <w:color w:val="auto"/>
        </w:rPr>
        <w:t>Under the accounting rules, performance units result in variable accounting, whereby Timken’s expense equals the value paid to the executive officers. As such, the ultimate expense is not determinable until the end of the three-year performance period.</w:t>
      </w:r>
    </w:p>
    <w:p>
      <w:pPr>
        <w:spacing w:after="0" w:line="279" w:lineRule="exact"/>
        <w:rPr>
          <w:sz w:val="20"/>
          <w:szCs w:val="20"/>
          <w:color w:val="auto"/>
        </w:rPr>
      </w:pPr>
    </w:p>
    <w:p>
      <w:pPr>
        <w:ind w:left="920"/>
        <w:spacing w:after="0"/>
        <w:rPr>
          <w:sz w:val="20"/>
          <w:szCs w:val="20"/>
          <w:color w:val="auto"/>
        </w:rPr>
      </w:pPr>
      <w:r>
        <w:rPr>
          <w:rFonts w:ascii="Arial" w:cs="Arial" w:eastAsia="Arial" w:hAnsi="Arial"/>
          <w:sz w:val="18"/>
          <w:szCs w:val="18"/>
          <w:b w:val="1"/>
          <w:bCs w:val="1"/>
          <w:i w:val="1"/>
          <w:iCs w:val="1"/>
          <w:color w:val="auto"/>
        </w:rPr>
        <w:t>Retirement Income Programs</w:t>
      </w:r>
    </w:p>
    <w:p>
      <w:pPr>
        <w:spacing w:after="0" w:line="266" w:lineRule="exact"/>
        <w:rPr>
          <w:sz w:val="20"/>
          <w:szCs w:val="20"/>
          <w:color w:val="auto"/>
        </w:rPr>
      </w:pPr>
    </w:p>
    <w:p>
      <w:pPr>
        <w:ind w:right="60" w:firstLine="913"/>
        <w:spacing w:after="0" w:line="259" w:lineRule="auto"/>
        <w:rPr>
          <w:sz w:val="20"/>
          <w:szCs w:val="20"/>
          <w:color w:val="auto"/>
        </w:rPr>
      </w:pPr>
      <w:r>
        <w:rPr>
          <w:rFonts w:ascii="Arial" w:cs="Arial" w:eastAsia="Arial" w:hAnsi="Arial"/>
          <w:sz w:val="18"/>
          <w:szCs w:val="18"/>
          <w:color w:val="auto"/>
        </w:rPr>
        <w:t>Timken’s retirement income programs are an important retention tool. Timken maintains both qualified and nonqualified retirement income programs. Our NEOs participate in Timken’s qualified plans on the same terms and conditions as all other salaried employees and may (depending upon eligibility) also participate in Timken’s nonqualified retirement income programs. Timken currently provides retirement income to executives through several types of plans:</w:t>
      </w:r>
    </w:p>
    <w:p>
      <w:pPr>
        <w:spacing w:after="0" w:line="268" w:lineRule="exact"/>
        <w:rPr>
          <w:sz w:val="20"/>
          <w:szCs w:val="20"/>
          <w:color w:val="auto"/>
        </w:rPr>
      </w:pPr>
    </w:p>
    <w:p>
      <w:pPr>
        <w:ind w:left="900" w:right="120" w:hanging="676"/>
        <w:spacing w:after="0" w:line="259" w:lineRule="auto"/>
        <w:tabs>
          <w:tab w:leader="none" w:pos="900" w:val="left"/>
        </w:tabs>
        <w:numPr>
          <w:ilvl w:val="0"/>
          <w:numId w:val="26"/>
        </w:numPr>
        <w:rPr>
          <w:rFonts w:ascii="Arial" w:cs="Arial" w:eastAsia="Arial" w:hAnsi="Arial"/>
          <w:sz w:val="18"/>
          <w:szCs w:val="18"/>
          <w:color w:val="auto"/>
        </w:rPr>
      </w:pPr>
      <w:r>
        <w:rPr>
          <w:rFonts w:ascii="Arial" w:cs="Arial" w:eastAsia="Arial" w:hAnsi="Arial"/>
          <w:sz w:val="18"/>
          <w:szCs w:val="18"/>
          <w:color w:val="auto"/>
        </w:rPr>
        <w:t>Qualified and nonqualified defined contribution plans provide for after-tax savings based on each executive’s contributions, Timken matching contributions and core defined contributions in excess of tax limits. The nonqualified defined contribution plan in which our NEOs participate is the Post-Tax Savings Plan. This plan is primarily intended to restore benefits that would be provided under the qualified retirement plans were it not for limits on benefits and compensation imposed by the Code.</w:t>
      </w:r>
    </w:p>
    <w:p>
      <w:pPr>
        <w:spacing w:after="0" w:line="51" w:lineRule="exact"/>
        <w:rPr>
          <w:rFonts w:ascii="Arial" w:cs="Arial" w:eastAsia="Arial" w:hAnsi="Arial"/>
          <w:sz w:val="18"/>
          <w:szCs w:val="18"/>
          <w:color w:val="auto"/>
        </w:rPr>
      </w:pPr>
    </w:p>
    <w:p>
      <w:pPr>
        <w:ind w:left="900" w:right="80" w:hanging="676"/>
        <w:spacing w:after="0" w:line="297" w:lineRule="auto"/>
        <w:tabs>
          <w:tab w:leader="none" w:pos="900" w:val="left"/>
        </w:tabs>
        <w:numPr>
          <w:ilvl w:val="0"/>
          <w:numId w:val="26"/>
        </w:numPr>
        <w:rPr>
          <w:rFonts w:ascii="Arial" w:cs="Arial" w:eastAsia="Arial" w:hAnsi="Arial"/>
          <w:sz w:val="16"/>
          <w:szCs w:val="16"/>
          <w:color w:val="auto"/>
        </w:rPr>
      </w:pPr>
      <w:r>
        <w:rPr>
          <w:rFonts w:ascii="Arial" w:cs="Arial" w:eastAsia="Arial" w:hAnsi="Arial"/>
          <w:sz w:val="16"/>
          <w:szCs w:val="16"/>
          <w:color w:val="auto"/>
        </w:rPr>
        <w:t>Qualified and nonqualified defined benefit plans provide for a targeted percentage of salary and annual incentive income that will continue through retirement. The nonqualified defined benefit plan in which Messrs. Timken and Walker participate is the Supplemental Executive Retirement Program for Executive Officers, or SERP. Mr. Holding does not participate in a Timken nonqualified defined benefit plan. The SERP provides for a benefit based on final average earnings with offsets for benefits provided under Timken’s other retirement programs. The SERP promotes retention of executive officers because it requires ten years of service, including five years as an officer, for full benefits to be earned.</w:t>
      </w:r>
    </w:p>
    <w:p>
      <w:pPr>
        <w:spacing w:after="0" w:line="158" w:lineRule="exact"/>
        <w:rPr>
          <w:sz w:val="20"/>
          <w:szCs w:val="20"/>
          <w:color w:val="auto"/>
        </w:rPr>
      </w:pPr>
    </w:p>
    <w:p>
      <w:pPr>
        <w:ind w:right="280" w:firstLine="913"/>
        <w:spacing w:after="0" w:line="273" w:lineRule="auto"/>
        <w:rPr>
          <w:sz w:val="20"/>
          <w:szCs w:val="20"/>
          <w:color w:val="auto"/>
        </w:rPr>
      </w:pPr>
      <w:r>
        <w:rPr>
          <w:rFonts w:ascii="Arial" w:cs="Arial" w:eastAsia="Arial" w:hAnsi="Arial"/>
          <w:sz w:val="17"/>
          <w:szCs w:val="17"/>
          <w:color w:val="auto"/>
        </w:rPr>
        <w:t>Although the policies and procedures underlying Timken’s retirement income programs are the same for all participants, the age and length of service (including service as an officer of Timken) of each participant can have a significant effect on their benefit calculation because the programs have changed over time. In addition, because benefits under Timken’s retirement income programs are based on base salary and cash annual incentive compensation for the five highest non-consecutive years (out of the final ten years), pension values can increase significantly as salary and cash annual incentive compensation increases. Pension values are also influenced by external factors such as the current environment of low interest rates, which have caused pension values to increase. See “Pension Benefits” below for more information.</w:t>
      </w:r>
    </w:p>
    <w:p>
      <w:pPr>
        <w:spacing w:after="0" w:line="178" w:lineRule="exact"/>
        <w:rPr>
          <w:sz w:val="20"/>
          <w:szCs w:val="20"/>
          <w:color w:val="auto"/>
        </w:rPr>
      </w:pPr>
    </w:p>
    <w:p>
      <w:pPr>
        <w:ind w:right="340" w:firstLine="913"/>
        <w:spacing w:after="0" w:line="264" w:lineRule="auto"/>
        <w:rPr>
          <w:sz w:val="20"/>
          <w:szCs w:val="20"/>
          <w:color w:val="auto"/>
        </w:rPr>
      </w:pPr>
      <w:r>
        <w:rPr>
          <w:rFonts w:ascii="Arial" w:cs="Arial" w:eastAsia="Arial" w:hAnsi="Arial"/>
          <w:sz w:val="18"/>
          <w:szCs w:val="18"/>
          <w:color w:val="auto"/>
        </w:rPr>
        <w:t>The value of the nonqualified retirement income programs is quantified each year and these programs are periodically reviewed for their competitiveness. To date, the value of these programs has not had a significant impact on Timken’s decisions regarding salary, annual incentive awards or long-term incentive grants for our NEOs.</w:t>
      </w:r>
    </w:p>
    <w:p>
      <w:pPr>
        <w:spacing w:after="0" w:line="222" w:lineRule="exact"/>
        <w:rPr>
          <w:sz w:val="20"/>
          <w:szCs w:val="20"/>
          <w:color w:val="auto"/>
        </w:rPr>
      </w:pPr>
    </w:p>
    <w:p>
      <w:pPr>
        <w:ind w:left="920"/>
        <w:spacing w:after="0"/>
        <w:rPr>
          <w:sz w:val="20"/>
          <w:szCs w:val="20"/>
          <w:color w:val="auto"/>
        </w:rPr>
      </w:pPr>
      <w:r>
        <w:rPr>
          <w:rFonts w:ascii="Arial" w:cs="Arial" w:eastAsia="Arial" w:hAnsi="Arial"/>
          <w:sz w:val="18"/>
          <w:szCs w:val="18"/>
          <w:b w:val="1"/>
          <w:bCs w:val="1"/>
          <w:i w:val="1"/>
          <w:iCs w:val="1"/>
          <w:color w:val="auto"/>
        </w:rPr>
        <w:t>Deferred Compensation</w:t>
      </w:r>
    </w:p>
    <w:p>
      <w:pPr>
        <w:spacing w:after="0" w:line="252" w:lineRule="exact"/>
        <w:rPr>
          <w:sz w:val="20"/>
          <w:szCs w:val="20"/>
          <w:color w:val="auto"/>
        </w:rPr>
      </w:pPr>
    </w:p>
    <w:p>
      <w:pPr>
        <w:ind w:right="160" w:firstLine="913"/>
        <w:spacing w:after="0" w:line="279" w:lineRule="auto"/>
        <w:rPr>
          <w:sz w:val="20"/>
          <w:szCs w:val="20"/>
          <w:color w:val="auto"/>
        </w:rPr>
      </w:pPr>
      <w:r>
        <w:rPr>
          <w:rFonts w:ascii="Arial" w:cs="Arial" w:eastAsia="Arial" w:hAnsi="Arial"/>
          <w:sz w:val="17"/>
          <w:szCs w:val="17"/>
          <w:color w:val="auto"/>
        </w:rPr>
        <w:t>Timken maintains a Deferred Compensation Plan that allows certain employees, including our NEOs, to defer receipt of all or a portion of their salary, employee contributions and Timken matching contributions that would otherwise be directed to the Post-Tax Savings Plan and/or incentive compensation payable in cash or Timken common shares until a specified point in the future. Cash deferrals earn interest quarterly at a rate based on the prime rate plus one percent. None of our NEOs earned “above-market” interest, as defined by the SEC.</w:t>
      </w:r>
    </w:p>
    <w:p>
      <w:pPr>
        <w:spacing w:after="0" w:line="10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71</w:t>
      </w:r>
    </w:p>
    <w:p>
      <w:pPr>
        <w:sectPr>
          <w:pgSz w:w="11900" w:h="16838" w:orient="portrait"/>
          <w:cols w:equalWidth="0" w:num="1">
            <w:col w:w="11420"/>
          </w:cols>
          <w:pgMar w:left="240" w:top="459" w:right="239" w:bottom="1440" w:gutter="0" w:footer="0" w:header="0"/>
        </w:sectPr>
      </w:pPr>
    </w:p>
    <w:bookmarkStart w:id="83" w:name="page84"/>
    <w:bookmarkEnd w:id="8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8">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260" w:firstLine="913"/>
        <w:spacing w:after="0" w:line="279" w:lineRule="auto"/>
        <w:rPr>
          <w:sz w:val="20"/>
          <w:szCs w:val="20"/>
          <w:color w:val="auto"/>
        </w:rPr>
      </w:pPr>
      <w:r>
        <w:rPr>
          <w:rFonts w:ascii="Arial" w:cs="Arial" w:eastAsia="Arial" w:hAnsi="Arial"/>
          <w:sz w:val="17"/>
          <w:szCs w:val="17"/>
          <w:color w:val="auto"/>
        </w:rPr>
        <w:t>The Deferred Compensation Plan is not funded by Timken, and participants have an unsecured contractual commitment by Timken to pay the amounts due under the plan. When such payments are due, they will be distributed from Timken’s general assets. In the event of a change in control of Timken, as defined in the Deferred Compensation Plan, participants are entitled to receive deferred amounts immediately. The Timken Compensation Committee believes that providing employees with tax deferral opportunities aids in the attraction and retention of such employees.</w:t>
      </w:r>
    </w:p>
    <w:p>
      <w:pPr>
        <w:spacing w:after="0" w:line="171" w:lineRule="exact"/>
        <w:rPr>
          <w:sz w:val="20"/>
          <w:szCs w:val="20"/>
          <w:color w:val="auto"/>
        </w:rPr>
      </w:pPr>
    </w:p>
    <w:p>
      <w:pPr>
        <w:jc w:val="both"/>
        <w:ind w:right="180" w:firstLine="913"/>
        <w:spacing w:after="0" w:line="264" w:lineRule="auto"/>
        <w:rPr>
          <w:sz w:val="20"/>
          <w:szCs w:val="20"/>
          <w:color w:val="auto"/>
        </w:rPr>
      </w:pPr>
      <w:r>
        <w:rPr>
          <w:rFonts w:ascii="Arial" w:cs="Arial" w:eastAsia="Arial" w:hAnsi="Arial"/>
          <w:sz w:val="18"/>
          <w:szCs w:val="18"/>
          <w:color w:val="auto"/>
        </w:rPr>
        <w:t>The value of deferred compensation amounts is quantified each year and this program is periodically reviewed for its competitiveness. To date, the value of deferred compensation has not had a significant impact on Timken’s decisions regarding salary, annual incentive awards or long-term incentive grants for our NEOs.</w:t>
      </w:r>
    </w:p>
    <w:p>
      <w:pPr>
        <w:spacing w:after="0" w:line="222" w:lineRule="exact"/>
        <w:rPr>
          <w:sz w:val="20"/>
          <w:szCs w:val="20"/>
          <w:color w:val="auto"/>
        </w:rPr>
      </w:pPr>
    </w:p>
    <w:p>
      <w:pPr>
        <w:ind w:left="920"/>
        <w:spacing w:after="0"/>
        <w:rPr>
          <w:sz w:val="20"/>
          <w:szCs w:val="20"/>
          <w:color w:val="auto"/>
        </w:rPr>
      </w:pPr>
      <w:r>
        <w:rPr>
          <w:rFonts w:ascii="Arial" w:cs="Arial" w:eastAsia="Arial" w:hAnsi="Arial"/>
          <w:sz w:val="18"/>
          <w:szCs w:val="18"/>
          <w:b w:val="1"/>
          <w:bCs w:val="1"/>
          <w:i w:val="1"/>
          <w:iCs w:val="1"/>
          <w:color w:val="auto"/>
        </w:rPr>
        <w:t>Other Benefits</w:t>
      </w:r>
    </w:p>
    <w:p>
      <w:pPr>
        <w:spacing w:after="0" w:line="266" w:lineRule="exact"/>
        <w:rPr>
          <w:sz w:val="20"/>
          <w:szCs w:val="20"/>
          <w:color w:val="auto"/>
        </w:rPr>
      </w:pPr>
    </w:p>
    <w:p>
      <w:pPr>
        <w:ind w:right="140" w:firstLine="913"/>
        <w:spacing w:after="0" w:line="279" w:lineRule="auto"/>
        <w:rPr>
          <w:sz w:val="20"/>
          <w:szCs w:val="20"/>
          <w:color w:val="auto"/>
        </w:rPr>
      </w:pPr>
      <w:r>
        <w:rPr>
          <w:rFonts w:ascii="Arial" w:cs="Arial" w:eastAsia="Arial" w:hAnsi="Arial"/>
          <w:sz w:val="17"/>
          <w:szCs w:val="17"/>
          <w:color w:val="auto"/>
        </w:rPr>
        <w:t>Our NEOs are eligible to participate in a number of broad-based Timken benefit programs, including health, disability and life insurance programs. Our NEOs may also receive certain perquisites including term life insurance coverage, financial counseling and tax preparation assistance, access to corporate country club memberships (although personal expenses are not reimbursed), spousal travel benefits and home security systems. The value of these benefits is reflected in the All Other Compensation column in the 2013 Summary Compensation Table below.</w:t>
      </w:r>
    </w:p>
    <w:p>
      <w:pPr>
        <w:spacing w:after="0" w:line="171" w:lineRule="exact"/>
        <w:rPr>
          <w:sz w:val="20"/>
          <w:szCs w:val="20"/>
          <w:color w:val="auto"/>
        </w:rPr>
      </w:pPr>
    </w:p>
    <w:p>
      <w:pPr>
        <w:jc w:val="both"/>
        <w:ind w:right="340" w:firstLine="913"/>
        <w:spacing w:after="0" w:line="264" w:lineRule="auto"/>
        <w:rPr>
          <w:sz w:val="20"/>
          <w:szCs w:val="20"/>
          <w:color w:val="auto"/>
        </w:rPr>
      </w:pPr>
      <w:r>
        <w:rPr>
          <w:rFonts w:ascii="Arial" w:cs="Arial" w:eastAsia="Arial" w:hAnsi="Arial"/>
          <w:sz w:val="18"/>
          <w:szCs w:val="18"/>
          <w:color w:val="auto"/>
        </w:rPr>
        <w:t>Timken does not provide tax gross-ups for these benefits to executives. These benefits are intended to provide executives with a competitive perquisite program that is reasonable and consistent with Timken’s overall approach to executive compensation. The total cost of these benefits is a small percentage of each NEOs total compensation.</w:t>
      </w:r>
    </w:p>
    <w:p>
      <w:pPr>
        <w:spacing w:after="0" w:line="208" w:lineRule="exact"/>
        <w:rPr>
          <w:sz w:val="20"/>
          <w:szCs w:val="20"/>
          <w:color w:val="auto"/>
        </w:rPr>
      </w:pPr>
    </w:p>
    <w:p>
      <w:pPr>
        <w:ind w:left="920"/>
        <w:spacing w:after="0"/>
        <w:rPr>
          <w:sz w:val="20"/>
          <w:szCs w:val="20"/>
          <w:color w:val="auto"/>
        </w:rPr>
      </w:pPr>
      <w:r>
        <w:rPr>
          <w:rFonts w:ascii="Arial" w:cs="Arial" w:eastAsia="Arial" w:hAnsi="Arial"/>
          <w:sz w:val="18"/>
          <w:szCs w:val="18"/>
          <w:b w:val="1"/>
          <w:bCs w:val="1"/>
          <w:i w:val="1"/>
          <w:iCs w:val="1"/>
          <w:color w:val="auto"/>
        </w:rPr>
        <w:t>Severance Agreements</w:t>
      </w:r>
    </w:p>
    <w:p>
      <w:pPr>
        <w:spacing w:after="0" w:line="266" w:lineRule="exact"/>
        <w:rPr>
          <w:sz w:val="20"/>
          <w:szCs w:val="20"/>
          <w:color w:val="auto"/>
        </w:rPr>
      </w:pPr>
    </w:p>
    <w:p>
      <w:pPr>
        <w:ind w:right="340" w:firstLine="913"/>
        <w:spacing w:after="0" w:line="257" w:lineRule="auto"/>
        <w:rPr>
          <w:sz w:val="20"/>
          <w:szCs w:val="20"/>
          <w:color w:val="auto"/>
        </w:rPr>
      </w:pPr>
      <w:r>
        <w:rPr>
          <w:rFonts w:ascii="Arial" w:cs="Arial" w:eastAsia="Arial" w:hAnsi="Arial"/>
          <w:sz w:val="18"/>
          <w:szCs w:val="18"/>
          <w:color w:val="auto"/>
        </w:rPr>
        <w:t>In addition to retirement payments, Timken provides termination-related payments in the event of involuntary termination without cause and involuntary termination without cause following a change in control through severance agreements with individual executives. Severance agreements are provided based on competitive market practice and Timken’s desire to ensure some level of income continuity should an executive’s employment be terminated without cause. Timken believes that providing for such income continuity results in greater management stability and lower unwanted management turnover.</w:t>
      </w:r>
    </w:p>
    <w:p>
      <w:pPr>
        <w:spacing w:after="0" w:line="229" w:lineRule="exact"/>
        <w:rPr>
          <w:sz w:val="20"/>
          <w:szCs w:val="20"/>
          <w:color w:val="auto"/>
        </w:rPr>
      </w:pPr>
    </w:p>
    <w:p>
      <w:pPr>
        <w:ind w:right="180" w:firstLine="913"/>
        <w:spacing w:after="0" w:line="257" w:lineRule="auto"/>
        <w:rPr>
          <w:sz w:val="20"/>
          <w:szCs w:val="20"/>
          <w:color w:val="auto"/>
        </w:rPr>
      </w:pPr>
      <w:r>
        <w:rPr>
          <w:rFonts w:ascii="Arial" w:cs="Arial" w:eastAsia="Arial" w:hAnsi="Arial"/>
          <w:sz w:val="18"/>
          <w:szCs w:val="18"/>
          <w:color w:val="auto"/>
        </w:rPr>
        <w:t>Severance agreements also provide for termination payments following involuntary termination without cause following a change in control. These provisions are based on competitive practice and are designed to ensure that executives’ interests remain aligned with shareholders should a potential change of control occur. They are also intended to provide some level of income continuity should an executive’s employment be terminated without cause. Timken believes, as stated above, that providing for such income continuity results in greater management stability and lower unwanted management turnover.</w:t>
      </w:r>
    </w:p>
    <w:p>
      <w:pPr>
        <w:spacing w:after="0" w:line="215" w:lineRule="exact"/>
        <w:rPr>
          <w:sz w:val="20"/>
          <w:szCs w:val="20"/>
          <w:color w:val="auto"/>
        </w:rPr>
      </w:pPr>
    </w:p>
    <w:p>
      <w:pPr>
        <w:ind w:firstLine="913"/>
        <w:spacing w:after="0" w:line="257" w:lineRule="auto"/>
        <w:rPr>
          <w:sz w:val="20"/>
          <w:szCs w:val="20"/>
          <w:color w:val="auto"/>
        </w:rPr>
      </w:pPr>
      <w:r>
        <w:rPr>
          <w:rFonts w:ascii="Arial" w:cs="Arial" w:eastAsia="Arial" w:hAnsi="Arial"/>
          <w:sz w:val="18"/>
          <w:szCs w:val="18"/>
          <w:color w:val="auto"/>
        </w:rPr>
        <w:t>The level of severance benefits reflects Timken’s perception of competitive market practice for the NEOs’ positions with Timken, based on an assessment by Towers Watson. Severance pay was established as a multiple of base salary and actual annual incentive compensation, based on competitive market practice. Specific dollar values were not targeted by the Timken Compensation Committee, although the Timken Compensation Committee did review “tally sheets” for Mr. Timken and Mr. Walker that showed the estimated cost of such benefits under various scenarios. The amounts of potential payouts are indicated in the Termination Scenarios table below.</w:t>
      </w:r>
    </w:p>
    <w:p>
      <w:pPr>
        <w:spacing w:after="0" w:line="229" w:lineRule="exact"/>
        <w:rPr>
          <w:sz w:val="20"/>
          <w:szCs w:val="20"/>
          <w:color w:val="auto"/>
        </w:rPr>
      </w:pPr>
    </w:p>
    <w:p>
      <w:pPr>
        <w:ind w:left="920"/>
        <w:spacing w:after="0"/>
        <w:rPr>
          <w:sz w:val="20"/>
          <w:szCs w:val="20"/>
          <w:color w:val="auto"/>
        </w:rPr>
      </w:pPr>
      <w:r>
        <w:rPr>
          <w:rFonts w:ascii="Arial" w:cs="Arial" w:eastAsia="Arial" w:hAnsi="Arial"/>
          <w:sz w:val="18"/>
          <w:szCs w:val="18"/>
          <w:b w:val="1"/>
          <w:bCs w:val="1"/>
          <w:i w:val="1"/>
          <w:iCs w:val="1"/>
          <w:color w:val="auto"/>
        </w:rPr>
        <w:t>Stock Ownership Guidelines</w:t>
      </w:r>
    </w:p>
    <w:p>
      <w:pPr>
        <w:spacing w:after="0" w:line="266" w:lineRule="exact"/>
        <w:rPr>
          <w:sz w:val="20"/>
          <w:szCs w:val="20"/>
          <w:color w:val="auto"/>
        </w:rPr>
      </w:pPr>
    </w:p>
    <w:p>
      <w:pPr>
        <w:ind w:right="80" w:firstLine="913"/>
        <w:spacing w:after="0" w:line="264" w:lineRule="auto"/>
        <w:rPr>
          <w:sz w:val="20"/>
          <w:szCs w:val="20"/>
          <w:color w:val="auto"/>
        </w:rPr>
      </w:pPr>
      <w:r>
        <w:rPr>
          <w:rFonts w:ascii="Arial" w:cs="Arial" w:eastAsia="Arial" w:hAnsi="Arial"/>
          <w:sz w:val="18"/>
          <w:szCs w:val="18"/>
          <w:color w:val="auto"/>
        </w:rPr>
        <w:t>Stock ownership guidelines have been established for all Timken senior executives and are intended to align the interests of executive management with those of shareholders by requiring executives to be subject to the same long-term stock price volatility that shareholders experience. These guidelines establish the following specific Timken stock ownership target for each of our NEOs:</w:t>
      </w:r>
    </w:p>
    <w:p>
      <w:pPr>
        <w:spacing w:after="0" w:line="262" w:lineRule="exact"/>
        <w:rPr>
          <w:sz w:val="20"/>
          <w:szCs w:val="20"/>
          <w:color w:val="auto"/>
        </w:rPr>
      </w:pPr>
    </w:p>
    <w:p>
      <w:pPr>
        <w:ind w:left="1460" w:hanging="547"/>
        <w:spacing w:after="0"/>
        <w:tabs>
          <w:tab w:leader="none" w:pos="1460" w:val="left"/>
        </w:tabs>
        <w:numPr>
          <w:ilvl w:val="0"/>
          <w:numId w:val="27"/>
        </w:numPr>
        <w:rPr>
          <w:rFonts w:ascii="Arial" w:cs="Arial" w:eastAsia="Arial" w:hAnsi="Arial"/>
          <w:sz w:val="18"/>
          <w:szCs w:val="18"/>
          <w:color w:val="auto"/>
        </w:rPr>
      </w:pPr>
      <w:r>
        <w:rPr>
          <w:rFonts w:ascii="Arial" w:cs="Arial" w:eastAsia="Arial" w:hAnsi="Arial"/>
          <w:sz w:val="18"/>
          <w:szCs w:val="18"/>
          <w:color w:val="auto"/>
        </w:rPr>
        <w:t>Mr. Timken - 80,000 shares</w:t>
      </w:r>
    </w:p>
    <w:p>
      <w:pPr>
        <w:spacing w:after="0" w:line="23" w:lineRule="exact"/>
        <w:rPr>
          <w:rFonts w:ascii="Arial" w:cs="Arial" w:eastAsia="Arial" w:hAnsi="Arial"/>
          <w:sz w:val="18"/>
          <w:szCs w:val="18"/>
          <w:color w:val="auto"/>
        </w:rPr>
      </w:pPr>
    </w:p>
    <w:p>
      <w:pPr>
        <w:ind w:left="1460" w:hanging="547"/>
        <w:spacing w:after="0"/>
        <w:tabs>
          <w:tab w:leader="none" w:pos="1460" w:val="left"/>
        </w:tabs>
        <w:numPr>
          <w:ilvl w:val="0"/>
          <w:numId w:val="27"/>
        </w:numPr>
        <w:rPr>
          <w:rFonts w:ascii="Arial" w:cs="Arial" w:eastAsia="Arial" w:hAnsi="Arial"/>
          <w:sz w:val="18"/>
          <w:szCs w:val="18"/>
          <w:color w:val="auto"/>
        </w:rPr>
      </w:pPr>
      <w:r>
        <w:rPr>
          <w:rFonts w:ascii="Arial" w:cs="Arial" w:eastAsia="Arial" w:hAnsi="Arial"/>
          <w:sz w:val="18"/>
          <w:szCs w:val="18"/>
          <w:color w:val="auto"/>
        </w:rPr>
        <w:t>Mr. Walker - 13,500 shares</w:t>
      </w:r>
    </w:p>
    <w:p>
      <w:pPr>
        <w:spacing w:after="0" w:line="9" w:lineRule="exact"/>
        <w:rPr>
          <w:rFonts w:ascii="Arial" w:cs="Arial" w:eastAsia="Arial" w:hAnsi="Arial"/>
          <w:sz w:val="18"/>
          <w:szCs w:val="18"/>
          <w:color w:val="auto"/>
        </w:rPr>
      </w:pPr>
    </w:p>
    <w:p>
      <w:pPr>
        <w:ind w:left="1460" w:hanging="547"/>
        <w:spacing w:after="0"/>
        <w:tabs>
          <w:tab w:leader="none" w:pos="1460" w:val="left"/>
        </w:tabs>
        <w:numPr>
          <w:ilvl w:val="0"/>
          <w:numId w:val="27"/>
        </w:numPr>
        <w:rPr>
          <w:rFonts w:ascii="Arial" w:cs="Arial" w:eastAsia="Arial" w:hAnsi="Arial"/>
          <w:sz w:val="18"/>
          <w:szCs w:val="18"/>
          <w:color w:val="auto"/>
        </w:rPr>
      </w:pPr>
      <w:r>
        <w:rPr>
          <w:rFonts w:ascii="Arial" w:cs="Arial" w:eastAsia="Arial" w:hAnsi="Arial"/>
          <w:sz w:val="18"/>
          <w:szCs w:val="18"/>
          <w:color w:val="auto"/>
        </w:rPr>
        <w:t>Mr. Holding - 10,000 shares</w:t>
      </w:r>
    </w:p>
    <w:p>
      <w:pPr>
        <w:spacing w:after="0" w:line="14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72</w:t>
      </w:r>
    </w:p>
    <w:p>
      <w:pPr>
        <w:sectPr>
          <w:pgSz w:w="11900" w:h="16838" w:orient="portrait"/>
          <w:cols w:equalWidth="0" w:num="1">
            <w:col w:w="11400"/>
          </w:cols>
          <w:pgMar w:left="240" w:top="459" w:right="259" w:bottom="1440" w:gutter="0" w:footer="0" w:header="0"/>
        </w:sectPr>
      </w:pPr>
    </w:p>
    <w:bookmarkStart w:id="84" w:name="page85"/>
    <w:bookmarkEnd w:id="8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firstLine="913"/>
        <w:spacing w:after="0" w:line="259" w:lineRule="auto"/>
        <w:rPr>
          <w:sz w:val="20"/>
          <w:szCs w:val="20"/>
          <w:color w:val="auto"/>
        </w:rPr>
      </w:pPr>
      <w:r>
        <w:rPr>
          <w:rFonts w:ascii="Arial" w:cs="Arial" w:eastAsia="Arial" w:hAnsi="Arial"/>
          <w:sz w:val="18"/>
          <w:szCs w:val="18"/>
          <w:color w:val="auto"/>
        </w:rPr>
        <w:t>Timken considers all shares owned by the executive, including deferred shares, restricted shares and performance shares still subject to forfeiture, but not including shares that are subject to unexercised options, in determining whether the executive has met the ownership targets. As of December 31, 2013, the NEOs all exceeded their ownership targets. Timken has a formal policy that prohibits pledging Timken stock or hedging the economic risk related to such stock ownership.</w:t>
      </w:r>
    </w:p>
    <w:p>
      <w:pPr>
        <w:spacing w:after="0" w:line="227" w:lineRule="exact"/>
        <w:rPr>
          <w:sz w:val="20"/>
          <w:szCs w:val="20"/>
          <w:color w:val="auto"/>
        </w:rPr>
      </w:pPr>
    </w:p>
    <w:p>
      <w:pPr>
        <w:ind w:left="920"/>
        <w:spacing w:after="0"/>
        <w:rPr>
          <w:sz w:val="20"/>
          <w:szCs w:val="20"/>
          <w:color w:val="auto"/>
        </w:rPr>
      </w:pPr>
      <w:r>
        <w:rPr>
          <w:rFonts w:ascii="Arial" w:cs="Arial" w:eastAsia="Arial" w:hAnsi="Arial"/>
          <w:sz w:val="18"/>
          <w:szCs w:val="18"/>
          <w:b w:val="1"/>
          <w:bCs w:val="1"/>
          <w:i w:val="1"/>
          <w:iCs w:val="1"/>
          <w:color w:val="auto"/>
        </w:rPr>
        <w:t>Clawback Provisions</w:t>
      </w:r>
    </w:p>
    <w:p>
      <w:pPr>
        <w:spacing w:after="0" w:line="266" w:lineRule="exact"/>
        <w:rPr>
          <w:sz w:val="20"/>
          <w:szCs w:val="20"/>
          <w:color w:val="auto"/>
        </w:rPr>
      </w:pPr>
    </w:p>
    <w:p>
      <w:pPr>
        <w:ind w:right="220" w:firstLine="913"/>
        <w:spacing w:after="0" w:line="276" w:lineRule="auto"/>
        <w:rPr>
          <w:sz w:val="20"/>
          <w:szCs w:val="20"/>
          <w:color w:val="auto"/>
        </w:rPr>
      </w:pPr>
      <w:r>
        <w:rPr>
          <w:rFonts w:ascii="Arial" w:cs="Arial" w:eastAsia="Arial" w:hAnsi="Arial"/>
          <w:sz w:val="17"/>
          <w:szCs w:val="17"/>
          <w:color w:val="auto"/>
        </w:rPr>
        <w:t>Timken maintains specific provisions regarding the recovery, or clawback, of awards to deter certain types of conduct, including conduct that could affect the accuracy of the Timken financial statements. These provisions apply to both short- and long-term incentive programs where, if personal misconduct or any fraudulent activity on the part of the executive leads to the restatement of Timken results, Timken can clawback an award. In such cases, the Timken Compensation Committee has discretion, based on applicable facts and circumstances, to cause Timken to recover all or any portion of the incentive paid or payable to the executive for some or all of the years covered by the restatement.</w:t>
      </w:r>
    </w:p>
    <w:p>
      <w:pPr>
        <w:spacing w:after="0" w:line="200" w:lineRule="exact"/>
        <w:rPr>
          <w:sz w:val="20"/>
          <w:szCs w:val="20"/>
          <w:color w:val="auto"/>
        </w:rPr>
      </w:pPr>
    </w:p>
    <w:p>
      <w:pPr>
        <w:ind w:left="920"/>
        <w:spacing w:after="0"/>
        <w:rPr>
          <w:sz w:val="20"/>
          <w:szCs w:val="20"/>
          <w:color w:val="auto"/>
        </w:rPr>
      </w:pPr>
      <w:r>
        <w:rPr>
          <w:rFonts w:ascii="Arial" w:cs="Arial" w:eastAsia="Arial" w:hAnsi="Arial"/>
          <w:sz w:val="18"/>
          <w:szCs w:val="18"/>
          <w:b w:val="1"/>
          <w:bCs w:val="1"/>
          <w:i w:val="1"/>
          <w:iCs w:val="1"/>
          <w:color w:val="auto"/>
        </w:rPr>
        <w:t>Tax Accounting Rules and Regulations</w:t>
      </w:r>
    </w:p>
    <w:p>
      <w:pPr>
        <w:spacing w:after="0" w:line="266" w:lineRule="exact"/>
        <w:rPr>
          <w:sz w:val="20"/>
          <w:szCs w:val="20"/>
          <w:color w:val="auto"/>
        </w:rPr>
      </w:pPr>
    </w:p>
    <w:p>
      <w:pPr>
        <w:ind w:right="220" w:firstLine="913"/>
        <w:spacing w:after="0" w:line="273" w:lineRule="auto"/>
        <w:rPr>
          <w:sz w:val="20"/>
          <w:szCs w:val="20"/>
          <w:color w:val="auto"/>
        </w:rPr>
      </w:pPr>
      <w:r>
        <w:rPr>
          <w:rFonts w:ascii="Arial" w:cs="Arial" w:eastAsia="Arial" w:hAnsi="Arial"/>
          <w:sz w:val="17"/>
          <w:szCs w:val="17"/>
          <w:color w:val="auto"/>
        </w:rPr>
        <w:t>Timken analyzes the overall expense arising from aggregate executive compensation, as well as the accounting and tax treatment of such programs. Section 162(m) of the Code generally disallows a federal income tax deduction to publicly traded companies for compensation paid to certain executives to the extent such compensation exceeds $1 million per executive in any fiscal year. Compensation that satisfies the Code’s requirements for performance-based compensation is not subject to that deduction limitation. Timken has considered the impact of Section 162(m) of the Code by obtaining shareholder approval of the Senior Executive Management Performance Plan and the Long-Term Incentive Plan. In addition, it may structure certain grants under the Long-Term Incentive Plan as performance-based compensation.</w:t>
      </w:r>
    </w:p>
    <w:p>
      <w:pPr>
        <w:spacing w:after="0" w:line="178" w:lineRule="exact"/>
        <w:rPr>
          <w:sz w:val="20"/>
          <w:szCs w:val="20"/>
          <w:color w:val="auto"/>
        </w:rPr>
      </w:pPr>
    </w:p>
    <w:p>
      <w:pPr>
        <w:ind w:left="920"/>
        <w:spacing w:after="0"/>
        <w:rPr>
          <w:sz w:val="20"/>
          <w:szCs w:val="20"/>
          <w:color w:val="auto"/>
        </w:rPr>
      </w:pPr>
      <w:r>
        <w:rPr>
          <w:rFonts w:ascii="Arial" w:cs="Arial" w:eastAsia="Arial" w:hAnsi="Arial"/>
          <w:sz w:val="17"/>
          <w:szCs w:val="17"/>
          <w:color w:val="auto"/>
        </w:rPr>
        <w:t>The Timken Compensation Committee considers the deductibility of compensation and benefits for federal income tax purposes, along with</w:t>
      </w:r>
    </w:p>
    <w:p>
      <w:pPr>
        <w:spacing w:after="0" w:line="35" w:lineRule="exact"/>
        <w:rPr>
          <w:sz w:val="20"/>
          <w:szCs w:val="20"/>
          <w:color w:val="auto"/>
        </w:rPr>
      </w:pPr>
    </w:p>
    <w:p>
      <w:pPr>
        <w:spacing w:after="0"/>
        <w:rPr>
          <w:sz w:val="20"/>
          <w:szCs w:val="20"/>
          <w:color w:val="auto"/>
        </w:rPr>
      </w:pPr>
      <w:r>
        <w:rPr>
          <w:rFonts w:ascii="Arial" w:cs="Arial" w:eastAsia="Arial" w:hAnsi="Arial"/>
          <w:sz w:val="16"/>
          <w:szCs w:val="16"/>
          <w:color w:val="auto"/>
        </w:rPr>
        <w:t>other relevant factors, when determining executive compensation practices. While the Timken Compensation Committee may take action from time to time to</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design certain elements of the NEOs’ compensation to meet the requirements for qualified performance-based compensation and limit the impact of</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Section 162(m) of the Code, the Timken Compensation Committee also believes that tax deductibility is only one of several relevant considerations in setting</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compensation. The Timken Compensation Committee believes that the tax deduction limitation should not compromise its ability to design and maintain</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executive compensation arrangements that will attract, motivate and help retain executive talent. Accordingly, achieving the desired flexibility in the design</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and delivery of compensation may result in compensation that in certain cases is not deductible for federal income tax purposes.</w:t>
      </w:r>
    </w:p>
    <w:p>
      <w:pPr>
        <w:spacing w:after="0" w:line="247" w:lineRule="exact"/>
        <w:rPr>
          <w:sz w:val="20"/>
          <w:szCs w:val="20"/>
          <w:color w:val="auto"/>
        </w:rPr>
      </w:pPr>
    </w:p>
    <w:p>
      <w:pPr>
        <w:ind w:left="920"/>
        <w:spacing w:after="0"/>
        <w:rPr>
          <w:sz w:val="20"/>
          <w:szCs w:val="20"/>
          <w:color w:val="auto"/>
        </w:rPr>
      </w:pPr>
      <w:r>
        <w:rPr>
          <w:rFonts w:ascii="Arial" w:cs="Arial" w:eastAsia="Arial" w:hAnsi="Arial"/>
          <w:sz w:val="18"/>
          <w:szCs w:val="18"/>
          <w:b w:val="1"/>
          <w:bCs w:val="1"/>
          <w:color w:val="auto"/>
        </w:rPr>
        <w:t>Our Anticipated Compensation Programs</w:t>
      </w:r>
    </w:p>
    <w:p>
      <w:pPr>
        <w:spacing w:after="0" w:line="256" w:lineRule="exact"/>
        <w:rPr>
          <w:sz w:val="20"/>
          <w:szCs w:val="20"/>
          <w:color w:val="auto"/>
        </w:rPr>
      </w:pPr>
    </w:p>
    <w:p>
      <w:pPr>
        <w:ind w:right="80" w:firstLine="913"/>
        <w:spacing w:after="0" w:line="293" w:lineRule="auto"/>
        <w:rPr>
          <w:sz w:val="20"/>
          <w:szCs w:val="20"/>
          <w:color w:val="auto"/>
        </w:rPr>
      </w:pPr>
      <w:r>
        <w:rPr>
          <w:rFonts w:ascii="Arial" w:cs="Arial" w:eastAsia="Arial" w:hAnsi="Arial"/>
          <w:sz w:val="16"/>
          <w:szCs w:val="16"/>
          <w:color w:val="auto"/>
        </w:rPr>
        <w:t>We believe the Timken executive compensation programs described above were both effective at retaining and motivating our NEOs and competitive as compared to compensation programs at our peers. As described below, the executive compensation programs that will initially be adopted by TimkenSteel are currently expected to be similar to those in place at Timken immediately prior to the spinoff. However, after the spinoff, the TimkenSteel Compensation Committee will continue to evaluate our compensation and benefit programs and may make adjustments (or significant changes) as necessary to meet prevailing business needs and strategic priorities. Adjustments to elements of our compensation programs may be made going forward if appropriate, based on industry practices and the competitive environment for a newly-formed, publicly-traded company of our size, or for other reasons.</w:t>
      </w:r>
    </w:p>
    <w:p>
      <w:pPr>
        <w:spacing w:after="0" w:line="201" w:lineRule="exact"/>
        <w:rPr>
          <w:sz w:val="20"/>
          <w:szCs w:val="20"/>
          <w:color w:val="auto"/>
        </w:rPr>
      </w:pPr>
    </w:p>
    <w:p>
      <w:pPr>
        <w:ind w:left="920"/>
        <w:spacing w:after="0"/>
        <w:rPr>
          <w:sz w:val="20"/>
          <w:szCs w:val="20"/>
          <w:color w:val="auto"/>
        </w:rPr>
      </w:pPr>
      <w:r>
        <w:rPr>
          <w:rFonts w:ascii="Arial" w:cs="Arial" w:eastAsia="Arial" w:hAnsi="Arial"/>
          <w:sz w:val="18"/>
          <w:szCs w:val="18"/>
          <w:b w:val="1"/>
          <w:bCs w:val="1"/>
          <w:color w:val="auto"/>
        </w:rPr>
        <w:t>Treatment of NEO Equity Awards in Spinoff</w:t>
      </w:r>
    </w:p>
    <w:p>
      <w:pPr>
        <w:spacing w:after="0" w:line="270" w:lineRule="exact"/>
        <w:rPr>
          <w:sz w:val="20"/>
          <w:szCs w:val="20"/>
          <w:color w:val="auto"/>
        </w:rPr>
      </w:pPr>
    </w:p>
    <w:p>
      <w:pPr>
        <w:ind w:right="140" w:firstLine="913"/>
        <w:spacing w:after="0" w:line="277" w:lineRule="auto"/>
        <w:rPr>
          <w:sz w:val="20"/>
          <w:szCs w:val="20"/>
          <w:color w:val="auto"/>
        </w:rPr>
      </w:pPr>
      <w:r>
        <w:rPr>
          <w:rFonts w:ascii="Arial" w:cs="Arial" w:eastAsia="Arial" w:hAnsi="Arial"/>
          <w:sz w:val="18"/>
          <w:szCs w:val="18"/>
          <w:color w:val="auto"/>
        </w:rPr>
        <w:t>Our NEOs and other executives will be treated like our other employees and those of Timken with respect to the impact of the spinoff on equity incentive awards.</w:t>
      </w:r>
    </w:p>
    <w:p>
      <w:pPr>
        <w:spacing w:after="0" w:line="10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73</w:t>
      </w:r>
    </w:p>
    <w:p>
      <w:pPr>
        <w:sectPr>
          <w:pgSz w:w="11900" w:h="16838" w:orient="portrait"/>
          <w:cols w:equalWidth="0" w:num="1">
            <w:col w:w="11420"/>
          </w:cols>
          <w:pgMar w:left="240" w:top="459" w:right="239" w:bottom="1440" w:gutter="0" w:footer="0" w:header="0"/>
        </w:sectPr>
      </w:pPr>
    </w:p>
    <w:bookmarkStart w:id="85" w:name="page86"/>
    <w:bookmarkEnd w:id="8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0">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EXECUTIVE COMPENSATION</w:t>
      </w:r>
    </w:p>
    <w:p>
      <w:pPr>
        <w:spacing w:after="0" w:line="30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2013 Summary Compensation Table</w:t>
      </w:r>
    </w:p>
    <w:p>
      <w:pPr>
        <w:spacing w:after="0" w:line="229" w:lineRule="exact"/>
        <w:rPr>
          <w:sz w:val="20"/>
          <w:szCs w:val="20"/>
          <w:color w:val="auto"/>
        </w:rPr>
      </w:pPr>
    </w:p>
    <w:p>
      <w:pPr>
        <w:ind w:left="920"/>
        <w:spacing w:after="0"/>
        <w:rPr>
          <w:sz w:val="20"/>
          <w:szCs w:val="20"/>
          <w:color w:val="auto"/>
        </w:rPr>
      </w:pPr>
      <w:r>
        <w:rPr>
          <w:rFonts w:ascii="Arial" w:cs="Arial" w:eastAsia="Arial" w:hAnsi="Arial"/>
          <w:sz w:val="18"/>
          <w:szCs w:val="18"/>
          <w:color w:val="auto"/>
        </w:rPr>
        <w:t>The following table sets forth current information concerning compensation for our NEOs for 2013.</w:t>
      </w:r>
    </w:p>
    <w:p>
      <w:pPr>
        <w:spacing w:after="0" w:line="231"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364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1300" w:type="dxa"/>
            <w:vAlign w:val="bottom"/>
          </w:tcPr>
          <w:p>
            <w:pPr>
              <w:spacing w:after="0"/>
              <w:rPr>
                <w:sz w:val="14"/>
                <w:szCs w:val="14"/>
                <w:color w:val="auto"/>
              </w:rPr>
            </w:pPr>
          </w:p>
        </w:tc>
        <w:tc>
          <w:tcPr>
            <w:tcW w:w="1120" w:type="dxa"/>
            <w:vAlign w:val="bottom"/>
          </w:tcPr>
          <w:p>
            <w:pPr>
              <w:jc w:val="center"/>
              <w:spacing w:after="0"/>
              <w:rPr>
                <w:sz w:val="20"/>
                <w:szCs w:val="20"/>
                <w:color w:val="auto"/>
              </w:rPr>
            </w:pPr>
            <w:r>
              <w:rPr>
                <w:rFonts w:ascii="Arial" w:cs="Arial" w:eastAsia="Arial" w:hAnsi="Arial"/>
                <w:sz w:val="14"/>
                <w:szCs w:val="14"/>
                <w:b w:val="1"/>
                <w:bCs w:val="1"/>
                <w:color w:val="auto"/>
                <w:w w:val="94"/>
              </w:rPr>
              <w:t>Change in</w:t>
            </w:r>
          </w:p>
        </w:tc>
        <w:tc>
          <w:tcPr>
            <w:tcW w:w="132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64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1300" w:type="dxa"/>
            <w:vAlign w:val="bottom"/>
          </w:tcPr>
          <w:p>
            <w:pPr>
              <w:spacing w:after="0"/>
              <w:rPr>
                <w:sz w:val="12"/>
                <w:szCs w:val="12"/>
                <w:color w:val="auto"/>
              </w:rPr>
            </w:pPr>
          </w:p>
        </w:tc>
        <w:tc>
          <w:tcPr>
            <w:tcW w:w="11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9"/>
              </w:rPr>
              <w:t>Pension Value</w:t>
            </w:r>
          </w:p>
        </w:tc>
        <w:tc>
          <w:tcPr>
            <w:tcW w:w="13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64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1300" w:type="dxa"/>
            <w:vAlign w:val="bottom"/>
          </w:tcPr>
          <w:p>
            <w:pPr>
              <w:spacing w:after="0"/>
              <w:rPr>
                <w:sz w:val="12"/>
                <w:szCs w:val="12"/>
                <w:color w:val="auto"/>
              </w:rPr>
            </w:pPr>
          </w:p>
        </w:tc>
        <w:tc>
          <w:tcPr>
            <w:tcW w:w="11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6"/>
              </w:rPr>
              <w:t>and</w:t>
            </w:r>
          </w:p>
        </w:tc>
        <w:tc>
          <w:tcPr>
            <w:tcW w:w="13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64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1300" w:type="dxa"/>
            <w:vAlign w:val="bottom"/>
          </w:tcPr>
          <w:p>
            <w:pPr>
              <w:spacing w:after="0"/>
              <w:rPr>
                <w:sz w:val="12"/>
                <w:szCs w:val="12"/>
                <w:color w:val="auto"/>
              </w:rPr>
            </w:pPr>
          </w:p>
        </w:tc>
        <w:tc>
          <w:tcPr>
            <w:tcW w:w="11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4"/>
              </w:rPr>
              <w:t>Nonqualified</w:t>
            </w:r>
          </w:p>
        </w:tc>
        <w:tc>
          <w:tcPr>
            <w:tcW w:w="13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364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920" w:type="dxa"/>
            <w:vAlign w:val="bottom"/>
          </w:tcPr>
          <w:p>
            <w:pPr>
              <w:jc w:val="center"/>
              <w:spacing w:after="0" w:line="158" w:lineRule="exact"/>
              <w:rPr>
                <w:sz w:val="20"/>
                <w:szCs w:val="20"/>
                <w:color w:val="auto"/>
              </w:rPr>
            </w:pPr>
            <w:r>
              <w:rPr>
                <w:rFonts w:ascii="Arial" w:cs="Arial" w:eastAsia="Arial" w:hAnsi="Arial"/>
                <w:sz w:val="14"/>
                <w:szCs w:val="14"/>
                <w:b w:val="1"/>
                <w:bCs w:val="1"/>
                <w:color w:val="auto"/>
                <w:w w:val="89"/>
              </w:rPr>
              <w:t>Stock</w:t>
            </w:r>
          </w:p>
        </w:tc>
        <w:tc>
          <w:tcPr>
            <w:tcW w:w="900" w:type="dxa"/>
            <w:vAlign w:val="bottom"/>
          </w:tcPr>
          <w:p>
            <w:pPr>
              <w:jc w:val="center"/>
              <w:spacing w:after="0" w:line="158" w:lineRule="exact"/>
              <w:rPr>
                <w:sz w:val="20"/>
                <w:szCs w:val="20"/>
                <w:color w:val="auto"/>
              </w:rPr>
            </w:pPr>
            <w:r>
              <w:rPr>
                <w:rFonts w:ascii="Arial" w:cs="Arial" w:eastAsia="Arial" w:hAnsi="Arial"/>
                <w:sz w:val="14"/>
                <w:szCs w:val="14"/>
                <w:b w:val="1"/>
                <w:bCs w:val="1"/>
                <w:color w:val="auto"/>
                <w:w w:val="97"/>
              </w:rPr>
              <w:t>Option</w:t>
            </w:r>
          </w:p>
        </w:tc>
        <w:tc>
          <w:tcPr>
            <w:tcW w:w="1300" w:type="dxa"/>
            <w:vAlign w:val="bottom"/>
          </w:tcPr>
          <w:p>
            <w:pPr>
              <w:jc w:val="center"/>
              <w:spacing w:after="0" w:line="158" w:lineRule="exact"/>
              <w:rPr>
                <w:sz w:val="20"/>
                <w:szCs w:val="20"/>
                <w:color w:val="auto"/>
              </w:rPr>
            </w:pPr>
            <w:r>
              <w:rPr>
                <w:rFonts w:ascii="Arial" w:cs="Arial" w:eastAsia="Arial" w:hAnsi="Arial"/>
                <w:sz w:val="14"/>
                <w:szCs w:val="14"/>
                <w:b w:val="1"/>
                <w:bCs w:val="1"/>
                <w:color w:val="auto"/>
                <w:w w:val="96"/>
              </w:rPr>
              <w:t>Non-Equity</w:t>
            </w:r>
          </w:p>
        </w:tc>
        <w:tc>
          <w:tcPr>
            <w:tcW w:w="1120" w:type="dxa"/>
            <w:vAlign w:val="bottom"/>
          </w:tcPr>
          <w:p>
            <w:pPr>
              <w:jc w:val="center"/>
              <w:spacing w:after="0" w:line="158" w:lineRule="exact"/>
              <w:rPr>
                <w:sz w:val="20"/>
                <w:szCs w:val="20"/>
                <w:color w:val="auto"/>
              </w:rPr>
            </w:pPr>
            <w:r>
              <w:rPr>
                <w:rFonts w:ascii="Arial" w:cs="Arial" w:eastAsia="Arial" w:hAnsi="Arial"/>
                <w:sz w:val="14"/>
                <w:szCs w:val="14"/>
                <w:b w:val="1"/>
                <w:bCs w:val="1"/>
                <w:color w:val="auto"/>
                <w:w w:val="97"/>
              </w:rPr>
              <w:t>Deferred</w:t>
            </w:r>
          </w:p>
        </w:tc>
        <w:tc>
          <w:tcPr>
            <w:tcW w:w="1320" w:type="dxa"/>
            <w:vAlign w:val="bottom"/>
            <w:vMerge w:val="restart"/>
          </w:tcPr>
          <w:p>
            <w:pPr>
              <w:jc w:val="right"/>
              <w:ind w:right="308"/>
              <w:spacing w:after="0"/>
              <w:rPr>
                <w:sz w:val="20"/>
                <w:szCs w:val="20"/>
                <w:color w:val="auto"/>
              </w:rPr>
            </w:pPr>
            <w:r>
              <w:rPr>
                <w:rFonts w:ascii="Arial" w:cs="Arial" w:eastAsia="Arial" w:hAnsi="Arial"/>
                <w:sz w:val="14"/>
                <w:szCs w:val="14"/>
                <w:b w:val="1"/>
                <w:bCs w:val="1"/>
                <w:color w:val="auto"/>
              </w:rPr>
              <w:t>All Other</w:t>
            </w:r>
          </w:p>
        </w:tc>
        <w:tc>
          <w:tcPr>
            <w:tcW w:w="8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640" w:type="dxa"/>
            <w:vAlign w:val="bottom"/>
            <w:vMerge w:val="restart"/>
          </w:tcPr>
          <w:p>
            <w:pPr>
              <w:ind w:left="920"/>
              <w:spacing w:after="0"/>
              <w:rPr>
                <w:sz w:val="20"/>
                <w:szCs w:val="20"/>
                <w:color w:val="auto"/>
              </w:rPr>
            </w:pPr>
            <w:r>
              <w:rPr>
                <w:rFonts w:ascii="Arial" w:cs="Arial" w:eastAsia="Arial" w:hAnsi="Arial"/>
                <w:sz w:val="14"/>
                <w:szCs w:val="14"/>
                <w:b w:val="1"/>
                <w:bCs w:val="1"/>
                <w:color w:val="auto"/>
              </w:rPr>
              <w:t>Name and Principal Position</w:t>
            </w:r>
          </w:p>
        </w:tc>
        <w:tc>
          <w:tcPr>
            <w:tcW w:w="540" w:type="dxa"/>
            <w:vAlign w:val="bottom"/>
            <w:vMerge w:val="restart"/>
          </w:tcPr>
          <w:p>
            <w:pPr>
              <w:ind w:left="140"/>
              <w:spacing w:after="0"/>
              <w:rPr>
                <w:sz w:val="20"/>
                <w:szCs w:val="20"/>
                <w:color w:val="auto"/>
              </w:rPr>
            </w:pPr>
            <w:r>
              <w:rPr>
                <w:rFonts w:ascii="Arial" w:cs="Arial" w:eastAsia="Arial" w:hAnsi="Arial"/>
                <w:sz w:val="14"/>
                <w:szCs w:val="14"/>
                <w:b w:val="1"/>
                <w:bCs w:val="1"/>
                <w:color w:val="auto"/>
              </w:rPr>
              <w:t>Year</w:t>
            </w:r>
          </w:p>
        </w:tc>
        <w:tc>
          <w:tcPr>
            <w:tcW w:w="760" w:type="dxa"/>
            <w:vAlign w:val="bottom"/>
            <w:vMerge w:val="restart"/>
          </w:tcPr>
          <w:p>
            <w:pPr>
              <w:jc w:val="right"/>
              <w:ind w:right="148"/>
              <w:spacing w:after="0"/>
              <w:rPr>
                <w:sz w:val="20"/>
                <w:szCs w:val="20"/>
                <w:color w:val="auto"/>
              </w:rPr>
            </w:pPr>
            <w:r>
              <w:rPr>
                <w:rFonts w:ascii="Arial" w:cs="Arial" w:eastAsia="Arial" w:hAnsi="Arial"/>
                <w:sz w:val="14"/>
                <w:szCs w:val="14"/>
                <w:b w:val="1"/>
                <w:bCs w:val="1"/>
                <w:color w:val="auto"/>
              </w:rPr>
              <w:t>Salary</w:t>
            </w:r>
          </w:p>
        </w:tc>
        <w:tc>
          <w:tcPr>
            <w:tcW w:w="9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4"/>
              </w:rPr>
              <w:t>Awards</w:t>
            </w:r>
          </w:p>
        </w:tc>
        <w:tc>
          <w:tcPr>
            <w:tcW w:w="9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4"/>
              </w:rPr>
              <w:t>Awards</w:t>
            </w:r>
          </w:p>
        </w:tc>
        <w:tc>
          <w:tcPr>
            <w:tcW w:w="13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5"/>
              </w:rPr>
              <w:t>Incentive Plan</w:t>
            </w:r>
          </w:p>
        </w:tc>
        <w:tc>
          <w:tcPr>
            <w:tcW w:w="11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0"/>
              </w:rPr>
              <w:t>Compensation</w:t>
            </w:r>
          </w:p>
        </w:tc>
        <w:tc>
          <w:tcPr>
            <w:tcW w:w="1320" w:type="dxa"/>
            <w:vAlign w:val="bottom"/>
            <w:vMerge w:val="continue"/>
          </w:tcPr>
          <w:p>
            <w:pPr>
              <w:spacing w:after="0"/>
              <w:rPr>
                <w:sz w:val="12"/>
                <w:szCs w:val="12"/>
                <w:color w:val="auto"/>
              </w:rPr>
            </w:pPr>
          </w:p>
        </w:tc>
        <w:tc>
          <w:tcPr>
            <w:tcW w:w="900" w:type="dxa"/>
            <w:vAlign w:val="bottom"/>
            <w:gridSpan w:val="2"/>
            <w:vMerge w:val="restart"/>
          </w:tcPr>
          <w:p>
            <w:pPr>
              <w:ind w:left="220"/>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86"/>
        </w:trPr>
        <w:tc>
          <w:tcPr>
            <w:tcW w:w="20" w:type="dxa"/>
            <w:vAlign w:val="bottom"/>
          </w:tcPr>
          <w:p>
            <w:pPr>
              <w:spacing w:after="0"/>
              <w:rPr>
                <w:sz w:val="16"/>
                <w:szCs w:val="16"/>
                <w:color w:val="auto"/>
              </w:rPr>
            </w:pPr>
          </w:p>
        </w:tc>
        <w:tc>
          <w:tcPr>
            <w:tcW w:w="3640" w:type="dxa"/>
            <w:vAlign w:val="bottom"/>
            <w:vMerge w:val="continue"/>
          </w:tcPr>
          <w:p>
            <w:pPr>
              <w:spacing w:after="0"/>
              <w:rPr>
                <w:sz w:val="16"/>
                <w:szCs w:val="16"/>
                <w:color w:val="auto"/>
              </w:rPr>
            </w:pPr>
          </w:p>
        </w:tc>
        <w:tc>
          <w:tcPr>
            <w:tcW w:w="540" w:type="dxa"/>
            <w:vAlign w:val="bottom"/>
            <w:vMerge w:val="continue"/>
          </w:tcPr>
          <w:p>
            <w:pPr>
              <w:spacing w:after="0"/>
              <w:rPr>
                <w:sz w:val="16"/>
                <w:szCs w:val="16"/>
                <w:color w:val="auto"/>
              </w:rPr>
            </w:pPr>
          </w:p>
        </w:tc>
        <w:tc>
          <w:tcPr>
            <w:tcW w:w="760" w:type="dxa"/>
            <w:vAlign w:val="bottom"/>
            <w:vMerge w:val="continue"/>
          </w:tcPr>
          <w:p>
            <w:pPr>
              <w:spacing w:after="0"/>
              <w:rPr>
                <w:sz w:val="16"/>
                <w:szCs w:val="16"/>
                <w:color w:val="auto"/>
              </w:rPr>
            </w:pPr>
          </w:p>
        </w:tc>
        <w:tc>
          <w:tcPr>
            <w:tcW w:w="920" w:type="dxa"/>
            <w:vAlign w:val="bottom"/>
          </w:tcPr>
          <w:p>
            <w:pPr>
              <w:jc w:val="center"/>
              <w:spacing w:after="0"/>
              <w:rPr>
                <w:sz w:val="20"/>
                <w:szCs w:val="20"/>
                <w:color w:val="auto"/>
              </w:rPr>
            </w:pPr>
            <w:r>
              <w:rPr>
                <w:rFonts w:ascii="Arial" w:cs="Arial" w:eastAsia="Arial" w:hAnsi="Arial"/>
                <w:sz w:val="12"/>
                <w:szCs w:val="12"/>
                <w:b w:val="1"/>
                <w:bCs w:val="1"/>
                <w:color w:val="auto"/>
                <w:w w:val="95"/>
              </w:rPr>
              <w:t>(1)</w:t>
            </w:r>
          </w:p>
        </w:tc>
        <w:tc>
          <w:tcPr>
            <w:tcW w:w="900" w:type="dxa"/>
            <w:vAlign w:val="bottom"/>
          </w:tcPr>
          <w:p>
            <w:pPr>
              <w:jc w:val="center"/>
              <w:spacing w:after="0"/>
              <w:rPr>
                <w:sz w:val="20"/>
                <w:szCs w:val="20"/>
                <w:color w:val="auto"/>
              </w:rPr>
            </w:pPr>
            <w:r>
              <w:rPr>
                <w:rFonts w:ascii="Arial" w:cs="Arial" w:eastAsia="Arial" w:hAnsi="Arial"/>
                <w:sz w:val="12"/>
                <w:szCs w:val="12"/>
                <w:b w:val="1"/>
                <w:bCs w:val="1"/>
                <w:color w:val="auto"/>
                <w:w w:val="95"/>
              </w:rPr>
              <w:t>(2)</w:t>
            </w:r>
          </w:p>
        </w:tc>
        <w:tc>
          <w:tcPr>
            <w:tcW w:w="1300" w:type="dxa"/>
            <w:vAlign w:val="bottom"/>
          </w:tcPr>
          <w:p>
            <w:pPr>
              <w:jc w:val="center"/>
              <w:spacing w:after="0"/>
              <w:rPr>
                <w:sz w:val="20"/>
                <w:szCs w:val="20"/>
                <w:color w:val="auto"/>
              </w:rPr>
            </w:pPr>
            <w:r>
              <w:rPr>
                <w:rFonts w:ascii="Arial" w:cs="Arial" w:eastAsia="Arial" w:hAnsi="Arial"/>
                <w:sz w:val="14"/>
                <w:szCs w:val="14"/>
                <w:b w:val="1"/>
                <w:bCs w:val="1"/>
                <w:color w:val="auto"/>
                <w:w w:val="91"/>
              </w:rPr>
              <w:t xml:space="preserve">Compensation </w:t>
            </w:r>
            <w:r>
              <w:rPr>
                <w:rFonts w:ascii="Arial" w:cs="Arial" w:eastAsia="Arial" w:hAnsi="Arial"/>
                <w:sz w:val="12"/>
                <w:szCs w:val="12"/>
                <w:b w:val="1"/>
                <w:bCs w:val="1"/>
                <w:color w:val="auto"/>
                <w:w w:val="91"/>
              </w:rPr>
              <w:t>(3)</w:t>
            </w:r>
          </w:p>
        </w:tc>
        <w:tc>
          <w:tcPr>
            <w:tcW w:w="1120" w:type="dxa"/>
            <w:vAlign w:val="bottom"/>
          </w:tcPr>
          <w:p>
            <w:pPr>
              <w:jc w:val="center"/>
              <w:spacing w:after="0"/>
              <w:rPr>
                <w:sz w:val="20"/>
                <w:szCs w:val="20"/>
                <w:color w:val="auto"/>
              </w:rPr>
            </w:pPr>
            <w:r>
              <w:rPr>
                <w:rFonts w:ascii="Arial" w:cs="Arial" w:eastAsia="Arial" w:hAnsi="Arial"/>
                <w:sz w:val="14"/>
                <w:szCs w:val="14"/>
                <w:b w:val="1"/>
                <w:bCs w:val="1"/>
                <w:color w:val="auto"/>
                <w:w w:val="94"/>
              </w:rPr>
              <w:t xml:space="preserve">Earnings </w:t>
            </w:r>
            <w:r>
              <w:rPr>
                <w:rFonts w:ascii="Arial" w:cs="Arial" w:eastAsia="Arial" w:hAnsi="Arial"/>
                <w:sz w:val="12"/>
                <w:szCs w:val="12"/>
                <w:b w:val="1"/>
                <w:bCs w:val="1"/>
                <w:color w:val="auto"/>
                <w:w w:val="94"/>
              </w:rPr>
              <w:t>(4)</w:t>
            </w:r>
          </w:p>
        </w:tc>
        <w:tc>
          <w:tcPr>
            <w:tcW w:w="1320" w:type="dxa"/>
            <w:vAlign w:val="bottom"/>
          </w:tcPr>
          <w:p>
            <w:pPr>
              <w:jc w:val="right"/>
              <w:ind w:right="68"/>
              <w:spacing w:after="0"/>
              <w:rPr>
                <w:sz w:val="20"/>
                <w:szCs w:val="20"/>
                <w:color w:val="auto"/>
              </w:rPr>
            </w:pPr>
            <w:r>
              <w:rPr>
                <w:rFonts w:ascii="Arial" w:cs="Arial" w:eastAsia="Arial" w:hAnsi="Arial"/>
                <w:sz w:val="14"/>
                <w:szCs w:val="14"/>
                <w:b w:val="1"/>
                <w:bCs w:val="1"/>
                <w:color w:val="auto"/>
              </w:rPr>
              <w:t xml:space="preserve">Compensation </w:t>
            </w:r>
            <w:r>
              <w:rPr>
                <w:rFonts w:ascii="Arial" w:cs="Arial" w:eastAsia="Arial" w:hAnsi="Arial"/>
                <w:sz w:val="12"/>
                <w:szCs w:val="12"/>
                <w:b w:val="1"/>
                <w:bCs w:val="1"/>
                <w:color w:val="auto"/>
              </w:rPr>
              <w:t>(5)</w:t>
            </w:r>
          </w:p>
        </w:tc>
        <w:tc>
          <w:tcPr>
            <w:tcW w:w="900" w:type="dxa"/>
            <w:vAlign w:val="bottom"/>
            <w:gridSpan w:val="2"/>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3640" w:type="dxa"/>
            <w:vAlign w:val="bottom"/>
            <w:tcBorders>
              <w:bottom w:val="single" w:sz="8" w:color="auto"/>
            </w:tcBorders>
          </w:tcPr>
          <w:p>
            <w:pPr>
              <w:spacing w:after="0"/>
              <w:rPr>
                <w:sz w:val="3"/>
                <w:szCs w:val="3"/>
                <w:color w:val="auto"/>
              </w:rPr>
            </w:pPr>
          </w:p>
        </w:tc>
        <w:tc>
          <w:tcPr>
            <w:tcW w:w="540" w:type="dxa"/>
            <w:vAlign w:val="bottom"/>
            <w:tcBorders>
              <w:bottom w:val="single" w:sz="8" w:color="auto"/>
            </w:tcBorders>
          </w:tcPr>
          <w:p>
            <w:pPr>
              <w:spacing w:after="0"/>
              <w:rPr>
                <w:sz w:val="3"/>
                <w:szCs w:val="3"/>
                <w:color w:val="auto"/>
              </w:rPr>
            </w:pPr>
          </w:p>
        </w:tc>
        <w:tc>
          <w:tcPr>
            <w:tcW w:w="760" w:type="dxa"/>
            <w:vAlign w:val="bottom"/>
            <w:tcBorders>
              <w:bottom w:val="single" w:sz="8" w:color="auto"/>
            </w:tcBorders>
          </w:tcPr>
          <w:p>
            <w:pPr>
              <w:spacing w:after="0"/>
              <w:rPr>
                <w:sz w:val="3"/>
                <w:szCs w:val="3"/>
                <w:color w:val="auto"/>
              </w:rPr>
            </w:pPr>
          </w:p>
        </w:tc>
        <w:tc>
          <w:tcPr>
            <w:tcW w:w="920" w:type="dxa"/>
            <w:vAlign w:val="bottom"/>
            <w:tcBorders>
              <w:bottom w:val="single" w:sz="8" w:color="auto"/>
            </w:tcBorders>
          </w:tcPr>
          <w:p>
            <w:pPr>
              <w:spacing w:after="0"/>
              <w:rPr>
                <w:sz w:val="3"/>
                <w:szCs w:val="3"/>
                <w:color w:val="auto"/>
              </w:rPr>
            </w:pPr>
          </w:p>
        </w:tc>
        <w:tc>
          <w:tcPr>
            <w:tcW w:w="900" w:type="dxa"/>
            <w:vAlign w:val="bottom"/>
            <w:tcBorders>
              <w:bottom w:val="single" w:sz="8" w:color="auto"/>
            </w:tcBorders>
          </w:tcPr>
          <w:p>
            <w:pPr>
              <w:spacing w:after="0"/>
              <w:rPr>
                <w:sz w:val="3"/>
                <w:szCs w:val="3"/>
                <w:color w:val="auto"/>
              </w:rPr>
            </w:pPr>
          </w:p>
        </w:tc>
        <w:tc>
          <w:tcPr>
            <w:tcW w:w="1300" w:type="dxa"/>
            <w:vAlign w:val="bottom"/>
            <w:tcBorders>
              <w:bottom w:val="single" w:sz="8" w:color="auto"/>
            </w:tcBorders>
          </w:tcPr>
          <w:p>
            <w:pPr>
              <w:spacing w:after="0"/>
              <w:rPr>
                <w:sz w:val="3"/>
                <w:szCs w:val="3"/>
                <w:color w:val="auto"/>
              </w:rPr>
            </w:pPr>
          </w:p>
        </w:tc>
        <w:tc>
          <w:tcPr>
            <w:tcW w:w="1120" w:type="dxa"/>
            <w:vAlign w:val="bottom"/>
            <w:tcBorders>
              <w:bottom w:val="single" w:sz="8" w:color="auto"/>
            </w:tcBorders>
          </w:tcPr>
          <w:p>
            <w:pPr>
              <w:spacing w:after="0"/>
              <w:rPr>
                <w:sz w:val="3"/>
                <w:szCs w:val="3"/>
                <w:color w:val="auto"/>
              </w:rPr>
            </w:pPr>
          </w:p>
        </w:tc>
        <w:tc>
          <w:tcPr>
            <w:tcW w:w="1320" w:type="dxa"/>
            <w:vAlign w:val="bottom"/>
            <w:tcBorders>
              <w:bottom w:val="single" w:sz="8" w:color="auto"/>
            </w:tcBorders>
          </w:tcPr>
          <w:p>
            <w:pPr>
              <w:spacing w:after="0"/>
              <w:rPr>
                <w:sz w:val="3"/>
                <w:szCs w:val="3"/>
                <w:color w:val="auto"/>
              </w:rPr>
            </w:pPr>
          </w:p>
        </w:tc>
        <w:tc>
          <w:tcPr>
            <w:tcW w:w="820" w:type="dxa"/>
            <w:vAlign w:val="bottom"/>
            <w:tcBorders>
              <w:bottom w:val="single" w:sz="8" w:color="auto"/>
            </w:tcBorders>
          </w:tcPr>
          <w:p>
            <w:pPr>
              <w:spacing w:after="0"/>
              <w:rPr>
                <w:sz w:val="3"/>
                <w:szCs w:val="3"/>
                <w:color w:val="auto"/>
              </w:rPr>
            </w:pPr>
          </w:p>
        </w:tc>
        <w:tc>
          <w:tcPr>
            <w:tcW w:w="8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3640" w:type="dxa"/>
            <w:vAlign w:val="bottom"/>
            <w:shd w:val="clear" w:color="auto" w:fill="CCEEFF"/>
          </w:tcPr>
          <w:p>
            <w:pPr>
              <w:spacing w:after="0" w:line="130" w:lineRule="exact"/>
              <w:rPr>
                <w:sz w:val="20"/>
                <w:szCs w:val="20"/>
                <w:color w:val="auto"/>
              </w:rPr>
            </w:pPr>
            <w:r>
              <w:rPr>
                <w:rFonts w:ascii="Arial" w:cs="Arial" w:eastAsia="Arial" w:hAnsi="Arial"/>
                <w:sz w:val="14"/>
                <w:szCs w:val="14"/>
                <w:color w:val="auto"/>
              </w:rPr>
              <w:t>Ward J. Timken, Jr.</w:t>
            </w:r>
          </w:p>
        </w:tc>
        <w:tc>
          <w:tcPr>
            <w:tcW w:w="540" w:type="dxa"/>
            <w:vAlign w:val="bottom"/>
            <w:shd w:val="clear" w:color="auto" w:fill="CCEEFF"/>
          </w:tcPr>
          <w:p>
            <w:pPr>
              <w:ind w:left="140"/>
              <w:spacing w:after="0" w:line="130" w:lineRule="exact"/>
              <w:rPr>
                <w:sz w:val="20"/>
                <w:szCs w:val="20"/>
                <w:color w:val="auto"/>
              </w:rPr>
            </w:pPr>
            <w:r>
              <w:rPr>
                <w:rFonts w:ascii="Arial" w:cs="Arial" w:eastAsia="Arial" w:hAnsi="Arial"/>
                <w:sz w:val="14"/>
                <w:szCs w:val="14"/>
                <w:color w:val="auto"/>
              </w:rPr>
              <w:t>2013</w:t>
            </w:r>
          </w:p>
        </w:tc>
        <w:tc>
          <w:tcPr>
            <w:tcW w:w="760" w:type="dxa"/>
            <w:vAlign w:val="bottom"/>
            <w:shd w:val="clear" w:color="auto" w:fill="CCEEFF"/>
          </w:tcPr>
          <w:p>
            <w:pPr>
              <w:jc w:val="right"/>
              <w:ind w:right="68"/>
              <w:spacing w:after="0" w:line="130" w:lineRule="exact"/>
              <w:rPr>
                <w:sz w:val="20"/>
                <w:szCs w:val="20"/>
                <w:color w:val="auto"/>
              </w:rPr>
            </w:pPr>
            <w:r>
              <w:rPr>
                <w:rFonts w:ascii="Arial" w:cs="Arial" w:eastAsia="Arial" w:hAnsi="Arial"/>
                <w:sz w:val="14"/>
                <w:szCs w:val="14"/>
                <w:color w:val="auto"/>
              </w:rPr>
              <w:t>$865,200</w:t>
            </w:r>
          </w:p>
        </w:tc>
        <w:tc>
          <w:tcPr>
            <w:tcW w:w="920" w:type="dxa"/>
            <w:vAlign w:val="bottom"/>
            <w:shd w:val="clear" w:color="auto" w:fill="CCEEFF"/>
          </w:tcPr>
          <w:p>
            <w:pPr>
              <w:jc w:val="right"/>
              <w:ind w:right="70"/>
              <w:spacing w:after="0" w:line="130" w:lineRule="exact"/>
              <w:rPr>
                <w:sz w:val="20"/>
                <w:szCs w:val="20"/>
                <w:color w:val="auto"/>
              </w:rPr>
            </w:pPr>
            <w:r>
              <w:rPr>
                <w:rFonts w:ascii="Arial" w:cs="Arial" w:eastAsia="Arial" w:hAnsi="Arial"/>
                <w:sz w:val="14"/>
                <w:szCs w:val="14"/>
                <w:color w:val="auto"/>
              </w:rPr>
              <w:t>$1,316,718</w:t>
            </w:r>
          </w:p>
        </w:tc>
        <w:tc>
          <w:tcPr>
            <w:tcW w:w="900" w:type="dxa"/>
            <w:vAlign w:val="bottom"/>
            <w:shd w:val="clear" w:color="auto" w:fill="CCEEFF"/>
          </w:tcPr>
          <w:p>
            <w:pPr>
              <w:jc w:val="right"/>
              <w:ind w:right="50"/>
              <w:spacing w:after="0" w:line="130" w:lineRule="exact"/>
              <w:rPr>
                <w:sz w:val="20"/>
                <w:szCs w:val="20"/>
                <w:color w:val="auto"/>
              </w:rPr>
            </w:pPr>
            <w:r>
              <w:rPr>
                <w:rFonts w:ascii="Arial" w:cs="Arial" w:eastAsia="Arial" w:hAnsi="Arial"/>
                <w:sz w:val="14"/>
                <w:szCs w:val="14"/>
                <w:color w:val="auto"/>
              </w:rPr>
              <w:t>$1,986,202</w:t>
            </w:r>
          </w:p>
        </w:tc>
        <w:tc>
          <w:tcPr>
            <w:tcW w:w="1300" w:type="dxa"/>
            <w:vAlign w:val="bottom"/>
            <w:shd w:val="clear" w:color="auto" w:fill="CCEEFF"/>
          </w:tcPr>
          <w:p>
            <w:pPr>
              <w:jc w:val="right"/>
              <w:ind w:right="48"/>
              <w:spacing w:after="0" w:line="130" w:lineRule="exact"/>
              <w:rPr>
                <w:sz w:val="20"/>
                <w:szCs w:val="20"/>
                <w:color w:val="auto"/>
              </w:rPr>
            </w:pPr>
            <w:r>
              <w:rPr>
                <w:rFonts w:ascii="Arial" w:cs="Arial" w:eastAsia="Arial" w:hAnsi="Arial"/>
                <w:sz w:val="14"/>
                <w:szCs w:val="14"/>
                <w:color w:val="auto"/>
              </w:rPr>
              <w:t>$1,896,472</w:t>
            </w:r>
          </w:p>
        </w:tc>
        <w:tc>
          <w:tcPr>
            <w:tcW w:w="1120" w:type="dxa"/>
            <w:vAlign w:val="bottom"/>
            <w:shd w:val="clear" w:color="auto" w:fill="CCEEFF"/>
          </w:tcPr>
          <w:p>
            <w:pPr>
              <w:jc w:val="right"/>
              <w:ind w:right="48"/>
              <w:spacing w:after="0" w:line="130" w:lineRule="exact"/>
              <w:rPr>
                <w:sz w:val="20"/>
                <w:szCs w:val="20"/>
                <w:color w:val="auto"/>
              </w:rPr>
            </w:pPr>
            <w:r>
              <w:rPr>
                <w:rFonts w:ascii="Arial" w:cs="Arial" w:eastAsia="Arial" w:hAnsi="Arial"/>
                <w:sz w:val="14"/>
                <w:szCs w:val="14"/>
                <w:color w:val="auto"/>
              </w:rPr>
              <w:t>$0</w:t>
            </w:r>
          </w:p>
        </w:tc>
        <w:tc>
          <w:tcPr>
            <w:tcW w:w="1320" w:type="dxa"/>
            <w:vAlign w:val="bottom"/>
            <w:shd w:val="clear" w:color="auto" w:fill="CCEEFF"/>
          </w:tcPr>
          <w:p>
            <w:pPr>
              <w:jc w:val="right"/>
              <w:ind w:right="68"/>
              <w:spacing w:after="0" w:line="130" w:lineRule="exact"/>
              <w:rPr>
                <w:sz w:val="20"/>
                <w:szCs w:val="20"/>
                <w:color w:val="auto"/>
              </w:rPr>
            </w:pPr>
            <w:r>
              <w:rPr>
                <w:rFonts w:ascii="Arial" w:cs="Arial" w:eastAsia="Arial" w:hAnsi="Arial"/>
                <w:sz w:val="14"/>
                <w:szCs w:val="14"/>
                <w:color w:val="auto"/>
              </w:rPr>
              <w:t>$198,393</w:t>
            </w:r>
          </w:p>
        </w:tc>
        <w:tc>
          <w:tcPr>
            <w:tcW w:w="820" w:type="dxa"/>
            <w:vAlign w:val="bottom"/>
            <w:shd w:val="clear" w:color="auto" w:fill="CCEEFF"/>
          </w:tcPr>
          <w:p>
            <w:pPr>
              <w:jc w:val="right"/>
              <w:spacing w:after="0" w:line="130" w:lineRule="exact"/>
              <w:rPr>
                <w:sz w:val="20"/>
                <w:szCs w:val="20"/>
                <w:color w:val="auto"/>
              </w:rPr>
            </w:pPr>
            <w:r>
              <w:rPr>
                <w:rFonts w:ascii="Arial" w:cs="Arial" w:eastAsia="Arial" w:hAnsi="Arial"/>
                <w:sz w:val="14"/>
                <w:szCs w:val="14"/>
                <w:color w:val="auto"/>
              </w:rPr>
              <w:t>$6,262,985</w:t>
            </w:r>
          </w:p>
        </w:tc>
        <w:tc>
          <w:tcPr>
            <w:tcW w:w="8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3640" w:type="dxa"/>
            <w:vAlign w:val="bottom"/>
            <w:shd w:val="clear" w:color="auto" w:fill="CCEEFF"/>
          </w:tcPr>
          <w:p>
            <w:pPr>
              <w:spacing w:after="0"/>
              <w:rPr>
                <w:sz w:val="20"/>
                <w:szCs w:val="20"/>
                <w:color w:val="auto"/>
              </w:rPr>
            </w:pPr>
            <w:r>
              <w:rPr>
                <w:rFonts w:ascii="Arial" w:cs="Arial" w:eastAsia="Arial" w:hAnsi="Arial"/>
                <w:sz w:val="14"/>
                <w:szCs w:val="14"/>
                <w:color w:val="auto"/>
              </w:rPr>
              <w:t>Chairman, Chief Executive Officer and President</w:t>
            </w:r>
          </w:p>
        </w:tc>
        <w:tc>
          <w:tcPr>
            <w:tcW w:w="540" w:type="dxa"/>
            <w:vAlign w:val="bottom"/>
            <w:shd w:val="clear" w:color="auto" w:fill="CCEEFF"/>
          </w:tcPr>
          <w:p>
            <w:pPr>
              <w:spacing w:after="0"/>
              <w:rPr>
                <w:sz w:val="14"/>
                <w:szCs w:val="14"/>
                <w:color w:val="auto"/>
              </w:rPr>
            </w:pPr>
          </w:p>
        </w:tc>
        <w:tc>
          <w:tcPr>
            <w:tcW w:w="760" w:type="dxa"/>
            <w:vAlign w:val="bottom"/>
            <w:shd w:val="clear" w:color="auto" w:fill="CCEEFF"/>
          </w:tcPr>
          <w:p>
            <w:pPr>
              <w:spacing w:after="0"/>
              <w:rPr>
                <w:sz w:val="14"/>
                <w:szCs w:val="14"/>
                <w:color w:val="auto"/>
              </w:rPr>
            </w:pPr>
          </w:p>
        </w:tc>
        <w:tc>
          <w:tcPr>
            <w:tcW w:w="920" w:type="dxa"/>
            <w:vAlign w:val="bottom"/>
            <w:shd w:val="clear" w:color="auto" w:fill="CCEEFF"/>
          </w:tcPr>
          <w:p>
            <w:pPr>
              <w:spacing w:after="0"/>
              <w:rPr>
                <w:sz w:val="14"/>
                <w:szCs w:val="14"/>
                <w:color w:val="auto"/>
              </w:rPr>
            </w:pPr>
          </w:p>
        </w:tc>
        <w:tc>
          <w:tcPr>
            <w:tcW w:w="90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c>
          <w:tcPr>
            <w:tcW w:w="1120" w:type="dxa"/>
            <w:vAlign w:val="bottom"/>
            <w:shd w:val="clear" w:color="auto" w:fill="CCEEFF"/>
          </w:tcPr>
          <w:p>
            <w:pPr>
              <w:spacing w:after="0"/>
              <w:rPr>
                <w:sz w:val="14"/>
                <w:szCs w:val="14"/>
                <w:color w:val="auto"/>
              </w:rPr>
            </w:pPr>
          </w:p>
        </w:tc>
        <w:tc>
          <w:tcPr>
            <w:tcW w:w="1320" w:type="dxa"/>
            <w:vAlign w:val="bottom"/>
            <w:shd w:val="clear" w:color="auto" w:fill="CCEEFF"/>
          </w:tcPr>
          <w:p>
            <w:pPr>
              <w:spacing w:after="0"/>
              <w:rPr>
                <w:sz w:val="14"/>
                <w:szCs w:val="14"/>
                <w:color w:val="auto"/>
              </w:rPr>
            </w:pPr>
          </w:p>
        </w:tc>
        <w:tc>
          <w:tcPr>
            <w:tcW w:w="82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238"/>
        </w:trPr>
        <w:tc>
          <w:tcPr>
            <w:tcW w:w="3660" w:type="dxa"/>
            <w:vAlign w:val="bottom"/>
            <w:gridSpan w:val="2"/>
          </w:tcPr>
          <w:p>
            <w:pPr>
              <w:spacing w:after="0"/>
              <w:rPr>
                <w:sz w:val="20"/>
                <w:szCs w:val="20"/>
                <w:color w:val="auto"/>
              </w:rPr>
            </w:pPr>
            <w:r>
              <w:rPr>
                <w:rFonts w:ascii="Arial" w:cs="Arial" w:eastAsia="Arial" w:hAnsi="Arial"/>
                <w:sz w:val="14"/>
                <w:szCs w:val="14"/>
                <w:color w:val="auto"/>
              </w:rPr>
              <w:t>Christopher J. Holding</w:t>
            </w:r>
          </w:p>
        </w:tc>
        <w:tc>
          <w:tcPr>
            <w:tcW w:w="540" w:type="dxa"/>
            <w:vAlign w:val="bottom"/>
          </w:tcPr>
          <w:p>
            <w:pPr>
              <w:ind w:left="140"/>
              <w:spacing w:after="0"/>
              <w:rPr>
                <w:sz w:val="20"/>
                <w:szCs w:val="20"/>
                <w:color w:val="auto"/>
              </w:rPr>
            </w:pPr>
            <w:r>
              <w:rPr>
                <w:rFonts w:ascii="Arial" w:cs="Arial" w:eastAsia="Arial" w:hAnsi="Arial"/>
                <w:sz w:val="14"/>
                <w:szCs w:val="14"/>
                <w:color w:val="auto"/>
              </w:rPr>
              <w:t>2013</w:t>
            </w:r>
          </w:p>
        </w:tc>
        <w:tc>
          <w:tcPr>
            <w:tcW w:w="760" w:type="dxa"/>
            <w:vAlign w:val="bottom"/>
          </w:tcPr>
          <w:p>
            <w:pPr>
              <w:jc w:val="right"/>
              <w:ind w:right="68"/>
              <w:spacing w:after="0"/>
              <w:rPr>
                <w:sz w:val="20"/>
                <w:szCs w:val="20"/>
                <w:color w:val="auto"/>
              </w:rPr>
            </w:pPr>
            <w:r>
              <w:rPr>
                <w:rFonts w:ascii="Arial" w:cs="Arial" w:eastAsia="Arial" w:hAnsi="Arial"/>
                <w:sz w:val="14"/>
                <w:szCs w:val="14"/>
                <w:color w:val="auto"/>
              </w:rPr>
              <w:t>$214,284</w:t>
            </w:r>
          </w:p>
        </w:tc>
        <w:tc>
          <w:tcPr>
            <w:tcW w:w="920" w:type="dxa"/>
            <w:vAlign w:val="bottom"/>
          </w:tcPr>
          <w:p>
            <w:pPr>
              <w:jc w:val="right"/>
              <w:ind w:right="70"/>
              <w:spacing w:after="0"/>
              <w:rPr>
                <w:sz w:val="20"/>
                <w:szCs w:val="20"/>
                <w:color w:val="auto"/>
              </w:rPr>
            </w:pPr>
            <w:r>
              <w:rPr>
                <w:rFonts w:ascii="Arial" w:cs="Arial" w:eastAsia="Arial" w:hAnsi="Arial"/>
                <w:sz w:val="14"/>
                <w:szCs w:val="14"/>
                <w:color w:val="auto"/>
              </w:rPr>
              <w:t>$112,540</w:t>
            </w:r>
          </w:p>
        </w:tc>
        <w:tc>
          <w:tcPr>
            <w:tcW w:w="900" w:type="dxa"/>
            <w:vAlign w:val="bottom"/>
          </w:tcPr>
          <w:p>
            <w:pPr>
              <w:jc w:val="right"/>
              <w:ind w:right="50"/>
              <w:spacing w:after="0"/>
              <w:rPr>
                <w:sz w:val="20"/>
                <w:szCs w:val="20"/>
                <w:color w:val="auto"/>
              </w:rPr>
            </w:pPr>
            <w:r>
              <w:rPr>
                <w:rFonts w:ascii="Arial" w:cs="Arial" w:eastAsia="Arial" w:hAnsi="Arial"/>
                <w:sz w:val="14"/>
                <w:szCs w:val="14"/>
                <w:color w:val="auto"/>
              </w:rPr>
              <w:t>$76,968</w:t>
            </w:r>
          </w:p>
        </w:tc>
        <w:tc>
          <w:tcPr>
            <w:tcW w:w="1300" w:type="dxa"/>
            <w:vAlign w:val="bottom"/>
          </w:tcPr>
          <w:p>
            <w:pPr>
              <w:jc w:val="right"/>
              <w:ind w:right="48"/>
              <w:spacing w:after="0"/>
              <w:rPr>
                <w:sz w:val="20"/>
                <w:szCs w:val="20"/>
                <w:color w:val="auto"/>
              </w:rPr>
            </w:pPr>
            <w:r>
              <w:rPr>
                <w:rFonts w:ascii="Arial" w:cs="Arial" w:eastAsia="Arial" w:hAnsi="Arial"/>
                <w:sz w:val="14"/>
                <w:szCs w:val="14"/>
                <w:color w:val="auto"/>
              </w:rPr>
              <w:t>$126,647</w:t>
            </w:r>
          </w:p>
        </w:tc>
        <w:tc>
          <w:tcPr>
            <w:tcW w:w="1120" w:type="dxa"/>
            <w:vAlign w:val="bottom"/>
          </w:tcPr>
          <w:p>
            <w:pPr>
              <w:jc w:val="right"/>
              <w:ind w:right="48"/>
              <w:spacing w:after="0"/>
              <w:rPr>
                <w:sz w:val="20"/>
                <w:szCs w:val="20"/>
                <w:color w:val="auto"/>
              </w:rPr>
            </w:pPr>
            <w:r>
              <w:rPr>
                <w:rFonts w:ascii="Arial" w:cs="Arial" w:eastAsia="Arial" w:hAnsi="Arial"/>
                <w:sz w:val="14"/>
                <w:szCs w:val="14"/>
                <w:color w:val="auto"/>
              </w:rPr>
              <w:t>$0</w:t>
            </w:r>
          </w:p>
        </w:tc>
        <w:tc>
          <w:tcPr>
            <w:tcW w:w="1320" w:type="dxa"/>
            <w:vAlign w:val="bottom"/>
          </w:tcPr>
          <w:p>
            <w:pPr>
              <w:jc w:val="right"/>
              <w:ind w:right="68"/>
              <w:spacing w:after="0"/>
              <w:rPr>
                <w:sz w:val="20"/>
                <w:szCs w:val="20"/>
                <w:color w:val="auto"/>
              </w:rPr>
            </w:pPr>
            <w:r>
              <w:rPr>
                <w:rFonts w:ascii="Arial" w:cs="Arial" w:eastAsia="Arial" w:hAnsi="Arial"/>
                <w:sz w:val="14"/>
                <w:szCs w:val="14"/>
                <w:color w:val="auto"/>
              </w:rPr>
              <w:t>$31,883</w:t>
            </w:r>
          </w:p>
        </w:tc>
        <w:tc>
          <w:tcPr>
            <w:tcW w:w="820" w:type="dxa"/>
            <w:vAlign w:val="bottom"/>
          </w:tcPr>
          <w:p>
            <w:pPr>
              <w:jc w:val="right"/>
              <w:spacing w:after="0"/>
              <w:rPr>
                <w:sz w:val="20"/>
                <w:szCs w:val="20"/>
                <w:color w:val="auto"/>
              </w:rPr>
            </w:pPr>
            <w:r>
              <w:rPr>
                <w:rFonts w:ascii="Arial" w:cs="Arial" w:eastAsia="Arial" w:hAnsi="Arial"/>
                <w:sz w:val="14"/>
                <w:szCs w:val="14"/>
                <w:color w:val="auto"/>
              </w:rPr>
              <w:t>$562,322</w:t>
            </w:r>
          </w:p>
        </w:tc>
        <w:tc>
          <w:tcPr>
            <w:tcW w:w="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82"/>
        </w:trPr>
        <w:tc>
          <w:tcPr>
            <w:tcW w:w="3660" w:type="dxa"/>
            <w:vAlign w:val="bottom"/>
            <w:gridSpan w:val="2"/>
          </w:tcPr>
          <w:p>
            <w:pPr>
              <w:spacing w:after="0"/>
              <w:rPr>
                <w:sz w:val="20"/>
                <w:szCs w:val="20"/>
                <w:color w:val="auto"/>
              </w:rPr>
            </w:pPr>
            <w:r>
              <w:rPr>
                <w:rFonts w:ascii="Arial" w:cs="Arial" w:eastAsia="Arial" w:hAnsi="Arial"/>
                <w:sz w:val="14"/>
                <w:szCs w:val="14"/>
                <w:color w:val="auto"/>
              </w:rPr>
              <w:t>Executive Vice President and Chief Financial Officer</w:t>
            </w:r>
          </w:p>
        </w:tc>
        <w:tc>
          <w:tcPr>
            <w:tcW w:w="5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130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132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93"/>
        </w:trPr>
        <w:tc>
          <w:tcPr>
            <w:tcW w:w="20" w:type="dxa"/>
            <w:vAlign w:val="bottom"/>
            <w:vMerge w:val="restart"/>
          </w:tcPr>
          <w:p>
            <w:pPr>
              <w:spacing w:after="0"/>
              <w:rPr>
                <w:sz w:val="8"/>
                <w:szCs w:val="8"/>
                <w:color w:val="auto"/>
              </w:rPr>
            </w:pPr>
          </w:p>
        </w:tc>
        <w:tc>
          <w:tcPr>
            <w:tcW w:w="3640" w:type="dxa"/>
            <w:vAlign w:val="bottom"/>
          </w:tcPr>
          <w:p>
            <w:pPr>
              <w:spacing w:after="0"/>
              <w:rPr>
                <w:sz w:val="8"/>
                <w:szCs w:val="8"/>
                <w:color w:val="auto"/>
              </w:rPr>
            </w:pPr>
          </w:p>
        </w:tc>
        <w:tc>
          <w:tcPr>
            <w:tcW w:w="54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900" w:type="dxa"/>
            <w:vAlign w:val="bottom"/>
          </w:tcPr>
          <w:p>
            <w:pPr>
              <w:spacing w:after="0"/>
              <w:rPr>
                <w:sz w:val="8"/>
                <w:szCs w:val="8"/>
                <w:color w:val="auto"/>
              </w:rPr>
            </w:pPr>
          </w:p>
        </w:tc>
        <w:tc>
          <w:tcPr>
            <w:tcW w:w="1300" w:type="dxa"/>
            <w:vAlign w:val="bottom"/>
          </w:tcPr>
          <w:p>
            <w:pPr>
              <w:spacing w:after="0"/>
              <w:rPr>
                <w:sz w:val="8"/>
                <w:szCs w:val="8"/>
                <w:color w:val="auto"/>
              </w:rPr>
            </w:pPr>
          </w:p>
        </w:tc>
        <w:tc>
          <w:tcPr>
            <w:tcW w:w="1120" w:type="dxa"/>
            <w:vAlign w:val="bottom"/>
          </w:tcPr>
          <w:p>
            <w:pPr>
              <w:spacing w:after="0"/>
              <w:rPr>
                <w:sz w:val="8"/>
                <w:szCs w:val="8"/>
                <w:color w:val="auto"/>
              </w:rPr>
            </w:pPr>
          </w:p>
        </w:tc>
        <w:tc>
          <w:tcPr>
            <w:tcW w:w="1320" w:type="dxa"/>
            <w:vAlign w:val="bottom"/>
          </w:tcPr>
          <w:p>
            <w:pPr>
              <w:spacing w:after="0"/>
              <w:rPr>
                <w:sz w:val="8"/>
                <w:szCs w:val="8"/>
                <w:color w:val="auto"/>
              </w:rPr>
            </w:pPr>
          </w:p>
        </w:tc>
        <w:tc>
          <w:tcPr>
            <w:tcW w:w="820" w:type="dxa"/>
            <w:vAlign w:val="bottom"/>
          </w:tcPr>
          <w:p>
            <w:pPr>
              <w:spacing w:after="0"/>
              <w:rPr>
                <w:sz w:val="8"/>
                <w:szCs w:val="8"/>
                <w:color w:val="auto"/>
              </w:rPr>
            </w:pPr>
          </w:p>
        </w:tc>
        <w:tc>
          <w:tcPr>
            <w:tcW w:w="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30"/>
        </w:trPr>
        <w:tc>
          <w:tcPr>
            <w:tcW w:w="20" w:type="dxa"/>
            <w:vAlign w:val="bottom"/>
            <w:vMerge w:val="continue"/>
          </w:tcPr>
          <w:p>
            <w:pPr>
              <w:spacing w:after="0"/>
              <w:rPr>
                <w:sz w:val="11"/>
                <w:szCs w:val="11"/>
                <w:color w:val="auto"/>
              </w:rPr>
            </w:pPr>
          </w:p>
        </w:tc>
        <w:tc>
          <w:tcPr>
            <w:tcW w:w="3640" w:type="dxa"/>
            <w:vAlign w:val="bottom"/>
            <w:shd w:val="clear" w:color="auto" w:fill="CCEEFF"/>
          </w:tcPr>
          <w:p>
            <w:pPr>
              <w:spacing w:after="0" w:line="130" w:lineRule="exact"/>
              <w:rPr>
                <w:sz w:val="20"/>
                <w:szCs w:val="20"/>
                <w:color w:val="auto"/>
              </w:rPr>
            </w:pPr>
            <w:r>
              <w:rPr>
                <w:rFonts w:ascii="Arial" w:cs="Arial" w:eastAsia="Arial" w:hAnsi="Arial"/>
                <w:sz w:val="14"/>
                <w:szCs w:val="14"/>
                <w:color w:val="auto"/>
              </w:rPr>
              <w:t>Donald L. Walker</w:t>
            </w:r>
          </w:p>
        </w:tc>
        <w:tc>
          <w:tcPr>
            <w:tcW w:w="540" w:type="dxa"/>
            <w:vAlign w:val="bottom"/>
            <w:shd w:val="clear" w:color="auto" w:fill="CCEEFF"/>
          </w:tcPr>
          <w:p>
            <w:pPr>
              <w:ind w:left="140"/>
              <w:spacing w:after="0" w:line="130" w:lineRule="exact"/>
              <w:rPr>
                <w:sz w:val="20"/>
                <w:szCs w:val="20"/>
                <w:color w:val="auto"/>
              </w:rPr>
            </w:pPr>
            <w:r>
              <w:rPr>
                <w:rFonts w:ascii="Arial" w:cs="Arial" w:eastAsia="Arial" w:hAnsi="Arial"/>
                <w:sz w:val="14"/>
                <w:szCs w:val="14"/>
                <w:color w:val="auto"/>
              </w:rPr>
              <w:t>2013</w:t>
            </w:r>
          </w:p>
        </w:tc>
        <w:tc>
          <w:tcPr>
            <w:tcW w:w="760" w:type="dxa"/>
            <w:vAlign w:val="bottom"/>
            <w:shd w:val="clear" w:color="auto" w:fill="CCEEFF"/>
          </w:tcPr>
          <w:p>
            <w:pPr>
              <w:jc w:val="right"/>
              <w:ind w:right="68"/>
              <w:spacing w:after="0" w:line="130" w:lineRule="exact"/>
              <w:rPr>
                <w:sz w:val="20"/>
                <w:szCs w:val="20"/>
                <w:color w:val="auto"/>
              </w:rPr>
            </w:pPr>
            <w:r>
              <w:rPr>
                <w:rFonts w:ascii="Arial" w:cs="Arial" w:eastAsia="Arial" w:hAnsi="Arial"/>
                <w:sz w:val="14"/>
                <w:szCs w:val="14"/>
                <w:color w:val="auto"/>
              </w:rPr>
              <w:t>$362,700</w:t>
            </w:r>
          </w:p>
        </w:tc>
        <w:tc>
          <w:tcPr>
            <w:tcW w:w="920" w:type="dxa"/>
            <w:vAlign w:val="bottom"/>
            <w:shd w:val="clear" w:color="auto" w:fill="CCEEFF"/>
          </w:tcPr>
          <w:p>
            <w:pPr>
              <w:jc w:val="right"/>
              <w:ind w:right="70"/>
              <w:spacing w:after="0" w:line="130" w:lineRule="exact"/>
              <w:rPr>
                <w:sz w:val="20"/>
                <w:szCs w:val="20"/>
                <w:color w:val="auto"/>
              </w:rPr>
            </w:pPr>
            <w:r>
              <w:rPr>
                <w:rFonts w:ascii="Arial" w:cs="Arial" w:eastAsia="Arial" w:hAnsi="Arial"/>
                <w:sz w:val="14"/>
                <w:szCs w:val="14"/>
                <w:color w:val="auto"/>
              </w:rPr>
              <w:t>$635,851</w:t>
            </w:r>
          </w:p>
        </w:tc>
        <w:tc>
          <w:tcPr>
            <w:tcW w:w="900" w:type="dxa"/>
            <w:vAlign w:val="bottom"/>
            <w:shd w:val="clear" w:color="auto" w:fill="CCEEFF"/>
          </w:tcPr>
          <w:p>
            <w:pPr>
              <w:jc w:val="right"/>
              <w:ind w:right="50"/>
              <w:spacing w:after="0" w:line="130" w:lineRule="exact"/>
              <w:rPr>
                <w:sz w:val="20"/>
                <w:szCs w:val="20"/>
                <w:color w:val="auto"/>
              </w:rPr>
            </w:pPr>
            <w:r>
              <w:rPr>
                <w:rFonts w:ascii="Arial" w:cs="Arial" w:eastAsia="Arial" w:hAnsi="Arial"/>
                <w:sz w:val="14"/>
                <w:szCs w:val="14"/>
                <w:color w:val="auto"/>
              </w:rPr>
              <w:t>$186,006</w:t>
            </w:r>
          </w:p>
        </w:tc>
        <w:tc>
          <w:tcPr>
            <w:tcW w:w="1300" w:type="dxa"/>
            <w:vAlign w:val="bottom"/>
            <w:shd w:val="clear" w:color="auto" w:fill="CCEEFF"/>
          </w:tcPr>
          <w:p>
            <w:pPr>
              <w:jc w:val="right"/>
              <w:ind w:right="48"/>
              <w:spacing w:after="0" w:line="130" w:lineRule="exact"/>
              <w:rPr>
                <w:sz w:val="20"/>
                <w:szCs w:val="20"/>
                <w:color w:val="auto"/>
              </w:rPr>
            </w:pPr>
            <w:r>
              <w:rPr>
                <w:rFonts w:ascii="Arial" w:cs="Arial" w:eastAsia="Arial" w:hAnsi="Arial"/>
                <w:sz w:val="14"/>
                <w:szCs w:val="14"/>
                <w:color w:val="auto"/>
              </w:rPr>
              <w:t>$388,873</w:t>
            </w:r>
          </w:p>
        </w:tc>
        <w:tc>
          <w:tcPr>
            <w:tcW w:w="1120" w:type="dxa"/>
            <w:vAlign w:val="bottom"/>
            <w:shd w:val="clear" w:color="auto" w:fill="CCEEFF"/>
          </w:tcPr>
          <w:p>
            <w:pPr>
              <w:jc w:val="right"/>
              <w:ind w:right="48"/>
              <w:spacing w:after="0" w:line="130" w:lineRule="exact"/>
              <w:rPr>
                <w:sz w:val="20"/>
                <w:szCs w:val="20"/>
                <w:color w:val="auto"/>
              </w:rPr>
            </w:pPr>
            <w:r>
              <w:rPr>
                <w:rFonts w:ascii="Arial" w:cs="Arial" w:eastAsia="Arial" w:hAnsi="Arial"/>
                <w:sz w:val="14"/>
                <w:szCs w:val="14"/>
                <w:color w:val="auto"/>
              </w:rPr>
              <w:t>$0</w:t>
            </w:r>
          </w:p>
        </w:tc>
        <w:tc>
          <w:tcPr>
            <w:tcW w:w="1320" w:type="dxa"/>
            <w:vAlign w:val="bottom"/>
            <w:shd w:val="clear" w:color="auto" w:fill="CCEEFF"/>
          </w:tcPr>
          <w:p>
            <w:pPr>
              <w:jc w:val="right"/>
              <w:ind w:right="68"/>
              <w:spacing w:after="0" w:line="130" w:lineRule="exact"/>
              <w:rPr>
                <w:sz w:val="20"/>
                <w:szCs w:val="20"/>
                <w:color w:val="auto"/>
              </w:rPr>
            </w:pPr>
            <w:r>
              <w:rPr>
                <w:rFonts w:ascii="Arial" w:cs="Arial" w:eastAsia="Arial" w:hAnsi="Arial"/>
                <w:sz w:val="14"/>
                <w:szCs w:val="14"/>
                <w:color w:val="auto"/>
              </w:rPr>
              <w:t>$36,604</w:t>
            </w:r>
          </w:p>
        </w:tc>
        <w:tc>
          <w:tcPr>
            <w:tcW w:w="820" w:type="dxa"/>
            <w:vAlign w:val="bottom"/>
            <w:shd w:val="clear" w:color="auto" w:fill="CCEEFF"/>
          </w:tcPr>
          <w:p>
            <w:pPr>
              <w:jc w:val="right"/>
              <w:spacing w:after="0" w:line="130" w:lineRule="exact"/>
              <w:rPr>
                <w:sz w:val="20"/>
                <w:szCs w:val="20"/>
                <w:color w:val="auto"/>
              </w:rPr>
            </w:pPr>
            <w:r>
              <w:rPr>
                <w:rFonts w:ascii="Arial" w:cs="Arial" w:eastAsia="Arial" w:hAnsi="Arial"/>
                <w:sz w:val="14"/>
                <w:szCs w:val="14"/>
                <w:color w:val="auto"/>
              </w:rPr>
              <w:t>$1,610,034</w:t>
            </w:r>
          </w:p>
        </w:tc>
        <w:tc>
          <w:tcPr>
            <w:tcW w:w="8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64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Executive Vice President of Human Resources and</w:t>
            </w:r>
          </w:p>
        </w:tc>
        <w:tc>
          <w:tcPr>
            <w:tcW w:w="540" w:type="dxa"/>
            <w:vAlign w:val="bottom"/>
            <w:shd w:val="clear" w:color="auto" w:fill="CCEEFF"/>
          </w:tcPr>
          <w:p>
            <w:pPr>
              <w:spacing w:after="0"/>
              <w:rPr>
                <w:sz w:val="12"/>
                <w:szCs w:val="12"/>
                <w:color w:val="auto"/>
              </w:rPr>
            </w:pPr>
          </w:p>
        </w:tc>
        <w:tc>
          <w:tcPr>
            <w:tcW w:w="760" w:type="dxa"/>
            <w:vAlign w:val="bottom"/>
            <w:shd w:val="clear" w:color="auto" w:fill="CCEEFF"/>
          </w:tcPr>
          <w:p>
            <w:pPr>
              <w:spacing w:after="0"/>
              <w:rPr>
                <w:sz w:val="12"/>
                <w:szCs w:val="12"/>
                <w:color w:val="auto"/>
              </w:rPr>
            </w:pPr>
          </w:p>
        </w:tc>
        <w:tc>
          <w:tcPr>
            <w:tcW w:w="920" w:type="dxa"/>
            <w:vAlign w:val="bottom"/>
            <w:shd w:val="clear" w:color="auto" w:fill="CCEEFF"/>
          </w:tcPr>
          <w:p>
            <w:pPr>
              <w:spacing w:after="0"/>
              <w:rPr>
                <w:sz w:val="12"/>
                <w:szCs w:val="12"/>
                <w:color w:val="auto"/>
              </w:rPr>
            </w:pPr>
          </w:p>
        </w:tc>
        <w:tc>
          <w:tcPr>
            <w:tcW w:w="900" w:type="dxa"/>
            <w:vAlign w:val="bottom"/>
            <w:shd w:val="clear" w:color="auto" w:fill="CCEEFF"/>
          </w:tcPr>
          <w:p>
            <w:pPr>
              <w:spacing w:after="0"/>
              <w:rPr>
                <w:sz w:val="12"/>
                <w:szCs w:val="12"/>
                <w:color w:val="auto"/>
              </w:rPr>
            </w:pPr>
          </w:p>
        </w:tc>
        <w:tc>
          <w:tcPr>
            <w:tcW w:w="1300" w:type="dxa"/>
            <w:vAlign w:val="bottom"/>
            <w:shd w:val="clear" w:color="auto" w:fill="CCEEFF"/>
          </w:tcPr>
          <w:p>
            <w:pPr>
              <w:spacing w:after="0"/>
              <w:rPr>
                <w:sz w:val="12"/>
                <w:szCs w:val="12"/>
                <w:color w:val="auto"/>
              </w:rPr>
            </w:pPr>
          </w:p>
        </w:tc>
        <w:tc>
          <w:tcPr>
            <w:tcW w:w="1120" w:type="dxa"/>
            <w:vAlign w:val="bottom"/>
            <w:shd w:val="clear" w:color="auto" w:fill="CCEEFF"/>
          </w:tcPr>
          <w:p>
            <w:pPr>
              <w:spacing w:after="0"/>
              <w:rPr>
                <w:sz w:val="12"/>
                <w:szCs w:val="12"/>
                <w:color w:val="auto"/>
              </w:rPr>
            </w:pPr>
          </w:p>
        </w:tc>
        <w:tc>
          <w:tcPr>
            <w:tcW w:w="1320" w:type="dxa"/>
            <w:vAlign w:val="bottom"/>
            <w:shd w:val="clear" w:color="auto" w:fill="CCEEFF"/>
          </w:tcPr>
          <w:p>
            <w:pPr>
              <w:spacing w:after="0"/>
              <w:rPr>
                <w:sz w:val="12"/>
                <w:szCs w:val="12"/>
                <w:color w:val="auto"/>
              </w:rPr>
            </w:pPr>
          </w:p>
        </w:tc>
        <w:tc>
          <w:tcPr>
            <w:tcW w:w="8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3640" w:type="dxa"/>
            <w:vAlign w:val="bottom"/>
            <w:shd w:val="clear" w:color="auto" w:fill="CCEEFF"/>
          </w:tcPr>
          <w:p>
            <w:pPr>
              <w:ind w:left="140"/>
              <w:spacing w:after="0"/>
              <w:rPr>
                <w:sz w:val="20"/>
                <w:szCs w:val="20"/>
                <w:color w:val="auto"/>
              </w:rPr>
            </w:pPr>
            <w:r>
              <w:rPr>
                <w:rFonts w:ascii="Arial" w:cs="Arial" w:eastAsia="Arial" w:hAnsi="Arial"/>
                <w:sz w:val="14"/>
                <w:szCs w:val="14"/>
                <w:color w:val="auto"/>
              </w:rPr>
              <w:t>Organizational Advancement</w:t>
            </w:r>
          </w:p>
        </w:tc>
        <w:tc>
          <w:tcPr>
            <w:tcW w:w="540" w:type="dxa"/>
            <w:vAlign w:val="bottom"/>
            <w:shd w:val="clear" w:color="auto" w:fill="CCEEFF"/>
          </w:tcPr>
          <w:p>
            <w:pPr>
              <w:spacing w:after="0"/>
              <w:rPr>
                <w:sz w:val="14"/>
                <w:szCs w:val="14"/>
                <w:color w:val="auto"/>
              </w:rPr>
            </w:pPr>
          </w:p>
        </w:tc>
        <w:tc>
          <w:tcPr>
            <w:tcW w:w="760" w:type="dxa"/>
            <w:vAlign w:val="bottom"/>
            <w:shd w:val="clear" w:color="auto" w:fill="CCEEFF"/>
          </w:tcPr>
          <w:p>
            <w:pPr>
              <w:spacing w:after="0"/>
              <w:rPr>
                <w:sz w:val="14"/>
                <w:szCs w:val="14"/>
                <w:color w:val="auto"/>
              </w:rPr>
            </w:pPr>
          </w:p>
        </w:tc>
        <w:tc>
          <w:tcPr>
            <w:tcW w:w="920" w:type="dxa"/>
            <w:vAlign w:val="bottom"/>
            <w:shd w:val="clear" w:color="auto" w:fill="CCEEFF"/>
          </w:tcPr>
          <w:p>
            <w:pPr>
              <w:spacing w:after="0"/>
              <w:rPr>
                <w:sz w:val="14"/>
                <w:szCs w:val="14"/>
                <w:color w:val="auto"/>
              </w:rPr>
            </w:pPr>
          </w:p>
        </w:tc>
        <w:tc>
          <w:tcPr>
            <w:tcW w:w="90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c>
          <w:tcPr>
            <w:tcW w:w="1120" w:type="dxa"/>
            <w:vAlign w:val="bottom"/>
            <w:shd w:val="clear" w:color="auto" w:fill="CCEEFF"/>
          </w:tcPr>
          <w:p>
            <w:pPr>
              <w:spacing w:after="0"/>
              <w:rPr>
                <w:sz w:val="14"/>
                <w:szCs w:val="14"/>
                <w:color w:val="auto"/>
              </w:rPr>
            </w:pPr>
          </w:p>
        </w:tc>
        <w:tc>
          <w:tcPr>
            <w:tcW w:w="1320" w:type="dxa"/>
            <w:vAlign w:val="bottom"/>
            <w:shd w:val="clear" w:color="auto" w:fill="CCEEFF"/>
          </w:tcPr>
          <w:p>
            <w:pPr>
              <w:spacing w:after="0"/>
              <w:rPr>
                <w:sz w:val="14"/>
                <w:szCs w:val="14"/>
                <w:color w:val="auto"/>
              </w:rPr>
            </w:pPr>
          </w:p>
        </w:tc>
        <w:tc>
          <w:tcPr>
            <w:tcW w:w="82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3640" w:type="dxa"/>
            <w:vAlign w:val="bottom"/>
          </w:tcPr>
          <w:p>
            <w:pPr>
              <w:spacing w:after="0" w:line="130" w:lineRule="exact"/>
              <w:rPr>
                <w:sz w:val="20"/>
                <w:szCs w:val="20"/>
                <w:color w:val="auto"/>
              </w:rPr>
            </w:pPr>
            <w:r>
              <w:rPr>
                <w:rFonts w:ascii="Arial" w:cs="Arial" w:eastAsia="Arial" w:hAnsi="Arial"/>
                <w:sz w:val="14"/>
                <w:szCs w:val="14"/>
                <w:color w:val="auto"/>
              </w:rPr>
              <w:t xml:space="preserve">Frank A. DiPiero </w:t>
            </w:r>
            <w:r>
              <w:rPr>
                <w:rFonts w:ascii="Arial" w:cs="Arial" w:eastAsia="Arial" w:hAnsi="Arial"/>
                <w:sz w:val="12"/>
                <w:szCs w:val="12"/>
                <w:color w:val="auto"/>
              </w:rPr>
              <w:t>(6)</w:t>
            </w:r>
          </w:p>
        </w:tc>
        <w:tc>
          <w:tcPr>
            <w:tcW w:w="540" w:type="dxa"/>
            <w:vAlign w:val="bottom"/>
          </w:tcPr>
          <w:p>
            <w:pPr>
              <w:ind w:left="140"/>
              <w:spacing w:after="0" w:line="130" w:lineRule="exact"/>
              <w:rPr>
                <w:sz w:val="20"/>
                <w:szCs w:val="20"/>
                <w:color w:val="auto"/>
              </w:rPr>
            </w:pPr>
            <w:r>
              <w:rPr>
                <w:rFonts w:ascii="Arial" w:cs="Arial" w:eastAsia="Arial" w:hAnsi="Arial"/>
                <w:sz w:val="14"/>
                <w:szCs w:val="14"/>
                <w:color w:val="auto"/>
              </w:rPr>
              <w:t>2013</w:t>
            </w:r>
          </w:p>
        </w:tc>
        <w:tc>
          <w:tcPr>
            <w:tcW w:w="760" w:type="dxa"/>
            <w:vAlign w:val="bottom"/>
          </w:tcPr>
          <w:p>
            <w:pPr>
              <w:jc w:val="right"/>
              <w:ind w:right="68"/>
              <w:spacing w:after="0" w:line="130" w:lineRule="exact"/>
              <w:rPr>
                <w:sz w:val="20"/>
                <w:szCs w:val="20"/>
                <w:color w:val="auto"/>
              </w:rPr>
            </w:pPr>
            <w:r>
              <w:rPr>
                <w:rFonts w:ascii="Arial" w:cs="Arial" w:eastAsia="Arial" w:hAnsi="Arial"/>
                <w:sz w:val="14"/>
                <w:szCs w:val="14"/>
                <w:color w:val="auto"/>
              </w:rPr>
              <w:t>—</w:t>
            </w:r>
          </w:p>
        </w:tc>
        <w:tc>
          <w:tcPr>
            <w:tcW w:w="920" w:type="dxa"/>
            <w:vAlign w:val="bottom"/>
          </w:tcPr>
          <w:p>
            <w:pPr>
              <w:jc w:val="right"/>
              <w:ind w:right="70"/>
              <w:spacing w:after="0" w:line="130" w:lineRule="exact"/>
              <w:rPr>
                <w:sz w:val="20"/>
                <w:szCs w:val="20"/>
                <w:color w:val="auto"/>
              </w:rPr>
            </w:pPr>
            <w:r>
              <w:rPr>
                <w:rFonts w:ascii="Arial" w:cs="Arial" w:eastAsia="Arial" w:hAnsi="Arial"/>
                <w:sz w:val="14"/>
                <w:szCs w:val="14"/>
                <w:color w:val="auto"/>
              </w:rPr>
              <w:t>—</w:t>
            </w:r>
          </w:p>
        </w:tc>
        <w:tc>
          <w:tcPr>
            <w:tcW w:w="900" w:type="dxa"/>
            <w:vAlign w:val="bottom"/>
          </w:tcPr>
          <w:p>
            <w:pPr>
              <w:jc w:val="right"/>
              <w:ind w:right="50"/>
              <w:spacing w:after="0" w:line="130" w:lineRule="exact"/>
              <w:rPr>
                <w:sz w:val="20"/>
                <w:szCs w:val="20"/>
                <w:color w:val="auto"/>
              </w:rPr>
            </w:pPr>
            <w:r>
              <w:rPr>
                <w:rFonts w:ascii="Arial" w:cs="Arial" w:eastAsia="Arial" w:hAnsi="Arial"/>
                <w:sz w:val="14"/>
                <w:szCs w:val="14"/>
                <w:color w:val="auto"/>
              </w:rPr>
              <w:t>—</w:t>
            </w:r>
          </w:p>
        </w:tc>
        <w:tc>
          <w:tcPr>
            <w:tcW w:w="1300" w:type="dxa"/>
            <w:vAlign w:val="bottom"/>
          </w:tcPr>
          <w:p>
            <w:pPr>
              <w:jc w:val="right"/>
              <w:ind w:right="48"/>
              <w:spacing w:after="0" w:line="130" w:lineRule="exact"/>
              <w:rPr>
                <w:sz w:val="20"/>
                <w:szCs w:val="20"/>
                <w:color w:val="auto"/>
              </w:rPr>
            </w:pPr>
            <w:r>
              <w:rPr>
                <w:rFonts w:ascii="Arial" w:cs="Arial" w:eastAsia="Arial" w:hAnsi="Arial"/>
                <w:sz w:val="14"/>
                <w:szCs w:val="14"/>
                <w:color w:val="auto"/>
              </w:rPr>
              <w:t>—</w:t>
            </w:r>
          </w:p>
        </w:tc>
        <w:tc>
          <w:tcPr>
            <w:tcW w:w="1120" w:type="dxa"/>
            <w:vAlign w:val="bottom"/>
          </w:tcPr>
          <w:p>
            <w:pPr>
              <w:jc w:val="right"/>
              <w:ind w:right="48"/>
              <w:spacing w:after="0" w:line="130" w:lineRule="exact"/>
              <w:rPr>
                <w:sz w:val="20"/>
                <w:szCs w:val="20"/>
                <w:color w:val="auto"/>
              </w:rPr>
            </w:pPr>
            <w:r>
              <w:rPr>
                <w:rFonts w:ascii="Arial" w:cs="Arial" w:eastAsia="Arial" w:hAnsi="Arial"/>
                <w:sz w:val="14"/>
                <w:szCs w:val="14"/>
                <w:color w:val="auto"/>
              </w:rPr>
              <w:t>—</w:t>
            </w:r>
          </w:p>
        </w:tc>
        <w:tc>
          <w:tcPr>
            <w:tcW w:w="1320" w:type="dxa"/>
            <w:vAlign w:val="bottom"/>
          </w:tcPr>
          <w:p>
            <w:pPr>
              <w:jc w:val="right"/>
              <w:ind w:right="68"/>
              <w:spacing w:after="0" w:line="130" w:lineRule="exact"/>
              <w:rPr>
                <w:sz w:val="20"/>
                <w:szCs w:val="20"/>
                <w:color w:val="auto"/>
              </w:rPr>
            </w:pPr>
            <w:r>
              <w:rPr>
                <w:rFonts w:ascii="Arial" w:cs="Arial" w:eastAsia="Arial" w:hAnsi="Arial"/>
                <w:sz w:val="14"/>
                <w:szCs w:val="14"/>
                <w:color w:val="auto"/>
              </w:rPr>
              <w:t>—</w:t>
            </w:r>
          </w:p>
        </w:tc>
        <w:tc>
          <w:tcPr>
            <w:tcW w:w="900" w:type="dxa"/>
            <w:vAlign w:val="bottom"/>
            <w:gridSpan w:val="2"/>
          </w:tcPr>
          <w:p>
            <w:pPr>
              <w:jc w:val="right"/>
              <w:ind w:right="120"/>
              <w:spacing w:after="0" w:line="130"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82"/>
        </w:trPr>
        <w:tc>
          <w:tcPr>
            <w:tcW w:w="3660" w:type="dxa"/>
            <w:vAlign w:val="bottom"/>
            <w:gridSpan w:val="2"/>
          </w:tcPr>
          <w:p>
            <w:pPr>
              <w:spacing w:after="0"/>
              <w:rPr>
                <w:sz w:val="20"/>
                <w:szCs w:val="20"/>
                <w:color w:val="auto"/>
              </w:rPr>
            </w:pPr>
            <w:r>
              <w:rPr>
                <w:rFonts w:ascii="Arial" w:cs="Arial" w:eastAsia="Arial" w:hAnsi="Arial"/>
                <w:sz w:val="14"/>
                <w:szCs w:val="14"/>
                <w:color w:val="auto"/>
              </w:rPr>
              <w:t>Executive Vice President, General Counsel and Secretary</w:t>
            </w:r>
          </w:p>
        </w:tc>
        <w:tc>
          <w:tcPr>
            <w:tcW w:w="5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130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132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0" w:type="dxa"/>
            <w:vAlign w:val="bottom"/>
          </w:tcPr>
          <w:p>
            <w:pPr>
              <w:spacing w:after="0"/>
              <w:rPr>
                <w:sz w:val="1"/>
                <w:szCs w:val="1"/>
                <w:color w:val="auto"/>
              </w:rPr>
            </w:pPr>
          </w:p>
        </w:tc>
      </w:tr>
    </w:tbl>
    <w:p>
      <w:pPr>
        <w:spacing w:after="0" w:line="268" w:lineRule="exact"/>
        <w:rPr>
          <w:sz w:val="20"/>
          <w:szCs w:val="20"/>
          <w:color w:val="auto"/>
        </w:rPr>
      </w:pPr>
    </w:p>
    <w:p>
      <w:pPr>
        <w:ind w:left="340" w:right="80" w:hanging="332"/>
        <w:spacing w:after="0" w:line="302" w:lineRule="auto"/>
        <w:tabs>
          <w:tab w:leader="none" w:pos="340" w:val="left"/>
        </w:tabs>
        <w:numPr>
          <w:ilvl w:val="0"/>
          <w:numId w:val="28"/>
        </w:numPr>
        <w:rPr>
          <w:rFonts w:ascii="Arial" w:cs="Arial" w:eastAsia="Arial" w:hAnsi="Arial"/>
          <w:sz w:val="16"/>
          <w:szCs w:val="16"/>
          <w:color w:val="auto"/>
        </w:rPr>
      </w:pPr>
      <w:r>
        <w:rPr>
          <w:rFonts w:ascii="Arial" w:cs="Arial" w:eastAsia="Arial" w:hAnsi="Arial"/>
          <w:sz w:val="16"/>
          <w:szCs w:val="16"/>
          <w:color w:val="auto"/>
        </w:rPr>
        <w:t>The amounts shown in this column for 2013 represent the grant date fair value of strategic performance shares granted in 2013 (calculated in accordance with Financial Accounting Standards Board Accounting Standards Codification Topic 718, or FASB ASC Topic 718). See the description of strategic performance shares on page 69. Should performance equal or exceed the maximum goals for these 2013 strategic performance shares, the grant date fair value for such awards would be: Mr. Timken - $1,975,077; Mr. Holding - $168,810; and Mr. Walker - $278,537.</w:t>
      </w:r>
    </w:p>
    <w:p>
      <w:pPr>
        <w:spacing w:after="0" w:line="113" w:lineRule="exact"/>
        <w:rPr>
          <w:rFonts w:ascii="Arial" w:cs="Arial" w:eastAsia="Arial" w:hAnsi="Arial"/>
          <w:sz w:val="16"/>
          <w:szCs w:val="16"/>
          <w:color w:val="auto"/>
        </w:rPr>
      </w:pPr>
    </w:p>
    <w:p>
      <w:pPr>
        <w:ind w:left="360" w:right="200"/>
        <w:spacing w:after="0" w:line="264" w:lineRule="auto"/>
        <w:rPr>
          <w:rFonts w:ascii="Arial" w:cs="Arial" w:eastAsia="Arial" w:hAnsi="Arial"/>
          <w:sz w:val="16"/>
          <w:szCs w:val="16"/>
          <w:color w:val="auto"/>
        </w:rPr>
      </w:pPr>
      <w:r>
        <w:rPr>
          <w:rFonts w:ascii="Arial" w:cs="Arial" w:eastAsia="Arial" w:hAnsi="Arial"/>
          <w:sz w:val="18"/>
          <w:szCs w:val="18"/>
          <w:color w:val="auto"/>
        </w:rPr>
        <w:t>For Mr. Walker, part of the amount shown in this column represents the grant date fair value of a one-time grant of 8,000 deferred shares (calculated in accordance with FASB ASC Topic 718) made to Mr. Walker on February 7, 2013. These shares vest in full on December 31, 2015, contingent on continued employment with us.</w:t>
      </w:r>
    </w:p>
    <w:p>
      <w:pPr>
        <w:spacing w:after="0" w:line="181" w:lineRule="exact"/>
        <w:rPr>
          <w:rFonts w:ascii="Arial" w:cs="Arial" w:eastAsia="Arial" w:hAnsi="Arial"/>
          <w:sz w:val="16"/>
          <w:szCs w:val="16"/>
          <w:color w:val="auto"/>
        </w:rPr>
      </w:pPr>
    </w:p>
    <w:p>
      <w:pPr>
        <w:ind w:left="340" w:right="260" w:hanging="332"/>
        <w:spacing w:after="0" w:line="312" w:lineRule="auto"/>
        <w:tabs>
          <w:tab w:leader="none" w:pos="340" w:val="left"/>
        </w:tabs>
        <w:numPr>
          <w:ilvl w:val="0"/>
          <w:numId w:val="28"/>
        </w:numPr>
        <w:rPr>
          <w:rFonts w:ascii="Arial" w:cs="Arial" w:eastAsia="Arial" w:hAnsi="Arial"/>
          <w:sz w:val="16"/>
          <w:szCs w:val="16"/>
          <w:color w:val="auto"/>
        </w:rPr>
      </w:pPr>
      <w:r>
        <w:rPr>
          <w:rFonts w:ascii="Arial" w:cs="Arial" w:eastAsia="Arial" w:hAnsi="Arial"/>
          <w:sz w:val="16"/>
          <w:szCs w:val="16"/>
          <w:color w:val="auto"/>
        </w:rPr>
        <w:t>The amounts shown in this column represent the grant date fair value of nonqualified stock options in 2013, computed in accordance with FASB ASC Topic 718, using the Black-Scholes model. All stock options vest at a rate of 25% per year. Assumptions used to determine the value of nonqualified stock options are described in Note 10 – Stock Compensation Plans in the notes to the Audited Consolidated Financial Statements.</w:t>
      </w:r>
    </w:p>
    <w:p>
      <w:pPr>
        <w:spacing w:after="0" w:line="146" w:lineRule="exact"/>
        <w:rPr>
          <w:rFonts w:ascii="Arial" w:cs="Arial" w:eastAsia="Arial" w:hAnsi="Arial"/>
          <w:sz w:val="16"/>
          <w:szCs w:val="16"/>
          <w:color w:val="auto"/>
        </w:rPr>
      </w:pPr>
    </w:p>
    <w:p>
      <w:pPr>
        <w:ind w:left="340" w:right="320" w:hanging="332"/>
        <w:spacing w:after="0" w:line="257" w:lineRule="auto"/>
        <w:tabs>
          <w:tab w:leader="none" w:pos="340" w:val="left"/>
        </w:tabs>
        <w:numPr>
          <w:ilvl w:val="0"/>
          <w:numId w:val="28"/>
        </w:numPr>
        <w:rPr>
          <w:rFonts w:ascii="Arial" w:cs="Arial" w:eastAsia="Arial" w:hAnsi="Arial"/>
          <w:sz w:val="18"/>
          <w:szCs w:val="18"/>
          <w:color w:val="auto"/>
        </w:rPr>
      </w:pPr>
      <w:r>
        <w:rPr>
          <w:rFonts w:ascii="Arial" w:cs="Arial" w:eastAsia="Arial" w:hAnsi="Arial"/>
          <w:sz w:val="18"/>
          <w:szCs w:val="18"/>
          <w:color w:val="auto"/>
        </w:rPr>
        <w:t>The amounts shown in this column represent cash Annual Performance Awards under the Senior Executive Management Performance Plan (annual incentive plan applicable to Messrs. Timken and Walker) or the Management Performance Plan (annual incentive plan applicable to Mr. Holding) for 2013 and the performance units covering the 2011-2013 performance cycle. Amounts earned as Annual Performance Awards for 2013 and under the 2011-2013 performance units, respectively, for each of our NEOs were as follows: Mr. Timken - $934,192 and $962,280; Mr. Holding - $83,551 and $43,096; and Mr. Walker - $195,811 and $193,062.</w:t>
      </w:r>
    </w:p>
    <w:p>
      <w:pPr>
        <w:spacing w:after="0" w:line="12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74</w:t>
      </w:r>
    </w:p>
    <w:p>
      <w:pPr>
        <w:sectPr>
          <w:pgSz w:w="11900" w:h="16838" w:orient="portrait"/>
          <w:cols w:equalWidth="0" w:num="1">
            <w:col w:w="11420"/>
          </w:cols>
          <w:pgMar w:left="240" w:top="459" w:right="239" w:bottom="1440" w:gutter="0" w:footer="0" w:header="0"/>
        </w:sectPr>
      </w:pPr>
    </w:p>
    <w:bookmarkStart w:id="86" w:name="page87"/>
    <w:bookmarkEnd w:id="8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340" w:right="20" w:hanging="332"/>
        <w:spacing w:after="0" w:line="289" w:lineRule="auto"/>
        <w:tabs>
          <w:tab w:leader="none" w:pos="340" w:val="left"/>
        </w:tabs>
        <w:numPr>
          <w:ilvl w:val="0"/>
          <w:numId w:val="29"/>
        </w:numPr>
        <w:rPr>
          <w:rFonts w:ascii="Arial" w:cs="Arial" w:eastAsia="Arial" w:hAnsi="Arial"/>
          <w:sz w:val="16"/>
          <w:szCs w:val="16"/>
          <w:color w:val="auto"/>
        </w:rPr>
      </w:pPr>
      <w:r>
        <w:rPr>
          <w:rFonts w:ascii="Arial" w:cs="Arial" w:eastAsia="Arial" w:hAnsi="Arial"/>
          <w:sz w:val="16"/>
          <w:szCs w:val="16"/>
          <w:color w:val="auto"/>
        </w:rPr>
        <w:t>The amounts shown in this column represent the difference between the accumulated benefit amounts shown in the 2013 Pension Benefits Table as of December 31, 2013 and those amounts calculated as of December 31, 2012. See the discussion of Pension Benefits for a description of how the amounts as of December 31, 2013 were calculated. The amounts as of December 31, 2012 were calculated using the same assumptions, except that a discount rate of 4% was used. As a result of the discount rate change from 4% to 5.02%, the change in pension value was negative (except for Mr. Holding who has no pension) and therefore the entries are shown as $0. The negative change in pension value for each of the NEOs were as follows: Mr. Timken - negative $898,000 and Mr. Walker - negative $69,000. For both years, liabilities were determined assuming no probability of termination, retirement, death, or disability before age 62 (the earliest age unreduced pension benefits are payable from the plans). None of the NEOs earned above-market earnings in a deferred compensation plan. For information about the pension plans and nonqualified deferred compensation programs that have been or will be established for TimkenSteel in connection with the spinoff, see “Pension Benefits” below.</w:t>
      </w:r>
    </w:p>
    <w:p>
      <w:pPr>
        <w:spacing w:after="0" w:line="193" w:lineRule="exact"/>
        <w:rPr>
          <w:rFonts w:ascii="Arial" w:cs="Arial" w:eastAsia="Arial" w:hAnsi="Arial"/>
          <w:sz w:val="16"/>
          <w:szCs w:val="16"/>
          <w:color w:val="auto"/>
        </w:rPr>
      </w:pPr>
    </w:p>
    <w:p>
      <w:pPr>
        <w:ind w:left="340" w:hanging="332"/>
        <w:spacing w:after="0"/>
        <w:tabs>
          <w:tab w:leader="none" w:pos="340" w:val="left"/>
        </w:tabs>
        <w:numPr>
          <w:ilvl w:val="0"/>
          <w:numId w:val="29"/>
        </w:numPr>
        <w:rPr>
          <w:rFonts w:ascii="Arial" w:cs="Arial" w:eastAsia="Arial" w:hAnsi="Arial"/>
          <w:sz w:val="18"/>
          <w:szCs w:val="18"/>
          <w:color w:val="auto"/>
        </w:rPr>
      </w:pPr>
      <w:r>
        <w:rPr>
          <w:rFonts w:ascii="Arial" w:cs="Arial" w:eastAsia="Arial" w:hAnsi="Arial"/>
          <w:sz w:val="18"/>
          <w:szCs w:val="18"/>
          <w:color w:val="auto"/>
        </w:rPr>
        <w:t>The amounts shown in this column are broken down in detail in the following table:</w:t>
      </w:r>
    </w:p>
    <w:p>
      <w:pPr>
        <w:spacing w:after="0" w:line="252" w:lineRule="exact"/>
        <w:rPr>
          <w:rFonts w:ascii="Arial" w:cs="Arial" w:eastAsia="Arial" w:hAnsi="Arial"/>
          <w:sz w:val="18"/>
          <w:szCs w:val="18"/>
          <w:color w:val="auto"/>
        </w:rPr>
      </w:pPr>
    </w:p>
    <w:p>
      <w:pPr>
        <w:ind w:left="340" w:hanging="332"/>
        <w:spacing w:after="0"/>
        <w:tabs>
          <w:tab w:leader="none" w:pos="340" w:val="left"/>
        </w:tabs>
        <w:numPr>
          <w:ilvl w:val="0"/>
          <w:numId w:val="29"/>
        </w:numPr>
        <w:rPr>
          <w:rFonts w:ascii="Arial" w:cs="Arial" w:eastAsia="Arial" w:hAnsi="Arial"/>
          <w:sz w:val="18"/>
          <w:szCs w:val="18"/>
          <w:color w:val="auto"/>
        </w:rPr>
      </w:pPr>
      <w:r>
        <w:rPr>
          <w:rFonts w:ascii="Arial" w:cs="Arial" w:eastAsia="Arial" w:hAnsi="Arial"/>
          <w:sz w:val="18"/>
          <w:szCs w:val="18"/>
          <w:color w:val="auto"/>
        </w:rPr>
        <w:t>Mr. DiPiero was not employed by Timken in 2013 and therefore no historical information is available for him.</w:t>
      </w:r>
    </w:p>
    <w:p>
      <w:pPr>
        <w:spacing w:after="0" w:line="20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920" w:type="dxa"/>
            <w:vAlign w:val="bottom"/>
          </w:tcPr>
          <w:p>
            <w:pPr>
              <w:spacing w:after="0"/>
              <w:rPr>
                <w:sz w:val="14"/>
                <w:szCs w:val="14"/>
                <w:color w:val="auto"/>
              </w:rPr>
            </w:pPr>
          </w:p>
        </w:tc>
        <w:tc>
          <w:tcPr>
            <w:tcW w:w="142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820" w:type="dxa"/>
            <w:vAlign w:val="bottom"/>
          </w:tcPr>
          <w:p>
            <w:pPr>
              <w:jc w:val="center"/>
              <w:spacing w:after="0"/>
              <w:rPr>
                <w:sz w:val="20"/>
                <w:szCs w:val="20"/>
                <w:color w:val="auto"/>
              </w:rPr>
            </w:pPr>
            <w:r>
              <w:rPr>
                <w:rFonts w:ascii="Arial" w:cs="Arial" w:eastAsia="Arial" w:hAnsi="Arial"/>
                <w:sz w:val="14"/>
                <w:szCs w:val="14"/>
                <w:b w:val="1"/>
                <w:bCs w:val="1"/>
                <w:color w:val="auto"/>
                <w:w w:val="90"/>
              </w:rPr>
              <w:t>Tax Gross-</w:t>
            </w:r>
          </w:p>
        </w:tc>
        <w:tc>
          <w:tcPr>
            <w:tcW w:w="5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920" w:type="dxa"/>
            <w:vAlign w:val="bottom"/>
          </w:tcPr>
          <w:p>
            <w:pPr>
              <w:spacing w:after="0"/>
              <w:rPr>
                <w:sz w:val="12"/>
                <w:szCs w:val="12"/>
                <w:color w:val="auto"/>
              </w:rPr>
            </w:pPr>
          </w:p>
        </w:tc>
        <w:tc>
          <w:tcPr>
            <w:tcW w:w="142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04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116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8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3"/>
              </w:rPr>
              <w:t>Ups for</w:t>
            </w:r>
          </w:p>
        </w:tc>
        <w:tc>
          <w:tcPr>
            <w:tcW w:w="5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920" w:type="dxa"/>
            <w:vAlign w:val="bottom"/>
          </w:tcPr>
          <w:p>
            <w:pPr>
              <w:spacing w:after="0"/>
              <w:rPr>
                <w:sz w:val="12"/>
                <w:szCs w:val="12"/>
                <w:color w:val="auto"/>
              </w:rPr>
            </w:pPr>
          </w:p>
        </w:tc>
        <w:tc>
          <w:tcPr>
            <w:tcW w:w="142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04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116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8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rPr>
              <w:t>Life</w:t>
            </w:r>
          </w:p>
        </w:tc>
        <w:tc>
          <w:tcPr>
            <w:tcW w:w="5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920" w:type="dxa"/>
            <w:vAlign w:val="bottom"/>
          </w:tcPr>
          <w:p>
            <w:pPr>
              <w:spacing w:after="0"/>
              <w:rPr>
                <w:sz w:val="12"/>
                <w:szCs w:val="12"/>
                <w:color w:val="auto"/>
              </w:rPr>
            </w:pPr>
          </w:p>
        </w:tc>
        <w:tc>
          <w:tcPr>
            <w:tcW w:w="142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04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116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8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4"/>
              </w:rPr>
              <w:t>Insurance,</w:t>
            </w:r>
          </w:p>
        </w:tc>
        <w:tc>
          <w:tcPr>
            <w:tcW w:w="5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920" w:type="dxa"/>
            <w:vAlign w:val="bottom"/>
          </w:tcPr>
          <w:p>
            <w:pPr>
              <w:spacing w:after="0"/>
              <w:rPr>
                <w:sz w:val="12"/>
                <w:szCs w:val="12"/>
                <w:color w:val="auto"/>
              </w:rPr>
            </w:pPr>
          </w:p>
        </w:tc>
        <w:tc>
          <w:tcPr>
            <w:tcW w:w="1420" w:type="dxa"/>
            <w:vAlign w:val="bottom"/>
            <w:vMerge w:val="restart"/>
          </w:tcPr>
          <w:p>
            <w:pPr>
              <w:jc w:val="center"/>
              <w:ind w:left="388"/>
              <w:spacing w:after="0"/>
              <w:rPr>
                <w:sz w:val="20"/>
                <w:szCs w:val="20"/>
                <w:color w:val="auto"/>
              </w:rPr>
            </w:pPr>
            <w:r>
              <w:rPr>
                <w:rFonts w:ascii="Arial" w:cs="Arial" w:eastAsia="Arial" w:hAnsi="Arial"/>
                <w:sz w:val="14"/>
                <w:szCs w:val="14"/>
                <w:b w:val="1"/>
                <w:bCs w:val="1"/>
                <w:color w:val="auto"/>
                <w:w w:val="92"/>
              </w:rPr>
              <w:t>Annual</w:t>
            </w:r>
          </w:p>
        </w:tc>
        <w:tc>
          <w:tcPr>
            <w:tcW w:w="94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6"/>
              </w:rPr>
              <w:t>Annual</w:t>
            </w:r>
          </w:p>
        </w:tc>
        <w:tc>
          <w:tcPr>
            <w:tcW w:w="104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116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8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5"/>
              </w:rPr>
              <w:t>Financial</w:t>
            </w:r>
          </w:p>
        </w:tc>
        <w:tc>
          <w:tcPr>
            <w:tcW w:w="5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4"/>
        </w:trPr>
        <w:tc>
          <w:tcPr>
            <w:tcW w:w="20" w:type="dxa"/>
            <w:vAlign w:val="bottom"/>
          </w:tcPr>
          <w:p>
            <w:pPr>
              <w:spacing w:after="0"/>
              <w:rPr>
                <w:sz w:val="12"/>
                <w:szCs w:val="12"/>
                <w:color w:val="auto"/>
              </w:rPr>
            </w:pPr>
          </w:p>
        </w:tc>
        <w:tc>
          <w:tcPr>
            <w:tcW w:w="1920" w:type="dxa"/>
            <w:vAlign w:val="bottom"/>
          </w:tcPr>
          <w:p>
            <w:pPr>
              <w:spacing w:after="0"/>
              <w:rPr>
                <w:sz w:val="12"/>
                <w:szCs w:val="12"/>
                <w:color w:val="auto"/>
              </w:rPr>
            </w:pPr>
          </w:p>
        </w:tc>
        <w:tc>
          <w:tcPr>
            <w:tcW w:w="1420" w:type="dxa"/>
            <w:vAlign w:val="bottom"/>
            <w:vMerge w:val="continue"/>
          </w:tcPr>
          <w:p>
            <w:pPr>
              <w:spacing w:after="0"/>
              <w:rPr>
                <w:sz w:val="12"/>
                <w:szCs w:val="12"/>
                <w:color w:val="auto"/>
              </w:rPr>
            </w:pPr>
          </w:p>
        </w:tc>
        <w:tc>
          <w:tcPr>
            <w:tcW w:w="940" w:type="dxa"/>
            <w:vAlign w:val="bottom"/>
            <w:vMerge w:val="continue"/>
          </w:tcPr>
          <w:p>
            <w:pPr>
              <w:spacing w:after="0"/>
              <w:rPr>
                <w:sz w:val="12"/>
                <w:szCs w:val="12"/>
                <w:color w:val="auto"/>
              </w:rPr>
            </w:pPr>
          </w:p>
        </w:tc>
        <w:tc>
          <w:tcPr>
            <w:tcW w:w="104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116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102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87"/>
              </w:rPr>
              <w:t>Personal Use</w:t>
            </w:r>
          </w:p>
        </w:tc>
        <w:tc>
          <w:tcPr>
            <w:tcW w:w="660" w:type="dxa"/>
            <w:vAlign w:val="bottom"/>
          </w:tcPr>
          <w:p>
            <w:pPr>
              <w:spacing w:after="0"/>
              <w:rPr>
                <w:sz w:val="12"/>
                <w:szCs w:val="12"/>
                <w:color w:val="auto"/>
              </w:rPr>
            </w:pPr>
          </w:p>
        </w:tc>
        <w:tc>
          <w:tcPr>
            <w:tcW w:w="820" w:type="dxa"/>
            <w:vAlign w:val="bottom"/>
          </w:tcPr>
          <w:p>
            <w:pPr>
              <w:jc w:val="center"/>
              <w:spacing w:after="0" w:line="145" w:lineRule="exact"/>
              <w:rPr>
                <w:sz w:val="20"/>
                <w:szCs w:val="20"/>
                <w:color w:val="auto"/>
              </w:rPr>
            </w:pPr>
            <w:r>
              <w:rPr>
                <w:rFonts w:ascii="Arial" w:cs="Arial" w:eastAsia="Arial" w:hAnsi="Arial"/>
                <w:sz w:val="14"/>
                <w:szCs w:val="14"/>
                <w:b w:val="1"/>
                <w:bCs w:val="1"/>
                <w:color w:val="auto"/>
                <w:w w:val="91"/>
              </w:rPr>
              <w:t>Planning,</w:t>
            </w:r>
          </w:p>
        </w:tc>
        <w:tc>
          <w:tcPr>
            <w:tcW w:w="5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920" w:type="dxa"/>
            <w:vAlign w:val="bottom"/>
          </w:tcPr>
          <w:p>
            <w:pPr>
              <w:spacing w:after="0"/>
              <w:rPr>
                <w:sz w:val="12"/>
                <w:szCs w:val="12"/>
                <w:color w:val="auto"/>
              </w:rPr>
            </w:pPr>
          </w:p>
        </w:tc>
        <w:tc>
          <w:tcPr>
            <w:tcW w:w="1420" w:type="dxa"/>
            <w:vAlign w:val="bottom"/>
          </w:tcPr>
          <w:p>
            <w:pPr>
              <w:jc w:val="center"/>
              <w:ind w:left="388"/>
              <w:spacing w:after="0" w:line="149" w:lineRule="exact"/>
              <w:rPr>
                <w:sz w:val="20"/>
                <w:szCs w:val="20"/>
                <w:color w:val="auto"/>
              </w:rPr>
            </w:pPr>
            <w:r>
              <w:rPr>
                <w:rFonts w:ascii="Arial" w:cs="Arial" w:eastAsia="Arial" w:hAnsi="Arial"/>
                <w:sz w:val="14"/>
                <w:szCs w:val="14"/>
                <w:b w:val="1"/>
                <w:bCs w:val="1"/>
                <w:color w:val="auto"/>
                <w:w w:val="97"/>
              </w:rPr>
              <w:t>Timken</w:t>
            </w:r>
          </w:p>
        </w:tc>
        <w:tc>
          <w:tcPr>
            <w:tcW w:w="9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3"/>
              </w:rPr>
              <w:t>Timken</w:t>
            </w:r>
          </w:p>
        </w:tc>
        <w:tc>
          <w:tcPr>
            <w:tcW w:w="104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7"/>
              </w:rPr>
              <w:t>Annual Life</w:t>
            </w:r>
          </w:p>
        </w:tc>
        <w:tc>
          <w:tcPr>
            <w:tcW w:w="900" w:type="dxa"/>
            <w:vAlign w:val="bottom"/>
            <w:vMerge w:val="restart"/>
          </w:tcPr>
          <w:p>
            <w:pPr>
              <w:jc w:val="center"/>
              <w:ind w:right="88"/>
              <w:spacing w:after="0"/>
              <w:rPr>
                <w:sz w:val="20"/>
                <w:szCs w:val="20"/>
                <w:color w:val="auto"/>
              </w:rPr>
            </w:pPr>
            <w:r>
              <w:rPr>
                <w:rFonts w:ascii="Arial" w:cs="Arial" w:eastAsia="Arial" w:hAnsi="Arial"/>
                <w:sz w:val="14"/>
                <w:szCs w:val="14"/>
                <w:b w:val="1"/>
                <w:bCs w:val="1"/>
                <w:color w:val="auto"/>
                <w:w w:val="88"/>
              </w:rPr>
              <w:t>Executive</w:t>
            </w:r>
          </w:p>
        </w:tc>
        <w:tc>
          <w:tcPr>
            <w:tcW w:w="1160" w:type="dxa"/>
            <w:vAlign w:val="bottom"/>
          </w:tcPr>
          <w:p>
            <w:pPr>
              <w:spacing w:after="0"/>
              <w:rPr>
                <w:sz w:val="12"/>
                <w:szCs w:val="12"/>
                <w:color w:val="auto"/>
              </w:rPr>
            </w:pPr>
          </w:p>
        </w:tc>
        <w:tc>
          <w:tcPr>
            <w:tcW w:w="900" w:type="dxa"/>
            <w:vAlign w:val="bottom"/>
            <w:vMerge w:val="restart"/>
          </w:tcPr>
          <w:p>
            <w:pPr>
              <w:jc w:val="center"/>
              <w:ind w:right="68"/>
              <w:spacing w:after="0"/>
              <w:rPr>
                <w:sz w:val="20"/>
                <w:szCs w:val="20"/>
                <w:color w:val="auto"/>
              </w:rPr>
            </w:pPr>
            <w:r>
              <w:rPr>
                <w:rFonts w:ascii="Arial" w:cs="Arial" w:eastAsia="Arial" w:hAnsi="Arial"/>
                <w:sz w:val="14"/>
                <w:szCs w:val="14"/>
                <w:b w:val="1"/>
                <w:bCs w:val="1"/>
                <w:color w:val="auto"/>
                <w:w w:val="92"/>
              </w:rPr>
              <w:t>Home</w:t>
            </w:r>
          </w:p>
        </w:tc>
        <w:tc>
          <w:tcPr>
            <w:tcW w:w="1020" w:type="dxa"/>
            <w:vAlign w:val="bottom"/>
            <w:vMerge w:val="continue"/>
          </w:tcPr>
          <w:p>
            <w:pPr>
              <w:spacing w:after="0"/>
              <w:rPr>
                <w:sz w:val="12"/>
                <w:szCs w:val="12"/>
                <w:color w:val="auto"/>
              </w:rPr>
            </w:pPr>
          </w:p>
        </w:tc>
        <w:tc>
          <w:tcPr>
            <w:tcW w:w="660" w:type="dxa"/>
            <w:vAlign w:val="bottom"/>
          </w:tcPr>
          <w:p>
            <w:pPr>
              <w:spacing w:after="0"/>
              <w:rPr>
                <w:sz w:val="12"/>
                <w:szCs w:val="12"/>
                <w:color w:val="auto"/>
              </w:rPr>
            </w:pPr>
          </w:p>
        </w:tc>
        <w:tc>
          <w:tcPr>
            <w:tcW w:w="8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7"/>
              </w:rPr>
              <w:t>Home</w:t>
            </w:r>
          </w:p>
        </w:tc>
        <w:tc>
          <w:tcPr>
            <w:tcW w:w="5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920" w:type="dxa"/>
            <w:vAlign w:val="bottom"/>
          </w:tcPr>
          <w:p>
            <w:pPr>
              <w:spacing w:after="0"/>
              <w:rPr>
                <w:sz w:val="12"/>
                <w:szCs w:val="12"/>
                <w:color w:val="auto"/>
              </w:rPr>
            </w:pPr>
          </w:p>
        </w:tc>
        <w:tc>
          <w:tcPr>
            <w:tcW w:w="1420" w:type="dxa"/>
            <w:vAlign w:val="bottom"/>
          </w:tcPr>
          <w:p>
            <w:pPr>
              <w:jc w:val="center"/>
              <w:ind w:left="388"/>
              <w:spacing w:after="0" w:line="149" w:lineRule="exact"/>
              <w:rPr>
                <w:sz w:val="20"/>
                <w:szCs w:val="20"/>
                <w:color w:val="auto"/>
              </w:rPr>
            </w:pPr>
            <w:r>
              <w:rPr>
                <w:rFonts w:ascii="Arial" w:cs="Arial" w:eastAsia="Arial" w:hAnsi="Arial"/>
                <w:sz w:val="14"/>
                <w:szCs w:val="14"/>
                <w:b w:val="1"/>
                <w:bCs w:val="1"/>
                <w:color w:val="auto"/>
                <w:w w:val="95"/>
              </w:rPr>
              <w:t>Contribution</w:t>
            </w:r>
          </w:p>
        </w:tc>
        <w:tc>
          <w:tcPr>
            <w:tcW w:w="9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7"/>
              </w:rPr>
              <w:t>Contribution</w:t>
            </w:r>
          </w:p>
        </w:tc>
        <w:tc>
          <w:tcPr>
            <w:tcW w:w="1040" w:type="dxa"/>
            <w:vAlign w:val="bottom"/>
            <w:vMerge w:val="continue"/>
          </w:tcPr>
          <w:p>
            <w:pPr>
              <w:spacing w:after="0"/>
              <w:rPr>
                <w:sz w:val="12"/>
                <w:szCs w:val="12"/>
                <w:color w:val="auto"/>
              </w:rPr>
            </w:pPr>
          </w:p>
        </w:tc>
        <w:tc>
          <w:tcPr>
            <w:tcW w:w="900" w:type="dxa"/>
            <w:vAlign w:val="bottom"/>
            <w:vMerge w:val="continue"/>
          </w:tcPr>
          <w:p>
            <w:pPr>
              <w:spacing w:after="0"/>
              <w:rPr>
                <w:sz w:val="12"/>
                <w:szCs w:val="12"/>
                <w:color w:val="auto"/>
              </w:rPr>
            </w:pPr>
          </w:p>
        </w:tc>
        <w:tc>
          <w:tcPr>
            <w:tcW w:w="116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5"/>
              </w:rPr>
              <w:t>Financial</w:t>
            </w:r>
          </w:p>
        </w:tc>
        <w:tc>
          <w:tcPr>
            <w:tcW w:w="900" w:type="dxa"/>
            <w:vAlign w:val="bottom"/>
            <w:vMerge w:val="continue"/>
          </w:tcPr>
          <w:p>
            <w:pPr>
              <w:spacing w:after="0"/>
              <w:rPr>
                <w:sz w:val="12"/>
                <w:szCs w:val="12"/>
                <w:color w:val="auto"/>
              </w:rPr>
            </w:pPr>
          </w:p>
        </w:tc>
        <w:tc>
          <w:tcPr>
            <w:tcW w:w="10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5"/>
              </w:rPr>
              <w:t>of Timken’s</w:t>
            </w:r>
          </w:p>
        </w:tc>
        <w:tc>
          <w:tcPr>
            <w:tcW w:w="66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88"/>
              </w:rPr>
              <w:t>Spousal</w:t>
            </w:r>
          </w:p>
        </w:tc>
        <w:tc>
          <w:tcPr>
            <w:tcW w:w="8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0"/>
              </w:rPr>
              <w:t>Security</w:t>
            </w:r>
          </w:p>
        </w:tc>
        <w:tc>
          <w:tcPr>
            <w:tcW w:w="5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920" w:type="dxa"/>
            <w:vAlign w:val="bottom"/>
          </w:tcPr>
          <w:p>
            <w:pPr>
              <w:spacing w:after="0"/>
              <w:rPr>
                <w:sz w:val="12"/>
                <w:szCs w:val="12"/>
                <w:color w:val="auto"/>
              </w:rPr>
            </w:pPr>
          </w:p>
        </w:tc>
        <w:tc>
          <w:tcPr>
            <w:tcW w:w="1420" w:type="dxa"/>
            <w:vAlign w:val="bottom"/>
          </w:tcPr>
          <w:p>
            <w:pPr>
              <w:jc w:val="center"/>
              <w:ind w:left="388"/>
              <w:spacing w:after="0" w:line="149" w:lineRule="exact"/>
              <w:rPr>
                <w:sz w:val="20"/>
                <w:szCs w:val="20"/>
                <w:color w:val="auto"/>
              </w:rPr>
            </w:pPr>
            <w:r>
              <w:rPr>
                <w:rFonts w:ascii="Arial" w:cs="Arial" w:eastAsia="Arial" w:hAnsi="Arial"/>
                <w:sz w:val="14"/>
                <w:szCs w:val="14"/>
                <w:b w:val="1"/>
                <w:bCs w:val="1"/>
                <w:color w:val="auto"/>
                <w:w w:val="92"/>
              </w:rPr>
              <w:t>to SIP Plan</w:t>
            </w:r>
          </w:p>
        </w:tc>
        <w:tc>
          <w:tcPr>
            <w:tcW w:w="9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1"/>
              </w:rPr>
              <w:t>to Post-Tax</w:t>
            </w:r>
          </w:p>
        </w:tc>
        <w:tc>
          <w:tcPr>
            <w:tcW w:w="10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3"/>
              </w:rPr>
              <w:t>Insurance</w:t>
            </w:r>
          </w:p>
        </w:tc>
        <w:tc>
          <w:tcPr>
            <w:tcW w:w="900" w:type="dxa"/>
            <w:vAlign w:val="bottom"/>
          </w:tcPr>
          <w:p>
            <w:pPr>
              <w:jc w:val="center"/>
              <w:ind w:right="88"/>
              <w:spacing w:after="0" w:line="149" w:lineRule="exact"/>
              <w:rPr>
                <w:sz w:val="20"/>
                <w:szCs w:val="20"/>
                <w:color w:val="auto"/>
              </w:rPr>
            </w:pPr>
            <w:r>
              <w:rPr>
                <w:rFonts w:ascii="Arial" w:cs="Arial" w:eastAsia="Arial" w:hAnsi="Arial"/>
                <w:sz w:val="14"/>
                <w:szCs w:val="14"/>
                <w:b w:val="1"/>
                <w:bCs w:val="1"/>
                <w:color w:val="auto"/>
                <w:w w:val="89"/>
              </w:rPr>
              <w:t>Physicals</w:t>
            </w:r>
          </w:p>
        </w:tc>
        <w:tc>
          <w:tcPr>
            <w:tcW w:w="1160" w:type="dxa"/>
            <w:vAlign w:val="bottom"/>
            <w:vMerge w:val="continue"/>
          </w:tcPr>
          <w:p>
            <w:pPr>
              <w:spacing w:after="0"/>
              <w:rPr>
                <w:sz w:val="12"/>
                <w:szCs w:val="12"/>
                <w:color w:val="auto"/>
              </w:rPr>
            </w:pPr>
          </w:p>
        </w:tc>
        <w:tc>
          <w:tcPr>
            <w:tcW w:w="900" w:type="dxa"/>
            <w:vAlign w:val="bottom"/>
          </w:tcPr>
          <w:p>
            <w:pPr>
              <w:jc w:val="center"/>
              <w:ind w:right="68"/>
              <w:spacing w:after="0" w:line="149" w:lineRule="exact"/>
              <w:rPr>
                <w:sz w:val="20"/>
                <w:szCs w:val="20"/>
                <w:color w:val="auto"/>
              </w:rPr>
            </w:pPr>
            <w:r>
              <w:rPr>
                <w:rFonts w:ascii="Arial" w:cs="Arial" w:eastAsia="Arial" w:hAnsi="Arial"/>
                <w:sz w:val="14"/>
                <w:szCs w:val="14"/>
                <w:b w:val="1"/>
                <w:bCs w:val="1"/>
                <w:color w:val="auto"/>
                <w:w w:val="94"/>
              </w:rPr>
              <w:t>Security</w:t>
            </w:r>
          </w:p>
        </w:tc>
        <w:tc>
          <w:tcPr>
            <w:tcW w:w="10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6"/>
              </w:rPr>
              <w:t>Country</w:t>
            </w:r>
          </w:p>
        </w:tc>
        <w:tc>
          <w:tcPr>
            <w:tcW w:w="660" w:type="dxa"/>
            <w:vAlign w:val="bottom"/>
            <w:vMerge w:val="continue"/>
          </w:tcPr>
          <w:p>
            <w:pPr>
              <w:spacing w:after="0"/>
              <w:rPr>
                <w:sz w:val="12"/>
                <w:szCs w:val="12"/>
                <w:color w:val="auto"/>
              </w:rPr>
            </w:pPr>
          </w:p>
        </w:tc>
        <w:tc>
          <w:tcPr>
            <w:tcW w:w="8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8"/>
              </w:rPr>
              <w:t>and</w:t>
            </w:r>
          </w:p>
        </w:tc>
        <w:tc>
          <w:tcPr>
            <w:tcW w:w="620" w:type="dxa"/>
            <w:vAlign w:val="bottom"/>
            <w:gridSpan w:val="2"/>
            <w:vMerge w:val="restart"/>
          </w:tcPr>
          <w:p>
            <w:pPr>
              <w:jc w:val="center"/>
              <w:ind w:right="80"/>
              <w:spacing w:after="0"/>
              <w:rPr>
                <w:sz w:val="20"/>
                <w:szCs w:val="20"/>
                <w:color w:val="auto"/>
              </w:rPr>
            </w:pPr>
            <w:r>
              <w:rPr>
                <w:rFonts w:ascii="Arial" w:cs="Arial" w:eastAsia="Arial" w:hAnsi="Arial"/>
                <w:sz w:val="14"/>
                <w:szCs w:val="14"/>
                <w:b w:val="1"/>
                <w:bCs w:val="1"/>
                <w:color w:val="auto"/>
              </w:rPr>
              <w:t>Other</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920" w:type="dxa"/>
            <w:vAlign w:val="bottom"/>
            <w:vMerge w:val="restart"/>
          </w:tcPr>
          <w:p>
            <w:pPr>
              <w:ind w:left="1020"/>
              <w:spacing w:after="0"/>
              <w:rPr>
                <w:sz w:val="20"/>
                <w:szCs w:val="20"/>
                <w:color w:val="auto"/>
              </w:rPr>
            </w:pPr>
            <w:r>
              <w:rPr>
                <w:rFonts w:ascii="Arial" w:cs="Arial" w:eastAsia="Arial" w:hAnsi="Arial"/>
                <w:sz w:val="14"/>
                <w:szCs w:val="14"/>
                <w:b w:val="1"/>
                <w:bCs w:val="1"/>
                <w:color w:val="auto"/>
              </w:rPr>
              <w:t>Name</w:t>
            </w:r>
          </w:p>
        </w:tc>
        <w:tc>
          <w:tcPr>
            <w:tcW w:w="1420" w:type="dxa"/>
            <w:vAlign w:val="bottom"/>
          </w:tcPr>
          <w:p>
            <w:pPr>
              <w:jc w:val="center"/>
              <w:ind w:left="388"/>
              <w:spacing w:after="0" w:line="149" w:lineRule="exact"/>
              <w:rPr>
                <w:sz w:val="20"/>
                <w:szCs w:val="20"/>
                <w:color w:val="auto"/>
              </w:rPr>
            </w:pPr>
            <w:r>
              <w:rPr>
                <w:rFonts w:ascii="Arial" w:cs="Arial" w:eastAsia="Arial" w:hAnsi="Arial"/>
                <w:sz w:val="14"/>
                <w:szCs w:val="14"/>
                <w:b w:val="1"/>
                <w:bCs w:val="1"/>
                <w:color w:val="auto"/>
                <w:w w:val="94"/>
              </w:rPr>
              <w:t>and Core DC</w:t>
            </w:r>
          </w:p>
        </w:tc>
        <w:tc>
          <w:tcPr>
            <w:tcW w:w="9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9"/>
              </w:rPr>
              <w:t>Savings Plan</w:t>
            </w:r>
          </w:p>
        </w:tc>
        <w:tc>
          <w:tcPr>
            <w:tcW w:w="10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6"/>
              </w:rPr>
              <w:t>Premium</w:t>
            </w:r>
          </w:p>
        </w:tc>
        <w:tc>
          <w:tcPr>
            <w:tcW w:w="900" w:type="dxa"/>
            <w:vAlign w:val="bottom"/>
          </w:tcPr>
          <w:p>
            <w:pPr>
              <w:jc w:val="center"/>
              <w:ind w:right="88"/>
              <w:spacing w:after="0" w:line="149" w:lineRule="exact"/>
              <w:rPr>
                <w:sz w:val="20"/>
                <w:szCs w:val="20"/>
                <w:color w:val="auto"/>
              </w:rPr>
            </w:pPr>
            <w:r>
              <w:rPr>
                <w:rFonts w:ascii="Arial" w:cs="Arial" w:eastAsia="Arial" w:hAnsi="Arial"/>
                <w:sz w:val="14"/>
                <w:szCs w:val="14"/>
                <w:b w:val="1"/>
                <w:bCs w:val="1"/>
                <w:color w:val="auto"/>
              </w:rPr>
              <w:t>(Timken</w:t>
            </w:r>
          </w:p>
        </w:tc>
        <w:tc>
          <w:tcPr>
            <w:tcW w:w="11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4"/>
              </w:rPr>
              <w:t>Planning</w:t>
            </w:r>
          </w:p>
        </w:tc>
        <w:tc>
          <w:tcPr>
            <w:tcW w:w="900" w:type="dxa"/>
            <w:vAlign w:val="bottom"/>
          </w:tcPr>
          <w:p>
            <w:pPr>
              <w:jc w:val="center"/>
              <w:ind w:right="68"/>
              <w:spacing w:after="0" w:line="149" w:lineRule="exact"/>
              <w:rPr>
                <w:sz w:val="20"/>
                <w:szCs w:val="20"/>
                <w:color w:val="auto"/>
              </w:rPr>
            </w:pPr>
            <w:r>
              <w:rPr>
                <w:rFonts w:ascii="Arial" w:cs="Arial" w:eastAsia="Arial" w:hAnsi="Arial"/>
                <w:sz w:val="14"/>
                <w:szCs w:val="14"/>
                <w:b w:val="1"/>
                <w:bCs w:val="1"/>
                <w:color w:val="auto"/>
                <w:w w:val="96"/>
              </w:rPr>
              <w:t>(Timken</w:t>
            </w:r>
          </w:p>
        </w:tc>
        <w:tc>
          <w:tcPr>
            <w:tcW w:w="10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6"/>
              </w:rPr>
              <w:t>Club</w:t>
            </w:r>
          </w:p>
        </w:tc>
        <w:tc>
          <w:tcPr>
            <w:tcW w:w="6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6"/>
              </w:rPr>
              <w:t>Travel</w:t>
            </w:r>
          </w:p>
        </w:tc>
        <w:tc>
          <w:tcPr>
            <w:tcW w:w="8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8"/>
              </w:rPr>
              <w:t>Spousal</w:t>
            </w:r>
          </w:p>
        </w:tc>
        <w:tc>
          <w:tcPr>
            <w:tcW w:w="620" w:type="dxa"/>
            <w:vAlign w:val="bottom"/>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83"/>
        </w:trPr>
        <w:tc>
          <w:tcPr>
            <w:tcW w:w="20" w:type="dxa"/>
            <w:vAlign w:val="bottom"/>
          </w:tcPr>
          <w:p>
            <w:pPr>
              <w:spacing w:after="0"/>
              <w:rPr>
                <w:sz w:val="15"/>
                <w:szCs w:val="15"/>
                <w:color w:val="auto"/>
              </w:rPr>
            </w:pPr>
          </w:p>
        </w:tc>
        <w:tc>
          <w:tcPr>
            <w:tcW w:w="1920" w:type="dxa"/>
            <w:vAlign w:val="bottom"/>
            <w:vMerge w:val="continue"/>
          </w:tcPr>
          <w:p>
            <w:pPr>
              <w:spacing w:after="0"/>
              <w:rPr>
                <w:sz w:val="15"/>
                <w:szCs w:val="15"/>
                <w:color w:val="auto"/>
              </w:rPr>
            </w:pPr>
          </w:p>
        </w:tc>
        <w:tc>
          <w:tcPr>
            <w:tcW w:w="1420" w:type="dxa"/>
            <w:vAlign w:val="bottom"/>
          </w:tcPr>
          <w:p>
            <w:pPr>
              <w:jc w:val="center"/>
              <w:ind w:left="388"/>
              <w:spacing w:after="0"/>
              <w:rPr>
                <w:sz w:val="20"/>
                <w:szCs w:val="20"/>
                <w:color w:val="auto"/>
              </w:rPr>
            </w:pPr>
            <w:r>
              <w:rPr>
                <w:rFonts w:ascii="Arial" w:cs="Arial" w:eastAsia="Arial" w:hAnsi="Arial"/>
                <w:sz w:val="14"/>
                <w:szCs w:val="14"/>
                <w:b w:val="1"/>
                <w:bCs w:val="1"/>
                <w:color w:val="auto"/>
                <w:w w:val="96"/>
              </w:rPr>
              <w:t>Program (a)</w:t>
            </w:r>
          </w:p>
        </w:tc>
        <w:tc>
          <w:tcPr>
            <w:tcW w:w="940" w:type="dxa"/>
            <w:vAlign w:val="bottom"/>
          </w:tcPr>
          <w:p>
            <w:pPr>
              <w:jc w:val="center"/>
              <w:spacing w:after="0"/>
              <w:rPr>
                <w:sz w:val="20"/>
                <w:szCs w:val="20"/>
                <w:color w:val="auto"/>
              </w:rPr>
            </w:pPr>
            <w:r>
              <w:rPr>
                <w:rFonts w:ascii="Arial" w:cs="Arial" w:eastAsia="Arial" w:hAnsi="Arial"/>
                <w:sz w:val="14"/>
                <w:szCs w:val="14"/>
                <w:b w:val="1"/>
                <w:bCs w:val="1"/>
                <w:color w:val="auto"/>
              </w:rPr>
              <w:t>(b)</w:t>
            </w:r>
          </w:p>
        </w:tc>
        <w:tc>
          <w:tcPr>
            <w:tcW w:w="1040" w:type="dxa"/>
            <w:vAlign w:val="bottom"/>
          </w:tcPr>
          <w:p>
            <w:pPr>
              <w:jc w:val="center"/>
              <w:spacing w:after="0"/>
              <w:rPr>
                <w:sz w:val="20"/>
                <w:szCs w:val="20"/>
                <w:color w:val="auto"/>
              </w:rPr>
            </w:pPr>
            <w:r>
              <w:rPr>
                <w:rFonts w:ascii="Arial" w:cs="Arial" w:eastAsia="Arial" w:hAnsi="Arial"/>
                <w:sz w:val="14"/>
                <w:szCs w:val="14"/>
                <w:b w:val="1"/>
                <w:bCs w:val="1"/>
                <w:color w:val="auto"/>
                <w:w w:val="95"/>
              </w:rPr>
              <w:t>(Timken Paid)</w:t>
            </w:r>
          </w:p>
        </w:tc>
        <w:tc>
          <w:tcPr>
            <w:tcW w:w="900" w:type="dxa"/>
            <w:vAlign w:val="bottom"/>
          </w:tcPr>
          <w:p>
            <w:pPr>
              <w:jc w:val="center"/>
              <w:ind w:right="88"/>
              <w:spacing w:after="0"/>
              <w:rPr>
                <w:sz w:val="20"/>
                <w:szCs w:val="20"/>
                <w:color w:val="auto"/>
              </w:rPr>
            </w:pPr>
            <w:r>
              <w:rPr>
                <w:rFonts w:ascii="Arial" w:cs="Arial" w:eastAsia="Arial" w:hAnsi="Arial"/>
                <w:sz w:val="14"/>
                <w:szCs w:val="14"/>
                <w:b w:val="1"/>
                <w:bCs w:val="1"/>
                <w:color w:val="auto"/>
                <w:w w:val="94"/>
              </w:rPr>
              <w:t>Required)</w:t>
            </w:r>
          </w:p>
        </w:tc>
        <w:tc>
          <w:tcPr>
            <w:tcW w:w="1160" w:type="dxa"/>
            <w:vAlign w:val="bottom"/>
          </w:tcPr>
          <w:p>
            <w:pPr>
              <w:jc w:val="center"/>
              <w:spacing w:after="0"/>
              <w:rPr>
                <w:sz w:val="20"/>
                <w:szCs w:val="20"/>
                <w:color w:val="auto"/>
              </w:rPr>
            </w:pPr>
            <w:r>
              <w:rPr>
                <w:rFonts w:ascii="Arial" w:cs="Arial" w:eastAsia="Arial" w:hAnsi="Arial"/>
                <w:sz w:val="14"/>
                <w:szCs w:val="14"/>
                <w:b w:val="1"/>
                <w:bCs w:val="1"/>
                <w:color w:val="auto"/>
                <w:w w:val="92"/>
              </w:rPr>
              <w:t>Reimbursement</w:t>
            </w:r>
          </w:p>
        </w:tc>
        <w:tc>
          <w:tcPr>
            <w:tcW w:w="900" w:type="dxa"/>
            <w:vAlign w:val="bottom"/>
          </w:tcPr>
          <w:p>
            <w:pPr>
              <w:jc w:val="center"/>
              <w:ind w:right="88"/>
              <w:spacing w:after="0"/>
              <w:rPr>
                <w:sz w:val="20"/>
                <w:szCs w:val="20"/>
                <w:color w:val="auto"/>
              </w:rPr>
            </w:pPr>
            <w:r>
              <w:rPr>
                <w:rFonts w:ascii="Arial" w:cs="Arial" w:eastAsia="Arial" w:hAnsi="Arial"/>
                <w:sz w:val="14"/>
                <w:szCs w:val="14"/>
                <w:b w:val="1"/>
                <w:bCs w:val="1"/>
                <w:color w:val="auto"/>
                <w:w w:val="94"/>
              </w:rPr>
              <w:t>Required)</w:t>
            </w:r>
          </w:p>
        </w:tc>
        <w:tc>
          <w:tcPr>
            <w:tcW w:w="1020" w:type="dxa"/>
            <w:vAlign w:val="bottom"/>
          </w:tcPr>
          <w:p>
            <w:pPr>
              <w:jc w:val="center"/>
              <w:spacing w:after="0"/>
              <w:rPr>
                <w:sz w:val="20"/>
                <w:szCs w:val="20"/>
                <w:color w:val="auto"/>
              </w:rPr>
            </w:pPr>
            <w:r>
              <w:rPr>
                <w:rFonts w:ascii="Arial" w:cs="Arial" w:eastAsia="Arial" w:hAnsi="Arial"/>
                <w:sz w:val="14"/>
                <w:szCs w:val="14"/>
                <w:b w:val="1"/>
                <w:bCs w:val="1"/>
                <w:color w:val="auto"/>
                <w:w w:val="93"/>
              </w:rPr>
              <w:t>Memberships</w:t>
            </w:r>
          </w:p>
        </w:tc>
        <w:tc>
          <w:tcPr>
            <w:tcW w:w="660" w:type="dxa"/>
            <w:vAlign w:val="bottom"/>
          </w:tcPr>
          <w:p>
            <w:pPr>
              <w:jc w:val="center"/>
              <w:spacing w:after="0"/>
              <w:rPr>
                <w:sz w:val="20"/>
                <w:szCs w:val="20"/>
                <w:color w:val="auto"/>
              </w:rPr>
            </w:pPr>
            <w:r>
              <w:rPr>
                <w:rFonts w:ascii="Arial" w:cs="Arial" w:eastAsia="Arial" w:hAnsi="Arial"/>
                <w:sz w:val="14"/>
                <w:szCs w:val="14"/>
                <w:b w:val="1"/>
                <w:bCs w:val="1"/>
                <w:color w:val="auto"/>
                <w:w w:val="93"/>
              </w:rPr>
              <w:t>(c)</w:t>
            </w:r>
          </w:p>
        </w:tc>
        <w:tc>
          <w:tcPr>
            <w:tcW w:w="820" w:type="dxa"/>
            <w:vAlign w:val="bottom"/>
          </w:tcPr>
          <w:p>
            <w:pPr>
              <w:jc w:val="center"/>
              <w:spacing w:after="0"/>
              <w:rPr>
                <w:sz w:val="20"/>
                <w:szCs w:val="20"/>
                <w:color w:val="auto"/>
              </w:rPr>
            </w:pPr>
            <w:r>
              <w:rPr>
                <w:rFonts w:ascii="Arial" w:cs="Arial" w:eastAsia="Arial" w:hAnsi="Arial"/>
                <w:sz w:val="14"/>
                <w:szCs w:val="14"/>
                <w:b w:val="1"/>
                <w:bCs w:val="1"/>
                <w:color w:val="auto"/>
                <w:w w:val="98"/>
              </w:rPr>
              <w:t>Travel (d)</w:t>
            </w:r>
          </w:p>
        </w:tc>
        <w:tc>
          <w:tcPr>
            <w:tcW w:w="62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93"/>
              </w:rPr>
              <w:t>(e)</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920" w:type="dxa"/>
            <w:vAlign w:val="bottom"/>
            <w:tcBorders>
              <w:top w:val="single" w:sz="8" w:color="auto"/>
            </w:tcBorders>
            <w:shd w:val="clear" w:color="auto" w:fill="CCEEFF"/>
          </w:tcPr>
          <w:p>
            <w:pPr>
              <w:spacing w:after="0" w:line="149" w:lineRule="exact"/>
              <w:rPr>
                <w:sz w:val="20"/>
                <w:szCs w:val="20"/>
                <w:color w:val="auto"/>
              </w:rPr>
            </w:pPr>
            <w:r>
              <w:rPr>
                <w:rFonts w:ascii="Arial" w:cs="Arial" w:eastAsia="Arial" w:hAnsi="Arial"/>
                <w:sz w:val="14"/>
                <w:szCs w:val="14"/>
                <w:color w:val="auto"/>
              </w:rPr>
              <w:t>Ward J. Timken, Jr.</w:t>
            </w:r>
          </w:p>
        </w:tc>
        <w:tc>
          <w:tcPr>
            <w:tcW w:w="1420" w:type="dxa"/>
            <w:vAlign w:val="bottom"/>
            <w:tcBorders>
              <w:top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$21,675</w:t>
            </w:r>
          </w:p>
        </w:tc>
        <w:tc>
          <w:tcPr>
            <w:tcW w:w="940" w:type="dxa"/>
            <w:vAlign w:val="bottom"/>
            <w:tcBorders>
              <w:top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$158,937</w:t>
            </w:r>
          </w:p>
        </w:tc>
        <w:tc>
          <w:tcPr>
            <w:tcW w:w="1040" w:type="dxa"/>
            <w:vAlign w:val="bottom"/>
            <w:tcBorders>
              <w:top w:val="single" w:sz="8" w:color="auto"/>
            </w:tcBorders>
            <w:shd w:val="clear" w:color="auto" w:fill="CCEEFF"/>
          </w:tcPr>
          <w:p>
            <w:pPr>
              <w:jc w:val="right"/>
              <w:ind w:right="8"/>
              <w:spacing w:after="0" w:line="149" w:lineRule="exact"/>
              <w:rPr>
                <w:sz w:val="20"/>
                <w:szCs w:val="20"/>
                <w:color w:val="auto"/>
              </w:rPr>
            </w:pPr>
            <w:r>
              <w:rPr>
                <w:rFonts w:ascii="Arial" w:cs="Arial" w:eastAsia="Arial" w:hAnsi="Arial"/>
                <w:sz w:val="14"/>
                <w:szCs w:val="14"/>
                <w:color w:val="auto"/>
              </w:rPr>
              <w:t>$2,937</w:t>
            </w:r>
          </w:p>
        </w:tc>
        <w:tc>
          <w:tcPr>
            <w:tcW w:w="900" w:type="dxa"/>
            <w:vAlign w:val="bottom"/>
            <w:tcBorders>
              <w:top w:val="single" w:sz="8" w:color="auto"/>
            </w:tcBorders>
            <w:shd w:val="clear" w:color="auto" w:fill="CCEEFF"/>
          </w:tcPr>
          <w:p>
            <w:pPr>
              <w:jc w:val="right"/>
              <w:ind w:right="8"/>
              <w:spacing w:after="0" w:line="149" w:lineRule="exact"/>
              <w:rPr>
                <w:sz w:val="20"/>
                <w:szCs w:val="20"/>
                <w:color w:val="auto"/>
              </w:rPr>
            </w:pPr>
            <w:r>
              <w:rPr>
                <w:rFonts w:ascii="Arial" w:cs="Arial" w:eastAsia="Arial" w:hAnsi="Arial"/>
                <w:sz w:val="14"/>
                <w:szCs w:val="14"/>
                <w:color w:val="auto"/>
              </w:rPr>
              <w:t>$3,675</w:t>
            </w:r>
          </w:p>
        </w:tc>
        <w:tc>
          <w:tcPr>
            <w:tcW w:w="1160" w:type="dxa"/>
            <w:vAlign w:val="bottom"/>
            <w:tcBorders>
              <w:top w:val="single" w:sz="8" w:color="auto"/>
            </w:tcBorders>
            <w:shd w:val="clear" w:color="auto" w:fill="CCEEFF"/>
          </w:tcPr>
          <w:p>
            <w:pPr>
              <w:jc w:val="right"/>
              <w:ind w:right="8"/>
              <w:spacing w:after="0" w:line="149" w:lineRule="exact"/>
              <w:rPr>
                <w:sz w:val="20"/>
                <w:szCs w:val="20"/>
                <w:color w:val="auto"/>
              </w:rPr>
            </w:pPr>
            <w:r>
              <w:rPr>
                <w:rFonts w:ascii="Arial" w:cs="Arial" w:eastAsia="Arial" w:hAnsi="Arial"/>
                <w:sz w:val="14"/>
                <w:szCs w:val="14"/>
                <w:color w:val="auto"/>
              </w:rPr>
              <w:t>$5,765</w:t>
            </w:r>
          </w:p>
        </w:tc>
        <w:tc>
          <w:tcPr>
            <w:tcW w:w="900" w:type="dxa"/>
            <w:vAlign w:val="bottom"/>
            <w:tcBorders>
              <w:top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$168</w:t>
            </w:r>
          </w:p>
        </w:tc>
        <w:tc>
          <w:tcPr>
            <w:tcW w:w="1020" w:type="dxa"/>
            <w:vAlign w:val="bottom"/>
            <w:tcBorders>
              <w:top w:val="single" w:sz="8" w:color="auto"/>
            </w:tcBorders>
            <w:shd w:val="clear" w:color="auto" w:fill="CCEEFF"/>
          </w:tcPr>
          <w:p>
            <w:pPr>
              <w:ind w:left="800"/>
              <w:spacing w:after="0" w:line="149" w:lineRule="exact"/>
              <w:rPr>
                <w:sz w:val="20"/>
                <w:szCs w:val="20"/>
                <w:color w:val="auto"/>
              </w:rPr>
            </w:pPr>
            <w:r>
              <w:rPr>
                <w:rFonts w:ascii="Arial" w:cs="Arial" w:eastAsia="Arial" w:hAnsi="Arial"/>
                <w:sz w:val="14"/>
                <w:szCs w:val="14"/>
                <w:color w:val="auto"/>
              </w:rPr>
              <w:t>—</w:t>
            </w:r>
          </w:p>
        </w:tc>
        <w:tc>
          <w:tcPr>
            <w:tcW w:w="660" w:type="dxa"/>
            <w:vAlign w:val="bottom"/>
            <w:tcBorders>
              <w:top w:val="single" w:sz="8" w:color="auto"/>
            </w:tcBorders>
            <w:shd w:val="clear" w:color="auto" w:fill="CCEEFF"/>
          </w:tcPr>
          <w:p>
            <w:pPr>
              <w:jc w:val="right"/>
              <w:ind w:right="8"/>
              <w:spacing w:after="0" w:line="149" w:lineRule="exact"/>
              <w:rPr>
                <w:sz w:val="20"/>
                <w:szCs w:val="20"/>
                <w:color w:val="auto"/>
              </w:rPr>
            </w:pPr>
            <w:r>
              <w:rPr>
                <w:rFonts w:ascii="Arial" w:cs="Arial" w:eastAsia="Arial" w:hAnsi="Arial"/>
                <w:sz w:val="14"/>
                <w:szCs w:val="14"/>
                <w:color w:val="auto"/>
              </w:rPr>
              <w:t>$3,767</w:t>
            </w:r>
          </w:p>
        </w:tc>
        <w:tc>
          <w:tcPr>
            <w:tcW w:w="820" w:type="dxa"/>
            <w:vAlign w:val="bottom"/>
            <w:tcBorders>
              <w:top w:val="single" w:sz="8" w:color="auto"/>
            </w:tcBorders>
            <w:shd w:val="clear" w:color="auto" w:fill="CCEEFF"/>
          </w:tcPr>
          <w:p>
            <w:pPr>
              <w:ind w:left="600"/>
              <w:spacing w:after="0" w:line="149" w:lineRule="exact"/>
              <w:rPr>
                <w:sz w:val="20"/>
                <w:szCs w:val="20"/>
                <w:color w:val="auto"/>
              </w:rPr>
            </w:pPr>
            <w:r>
              <w:rPr>
                <w:rFonts w:ascii="Arial" w:cs="Arial" w:eastAsia="Arial" w:hAnsi="Arial"/>
                <w:sz w:val="14"/>
                <w:szCs w:val="14"/>
                <w:color w:val="auto"/>
              </w:rPr>
              <w:t>—</w:t>
            </w:r>
          </w:p>
        </w:tc>
        <w:tc>
          <w:tcPr>
            <w:tcW w:w="540" w:type="dxa"/>
            <w:vAlign w:val="bottom"/>
            <w:tcBorders>
              <w:top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$1,469</w:t>
            </w:r>
          </w:p>
        </w:tc>
        <w:tc>
          <w:tcPr>
            <w:tcW w:w="8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920" w:type="dxa"/>
            <w:vAlign w:val="bottom"/>
          </w:tcPr>
          <w:p>
            <w:pPr>
              <w:spacing w:after="0" w:line="149" w:lineRule="exact"/>
              <w:rPr>
                <w:sz w:val="20"/>
                <w:szCs w:val="20"/>
                <w:color w:val="auto"/>
              </w:rPr>
            </w:pPr>
            <w:r>
              <w:rPr>
                <w:rFonts w:ascii="Arial" w:cs="Arial" w:eastAsia="Arial" w:hAnsi="Arial"/>
                <w:sz w:val="14"/>
                <w:szCs w:val="14"/>
                <w:color w:val="auto"/>
              </w:rPr>
              <w:t>Christopher J. Holding</w:t>
            </w:r>
          </w:p>
        </w:tc>
        <w:tc>
          <w:tcPr>
            <w:tcW w:w="1420" w:type="dxa"/>
            <w:vAlign w:val="bottom"/>
          </w:tcPr>
          <w:p>
            <w:pPr>
              <w:jc w:val="right"/>
              <w:spacing w:after="0" w:line="149" w:lineRule="exact"/>
              <w:rPr>
                <w:sz w:val="20"/>
                <w:szCs w:val="20"/>
                <w:color w:val="auto"/>
              </w:rPr>
            </w:pPr>
            <w:r>
              <w:rPr>
                <w:rFonts w:ascii="Arial" w:cs="Arial" w:eastAsia="Arial" w:hAnsi="Arial"/>
                <w:sz w:val="14"/>
                <w:szCs w:val="14"/>
                <w:color w:val="auto"/>
              </w:rPr>
              <w:t>$20,400</w:t>
            </w:r>
          </w:p>
        </w:tc>
        <w:tc>
          <w:tcPr>
            <w:tcW w:w="940" w:type="dxa"/>
            <w:vAlign w:val="bottom"/>
          </w:tcPr>
          <w:p>
            <w:pPr>
              <w:jc w:val="right"/>
              <w:spacing w:after="0" w:line="149" w:lineRule="exact"/>
              <w:rPr>
                <w:sz w:val="20"/>
                <w:szCs w:val="20"/>
                <w:color w:val="auto"/>
              </w:rPr>
            </w:pPr>
            <w:r>
              <w:rPr>
                <w:rFonts w:ascii="Arial" w:cs="Arial" w:eastAsia="Arial" w:hAnsi="Arial"/>
                <w:sz w:val="14"/>
                <w:szCs w:val="14"/>
                <w:color w:val="auto"/>
              </w:rPr>
              <w:t>$4,628</w:t>
            </w:r>
          </w:p>
        </w:tc>
        <w:tc>
          <w:tcPr>
            <w:tcW w:w="1040" w:type="dxa"/>
            <w:vAlign w:val="bottom"/>
          </w:tcPr>
          <w:p>
            <w:pPr>
              <w:jc w:val="right"/>
              <w:ind w:right="8"/>
              <w:spacing w:after="0" w:line="149" w:lineRule="exact"/>
              <w:rPr>
                <w:sz w:val="20"/>
                <w:szCs w:val="20"/>
                <w:color w:val="auto"/>
              </w:rPr>
            </w:pPr>
            <w:r>
              <w:rPr>
                <w:rFonts w:ascii="Arial" w:cs="Arial" w:eastAsia="Arial" w:hAnsi="Arial"/>
                <w:sz w:val="14"/>
                <w:szCs w:val="14"/>
                <w:color w:val="auto"/>
              </w:rPr>
              <w:t>—</w:t>
            </w:r>
          </w:p>
        </w:tc>
        <w:tc>
          <w:tcPr>
            <w:tcW w:w="900" w:type="dxa"/>
            <w:vAlign w:val="bottom"/>
          </w:tcPr>
          <w:p>
            <w:pPr>
              <w:jc w:val="right"/>
              <w:ind w:right="8"/>
              <w:spacing w:after="0" w:line="149" w:lineRule="exact"/>
              <w:rPr>
                <w:sz w:val="20"/>
                <w:szCs w:val="20"/>
                <w:color w:val="auto"/>
              </w:rPr>
            </w:pPr>
            <w:r>
              <w:rPr>
                <w:rFonts w:ascii="Arial" w:cs="Arial" w:eastAsia="Arial" w:hAnsi="Arial"/>
                <w:sz w:val="14"/>
                <w:szCs w:val="14"/>
                <w:color w:val="auto"/>
              </w:rPr>
              <w:t>$1,924</w:t>
            </w:r>
          </w:p>
        </w:tc>
        <w:tc>
          <w:tcPr>
            <w:tcW w:w="1160" w:type="dxa"/>
            <w:vAlign w:val="bottom"/>
          </w:tcPr>
          <w:p>
            <w:pPr>
              <w:jc w:val="right"/>
              <w:ind w:right="8"/>
              <w:spacing w:after="0" w:line="149" w:lineRule="exact"/>
              <w:rPr>
                <w:sz w:val="20"/>
                <w:szCs w:val="20"/>
                <w:color w:val="auto"/>
              </w:rPr>
            </w:pPr>
            <w:r>
              <w:rPr>
                <w:rFonts w:ascii="Arial" w:cs="Arial" w:eastAsia="Arial" w:hAnsi="Arial"/>
                <w:sz w:val="14"/>
                <w:szCs w:val="14"/>
                <w:color w:val="auto"/>
              </w:rPr>
              <w:t>$4,500</w:t>
            </w:r>
          </w:p>
        </w:tc>
        <w:tc>
          <w:tcPr>
            <w:tcW w:w="90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1020" w:type="dxa"/>
            <w:vAlign w:val="bottom"/>
          </w:tcPr>
          <w:p>
            <w:pPr>
              <w:ind w:left="800"/>
              <w:spacing w:after="0" w:line="149" w:lineRule="exact"/>
              <w:rPr>
                <w:sz w:val="20"/>
                <w:szCs w:val="20"/>
                <w:color w:val="auto"/>
              </w:rPr>
            </w:pPr>
            <w:r>
              <w:rPr>
                <w:rFonts w:ascii="Arial" w:cs="Arial" w:eastAsia="Arial" w:hAnsi="Arial"/>
                <w:sz w:val="14"/>
                <w:szCs w:val="14"/>
                <w:color w:val="auto"/>
              </w:rPr>
              <w:t>—</w:t>
            </w:r>
          </w:p>
        </w:tc>
        <w:tc>
          <w:tcPr>
            <w:tcW w:w="660" w:type="dxa"/>
            <w:vAlign w:val="bottom"/>
          </w:tcPr>
          <w:p>
            <w:pPr>
              <w:jc w:val="right"/>
              <w:ind w:right="8"/>
              <w:spacing w:after="0" w:line="149" w:lineRule="exact"/>
              <w:rPr>
                <w:sz w:val="20"/>
                <w:szCs w:val="20"/>
                <w:color w:val="auto"/>
              </w:rPr>
            </w:pPr>
            <w:r>
              <w:rPr>
                <w:rFonts w:ascii="Arial" w:cs="Arial" w:eastAsia="Arial" w:hAnsi="Arial"/>
                <w:sz w:val="14"/>
                <w:szCs w:val="14"/>
                <w:color w:val="auto"/>
              </w:rPr>
              <w:t>—</w:t>
            </w:r>
          </w:p>
        </w:tc>
        <w:tc>
          <w:tcPr>
            <w:tcW w:w="820" w:type="dxa"/>
            <w:vAlign w:val="bottom"/>
          </w:tcPr>
          <w:p>
            <w:pPr>
              <w:ind w:left="600"/>
              <w:spacing w:after="0" w:line="149" w:lineRule="exact"/>
              <w:rPr>
                <w:sz w:val="20"/>
                <w:szCs w:val="20"/>
                <w:color w:val="auto"/>
              </w:rPr>
            </w:pPr>
            <w:r>
              <w:rPr>
                <w:rFonts w:ascii="Arial" w:cs="Arial" w:eastAsia="Arial" w:hAnsi="Arial"/>
                <w:sz w:val="14"/>
                <w:szCs w:val="14"/>
                <w:color w:val="auto"/>
              </w:rPr>
              <w:t>—</w:t>
            </w:r>
          </w:p>
        </w:tc>
        <w:tc>
          <w:tcPr>
            <w:tcW w:w="540" w:type="dxa"/>
            <w:vAlign w:val="bottom"/>
          </w:tcPr>
          <w:p>
            <w:pPr>
              <w:jc w:val="right"/>
              <w:spacing w:after="0" w:line="149" w:lineRule="exact"/>
              <w:rPr>
                <w:sz w:val="20"/>
                <w:szCs w:val="20"/>
                <w:color w:val="auto"/>
              </w:rPr>
            </w:pPr>
            <w:r>
              <w:rPr>
                <w:rFonts w:ascii="Arial" w:cs="Arial" w:eastAsia="Arial" w:hAnsi="Arial"/>
                <w:sz w:val="14"/>
                <w:szCs w:val="14"/>
                <w:color w:val="auto"/>
              </w:rPr>
              <w:t>$431</w:t>
            </w: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92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Donald L. Walker</w:t>
            </w:r>
          </w:p>
        </w:tc>
        <w:tc>
          <w:tcPr>
            <w:tcW w:w="1420" w:type="dxa"/>
            <w:vAlign w:val="bottom"/>
            <w:shd w:val="clear" w:color="auto" w:fill="CCEEFF"/>
          </w:tcPr>
          <w:p>
            <w:pPr>
              <w:jc w:val="right"/>
              <w:ind w:right="8"/>
              <w:spacing w:after="0" w:line="149" w:lineRule="exact"/>
              <w:rPr>
                <w:sz w:val="20"/>
                <w:szCs w:val="20"/>
                <w:color w:val="auto"/>
              </w:rPr>
            </w:pPr>
            <w:r>
              <w:rPr>
                <w:rFonts w:ascii="Arial" w:cs="Arial" w:eastAsia="Arial" w:hAnsi="Arial"/>
                <w:sz w:val="14"/>
                <w:szCs w:val="14"/>
                <w:color w:val="auto"/>
              </w:rPr>
              <w:t>$11,475</w:t>
            </w:r>
          </w:p>
        </w:tc>
        <w:tc>
          <w:tcPr>
            <w:tcW w:w="9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$15,890</w:t>
            </w:r>
          </w:p>
        </w:tc>
        <w:tc>
          <w:tcPr>
            <w:tcW w:w="1040" w:type="dxa"/>
            <w:vAlign w:val="bottom"/>
            <w:shd w:val="clear" w:color="auto" w:fill="CCEEFF"/>
          </w:tcPr>
          <w:p>
            <w:pPr>
              <w:jc w:val="right"/>
              <w:ind w:right="8"/>
              <w:spacing w:after="0" w:line="149" w:lineRule="exact"/>
              <w:rPr>
                <w:sz w:val="20"/>
                <w:szCs w:val="20"/>
                <w:color w:val="auto"/>
              </w:rPr>
            </w:pPr>
            <w:r>
              <w:rPr>
                <w:rFonts w:ascii="Arial" w:cs="Arial" w:eastAsia="Arial" w:hAnsi="Arial"/>
                <w:sz w:val="14"/>
                <w:szCs w:val="14"/>
                <w:color w:val="auto"/>
              </w:rPr>
              <w:t>—</w:t>
            </w:r>
          </w:p>
        </w:tc>
        <w:tc>
          <w:tcPr>
            <w:tcW w:w="900" w:type="dxa"/>
            <w:vAlign w:val="bottom"/>
            <w:shd w:val="clear" w:color="auto" w:fill="CCEEFF"/>
          </w:tcPr>
          <w:p>
            <w:pPr>
              <w:jc w:val="right"/>
              <w:ind w:right="8"/>
              <w:spacing w:after="0" w:line="149" w:lineRule="exact"/>
              <w:rPr>
                <w:sz w:val="20"/>
                <w:szCs w:val="20"/>
                <w:color w:val="auto"/>
              </w:rPr>
            </w:pPr>
            <w:r>
              <w:rPr>
                <w:rFonts w:ascii="Arial" w:cs="Arial" w:eastAsia="Arial" w:hAnsi="Arial"/>
                <w:sz w:val="14"/>
                <w:szCs w:val="14"/>
                <w:color w:val="auto"/>
              </w:rPr>
              <w:t>$2,561</w:t>
            </w:r>
          </w:p>
        </w:tc>
        <w:tc>
          <w:tcPr>
            <w:tcW w:w="1160" w:type="dxa"/>
            <w:vAlign w:val="bottom"/>
            <w:shd w:val="clear" w:color="auto" w:fill="CCEEFF"/>
          </w:tcPr>
          <w:p>
            <w:pPr>
              <w:jc w:val="right"/>
              <w:ind w:right="8"/>
              <w:spacing w:after="0" w:line="149" w:lineRule="exact"/>
              <w:rPr>
                <w:sz w:val="20"/>
                <w:szCs w:val="20"/>
                <w:color w:val="auto"/>
              </w:rPr>
            </w:pPr>
            <w:r>
              <w:rPr>
                <w:rFonts w:ascii="Arial" w:cs="Arial" w:eastAsia="Arial" w:hAnsi="Arial"/>
                <w:sz w:val="14"/>
                <w:szCs w:val="14"/>
                <w:color w:val="auto"/>
              </w:rPr>
              <w:t>$4,958</w:t>
            </w:r>
          </w:p>
        </w:tc>
        <w:tc>
          <w:tcPr>
            <w:tcW w:w="9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$167</w:t>
            </w:r>
          </w:p>
        </w:tc>
        <w:tc>
          <w:tcPr>
            <w:tcW w:w="1020" w:type="dxa"/>
            <w:vAlign w:val="bottom"/>
            <w:shd w:val="clear" w:color="auto" w:fill="CCEEFF"/>
          </w:tcPr>
          <w:p>
            <w:pPr>
              <w:ind w:left="800"/>
              <w:spacing w:after="0" w:line="149" w:lineRule="exact"/>
              <w:rPr>
                <w:sz w:val="20"/>
                <w:szCs w:val="20"/>
                <w:color w:val="auto"/>
              </w:rPr>
            </w:pPr>
            <w:r>
              <w:rPr>
                <w:rFonts w:ascii="Arial" w:cs="Arial" w:eastAsia="Arial" w:hAnsi="Arial"/>
                <w:sz w:val="14"/>
                <w:szCs w:val="14"/>
                <w:color w:val="auto"/>
              </w:rPr>
              <w:t>—</w:t>
            </w:r>
          </w:p>
        </w:tc>
        <w:tc>
          <w:tcPr>
            <w:tcW w:w="660" w:type="dxa"/>
            <w:vAlign w:val="bottom"/>
            <w:shd w:val="clear" w:color="auto" w:fill="CCEEFF"/>
          </w:tcPr>
          <w:p>
            <w:pPr>
              <w:jc w:val="right"/>
              <w:ind w:right="8"/>
              <w:spacing w:after="0" w:line="149" w:lineRule="exact"/>
              <w:rPr>
                <w:sz w:val="20"/>
                <w:szCs w:val="20"/>
                <w:color w:val="auto"/>
              </w:rPr>
            </w:pPr>
            <w:r>
              <w:rPr>
                <w:rFonts w:ascii="Arial" w:cs="Arial" w:eastAsia="Arial" w:hAnsi="Arial"/>
                <w:sz w:val="14"/>
                <w:szCs w:val="14"/>
                <w:color w:val="auto"/>
              </w:rPr>
              <w:t>—</w:t>
            </w:r>
          </w:p>
        </w:tc>
        <w:tc>
          <w:tcPr>
            <w:tcW w:w="820" w:type="dxa"/>
            <w:vAlign w:val="bottom"/>
            <w:shd w:val="clear" w:color="auto" w:fill="CCEEFF"/>
          </w:tcPr>
          <w:p>
            <w:pPr>
              <w:ind w:left="600"/>
              <w:spacing w:after="0" w:line="149" w:lineRule="exact"/>
              <w:rPr>
                <w:sz w:val="20"/>
                <w:szCs w:val="20"/>
                <w:color w:val="auto"/>
              </w:rPr>
            </w:pPr>
            <w:r>
              <w:rPr>
                <w:rFonts w:ascii="Arial" w:cs="Arial" w:eastAsia="Arial" w:hAnsi="Arial"/>
                <w:sz w:val="14"/>
                <w:szCs w:val="14"/>
                <w:color w:val="auto"/>
              </w:rPr>
              <w:t>—</w:t>
            </w: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$1,553</w:t>
            </w:r>
          </w:p>
        </w:tc>
        <w:tc>
          <w:tcPr>
            <w:tcW w:w="8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82"/>
        </w:trPr>
        <w:tc>
          <w:tcPr>
            <w:tcW w:w="20" w:type="dxa"/>
            <w:vAlign w:val="bottom"/>
          </w:tcPr>
          <w:p>
            <w:pPr>
              <w:spacing w:after="0"/>
              <w:rPr>
                <w:sz w:val="15"/>
                <w:szCs w:val="15"/>
                <w:color w:val="auto"/>
              </w:rPr>
            </w:pPr>
          </w:p>
        </w:tc>
        <w:tc>
          <w:tcPr>
            <w:tcW w:w="1920" w:type="dxa"/>
            <w:vAlign w:val="bottom"/>
          </w:tcPr>
          <w:p>
            <w:pPr>
              <w:spacing w:after="0"/>
              <w:rPr>
                <w:sz w:val="20"/>
                <w:szCs w:val="20"/>
                <w:color w:val="auto"/>
              </w:rPr>
            </w:pPr>
            <w:r>
              <w:rPr>
                <w:rFonts w:ascii="Arial" w:cs="Arial" w:eastAsia="Arial" w:hAnsi="Arial"/>
                <w:sz w:val="14"/>
                <w:szCs w:val="14"/>
                <w:color w:val="auto"/>
              </w:rPr>
              <w:t>Frank A. DiPiero (f)</w:t>
            </w:r>
          </w:p>
        </w:tc>
        <w:tc>
          <w:tcPr>
            <w:tcW w:w="142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940" w:type="dxa"/>
            <w:vAlign w:val="bottom"/>
          </w:tcPr>
          <w:p>
            <w:pPr>
              <w:jc w:val="right"/>
              <w:spacing w:after="0"/>
              <w:rPr>
                <w:sz w:val="20"/>
                <w:szCs w:val="20"/>
                <w:color w:val="auto"/>
              </w:rPr>
            </w:pPr>
            <w:r>
              <w:rPr>
                <w:rFonts w:ascii="Arial" w:cs="Arial" w:eastAsia="Arial" w:hAnsi="Arial"/>
                <w:sz w:val="14"/>
                <w:szCs w:val="14"/>
                <w:color w:val="auto"/>
              </w:rPr>
              <w:t>—</w:t>
            </w:r>
          </w:p>
        </w:tc>
        <w:tc>
          <w:tcPr>
            <w:tcW w:w="104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90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116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900" w:type="dxa"/>
            <w:vAlign w:val="bottom"/>
          </w:tcPr>
          <w:p>
            <w:pPr>
              <w:jc w:val="right"/>
              <w:spacing w:after="0"/>
              <w:rPr>
                <w:sz w:val="20"/>
                <w:szCs w:val="20"/>
                <w:color w:val="auto"/>
              </w:rPr>
            </w:pPr>
            <w:r>
              <w:rPr>
                <w:rFonts w:ascii="Arial" w:cs="Arial" w:eastAsia="Arial" w:hAnsi="Arial"/>
                <w:sz w:val="14"/>
                <w:szCs w:val="14"/>
                <w:color w:val="auto"/>
              </w:rPr>
              <w:t>—</w:t>
            </w:r>
          </w:p>
        </w:tc>
        <w:tc>
          <w:tcPr>
            <w:tcW w:w="1020" w:type="dxa"/>
            <w:vAlign w:val="bottom"/>
          </w:tcPr>
          <w:p>
            <w:pPr>
              <w:ind w:left="800"/>
              <w:spacing w:after="0"/>
              <w:rPr>
                <w:sz w:val="20"/>
                <w:szCs w:val="20"/>
                <w:color w:val="auto"/>
              </w:rPr>
            </w:pPr>
            <w:r>
              <w:rPr>
                <w:rFonts w:ascii="Arial" w:cs="Arial" w:eastAsia="Arial" w:hAnsi="Arial"/>
                <w:sz w:val="14"/>
                <w:szCs w:val="14"/>
                <w:color w:val="auto"/>
              </w:rPr>
              <w:t>—</w:t>
            </w:r>
          </w:p>
        </w:tc>
        <w:tc>
          <w:tcPr>
            <w:tcW w:w="66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820" w:type="dxa"/>
            <w:vAlign w:val="bottom"/>
          </w:tcPr>
          <w:p>
            <w:pPr>
              <w:ind w:left="600"/>
              <w:spacing w:after="0"/>
              <w:rPr>
                <w:sz w:val="20"/>
                <w:szCs w:val="20"/>
                <w:color w:val="auto"/>
              </w:rPr>
            </w:pPr>
            <w:r>
              <w:rPr>
                <w:rFonts w:ascii="Arial" w:cs="Arial" w:eastAsia="Arial" w:hAnsi="Arial"/>
                <w:sz w:val="14"/>
                <w:szCs w:val="14"/>
                <w:color w:val="auto"/>
              </w:rPr>
              <w:t>—</w:t>
            </w:r>
          </w:p>
        </w:tc>
        <w:tc>
          <w:tcPr>
            <w:tcW w:w="620" w:type="dxa"/>
            <w:vAlign w:val="bottom"/>
            <w:gridSpan w:val="2"/>
          </w:tcPr>
          <w:p>
            <w:pPr>
              <w:jc w:val="right"/>
              <w:ind w:right="12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bl>
    <w:p>
      <w:pPr>
        <w:spacing w:after="0" w:line="195" w:lineRule="exact"/>
        <w:rPr>
          <w:sz w:val="20"/>
          <w:szCs w:val="20"/>
          <w:color w:val="auto"/>
        </w:rPr>
      </w:pPr>
    </w:p>
    <w:p>
      <w:pPr>
        <w:ind w:left="920" w:right="280" w:hanging="574"/>
        <w:spacing w:after="0" w:line="259" w:lineRule="auto"/>
        <w:tabs>
          <w:tab w:leader="none" w:pos="920" w:val="left"/>
        </w:tabs>
        <w:numPr>
          <w:ilvl w:val="0"/>
          <w:numId w:val="30"/>
        </w:numPr>
        <w:rPr>
          <w:rFonts w:ascii="Arial" w:cs="Arial" w:eastAsia="Arial" w:hAnsi="Arial"/>
          <w:sz w:val="18"/>
          <w:szCs w:val="18"/>
          <w:color w:val="auto"/>
        </w:rPr>
      </w:pPr>
      <w:r>
        <w:rPr>
          <w:rFonts w:ascii="Arial" w:cs="Arial" w:eastAsia="Arial" w:hAnsi="Arial"/>
          <w:sz w:val="18"/>
          <w:szCs w:val="18"/>
          <w:color w:val="auto"/>
        </w:rPr>
        <w:t>“SIP Plan” refers to the Savings and Investment Pension Plan, which is Timken’s qualified defined contribution plan for salaried employees. “Core DC Program” refers to the core defined contribution program for all salaried employees hired on or after January 1, 2004, as well as for salaried employees whose age plus years of service with Timken equaled less than 50 as of December 31, 2003. Mr. Timken and Mr. Holding participate in the Core DC Program.</w:t>
      </w:r>
    </w:p>
    <w:p>
      <w:pPr>
        <w:spacing w:after="0" w:line="92" w:lineRule="exact"/>
        <w:rPr>
          <w:rFonts w:ascii="Arial" w:cs="Arial" w:eastAsia="Arial" w:hAnsi="Arial"/>
          <w:sz w:val="18"/>
          <w:szCs w:val="18"/>
          <w:color w:val="auto"/>
        </w:rPr>
      </w:pPr>
    </w:p>
    <w:p>
      <w:pPr>
        <w:ind w:left="920" w:right="100" w:hanging="574"/>
        <w:spacing w:after="0" w:line="277" w:lineRule="auto"/>
        <w:tabs>
          <w:tab w:leader="none" w:pos="920" w:val="left"/>
        </w:tabs>
        <w:numPr>
          <w:ilvl w:val="0"/>
          <w:numId w:val="30"/>
        </w:numPr>
        <w:rPr>
          <w:rFonts w:ascii="Arial" w:cs="Arial" w:eastAsia="Arial" w:hAnsi="Arial"/>
          <w:sz w:val="18"/>
          <w:szCs w:val="18"/>
          <w:color w:val="auto"/>
        </w:rPr>
      </w:pPr>
      <w:r>
        <w:rPr>
          <w:rFonts w:ascii="Arial" w:cs="Arial" w:eastAsia="Arial" w:hAnsi="Arial"/>
          <w:sz w:val="18"/>
          <w:szCs w:val="18"/>
          <w:color w:val="auto"/>
        </w:rPr>
        <w:t>The “Post-Tax Savings Plan” is Timken’s non tax-qualified restoration plan for salaried employees whose contributions and benefits in qualified retirement plans are limited by Section 415 of the Internal Revenue Code.</w:t>
      </w:r>
    </w:p>
    <w:p>
      <w:pPr>
        <w:spacing w:after="0" w:line="75" w:lineRule="exact"/>
        <w:rPr>
          <w:rFonts w:ascii="Arial" w:cs="Arial" w:eastAsia="Arial" w:hAnsi="Arial"/>
          <w:sz w:val="18"/>
          <w:szCs w:val="18"/>
          <w:color w:val="auto"/>
        </w:rPr>
      </w:pPr>
    </w:p>
    <w:p>
      <w:pPr>
        <w:ind w:left="920" w:right="20" w:hanging="574"/>
        <w:spacing w:after="0" w:line="277" w:lineRule="auto"/>
        <w:tabs>
          <w:tab w:leader="none" w:pos="920" w:val="left"/>
        </w:tabs>
        <w:numPr>
          <w:ilvl w:val="0"/>
          <w:numId w:val="30"/>
        </w:numPr>
        <w:rPr>
          <w:rFonts w:ascii="Arial" w:cs="Arial" w:eastAsia="Arial" w:hAnsi="Arial"/>
          <w:sz w:val="18"/>
          <w:szCs w:val="18"/>
          <w:color w:val="auto"/>
        </w:rPr>
      </w:pPr>
      <w:r>
        <w:rPr>
          <w:rFonts w:ascii="Arial" w:cs="Arial" w:eastAsia="Arial" w:hAnsi="Arial"/>
          <w:sz w:val="18"/>
          <w:szCs w:val="18"/>
          <w:color w:val="auto"/>
        </w:rPr>
        <w:t>The amounts shown for spousal travel include actual incremental travel expenses, as well as estimated incremental costs of traveling on Timken’s aircraft (if used), when accompanying the NEO on business travel.</w:t>
      </w:r>
    </w:p>
    <w:p>
      <w:pPr>
        <w:spacing w:after="0" w:line="75" w:lineRule="exact"/>
        <w:rPr>
          <w:rFonts w:ascii="Arial" w:cs="Arial" w:eastAsia="Arial" w:hAnsi="Arial"/>
          <w:sz w:val="18"/>
          <w:szCs w:val="18"/>
          <w:color w:val="auto"/>
        </w:rPr>
      </w:pPr>
    </w:p>
    <w:p>
      <w:pPr>
        <w:ind w:left="920" w:hanging="574"/>
        <w:spacing w:after="0"/>
        <w:tabs>
          <w:tab w:leader="none" w:pos="920" w:val="left"/>
        </w:tabs>
        <w:numPr>
          <w:ilvl w:val="0"/>
          <w:numId w:val="30"/>
        </w:numPr>
        <w:rPr>
          <w:rFonts w:ascii="Arial" w:cs="Arial" w:eastAsia="Arial" w:hAnsi="Arial"/>
          <w:sz w:val="18"/>
          <w:szCs w:val="18"/>
          <w:color w:val="auto"/>
        </w:rPr>
      </w:pPr>
      <w:r>
        <w:rPr>
          <w:rFonts w:ascii="Arial" w:cs="Arial" w:eastAsia="Arial" w:hAnsi="Arial"/>
          <w:sz w:val="18"/>
          <w:szCs w:val="18"/>
          <w:color w:val="auto"/>
        </w:rPr>
        <w:t>Timken does not provide tax gross-ups for benefits to executives.</w:t>
      </w:r>
    </w:p>
    <w:p>
      <w:pPr>
        <w:spacing w:after="0" w:line="130" w:lineRule="exact"/>
        <w:rPr>
          <w:rFonts w:ascii="Arial" w:cs="Arial" w:eastAsia="Arial" w:hAnsi="Arial"/>
          <w:sz w:val="18"/>
          <w:szCs w:val="18"/>
          <w:color w:val="auto"/>
        </w:rPr>
      </w:pPr>
    </w:p>
    <w:p>
      <w:pPr>
        <w:ind w:left="920" w:right="60" w:hanging="574"/>
        <w:spacing w:after="0" w:line="277" w:lineRule="auto"/>
        <w:tabs>
          <w:tab w:leader="none" w:pos="920" w:val="left"/>
        </w:tabs>
        <w:numPr>
          <w:ilvl w:val="0"/>
          <w:numId w:val="30"/>
        </w:numPr>
        <w:rPr>
          <w:rFonts w:ascii="Arial" w:cs="Arial" w:eastAsia="Arial" w:hAnsi="Arial"/>
          <w:sz w:val="18"/>
          <w:szCs w:val="18"/>
          <w:color w:val="auto"/>
        </w:rPr>
      </w:pPr>
      <w:r>
        <w:rPr>
          <w:rFonts w:ascii="Arial" w:cs="Arial" w:eastAsia="Arial" w:hAnsi="Arial"/>
          <w:sz w:val="18"/>
          <w:szCs w:val="18"/>
          <w:color w:val="auto"/>
        </w:rPr>
        <w:t>The amounts shown represent imputed income for the cost of pre-tax term life insurance (which is provided by Timken for all associates equal to one times their annual salary) for the portion that exceeds the IRS pre-tax limit of $50,000.</w:t>
      </w:r>
    </w:p>
    <w:p>
      <w:pPr>
        <w:spacing w:after="0" w:line="75" w:lineRule="exact"/>
        <w:rPr>
          <w:rFonts w:ascii="Arial" w:cs="Arial" w:eastAsia="Arial" w:hAnsi="Arial"/>
          <w:sz w:val="18"/>
          <w:szCs w:val="18"/>
          <w:color w:val="auto"/>
        </w:rPr>
      </w:pPr>
    </w:p>
    <w:p>
      <w:pPr>
        <w:ind w:left="920" w:hanging="574"/>
        <w:spacing w:after="0"/>
        <w:tabs>
          <w:tab w:leader="none" w:pos="920" w:val="left"/>
        </w:tabs>
        <w:numPr>
          <w:ilvl w:val="0"/>
          <w:numId w:val="30"/>
        </w:numPr>
        <w:rPr>
          <w:rFonts w:ascii="Arial" w:cs="Arial" w:eastAsia="Arial" w:hAnsi="Arial"/>
          <w:sz w:val="18"/>
          <w:szCs w:val="18"/>
          <w:color w:val="auto"/>
        </w:rPr>
      </w:pPr>
      <w:r>
        <w:rPr>
          <w:rFonts w:ascii="Arial" w:cs="Arial" w:eastAsia="Arial" w:hAnsi="Arial"/>
          <w:sz w:val="18"/>
          <w:szCs w:val="18"/>
          <w:color w:val="auto"/>
        </w:rPr>
        <w:t>Mr. DiPiero was not employed by Timken in 2013 and therefore no historical information is available for him.</w:t>
      </w:r>
    </w:p>
    <w:p>
      <w:pPr>
        <w:spacing w:after="0" w:line="15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75</w:t>
      </w:r>
    </w:p>
    <w:p>
      <w:pPr>
        <w:sectPr>
          <w:pgSz w:w="11900" w:h="16838" w:orient="portrait"/>
          <w:cols w:equalWidth="0" w:num="1">
            <w:col w:w="11420"/>
          </w:cols>
          <w:pgMar w:left="240" w:top="459" w:right="239" w:bottom="1440" w:gutter="0" w:footer="0" w:header="0"/>
        </w:sectPr>
      </w:pPr>
    </w:p>
    <w:bookmarkStart w:id="87" w:name="page88"/>
    <w:bookmarkEnd w:id="8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2">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2013 Grants of Plan-Based Awards Table</w:t>
      </w:r>
    </w:p>
    <w:p>
      <w:pPr>
        <w:spacing w:after="0" w:line="229" w:lineRule="exact"/>
        <w:rPr>
          <w:sz w:val="20"/>
          <w:szCs w:val="20"/>
          <w:color w:val="auto"/>
        </w:rPr>
      </w:pPr>
    </w:p>
    <w:p>
      <w:pPr>
        <w:ind w:left="920"/>
        <w:spacing w:after="0"/>
        <w:rPr>
          <w:sz w:val="20"/>
          <w:szCs w:val="20"/>
          <w:color w:val="auto"/>
        </w:rPr>
      </w:pPr>
      <w:r>
        <w:rPr>
          <w:rFonts w:ascii="Arial" w:cs="Arial" w:eastAsia="Arial" w:hAnsi="Arial"/>
          <w:sz w:val="16"/>
          <w:szCs w:val="16"/>
          <w:color w:val="auto"/>
        </w:rPr>
        <w:t>The following table sets forth information concerning certain grants of Timken equity and incentive awards made to our NEOs s during 2013:</w:t>
      </w:r>
    </w:p>
    <w:p>
      <w:pPr>
        <w:spacing w:after="0" w:line="270" w:lineRule="exact"/>
        <w:rPr>
          <w:sz w:val="20"/>
          <w:szCs w:val="20"/>
          <w:color w:val="auto"/>
        </w:rPr>
      </w:pPr>
    </w:p>
    <w:tbl>
      <w:tblPr>
        <w:tblLayout w:type="fixed"/>
        <w:tblInd w:w="10" w:type="dxa"/>
        <w:tblCellMar>
          <w:top w:w="0" w:type="dxa"/>
          <w:left w:w="0" w:type="dxa"/>
          <w:bottom w:w="0" w:type="dxa"/>
          <w:right w:w="0" w:type="dxa"/>
        </w:tblCellMar>
      </w:tblPr>
      <w:tr>
        <w:trPr>
          <w:trHeight w:val="143"/>
        </w:trPr>
        <w:tc>
          <w:tcPr>
            <w:tcW w:w="1320" w:type="dxa"/>
            <w:vAlign w:val="bottom"/>
            <w:tcBorders>
              <w:top w:val="single" w:sz="8" w:color="auto"/>
              <w:left w:val="single" w:sz="8" w:color="auto"/>
              <w:right w:val="single" w:sz="8" w:color="auto"/>
            </w:tcBorders>
          </w:tcPr>
          <w:p>
            <w:pPr>
              <w:ind w:left="560"/>
              <w:spacing w:after="0" w:line="143" w:lineRule="exact"/>
              <w:rPr>
                <w:sz w:val="20"/>
                <w:szCs w:val="20"/>
                <w:color w:val="auto"/>
              </w:rPr>
            </w:pPr>
            <w:r>
              <w:rPr>
                <w:rFonts w:ascii="Arial" w:cs="Arial" w:eastAsia="Arial" w:hAnsi="Arial"/>
                <w:sz w:val="14"/>
                <w:szCs w:val="14"/>
                <w:color w:val="auto"/>
              </w:rPr>
              <w:t>Name</w:t>
            </w:r>
          </w:p>
        </w:tc>
        <w:tc>
          <w:tcPr>
            <w:tcW w:w="1640" w:type="dxa"/>
            <w:vAlign w:val="bottom"/>
            <w:tcBorders>
              <w:top w:val="single" w:sz="8" w:color="auto"/>
              <w:right w:val="single" w:sz="8" w:color="auto"/>
            </w:tcBorders>
          </w:tcPr>
          <w:p>
            <w:pPr>
              <w:ind w:left="540"/>
              <w:spacing w:after="0" w:line="143" w:lineRule="exact"/>
              <w:rPr>
                <w:sz w:val="20"/>
                <w:szCs w:val="20"/>
                <w:color w:val="auto"/>
              </w:rPr>
            </w:pPr>
            <w:r>
              <w:rPr>
                <w:rFonts w:ascii="Arial" w:cs="Arial" w:eastAsia="Arial" w:hAnsi="Arial"/>
                <w:sz w:val="14"/>
                <w:szCs w:val="14"/>
                <w:color w:val="auto"/>
              </w:rPr>
              <w:t>Grant Date</w:t>
            </w:r>
          </w:p>
        </w:tc>
        <w:tc>
          <w:tcPr>
            <w:tcW w:w="80" w:type="dxa"/>
            <w:vAlign w:val="bottom"/>
            <w:tcBorders>
              <w:top w:val="single" w:sz="8" w:color="auto"/>
            </w:tcBorders>
          </w:tcPr>
          <w:p>
            <w:pPr>
              <w:spacing w:after="0"/>
              <w:rPr>
                <w:sz w:val="12"/>
                <w:szCs w:val="12"/>
                <w:color w:val="auto"/>
              </w:rPr>
            </w:pPr>
          </w:p>
        </w:tc>
        <w:tc>
          <w:tcPr>
            <w:tcW w:w="2520" w:type="dxa"/>
            <w:vAlign w:val="bottom"/>
            <w:tcBorders>
              <w:top w:val="single" w:sz="8" w:color="auto"/>
              <w:right w:val="single" w:sz="8" w:color="auto"/>
            </w:tcBorders>
            <w:gridSpan w:val="3"/>
          </w:tcPr>
          <w:p>
            <w:pPr>
              <w:jc w:val="center"/>
              <w:spacing w:after="0" w:line="143" w:lineRule="exact"/>
              <w:rPr>
                <w:sz w:val="20"/>
                <w:szCs w:val="20"/>
                <w:color w:val="auto"/>
              </w:rPr>
            </w:pPr>
            <w:r>
              <w:rPr>
                <w:rFonts w:ascii="Arial" w:cs="Arial" w:eastAsia="Arial" w:hAnsi="Arial"/>
                <w:sz w:val="14"/>
                <w:szCs w:val="14"/>
                <w:color w:val="auto"/>
                <w:w w:val="91"/>
              </w:rPr>
              <w:t>Estimated Future Payouts</w:t>
            </w:r>
          </w:p>
        </w:tc>
        <w:tc>
          <w:tcPr>
            <w:tcW w:w="2240" w:type="dxa"/>
            <w:vAlign w:val="bottom"/>
            <w:tcBorders>
              <w:top w:val="single" w:sz="8" w:color="auto"/>
              <w:right w:val="single" w:sz="8" w:color="auto"/>
            </w:tcBorders>
            <w:gridSpan w:val="4"/>
          </w:tcPr>
          <w:p>
            <w:pPr>
              <w:jc w:val="center"/>
              <w:spacing w:after="0" w:line="143" w:lineRule="exact"/>
              <w:rPr>
                <w:sz w:val="20"/>
                <w:szCs w:val="20"/>
                <w:color w:val="auto"/>
              </w:rPr>
            </w:pPr>
            <w:r>
              <w:rPr>
                <w:rFonts w:ascii="Arial" w:cs="Arial" w:eastAsia="Arial" w:hAnsi="Arial"/>
                <w:sz w:val="14"/>
                <w:szCs w:val="14"/>
                <w:color w:val="auto"/>
                <w:w w:val="91"/>
              </w:rPr>
              <w:t>Estimated Future Payouts</w:t>
            </w:r>
          </w:p>
        </w:tc>
        <w:tc>
          <w:tcPr>
            <w:tcW w:w="780" w:type="dxa"/>
            <w:vAlign w:val="bottom"/>
            <w:tcBorders>
              <w:top w:val="single" w:sz="8" w:color="auto"/>
              <w:right w:val="single" w:sz="8" w:color="auto"/>
            </w:tcBorders>
          </w:tcPr>
          <w:p>
            <w:pPr>
              <w:jc w:val="center"/>
              <w:spacing w:after="0" w:line="143" w:lineRule="exact"/>
              <w:rPr>
                <w:sz w:val="20"/>
                <w:szCs w:val="20"/>
                <w:color w:val="auto"/>
              </w:rPr>
            </w:pPr>
            <w:r>
              <w:rPr>
                <w:rFonts w:ascii="Arial" w:cs="Arial" w:eastAsia="Arial" w:hAnsi="Arial"/>
                <w:sz w:val="14"/>
                <w:szCs w:val="14"/>
                <w:color w:val="auto"/>
              </w:rPr>
              <w:t>All Other</w:t>
            </w:r>
          </w:p>
        </w:tc>
        <w:tc>
          <w:tcPr>
            <w:tcW w:w="900" w:type="dxa"/>
            <w:vAlign w:val="bottom"/>
            <w:tcBorders>
              <w:top w:val="single" w:sz="8" w:color="auto"/>
              <w:right w:val="single" w:sz="8" w:color="auto"/>
            </w:tcBorders>
          </w:tcPr>
          <w:p>
            <w:pPr>
              <w:jc w:val="center"/>
              <w:spacing w:after="0" w:line="143" w:lineRule="exact"/>
              <w:rPr>
                <w:sz w:val="20"/>
                <w:szCs w:val="20"/>
                <w:color w:val="auto"/>
              </w:rPr>
            </w:pPr>
            <w:r>
              <w:rPr>
                <w:rFonts w:ascii="Arial" w:cs="Arial" w:eastAsia="Arial" w:hAnsi="Arial"/>
                <w:sz w:val="14"/>
                <w:szCs w:val="14"/>
                <w:color w:val="auto"/>
              </w:rPr>
              <w:t>All Other</w:t>
            </w:r>
          </w:p>
        </w:tc>
        <w:tc>
          <w:tcPr>
            <w:tcW w:w="1020" w:type="dxa"/>
            <w:vAlign w:val="bottom"/>
            <w:tcBorders>
              <w:top w:val="single" w:sz="8" w:color="auto"/>
              <w:right w:val="single" w:sz="8" w:color="auto"/>
            </w:tcBorders>
          </w:tcPr>
          <w:p>
            <w:pPr>
              <w:jc w:val="center"/>
              <w:spacing w:after="0" w:line="143" w:lineRule="exact"/>
              <w:rPr>
                <w:sz w:val="20"/>
                <w:szCs w:val="20"/>
                <w:color w:val="auto"/>
              </w:rPr>
            </w:pPr>
            <w:r>
              <w:rPr>
                <w:rFonts w:ascii="Arial" w:cs="Arial" w:eastAsia="Arial" w:hAnsi="Arial"/>
                <w:sz w:val="14"/>
                <w:szCs w:val="14"/>
                <w:color w:val="auto"/>
                <w:w w:val="91"/>
              </w:rPr>
              <w:t>Exercise or</w:t>
            </w:r>
          </w:p>
        </w:tc>
        <w:tc>
          <w:tcPr>
            <w:tcW w:w="940" w:type="dxa"/>
            <w:vAlign w:val="bottom"/>
            <w:tcBorders>
              <w:top w:val="single" w:sz="8" w:color="auto"/>
              <w:right w:val="single" w:sz="8" w:color="auto"/>
            </w:tcBorders>
          </w:tcPr>
          <w:p>
            <w:pPr>
              <w:jc w:val="center"/>
              <w:ind w:right="8"/>
              <w:spacing w:after="0" w:line="143" w:lineRule="exact"/>
              <w:rPr>
                <w:sz w:val="20"/>
                <w:szCs w:val="20"/>
                <w:color w:val="auto"/>
              </w:rPr>
            </w:pPr>
            <w:r>
              <w:rPr>
                <w:rFonts w:ascii="Arial" w:cs="Arial" w:eastAsia="Arial" w:hAnsi="Arial"/>
                <w:sz w:val="14"/>
                <w:szCs w:val="14"/>
                <w:color w:val="auto"/>
                <w:w w:val="90"/>
              </w:rPr>
              <w:t>Grant Date</w:t>
            </w:r>
          </w:p>
        </w:tc>
        <w:tc>
          <w:tcPr>
            <w:tcW w:w="0" w:type="dxa"/>
            <w:vAlign w:val="bottom"/>
          </w:tcPr>
          <w:p>
            <w:pPr>
              <w:spacing w:after="0"/>
              <w:rPr>
                <w:sz w:val="1"/>
                <w:szCs w:val="1"/>
                <w:color w:val="auto"/>
              </w:rPr>
            </w:pPr>
          </w:p>
        </w:tc>
      </w:tr>
      <w:tr>
        <w:trPr>
          <w:trHeight w:val="149"/>
        </w:trPr>
        <w:tc>
          <w:tcPr>
            <w:tcW w:w="1320" w:type="dxa"/>
            <w:vAlign w:val="bottom"/>
            <w:tcBorders>
              <w:left w:val="single" w:sz="8" w:color="auto"/>
              <w:right w:val="single" w:sz="8" w:color="auto"/>
            </w:tcBorders>
          </w:tcPr>
          <w:p>
            <w:pPr>
              <w:spacing w:after="0"/>
              <w:rPr>
                <w:sz w:val="12"/>
                <w:szCs w:val="12"/>
                <w:color w:val="auto"/>
              </w:rPr>
            </w:pPr>
          </w:p>
        </w:tc>
        <w:tc>
          <w:tcPr>
            <w:tcW w:w="1640" w:type="dxa"/>
            <w:vAlign w:val="bottom"/>
            <w:tcBorders>
              <w:right w:val="single" w:sz="8" w:color="auto"/>
            </w:tcBorders>
          </w:tcPr>
          <w:p>
            <w:pPr>
              <w:spacing w:after="0"/>
              <w:rPr>
                <w:sz w:val="12"/>
                <w:szCs w:val="12"/>
                <w:color w:val="auto"/>
              </w:rPr>
            </w:pPr>
          </w:p>
        </w:tc>
        <w:tc>
          <w:tcPr>
            <w:tcW w:w="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820" w:type="dxa"/>
            <w:vAlign w:val="bottom"/>
            <w:tcBorders>
              <w:right w:val="single" w:sz="8" w:color="auto"/>
            </w:tcBorders>
            <w:gridSpan w:val="2"/>
          </w:tcPr>
          <w:p>
            <w:pPr>
              <w:jc w:val="center"/>
              <w:ind w:right="648"/>
              <w:spacing w:after="0" w:line="149" w:lineRule="exact"/>
              <w:rPr>
                <w:sz w:val="20"/>
                <w:szCs w:val="20"/>
                <w:color w:val="auto"/>
              </w:rPr>
            </w:pPr>
            <w:r>
              <w:rPr>
                <w:rFonts w:ascii="Arial" w:cs="Arial" w:eastAsia="Arial" w:hAnsi="Arial"/>
                <w:sz w:val="14"/>
                <w:szCs w:val="14"/>
                <w:color w:val="auto"/>
                <w:w w:val="95"/>
              </w:rPr>
              <w:t>Under Non-Equity</w:t>
            </w:r>
          </w:p>
        </w:tc>
        <w:tc>
          <w:tcPr>
            <w:tcW w:w="780" w:type="dxa"/>
            <w:vAlign w:val="bottom"/>
          </w:tcPr>
          <w:p>
            <w:pPr>
              <w:spacing w:after="0"/>
              <w:rPr>
                <w:sz w:val="12"/>
                <w:szCs w:val="12"/>
                <w:color w:val="auto"/>
              </w:rPr>
            </w:pPr>
          </w:p>
        </w:tc>
        <w:tc>
          <w:tcPr>
            <w:tcW w:w="760" w:type="dxa"/>
            <w:vAlign w:val="bottom"/>
            <w:gridSpan w:val="2"/>
          </w:tcPr>
          <w:p>
            <w:pPr>
              <w:jc w:val="center"/>
              <w:spacing w:after="0" w:line="149" w:lineRule="exact"/>
              <w:rPr>
                <w:sz w:val="20"/>
                <w:szCs w:val="20"/>
                <w:color w:val="auto"/>
              </w:rPr>
            </w:pPr>
            <w:r>
              <w:rPr>
                <w:rFonts w:ascii="Arial" w:cs="Arial" w:eastAsia="Arial" w:hAnsi="Arial"/>
                <w:sz w:val="14"/>
                <w:szCs w:val="14"/>
                <w:color w:val="auto"/>
                <w:w w:val="93"/>
              </w:rPr>
              <w:t>Under Equity</w:t>
            </w:r>
          </w:p>
        </w:tc>
        <w:tc>
          <w:tcPr>
            <w:tcW w:w="700" w:type="dxa"/>
            <w:vAlign w:val="bottom"/>
            <w:tcBorders>
              <w:right w:val="single" w:sz="8" w:color="auto"/>
            </w:tcBorders>
          </w:tcPr>
          <w:p>
            <w:pPr>
              <w:spacing w:after="0"/>
              <w:rPr>
                <w:sz w:val="12"/>
                <w:szCs w:val="12"/>
                <w:color w:val="auto"/>
              </w:rPr>
            </w:pPr>
          </w:p>
        </w:tc>
        <w:tc>
          <w:tcPr>
            <w:tcW w:w="780" w:type="dxa"/>
            <w:vAlign w:val="bottom"/>
            <w:tcBorders>
              <w:right w:val="single" w:sz="8" w:color="auto"/>
            </w:tcBorders>
          </w:tcPr>
          <w:p>
            <w:pPr>
              <w:jc w:val="center"/>
              <w:spacing w:after="0" w:line="149" w:lineRule="exact"/>
              <w:rPr>
                <w:sz w:val="20"/>
                <w:szCs w:val="20"/>
                <w:color w:val="auto"/>
              </w:rPr>
            </w:pPr>
            <w:r>
              <w:rPr>
                <w:rFonts w:ascii="Arial" w:cs="Arial" w:eastAsia="Arial" w:hAnsi="Arial"/>
                <w:sz w:val="14"/>
                <w:szCs w:val="14"/>
                <w:color w:val="auto"/>
                <w:w w:val="91"/>
              </w:rPr>
              <w:t>Stock</w:t>
            </w:r>
          </w:p>
        </w:tc>
        <w:tc>
          <w:tcPr>
            <w:tcW w:w="900" w:type="dxa"/>
            <w:vAlign w:val="bottom"/>
            <w:tcBorders>
              <w:right w:val="single" w:sz="8" w:color="auto"/>
            </w:tcBorders>
          </w:tcPr>
          <w:p>
            <w:pPr>
              <w:jc w:val="center"/>
              <w:spacing w:after="0" w:line="149" w:lineRule="exact"/>
              <w:rPr>
                <w:sz w:val="20"/>
                <w:szCs w:val="20"/>
                <w:color w:val="auto"/>
              </w:rPr>
            </w:pPr>
            <w:r>
              <w:rPr>
                <w:rFonts w:ascii="Arial" w:cs="Arial" w:eastAsia="Arial" w:hAnsi="Arial"/>
                <w:sz w:val="14"/>
                <w:szCs w:val="14"/>
                <w:color w:val="auto"/>
                <w:w w:val="96"/>
              </w:rPr>
              <w:t>Option</w:t>
            </w:r>
          </w:p>
        </w:tc>
        <w:tc>
          <w:tcPr>
            <w:tcW w:w="1020" w:type="dxa"/>
            <w:vAlign w:val="bottom"/>
            <w:tcBorders>
              <w:right w:val="single" w:sz="8" w:color="auto"/>
            </w:tcBorders>
          </w:tcPr>
          <w:p>
            <w:pPr>
              <w:jc w:val="center"/>
              <w:spacing w:after="0" w:line="149" w:lineRule="exact"/>
              <w:rPr>
                <w:sz w:val="20"/>
                <w:szCs w:val="20"/>
                <w:color w:val="auto"/>
              </w:rPr>
            </w:pPr>
            <w:r>
              <w:rPr>
                <w:rFonts w:ascii="Arial" w:cs="Arial" w:eastAsia="Arial" w:hAnsi="Arial"/>
                <w:sz w:val="14"/>
                <w:szCs w:val="14"/>
                <w:color w:val="auto"/>
                <w:w w:val="91"/>
              </w:rPr>
              <w:t>Base Price of</w:t>
            </w:r>
          </w:p>
        </w:tc>
        <w:tc>
          <w:tcPr>
            <w:tcW w:w="940" w:type="dxa"/>
            <w:vAlign w:val="bottom"/>
            <w:tcBorders>
              <w:right w:val="single" w:sz="8" w:color="auto"/>
            </w:tcBorders>
          </w:tcPr>
          <w:p>
            <w:pPr>
              <w:jc w:val="center"/>
              <w:ind w:right="8"/>
              <w:spacing w:after="0" w:line="149" w:lineRule="exact"/>
              <w:rPr>
                <w:sz w:val="20"/>
                <w:szCs w:val="20"/>
                <w:color w:val="auto"/>
              </w:rPr>
            </w:pPr>
            <w:r>
              <w:rPr>
                <w:rFonts w:ascii="Arial" w:cs="Arial" w:eastAsia="Arial" w:hAnsi="Arial"/>
                <w:sz w:val="14"/>
                <w:szCs w:val="14"/>
                <w:color w:val="auto"/>
                <w:w w:val="90"/>
              </w:rPr>
              <w:t>Fair Value</w:t>
            </w:r>
          </w:p>
        </w:tc>
        <w:tc>
          <w:tcPr>
            <w:tcW w:w="0" w:type="dxa"/>
            <w:vAlign w:val="bottom"/>
          </w:tcPr>
          <w:p>
            <w:pPr>
              <w:spacing w:after="0"/>
              <w:rPr>
                <w:sz w:val="1"/>
                <w:szCs w:val="1"/>
                <w:color w:val="auto"/>
              </w:rPr>
            </w:pPr>
          </w:p>
        </w:tc>
      </w:tr>
      <w:tr>
        <w:trPr>
          <w:trHeight w:val="149"/>
        </w:trPr>
        <w:tc>
          <w:tcPr>
            <w:tcW w:w="1320" w:type="dxa"/>
            <w:vAlign w:val="bottom"/>
            <w:tcBorders>
              <w:left w:val="single" w:sz="8" w:color="auto"/>
              <w:right w:val="single" w:sz="8" w:color="auto"/>
            </w:tcBorders>
          </w:tcPr>
          <w:p>
            <w:pPr>
              <w:spacing w:after="0"/>
              <w:rPr>
                <w:sz w:val="12"/>
                <w:szCs w:val="12"/>
                <w:color w:val="auto"/>
              </w:rPr>
            </w:pPr>
          </w:p>
        </w:tc>
        <w:tc>
          <w:tcPr>
            <w:tcW w:w="1640" w:type="dxa"/>
            <w:vAlign w:val="bottom"/>
            <w:tcBorders>
              <w:right w:val="single" w:sz="8" w:color="auto"/>
            </w:tcBorders>
          </w:tcPr>
          <w:p>
            <w:pPr>
              <w:spacing w:after="0"/>
              <w:rPr>
                <w:sz w:val="12"/>
                <w:szCs w:val="12"/>
                <w:color w:val="auto"/>
              </w:rPr>
            </w:pPr>
          </w:p>
        </w:tc>
        <w:tc>
          <w:tcPr>
            <w:tcW w:w="80" w:type="dxa"/>
            <w:vAlign w:val="bottom"/>
          </w:tcPr>
          <w:p>
            <w:pPr>
              <w:spacing w:after="0"/>
              <w:rPr>
                <w:sz w:val="12"/>
                <w:szCs w:val="12"/>
                <w:color w:val="auto"/>
              </w:rPr>
            </w:pPr>
          </w:p>
        </w:tc>
        <w:tc>
          <w:tcPr>
            <w:tcW w:w="2520" w:type="dxa"/>
            <w:vAlign w:val="bottom"/>
            <w:tcBorders>
              <w:right w:val="single" w:sz="8" w:color="auto"/>
            </w:tcBorders>
            <w:gridSpan w:val="3"/>
          </w:tcPr>
          <w:p>
            <w:pPr>
              <w:jc w:val="center"/>
              <w:spacing w:after="0" w:line="149" w:lineRule="exact"/>
              <w:rPr>
                <w:sz w:val="20"/>
                <w:szCs w:val="20"/>
                <w:color w:val="auto"/>
              </w:rPr>
            </w:pPr>
            <w:r>
              <w:rPr>
                <w:rFonts w:ascii="Arial" w:cs="Arial" w:eastAsia="Arial" w:hAnsi="Arial"/>
                <w:sz w:val="14"/>
                <w:szCs w:val="14"/>
                <w:color w:val="auto"/>
                <w:w w:val="93"/>
              </w:rPr>
              <w:t>Incentive Plan Awards</w:t>
            </w:r>
          </w:p>
        </w:tc>
        <w:tc>
          <w:tcPr>
            <w:tcW w:w="2240" w:type="dxa"/>
            <w:vAlign w:val="bottom"/>
            <w:tcBorders>
              <w:right w:val="single" w:sz="8" w:color="auto"/>
            </w:tcBorders>
            <w:gridSpan w:val="4"/>
          </w:tcPr>
          <w:p>
            <w:pPr>
              <w:jc w:val="center"/>
              <w:spacing w:after="0" w:line="149" w:lineRule="exact"/>
              <w:rPr>
                <w:sz w:val="20"/>
                <w:szCs w:val="20"/>
                <w:color w:val="auto"/>
              </w:rPr>
            </w:pPr>
            <w:r>
              <w:rPr>
                <w:rFonts w:ascii="Arial" w:cs="Arial" w:eastAsia="Arial" w:hAnsi="Arial"/>
                <w:sz w:val="14"/>
                <w:szCs w:val="14"/>
                <w:color w:val="auto"/>
                <w:w w:val="93"/>
              </w:rPr>
              <w:t>Incentive Plan Awards</w:t>
            </w:r>
          </w:p>
        </w:tc>
        <w:tc>
          <w:tcPr>
            <w:tcW w:w="780" w:type="dxa"/>
            <w:vAlign w:val="bottom"/>
            <w:tcBorders>
              <w:right w:val="single" w:sz="8" w:color="auto"/>
            </w:tcBorders>
          </w:tcPr>
          <w:p>
            <w:pPr>
              <w:jc w:val="center"/>
              <w:spacing w:after="0" w:line="149" w:lineRule="exact"/>
              <w:rPr>
                <w:sz w:val="20"/>
                <w:szCs w:val="20"/>
                <w:color w:val="auto"/>
              </w:rPr>
            </w:pPr>
            <w:r>
              <w:rPr>
                <w:rFonts w:ascii="Arial" w:cs="Arial" w:eastAsia="Arial" w:hAnsi="Arial"/>
                <w:sz w:val="14"/>
                <w:szCs w:val="14"/>
                <w:color w:val="auto"/>
                <w:w w:val="94"/>
              </w:rPr>
              <w:t>Awards:</w:t>
            </w:r>
          </w:p>
        </w:tc>
        <w:tc>
          <w:tcPr>
            <w:tcW w:w="900" w:type="dxa"/>
            <w:vAlign w:val="bottom"/>
            <w:tcBorders>
              <w:right w:val="single" w:sz="8" w:color="auto"/>
            </w:tcBorders>
          </w:tcPr>
          <w:p>
            <w:pPr>
              <w:jc w:val="center"/>
              <w:spacing w:after="0" w:line="149" w:lineRule="exact"/>
              <w:rPr>
                <w:sz w:val="20"/>
                <w:szCs w:val="20"/>
                <w:color w:val="auto"/>
              </w:rPr>
            </w:pPr>
            <w:r>
              <w:rPr>
                <w:rFonts w:ascii="Arial" w:cs="Arial" w:eastAsia="Arial" w:hAnsi="Arial"/>
                <w:sz w:val="14"/>
                <w:szCs w:val="14"/>
                <w:color w:val="auto"/>
                <w:w w:val="94"/>
              </w:rPr>
              <w:t>Awards:</w:t>
            </w:r>
          </w:p>
        </w:tc>
        <w:tc>
          <w:tcPr>
            <w:tcW w:w="1020" w:type="dxa"/>
            <w:vAlign w:val="bottom"/>
            <w:tcBorders>
              <w:right w:val="single" w:sz="8" w:color="auto"/>
            </w:tcBorders>
          </w:tcPr>
          <w:p>
            <w:pPr>
              <w:jc w:val="center"/>
              <w:spacing w:after="0" w:line="149" w:lineRule="exact"/>
              <w:rPr>
                <w:sz w:val="20"/>
                <w:szCs w:val="20"/>
                <w:color w:val="auto"/>
              </w:rPr>
            </w:pPr>
            <w:r>
              <w:rPr>
                <w:rFonts w:ascii="Arial" w:cs="Arial" w:eastAsia="Arial" w:hAnsi="Arial"/>
                <w:sz w:val="14"/>
                <w:szCs w:val="14"/>
                <w:color w:val="auto"/>
                <w:w w:val="96"/>
              </w:rPr>
              <w:t>Option</w:t>
            </w:r>
          </w:p>
        </w:tc>
        <w:tc>
          <w:tcPr>
            <w:tcW w:w="940" w:type="dxa"/>
            <w:vAlign w:val="bottom"/>
            <w:tcBorders>
              <w:right w:val="single" w:sz="8" w:color="auto"/>
            </w:tcBorders>
          </w:tcPr>
          <w:p>
            <w:pPr>
              <w:jc w:val="center"/>
              <w:ind w:right="8"/>
              <w:spacing w:after="0" w:line="149" w:lineRule="exact"/>
              <w:rPr>
                <w:sz w:val="20"/>
                <w:szCs w:val="20"/>
                <w:color w:val="auto"/>
              </w:rPr>
            </w:pPr>
            <w:r>
              <w:rPr>
                <w:rFonts w:ascii="Arial" w:cs="Arial" w:eastAsia="Arial" w:hAnsi="Arial"/>
                <w:sz w:val="14"/>
                <w:szCs w:val="14"/>
                <w:color w:val="auto"/>
                <w:w w:val="98"/>
              </w:rPr>
              <w:t>of Stock</w:t>
            </w:r>
          </w:p>
        </w:tc>
        <w:tc>
          <w:tcPr>
            <w:tcW w:w="0" w:type="dxa"/>
            <w:vAlign w:val="bottom"/>
          </w:tcPr>
          <w:p>
            <w:pPr>
              <w:spacing w:after="0"/>
              <w:rPr>
                <w:sz w:val="1"/>
                <w:szCs w:val="1"/>
                <w:color w:val="auto"/>
              </w:rPr>
            </w:pPr>
          </w:p>
        </w:tc>
      </w:tr>
      <w:tr>
        <w:trPr>
          <w:trHeight w:val="149"/>
        </w:trPr>
        <w:tc>
          <w:tcPr>
            <w:tcW w:w="1320" w:type="dxa"/>
            <w:vAlign w:val="bottom"/>
            <w:tcBorders>
              <w:left w:val="single" w:sz="8" w:color="auto"/>
              <w:right w:val="single" w:sz="8" w:color="auto"/>
            </w:tcBorders>
          </w:tcPr>
          <w:p>
            <w:pPr>
              <w:spacing w:after="0"/>
              <w:rPr>
                <w:sz w:val="12"/>
                <w:szCs w:val="12"/>
                <w:color w:val="auto"/>
              </w:rPr>
            </w:pPr>
          </w:p>
        </w:tc>
        <w:tc>
          <w:tcPr>
            <w:tcW w:w="1640" w:type="dxa"/>
            <w:vAlign w:val="bottom"/>
            <w:tcBorders>
              <w:right w:val="single" w:sz="8" w:color="auto"/>
            </w:tcBorders>
          </w:tcPr>
          <w:p>
            <w:pPr>
              <w:spacing w:after="0"/>
              <w:rPr>
                <w:sz w:val="12"/>
                <w:szCs w:val="12"/>
                <w:color w:val="auto"/>
              </w:rPr>
            </w:pPr>
          </w:p>
        </w:tc>
        <w:tc>
          <w:tcPr>
            <w:tcW w:w="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920" w:type="dxa"/>
            <w:vAlign w:val="bottom"/>
            <w:tcBorders>
              <w:right w:val="single" w:sz="8" w:color="auto"/>
            </w:tcBorders>
          </w:tcPr>
          <w:p>
            <w:pPr>
              <w:spacing w:after="0"/>
              <w:rPr>
                <w:sz w:val="12"/>
                <w:szCs w:val="12"/>
                <w:color w:val="auto"/>
              </w:rPr>
            </w:pPr>
          </w:p>
        </w:tc>
        <w:tc>
          <w:tcPr>
            <w:tcW w:w="78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00" w:type="dxa"/>
            <w:vAlign w:val="bottom"/>
            <w:tcBorders>
              <w:right w:val="single" w:sz="8" w:color="auto"/>
            </w:tcBorders>
          </w:tcPr>
          <w:p>
            <w:pPr>
              <w:spacing w:after="0"/>
              <w:rPr>
                <w:sz w:val="12"/>
                <w:szCs w:val="12"/>
                <w:color w:val="auto"/>
              </w:rPr>
            </w:pPr>
          </w:p>
        </w:tc>
        <w:tc>
          <w:tcPr>
            <w:tcW w:w="780" w:type="dxa"/>
            <w:vAlign w:val="bottom"/>
            <w:tcBorders>
              <w:right w:val="single" w:sz="8" w:color="auto"/>
            </w:tcBorders>
          </w:tcPr>
          <w:p>
            <w:pPr>
              <w:jc w:val="center"/>
              <w:spacing w:after="0" w:line="149" w:lineRule="exact"/>
              <w:rPr>
                <w:sz w:val="20"/>
                <w:szCs w:val="20"/>
                <w:color w:val="auto"/>
              </w:rPr>
            </w:pPr>
            <w:r>
              <w:rPr>
                <w:rFonts w:ascii="Arial" w:cs="Arial" w:eastAsia="Arial" w:hAnsi="Arial"/>
                <w:sz w:val="14"/>
                <w:szCs w:val="14"/>
                <w:color w:val="auto"/>
                <w:w w:val="97"/>
              </w:rPr>
              <w:t>Number of</w:t>
            </w:r>
          </w:p>
        </w:tc>
        <w:tc>
          <w:tcPr>
            <w:tcW w:w="900" w:type="dxa"/>
            <w:vAlign w:val="bottom"/>
            <w:tcBorders>
              <w:right w:val="single" w:sz="8" w:color="auto"/>
            </w:tcBorders>
          </w:tcPr>
          <w:p>
            <w:pPr>
              <w:jc w:val="center"/>
              <w:spacing w:after="0" w:line="149" w:lineRule="exact"/>
              <w:rPr>
                <w:sz w:val="20"/>
                <w:szCs w:val="20"/>
                <w:color w:val="auto"/>
              </w:rPr>
            </w:pPr>
            <w:r>
              <w:rPr>
                <w:rFonts w:ascii="Arial" w:cs="Arial" w:eastAsia="Arial" w:hAnsi="Arial"/>
                <w:sz w:val="14"/>
                <w:szCs w:val="14"/>
                <w:color w:val="auto"/>
                <w:w w:val="94"/>
              </w:rPr>
              <w:t>Number of</w:t>
            </w:r>
          </w:p>
        </w:tc>
        <w:tc>
          <w:tcPr>
            <w:tcW w:w="1020" w:type="dxa"/>
            <w:vAlign w:val="bottom"/>
            <w:tcBorders>
              <w:right w:val="single" w:sz="8" w:color="auto"/>
            </w:tcBorders>
          </w:tcPr>
          <w:p>
            <w:pPr>
              <w:jc w:val="center"/>
              <w:spacing w:after="0" w:line="149" w:lineRule="exact"/>
              <w:rPr>
                <w:sz w:val="20"/>
                <w:szCs w:val="20"/>
                <w:color w:val="auto"/>
              </w:rPr>
            </w:pPr>
            <w:r>
              <w:rPr>
                <w:rFonts w:ascii="Arial" w:cs="Arial" w:eastAsia="Arial" w:hAnsi="Arial"/>
                <w:sz w:val="14"/>
                <w:szCs w:val="14"/>
                <w:color w:val="auto"/>
                <w:w w:val="94"/>
              </w:rPr>
              <w:t>Awards</w:t>
            </w:r>
          </w:p>
        </w:tc>
        <w:tc>
          <w:tcPr>
            <w:tcW w:w="940" w:type="dxa"/>
            <w:vAlign w:val="bottom"/>
            <w:tcBorders>
              <w:right w:val="single" w:sz="8" w:color="auto"/>
            </w:tcBorders>
          </w:tcPr>
          <w:p>
            <w:pPr>
              <w:jc w:val="center"/>
              <w:ind w:right="8"/>
              <w:spacing w:after="0" w:line="149" w:lineRule="exact"/>
              <w:rPr>
                <w:sz w:val="20"/>
                <w:szCs w:val="20"/>
                <w:color w:val="auto"/>
              </w:rPr>
            </w:pPr>
            <w:r>
              <w:rPr>
                <w:rFonts w:ascii="Arial" w:cs="Arial" w:eastAsia="Arial" w:hAnsi="Arial"/>
                <w:sz w:val="14"/>
                <w:szCs w:val="14"/>
                <w:color w:val="auto"/>
                <w:w w:val="96"/>
              </w:rPr>
              <w:t>and Option</w:t>
            </w:r>
          </w:p>
        </w:tc>
        <w:tc>
          <w:tcPr>
            <w:tcW w:w="0" w:type="dxa"/>
            <w:vAlign w:val="bottom"/>
          </w:tcPr>
          <w:p>
            <w:pPr>
              <w:spacing w:after="0"/>
              <w:rPr>
                <w:sz w:val="1"/>
                <w:szCs w:val="1"/>
                <w:color w:val="auto"/>
              </w:rPr>
            </w:pPr>
          </w:p>
        </w:tc>
      </w:tr>
      <w:tr>
        <w:trPr>
          <w:trHeight w:val="149"/>
        </w:trPr>
        <w:tc>
          <w:tcPr>
            <w:tcW w:w="1320" w:type="dxa"/>
            <w:vAlign w:val="bottom"/>
            <w:tcBorders>
              <w:left w:val="single" w:sz="8" w:color="auto"/>
              <w:right w:val="single" w:sz="8" w:color="auto"/>
            </w:tcBorders>
          </w:tcPr>
          <w:p>
            <w:pPr>
              <w:spacing w:after="0"/>
              <w:rPr>
                <w:sz w:val="12"/>
                <w:szCs w:val="12"/>
                <w:color w:val="auto"/>
              </w:rPr>
            </w:pPr>
          </w:p>
        </w:tc>
        <w:tc>
          <w:tcPr>
            <w:tcW w:w="1640" w:type="dxa"/>
            <w:vAlign w:val="bottom"/>
            <w:tcBorders>
              <w:right w:val="single" w:sz="8" w:color="auto"/>
            </w:tcBorders>
          </w:tcPr>
          <w:p>
            <w:pPr>
              <w:spacing w:after="0"/>
              <w:rPr>
                <w:sz w:val="12"/>
                <w:szCs w:val="12"/>
                <w:color w:val="auto"/>
              </w:rPr>
            </w:pPr>
          </w:p>
        </w:tc>
        <w:tc>
          <w:tcPr>
            <w:tcW w:w="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920" w:type="dxa"/>
            <w:vAlign w:val="bottom"/>
            <w:tcBorders>
              <w:right w:val="single" w:sz="8" w:color="auto"/>
            </w:tcBorders>
          </w:tcPr>
          <w:p>
            <w:pPr>
              <w:spacing w:after="0"/>
              <w:rPr>
                <w:sz w:val="12"/>
                <w:szCs w:val="12"/>
                <w:color w:val="auto"/>
              </w:rPr>
            </w:pPr>
          </w:p>
        </w:tc>
        <w:tc>
          <w:tcPr>
            <w:tcW w:w="78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00" w:type="dxa"/>
            <w:vAlign w:val="bottom"/>
            <w:tcBorders>
              <w:right w:val="single" w:sz="8" w:color="auto"/>
            </w:tcBorders>
          </w:tcPr>
          <w:p>
            <w:pPr>
              <w:spacing w:after="0"/>
              <w:rPr>
                <w:sz w:val="12"/>
                <w:szCs w:val="12"/>
                <w:color w:val="auto"/>
              </w:rPr>
            </w:pPr>
          </w:p>
        </w:tc>
        <w:tc>
          <w:tcPr>
            <w:tcW w:w="780" w:type="dxa"/>
            <w:vAlign w:val="bottom"/>
            <w:tcBorders>
              <w:right w:val="single" w:sz="8" w:color="auto"/>
            </w:tcBorders>
          </w:tcPr>
          <w:p>
            <w:pPr>
              <w:jc w:val="center"/>
              <w:spacing w:after="0" w:line="149" w:lineRule="exact"/>
              <w:rPr>
                <w:sz w:val="20"/>
                <w:szCs w:val="20"/>
                <w:color w:val="auto"/>
              </w:rPr>
            </w:pPr>
            <w:r>
              <w:rPr>
                <w:rFonts w:ascii="Arial" w:cs="Arial" w:eastAsia="Arial" w:hAnsi="Arial"/>
                <w:sz w:val="14"/>
                <w:szCs w:val="14"/>
                <w:color w:val="auto"/>
                <w:w w:val="90"/>
              </w:rPr>
              <w:t>Shares of</w:t>
            </w:r>
          </w:p>
        </w:tc>
        <w:tc>
          <w:tcPr>
            <w:tcW w:w="900" w:type="dxa"/>
            <w:vAlign w:val="bottom"/>
            <w:tcBorders>
              <w:right w:val="single" w:sz="8" w:color="auto"/>
            </w:tcBorders>
          </w:tcPr>
          <w:p>
            <w:pPr>
              <w:jc w:val="center"/>
              <w:spacing w:after="0" w:line="149" w:lineRule="exact"/>
              <w:rPr>
                <w:sz w:val="20"/>
                <w:szCs w:val="20"/>
                <w:color w:val="auto"/>
              </w:rPr>
            </w:pPr>
            <w:r>
              <w:rPr>
                <w:rFonts w:ascii="Arial" w:cs="Arial" w:eastAsia="Arial" w:hAnsi="Arial"/>
                <w:sz w:val="14"/>
                <w:szCs w:val="14"/>
                <w:color w:val="auto"/>
                <w:w w:val="91"/>
              </w:rPr>
              <w:t>Securities</w:t>
            </w:r>
          </w:p>
        </w:tc>
        <w:tc>
          <w:tcPr>
            <w:tcW w:w="1020" w:type="dxa"/>
            <w:vAlign w:val="bottom"/>
            <w:tcBorders>
              <w:right w:val="single" w:sz="8" w:color="auto"/>
            </w:tcBorders>
          </w:tcPr>
          <w:p>
            <w:pPr>
              <w:jc w:val="center"/>
              <w:spacing w:after="0" w:line="149" w:lineRule="exact"/>
              <w:rPr>
                <w:sz w:val="20"/>
                <w:szCs w:val="20"/>
                <w:color w:val="auto"/>
              </w:rPr>
            </w:pPr>
            <w:r>
              <w:rPr>
                <w:rFonts w:ascii="Arial" w:cs="Arial" w:eastAsia="Arial" w:hAnsi="Arial"/>
                <w:sz w:val="14"/>
                <w:szCs w:val="14"/>
                <w:color w:val="auto"/>
                <w:w w:val="92"/>
              </w:rPr>
              <w:t>($/share)</w:t>
            </w:r>
          </w:p>
        </w:tc>
        <w:tc>
          <w:tcPr>
            <w:tcW w:w="940" w:type="dxa"/>
            <w:vAlign w:val="bottom"/>
            <w:tcBorders>
              <w:right w:val="single" w:sz="8" w:color="auto"/>
            </w:tcBorders>
          </w:tcPr>
          <w:p>
            <w:pPr>
              <w:jc w:val="center"/>
              <w:ind w:right="8"/>
              <w:spacing w:after="0" w:line="149" w:lineRule="exact"/>
              <w:rPr>
                <w:sz w:val="20"/>
                <w:szCs w:val="20"/>
                <w:color w:val="auto"/>
              </w:rPr>
            </w:pPr>
            <w:r>
              <w:rPr>
                <w:rFonts w:ascii="Arial" w:cs="Arial" w:eastAsia="Arial" w:hAnsi="Arial"/>
                <w:sz w:val="14"/>
                <w:szCs w:val="14"/>
                <w:color w:val="auto"/>
                <w:w w:val="94"/>
              </w:rPr>
              <w:t xml:space="preserve">Awards </w:t>
            </w:r>
            <w:r>
              <w:rPr>
                <w:rFonts w:ascii="Arial" w:cs="Arial" w:eastAsia="Arial" w:hAnsi="Arial"/>
                <w:sz w:val="12"/>
                <w:szCs w:val="12"/>
                <w:color w:val="auto"/>
                <w:w w:val="94"/>
              </w:rPr>
              <w:t>(5)</w:t>
            </w:r>
          </w:p>
        </w:tc>
        <w:tc>
          <w:tcPr>
            <w:tcW w:w="0" w:type="dxa"/>
            <w:vAlign w:val="bottom"/>
          </w:tcPr>
          <w:p>
            <w:pPr>
              <w:spacing w:after="0"/>
              <w:rPr>
                <w:sz w:val="1"/>
                <w:szCs w:val="1"/>
                <w:color w:val="auto"/>
              </w:rPr>
            </w:pPr>
          </w:p>
        </w:tc>
      </w:tr>
      <w:tr>
        <w:trPr>
          <w:trHeight w:val="149"/>
        </w:trPr>
        <w:tc>
          <w:tcPr>
            <w:tcW w:w="1320" w:type="dxa"/>
            <w:vAlign w:val="bottom"/>
            <w:tcBorders>
              <w:left w:val="single" w:sz="8" w:color="auto"/>
              <w:right w:val="single" w:sz="8" w:color="auto"/>
            </w:tcBorders>
          </w:tcPr>
          <w:p>
            <w:pPr>
              <w:spacing w:after="0"/>
              <w:rPr>
                <w:sz w:val="12"/>
                <w:szCs w:val="12"/>
                <w:color w:val="auto"/>
              </w:rPr>
            </w:pPr>
          </w:p>
        </w:tc>
        <w:tc>
          <w:tcPr>
            <w:tcW w:w="1640" w:type="dxa"/>
            <w:vAlign w:val="bottom"/>
            <w:tcBorders>
              <w:right w:val="single" w:sz="8" w:color="auto"/>
            </w:tcBorders>
          </w:tcPr>
          <w:p>
            <w:pPr>
              <w:spacing w:after="0"/>
              <w:rPr>
                <w:sz w:val="12"/>
                <w:szCs w:val="12"/>
                <w:color w:val="auto"/>
              </w:rPr>
            </w:pPr>
          </w:p>
        </w:tc>
        <w:tc>
          <w:tcPr>
            <w:tcW w:w="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920" w:type="dxa"/>
            <w:vAlign w:val="bottom"/>
            <w:tcBorders>
              <w:right w:val="single" w:sz="8" w:color="auto"/>
            </w:tcBorders>
          </w:tcPr>
          <w:p>
            <w:pPr>
              <w:spacing w:after="0"/>
              <w:rPr>
                <w:sz w:val="12"/>
                <w:szCs w:val="12"/>
                <w:color w:val="auto"/>
              </w:rPr>
            </w:pPr>
          </w:p>
        </w:tc>
        <w:tc>
          <w:tcPr>
            <w:tcW w:w="78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00" w:type="dxa"/>
            <w:vAlign w:val="bottom"/>
            <w:tcBorders>
              <w:right w:val="single" w:sz="8" w:color="auto"/>
            </w:tcBorders>
          </w:tcPr>
          <w:p>
            <w:pPr>
              <w:spacing w:after="0"/>
              <w:rPr>
                <w:sz w:val="12"/>
                <w:szCs w:val="12"/>
                <w:color w:val="auto"/>
              </w:rPr>
            </w:pPr>
          </w:p>
        </w:tc>
        <w:tc>
          <w:tcPr>
            <w:tcW w:w="780" w:type="dxa"/>
            <w:vAlign w:val="bottom"/>
            <w:tcBorders>
              <w:right w:val="single" w:sz="8" w:color="auto"/>
            </w:tcBorders>
          </w:tcPr>
          <w:p>
            <w:pPr>
              <w:jc w:val="center"/>
              <w:spacing w:after="0" w:line="149" w:lineRule="exact"/>
              <w:rPr>
                <w:sz w:val="20"/>
                <w:szCs w:val="20"/>
                <w:color w:val="auto"/>
              </w:rPr>
            </w:pPr>
            <w:r>
              <w:rPr>
                <w:rFonts w:ascii="Arial" w:cs="Arial" w:eastAsia="Arial" w:hAnsi="Arial"/>
                <w:sz w:val="14"/>
                <w:szCs w:val="14"/>
                <w:color w:val="auto"/>
                <w:w w:val="93"/>
              </w:rPr>
              <w:t>Stock or</w:t>
            </w:r>
          </w:p>
        </w:tc>
        <w:tc>
          <w:tcPr>
            <w:tcW w:w="900" w:type="dxa"/>
            <w:vAlign w:val="bottom"/>
            <w:tcBorders>
              <w:right w:val="single" w:sz="8" w:color="auto"/>
            </w:tcBorders>
          </w:tcPr>
          <w:p>
            <w:pPr>
              <w:jc w:val="center"/>
              <w:spacing w:after="0" w:line="149" w:lineRule="exact"/>
              <w:rPr>
                <w:sz w:val="20"/>
                <w:szCs w:val="20"/>
                <w:color w:val="auto"/>
              </w:rPr>
            </w:pPr>
            <w:r>
              <w:rPr>
                <w:rFonts w:ascii="Arial" w:cs="Arial" w:eastAsia="Arial" w:hAnsi="Arial"/>
                <w:sz w:val="14"/>
                <w:szCs w:val="14"/>
                <w:color w:val="auto"/>
                <w:w w:val="98"/>
              </w:rPr>
              <w:t>Underlying</w:t>
            </w:r>
          </w:p>
        </w:tc>
        <w:tc>
          <w:tcPr>
            <w:tcW w:w="1020" w:type="dxa"/>
            <w:vAlign w:val="bottom"/>
            <w:tcBorders>
              <w:right w:val="single" w:sz="8" w:color="auto"/>
            </w:tcBorders>
          </w:tcPr>
          <w:p>
            <w:pPr>
              <w:spacing w:after="0"/>
              <w:rPr>
                <w:sz w:val="12"/>
                <w:szCs w:val="12"/>
                <w:color w:val="auto"/>
              </w:rPr>
            </w:pPr>
          </w:p>
        </w:tc>
        <w:tc>
          <w:tcPr>
            <w:tcW w:w="94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82"/>
        </w:trPr>
        <w:tc>
          <w:tcPr>
            <w:tcW w:w="1320" w:type="dxa"/>
            <w:vAlign w:val="bottom"/>
            <w:tcBorders>
              <w:left w:val="single" w:sz="8" w:color="auto"/>
              <w:right w:val="single" w:sz="8" w:color="auto"/>
            </w:tcBorders>
          </w:tcPr>
          <w:p>
            <w:pPr>
              <w:spacing w:after="0"/>
              <w:rPr>
                <w:sz w:val="15"/>
                <w:szCs w:val="15"/>
                <w:color w:val="auto"/>
              </w:rPr>
            </w:pPr>
          </w:p>
        </w:tc>
        <w:tc>
          <w:tcPr>
            <w:tcW w:w="1640" w:type="dxa"/>
            <w:vAlign w:val="bottom"/>
            <w:tcBorders>
              <w:right w:val="single" w:sz="8" w:color="auto"/>
            </w:tcBorders>
          </w:tcPr>
          <w:p>
            <w:pPr>
              <w:spacing w:after="0"/>
              <w:rPr>
                <w:sz w:val="15"/>
                <w:szCs w:val="15"/>
                <w:color w:val="auto"/>
              </w:rPr>
            </w:pPr>
          </w:p>
        </w:tc>
        <w:tc>
          <w:tcPr>
            <w:tcW w:w="80" w:type="dxa"/>
            <w:vAlign w:val="bottom"/>
          </w:tcPr>
          <w:p>
            <w:pPr>
              <w:spacing w:after="0"/>
              <w:rPr>
                <w:sz w:val="15"/>
                <w:szCs w:val="15"/>
                <w:color w:val="auto"/>
              </w:rPr>
            </w:pPr>
          </w:p>
        </w:tc>
        <w:tc>
          <w:tcPr>
            <w:tcW w:w="700" w:type="dxa"/>
            <w:vAlign w:val="bottom"/>
            <w:vMerge w:val="restart"/>
          </w:tcPr>
          <w:p>
            <w:pPr>
              <w:jc w:val="right"/>
              <w:spacing w:after="0"/>
              <w:rPr>
                <w:sz w:val="20"/>
                <w:szCs w:val="20"/>
                <w:color w:val="auto"/>
              </w:rPr>
            </w:pPr>
            <w:r>
              <w:rPr>
                <w:rFonts w:ascii="Arial" w:cs="Arial" w:eastAsia="Arial" w:hAnsi="Arial"/>
                <w:sz w:val="14"/>
                <w:szCs w:val="14"/>
                <w:color w:val="auto"/>
                <w:w w:val="99"/>
              </w:rPr>
              <w:t>Threshold</w:t>
            </w:r>
          </w:p>
        </w:tc>
        <w:tc>
          <w:tcPr>
            <w:tcW w:w="900" w:type="dxa"/>
            <w:vAlign w:val="bottom"/>
            <w:vMerge w:val="restart"/>
          </w:tcPr>
          <w:p>
            <w:pPr>
              <w:jc w:val="right"/>
              <w:ind w:right="168"/>
              <w:spacing w:after="0"/>
              <w:rPr>
                <w:sz w:val="20"/>
                <w:szCs w:val="20"/>
                <w:color w:val="auto"/>
              </w:rPr>
            </w:pPr>
            <w:r>
              <w:rPr>
                <w:rFonts w:ascii="Arial" w:cs="Arial" w:eastAsia="Arial" w:hAnsi="Arial"/>
                <w:sz w:val="14"/>
                <w:szCs w:val="14"/>
                <w:color w:val="auto"/>
              </w:rPr>
              <w:t>Target</w:t>
            </w:r>
          </w:p>
        </w:tc>
        <w:tc>
          <w:tcPr>
            <w:tcW w:w="920" w:type="dxa"/>
            <w:vAlign w:val="bottom"/>
            <w:tcBorders>
              <w:right w:val="single" w:sz="8" w:color="auto"/>
            </w:tcBorders>
            <w:vMerge w:val="restart"/>
          </w:tcPr>
          <w:p>
            <w:pPr>
              <w:jc w:val="right"/>
              <w:ind w:right="68"/>
              <w:spacing w:after="0"/>
              <w:rPr>
                <w:sz w:val="20"/>
                <w:szCs w:val="20"/>
                <w:color w:val="auto"/>
              </w:rPr>
            </w:pPr>
            <w:r>
              <w:rPr>
                <w:rFonts w:ascii="Arial" w:cs="Arial" w:eastAsia="Arial" w:hAnsi="Arial"/>
                <w:sz w:val="14"/>
                <w:szCs w:val="14"/>
                <w:color w:val="auto"/>
              </w:rPr>
              <w:t>Maximum</w:t>
            </w:r>
          </w:p>
        </w:tc>
        <w:tc>
          <w:tcPr>
            <w:tcW w:w="780" w:type="dxa"/>
            <w:vAlign w:val="bottom"/>
            <w:vMerge w:val="restart"/>
          </w:tcPr>
          <w:p>
            <w:pPr>
              <w:jc w:val="right"/>
              <w:ind w:right="8"/>
              <w:spacing w:after="0"/>
              <w:rPr>
                <w:sz w:val="20"/>
                <w:szCs w:val="20"/>
                <w:color w:val="auto"/>
              </w:rPr>
            </w:pPr>
            <w:r>
              <w:rPr>
                <w:rFonts w:ascii="Arial" w:cs="Arial" w:eastAsia="Arial" w:hAnsi="Arial"/>
                <w:sz w:val="14"/>
                <w:szCs w:val="14"/>
                <w:color w:val="auto"/>
              </w:rPr>
              <w:t>Threshold</w:t>
            </w:r>
          </w:p>
        </w:tc>
        <w:tc>
          <w:tcPr>
            <w:tcW w:w="760" w:type="dxa"/>
            <w:vAlign w:val="bottom"/>
            <w:gridSpan w:val="2"/>
            <w:vMerge w:val="restart"/>
          </w:tcPr>
          <w:p>
            <w:pPr>
              <w:jc w:val="center"/>
              <w:ind w:right="40"/>
              <w:spacing w:after="0"/>
              <w:rPr>
                <w:sz w:val="20"/>
                <w:szCs w:val="20"/>
                <w:color w:val="auto"/>
              </w:rPr>
            </w:pPr>
            <w:r>
              <w:rPr>
                <w:rFonts w:ascii="Arial" w:cs="Arial" w:eastAsia="Arial" w:hAnsi="Arial"/>
                <w:sz w:val="14"/>
                <w:szCs w:val="14"/>
                <w:color w:val="auto"/>
                <w:w w:val="88"/>
              </w:rPr>
              <w:t>Target</w:t>
            </w:r>
          </w:p>
        </w:tc>
        <w:tc>
          <w:tcPr>
            <w:tcW w:w="700" w:type="dxa"/>
            <w:vAlign w:val="bottom"/>
            <w:tcBorders>
              <w:right w:val="single" w:sz="8" w:color="auto"/>
            </w:tcBorders>
            <w:vMerge w:val="restart"/>
          </w:tcPr>
          <w:p>
            <w:pPr>
              <w:jc w:val="right"/>
              <w:ind w:right="8"/>
              <w:spacing w:after="0"/>
              <w:rPr>
                <w:sz w:val="20"/>
                <w:szCs w:val="20"/>
                <w:color w:val="auto"/>
              </w:rPr>
            </w:pPr>
            <w:r>
              <w:rPr>
                <w:rFonts w:ascii="Arial" w:cs="Arial" w:eastAsia="Arial" w:hAnsi="Arial"/>
                <w:sz w:val="14"/>
                <w:szCs w:val="14"/>
                <w:color w:val="auto"/>
                <w:w w:val="98"/>
              </w:rPr>
              <w:t>Maximum</w:t>
            </w:r>
          </w:p>
        </w:tc>
        <w:tc>
          <w:tcPr>
            <w:tcW w:w="780" w:type="dxa"/>
            <w:vAlign w:val="bottom"/>
            <w:tcBorders>
              <w:right w:val="single" w:sz="8" w:color="auto"/>
            </w:tcBorders>
          </w:tcPr>
          <w:p>
            <w:pPr>
              <w:jc w:val="center"/>
              <w:spacing w:after="0"/>
              <w:rPr>
                <w:sz w:val="20"/>
                <w:szCs w:val="20"/>
                <w:color w:val="auto"/>
              </w:rPr>
            </w:pPr>
            <w:r>
              <w:rPr>
                <w:rFonts w:ascii="Arial" w:cs="Arial" w:eastAsia="Arial" w:hAnsi="Arial"/>
                <w:sz w:val="14"/>
                <w:szCs w:val="14"/>
                <w:color w:val="auto"/>
                <w:w w:val="94"/>
              </w:rPr>
              <w:t>Units</w:t>
            </w:r>
            <w:r>
              <w:rPr>
                <w:rFonts w:ascii="Arial" w:cs="Arial" w:eastAsia="Arial" w:hAnsi="Arial"/>
                <w:sz w:val="12"/>
                <w:szCs w:val="12"/>
                <w:color w:val="auto"/>
                <w:w w:val="94"/>
              </w:rPr>
              <w:t>(4)</w:t>
            </w:r>
          </w:p>
        </w:tc>
        <w:tc>
          <w:tcPr>
            <w:tcW w:w="900" w:type="dxa"/>
            <w:vAlign w:val="bottom"/>
            <w:tcBorders>
              <w:right w:val="single" w:sz="8" w:color="auto"/>
            </w:tcBorders>
          </w:tcPr>
          <w:p>
            <w:pPr>
              <w:jc w:val="center"/>
              <w:ind w:left="8"/>
              <w:spacing w:after="0"/>
              <w:rPr>
                <w:sz w:val="20"/>
                <w:szCs w:val="20"/>
                <w:color w:val="auto"/>
              </w:rPr>
            </w:pPr>
            <w:r>
              <w:rPr>
                <w:rFonts w:ascii="Arial" w:cs="Arial" w:eastAsia="Arial" w:hAnsi="Arial"/>
                <w:sz w:val="14"/>
                <w:szCs w:val="14"/>
                <w:color w:val="auto"/>
                <w:w w:val="95"/>
              </w:rPr>
              <w:t>Options</w:t>
            </w:r>
          </w:p>
        </w:tc>
        <w:tc>
          <w:tcPr>
            <w:tcW w:w="1020" w:type="dxa"/>
            <w:vAlign w:val="bottom"/>
            <w:tcBorders>
              <w:right w:val="single" w:sz="8" w:color="auto"/>
            </w:tcBorders>
          </w:tcPr>
          <w:p>
            <w:pPr>
              <w:spacing w:after="0"/>
              <w:rPr>
                <w:sz w:val="15"/>
                <w:szCs w:val="15"/>
                <w:color w:val="auto"/>
              </w:rPr>
            </w:pPr>
          </w:p>
        </w:tc>
        <w:tc>
          <w:tcPr>
            <w:tcW w:w="94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47"/>
        </w:trPr>
        <w:tc>
          <w:tcPr>
            <w:tcW w:w="1320" w:type="dxa"/>
            <w:vAlign w:val="bottom"/>
            <w:tcBorders>
              <w:left w:val="single" w:sz="8" w:color="auto"/>
              <w:bottom w:val="single" w:sz="8" w:color="auto"/>
              <w:right w:val="single" w:sz="8" w:color="auto"/>
            </w:tcBorders>
          </w:tcPr>
          <w:p>
            <w:pPr>
              <w:spacing w:after="0"/>
              <w:rPr>
                <w:sz w:val="12"/>
                <w:szCs w:val="12"/>
                <w:color w:val="auto"/>
              </w:rPr>
            </w:pPr>
          </w:p>
        </w:tc>
        <w:tc>
          <w:tcPr>
            <w:tcW w:w="1640" w:type="dxa"/>
            <w:vAlign w:val="bottom"/>
            <w:tcBorders>
              <w:bottom w:val="single" w:sz="8" w:color="auto"/>
              <w:right w:val="single" w:sz="8" w:color="auto"/>
            </w:tcBorders>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700" w:type="dxa"/>
            <w:vAlign w:val="bottom"/>
            <w:tcBorders>
              <w:bottom w:val="single" w:sz="8" w:color="auto"/>
            </w:tcBorders>
            <w:vMerge w:val="continue"/>
          </w:tcPr>
          <w:p>
            <w:pPr>
              <w:spacing w:after="0"/>
              <w:rPr>
                <w:sz w:val="12"/>
                <w:szCs w:val="12"/>
                <w:color w:val="auto"/>
              </w:rPr>
            </w:pPr>
          </w:p>
        </w:tc>
        <w:tc>
          <w:tcPr>
            <w:tcW w:w="900" w:type="dxa"/>
            <w:vAlign w:val="bottom"/>
            <w:tcBorders>
              <w:bottom w:val="single" w:sz="8" w:color="auto"/>
            </w:tcBorders>
            <w:vMerge w:val="continue"/>
          </w:tcPr>
          <w:p>
            <w:pPr>
              <w:spacing w:after="0"/>
              <w:rPr>
                <w:sz w:val="12"/>
                <w:szCs w:val="12"/>
                <w:color w:val="auto"/>
              </w:rPr>
            </w:pPr>
          </w:p>
        </w:tc>
        <w:tc>
          <w:tcPr>
            <w:tcW w:w="920" w:type="dxa"/>
            <w:vAlign w:val="bottom"/>
            <w:tcBorders>
              <w:bottom w:val="single" w:sz="8" w:color="auto"/>
              <w:right w:val="single" w:sz="8" w:color="auto"/>
            </w:tcBorders>
            <w:vMerge w:val="continue"/>
          </w:tcPr>
          <w:p>
            <w:pPr>
              <w:spacing w:after="0"/>
              <w:rPr>
                <w:sz w:val="12"/>
                <w:szCs w:val="12"/>
                <w:color w:val="auto"/>
              </w:rPr>
            </w:pPr>
          </w:p>
        </w:tc>
        <w:tc>
          <w:tcPr>
            <w:tcW w:w="780" w:type="dxa"/>
            <w:vAlign w:val="bottom"/>
            <w:tcBorders>
              <w:bottom w:val="single" w:sz="8" w:color="auto"/>
            </w:tcBorders>
            <w:vMerge w:val="continue"/>
          </w:tcPr>
          <w:p>
            <w:pPr>
              <w:spacing w:after="0"/>
              <w:rPr>
                <w:sz w:val="12"/>
                <w:szCs w:val="12"/>
                <w:color w:val="auto"/>
              </w:rPr>
            </w:pPr>
          </w:p>
        </w:tc>
        <w:tc>
          <w:tcPr>
            <w:tcW w:w="760" w:type="dxa"/>
            <w:vAlign w:val="bottom"/>
            <w:tcBorders>
              <w:bottom w:val="single" w:sz="8" w:color="auto"/>
            </w:tcBorders>
            <w:gridSpan w:val="2"/>
            <w:vMerge w:val="continue"/>
          </w:tcPr>
          <w:p>
            <w:pPr>
              <w:spacing w:after="0"/>
              <w:rPr>
                <w:sz w:val="12"/>
                <w:szCs w:val="12"/>
                <w:color w:val="auto"/>
              </w:rPr>
            </w:pPr>
          </w:p>
        </w:tc>
        <w:tc>
          <w:tcPr>
            <w:tcW w:w="700" w:type="dxa"/>
            <w:vAlign w:val="bottom"/>
            <w:tcBorders>
              <w:bottom w:val="single" w:sz="8" w:color="auto"/>
              <w:right w:val="single" w:sz="8" w:color="auto"/>
            </w:tcBorders>
            <w:vMerge w:val="continue"/>
          </w:tcPr>
          <w:p>
            <w:pPr>
              <w:spacing w:after="0"/>
              <w:rPr>
                <w:sz w:val="12"/>
                <w:szCs w:val="12"/>
                <w:color w:val="auto"/>
              </w:rPr>
            </w:pPr>
          </w:p>
        </w:tc>
        <w:tc>
          <w:tcPr>
            <w:tcW w:w="780" w:type="dxa"/>
            <w:vAlign w:val="bottom"/>
            <w:tcBorders>
              <w:bottom w:val="single" w:sz="8" w:color="auto"/>
              <w:right w:val="single" w:sz="8" w:color="auto"/>
            </w:tcBorders>
          </w:tcPr>
          <w:p>
            <w:pPr>
              <w:spacing w:after="0"/>
              <w:rPr>
                <w:sz w:val="12"/>
                <w:szCs w:val="12"/>
                <w:color w:val="auto"/>
              </w:rPr>
            </w:pPr>
          </w:p>
        </w:tc>
        <w:tc>
          <w:tcPr>
            <w:tcW w:w="900" w:type="dxa"/>
            <w:vAlign w:val="bottom"/>
            <w:tcBorders>
              <w:bottom w:val="single" w:sz="8" w:color="auto"/>
              <w:right w:val="single" w:sz="8" w:color="auto"/>
            </w:tcBorders>
          </w:tcPr>
          <w:p>
            <w:pPr>
              <w:spacing w:after="0"/>
              <w:rPr>
                <w:sz w:val="12"/>
                <w:szCs w:val="12"/>
                <w:color w:val="auto"/>
              </w:rPr>
            </w:pPr>
          </w:p>
        </w:tc>
        <w:tc>
          <w:tcPr>
            <w:tcW w:w="1020" w:type="dxa"/>
            <w:vAlign w:val="bottom"/>
            <w:tcBorders>
              <w:bottom w:val="single" w:sz="8" w:color="auto"/>
              <w:right w:val="single" w:sz="8" w:color="auto"/>
            </w:tcBorders>
          </w:tcPr>
          <w:p>
            <w:pPr>
              <w:spacing w:after="0"/>
              <w:rPr>
                <w:sz w:val="12"/>
                <w:szCs w:val="12"/>
                <w:color w:val="auto"/>
              </w:rPr>
            </w:pPr>
          </w:p>
        </w:tc>
        <w:tc>
          <w:tcPr>
            <w:tcW w:w="94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23"/>
        </w:trPr>
        <w:tc>
          <w:tcPr>
            <w:tcW w:w="1320" w:type="dxa"/>
            <w:vAlign w:val="bottom"/>
            <w:tcBorders>
              <w:left w:val="single" w:sz="8" w:color="auto"/>
              <w:right w:val="single" w:sz="8" w:color="auto"/>
            </w:tcBorders>
            <w:shd w:val="clear" w:color="auto" w:fill="CCEEFF"/>
          </w:tcPr>
          <w:p>
            <w:pPr>
              <w:ind w:left="160"/>
              <w:spacing w:after="0" w:line="123" w:lineRule="exact"/>
              <w:rPr>
                <w:sz w:val="20"/>
                <w:szCs w:val="20"/>
                <w:color w:val="auto"/>
              </w:rPr>
            </w:pPr>
            <w:r>
              <w:rPr>
                <w:rFonts w:ascii="Arial" w:cs="Arial" w:eastAsia="Arial" w:hAnsi="Arial"/>
                <w:sz w:val="14"/>
                <w:szCs w:val="14"/>
                <w:color w:val="auto"/>
                <w:w w:val="92"/>
              </w:rPr>
              <w:t>Ward J. Timken, Jr.</w:t>
            </w:r>
          </w:p>
        </w:tc>
        <w:tc>
          <w:tcPr>
            <w:tcW w:w="1640" w:type="dxa"/>
            <w:vAlign w:val="bottom"/>
            <w:tcBorders>
              <w:right w:val="single" w:sz="8" w:color="auto"/>
            </w:tcBorders>
            <w:shd w:val="clear" w:color="auto" w:fill="CCEEFF"/>
          </w:tcPr>
          <w:p>
            <w:pPr>
              <w:ind w:left="100"/>
              <w:spacing w:after="0" w:line="123" w:lineRule="exact"/>
              <w:rPr>
                <w:sz w:val="20"/>
                <w:szCs w:val="20"/>
                <w:color w:val="auto"/>
              </w:rPr>
            </w:pPr>
            <w:r>
              <w:rPr>
                <w:rFonts w:ascii="Arial" w:cs="Arial" w:eastAsia="Arial" w:hAnsi="Arial"/>
                <w:sz w:val="14"/>
                <w:szCs w:val="14"/>
                <w:color w:val="auto"/>
                <w:w w:val="94"/>
              </w:rPr>
              <w:t xml:space="preserve">02/07/2013 Perf RSUs </w:t>
            </w:r>
            <w:r>
              <w:rPr>
                <w:rFonts w:ascii="Arial" w:cs="Arial" w:eastAsia="Arial" w:hAnsi="Arial"/>
                <w:sz w:val="12"/>
                <w:szCs w:val="12"/>
                <w:color w:val="auto"/>
                <w:w w:val="94"/>
              </w:rPr>
              <w:t>(1)</w:t>
            </w:r>
          </w:p>
        </w:tc>
        <w:tc>
          <w:tcPr>
            <w:tcW w:w="80" w:type="dxa"/>
            <w:vAlign w:val="bottom"/>
            <w:shd w:val="clear" w:color="auto" w:fill="CCEEFF"/>
          </w:tcPr>
          <w:p>
            <w:pPr>
              <w:spacing w:after="0"/>
              <w:rPr>
                <w:sz w:val="10"/>
                <w:szCs w:val="10"/>
                <w:color w:val="auto"/>
              </w:rPr>
            </w:pPr>
          </w:p>
        </w:tc>
        <w:tc>
          <w:tcPr>
            <w:tcW w:w="700" w:type="dxa"/>
            <w:vAlign w:val="bottom"/>
            <w:tcBorders>
              <w:right w:val="single" w:sz="8" w:color="auto"/>
            </w:tcBorders>
            <w:shd w:val="clear" w:color="auto" w:fill="CCEEFF"/>
          </w:tcPr>
          <w:p>
            <w:pPr>
              <w:spacing w:after="0"/>
              <w:rPr>
                <w:sz w:val="10"/>
                <w:szCs w:val="10"/>
                <w:color w:val="auto"/>
              </w:rPr>
            </w:pPr>
          </w:p>
        </w:tc>
        <w:tc>
          <w:tcPr>
            <w:tcW w:w="900" w:type="dxa"/>
            <w:vAlign w:val="bottom"/>
            <w:tcBorders>
              <w:right w:val="single" w:sz="8" w:color="auto"/>
            </w:tcBorders>
            <w:shd w:val="clear" w:color="auto" w:fill="CCEEFF"/>
          </w:tcPr>
          <w:p>
            <w:pPr>
              <w:spacing w:after="0"/>
              <w:rPr>
                <w:sz w:val="10"/>
                <w:szCs w:val="10"/>
                <w:color w:val="auto"/>
              </w:rPr>
            </w:pPr>
          </w:p>
        </w:tc>
        <w:tc>
          <w:tcPr>
            <w:tcW w:w="920" w:type="dxa"/>
            <w:vAlign w:val="bottom"/>
            <w:tcBorders>
              <w:right w:val="single" w:sz="8" w:color="auto"/>
            </w:tcBorders>
            <w:shd w:val="clear" w:color="auto" w:fill="CCEEFF"/>
          </w:tcPr>
          <w:p>
            <w:pPr>
              <w:spacing w:after="0"/>
              <w:rPr>
                <w:sz w:val="10"/>
                <w:szCs w:val="10"/>
                <w:color w:val="auto"/>
              </w:rPr>
            </w:pPr>
          </w:p>
        </w:tc>
        <w:tc>
          <w:tcPr>
            <w:tcW w:w="780" w:type="dxa"/>
            <w:vAlign w:val="bottom"/>
            <w:tcBorders>
              <w:right w:val="single" w:sz="8" w:color="auto"/>
            </w:tcBorders>
            <w:shd w:val="clear" w:color="auto" w:fill="CCEEFF"/>
          </w:tcPr>
          <w:p>
            <w:pPr>
              <w:jc w:val="right"/>
              <w:ind w:right="68"/>
              <w:spacing w:after="0" w:line="123" w:lineRule="exact"/>
              <w:rPr>
                <w:sz w:val="20"/>
                <w:szCs w:val="20"/>
                <w:color w:val="auto"/>
              </w:rPr>
            </w:pPr>
            <w:r>
              <w:rPr>
                <w:rFonts w:ascii="Arial" w:cs="Arial" w:eastAsia="Arial" w:hAnsi="Arial"/>
                <w:sz w:val="14"/>
                <w:szCs w:val="14"/>
                <w:color w:val="auto"/>
              </w:rPr>
              <w:t>11,700</w:t>
            </w:r>
          </w:p>
        </w:tc>
        <w:tc>
          <w:tcPr>
            <w:tcW w:w="680" w:type="dxa"/>
            <w:vAlign w:val="bottom"/>
            <w:tcBorders>
              <w:right w:val="single" w:sz="8" w:color="auto"/>
            </w:tcBorders>
            <w:shd w:val="clear" w:color="auto" w:fill="CCEEFF"/>
          </w:tcPr>
          <w:p>
            <w:pPr>
              <w:jc w:val="right"/>
              <w:ind w:right="28"/>
              <w:spacing w:after="0" w:line="123" w:lineRule="exact"/>
              <w:rPr>
                <w:sz w:val="20"/>
                <w:szCs w:val="20"/>
                <w:color w:val="auto"/>
              </w:rPr>
            </w:pPr>
            <w:r>
              <w:rPr>
                <w:rFonts w:ascii="Arial" w:cs="Arial" w:eastAsia="Arial" w:hAnsi="Arial"/>
                <w:sz w:val="14"/>
                <w:szCs w:val="14"/>
                <w:color w:val="auto"/>
              </w:rPr>
              <w:t>23,400</w:t>
            </w:r>
          </w:p>
        </w:tc>
        <w:tc>
          <w:tcPr>
            <w:tcW w:w="80" w:type="dxa"/>
            <w:vAlign w:val="bottom"/>
            <w:shd w:val="clear" w:color="auto" w:fill="CCEEFF"/>
          </w:tcPr>
          <w:p>
            <w:pPr>
              <w:spacing w:after="0"/>
              <w:rPr>
                <w:sz w:val="10"/>
                <w:szCs w:val="10"/>
                <w:color w:val="auto"/>
              </w:rPr>
            </w:pPr>
          </w:p>
        </w:tc>
        <w:tc>
          <w:tcPr>
            <w:tcW w:w="700" w:type="dxa"/>
            <w:vAlign w:val="bottom"/>
            <w:tcBorders>
              <w:right w:val="single" w:sz="8" w:color="auto"/>
            </w:tcBorders>
            <w:shd w:val="clear" w:color="auto" w:fill="CCEEFF"/>
          </w:tcPr>
          <w:p>
            <w:pPr>
              <w:jc w:val="right"/>
              <w:ind w:right="68"/>
              <w:spacing w:after="0" w:line="123" w:lineRule="exact"/>
              <w:rPr>
                <w:sz w:val="20"/>
                <w:szCs w:val="20"/>
                <w:color w:val="auto"/>
              </w:rPr>
            </w:pPr>
            <w:r>
              <w:rPr>
                <w:rFonts w:ascii="Arial" w:cs="Arial" w:eastAsia="Arial" w:hAnsi="Arial"/>
                <w:sz w:val="14"/>
                <w:szCs w:val="14"/>
                <w:color w:val="auto"/>
              </w:rPr>
              <w:t>35,100</w:t>
            </w:r>
          </w:p>
        </w:tc>
        <w:tc>
          <w:tcPr>
            <w:tcW w:w="780" w:type="dxa"/>
            <w:vAlign w:val="bottom"/>
            <w:tcBorders>
              <w:right w:val="single" w:sz="8" w:color="auto"/>
            </w:tcBorders>
            <w:shd w:val="clear" w:color="auto" w:fill="CCEEFF"/>
          </w:tcPr>
          <w:p>
            <w:pPr>
              <w:spacing w:after="0"/>
              <w:rPr>
                <w:sz w:val="10"/>
                <w:szCs w:val="10"/>
                <w:color w:val="auto"/>
              </w:rPr>
            </w:pPr>
          </w:p>
        </w:tc>
        <w:tc>
          <w:tcPr>
            <w:tcW w:w="900" w:type="dxa"/>
            <w:vAlign w:val="bottom"/>
            <w:tcBorders>
              <w:right w:val="single" w:sz="8" w:color="auto"/>
            </w:tcBorders>
            <w:shd w:val="clear" w:color="auto" w:fill="CCEEFF"/>
          </w:tcPr>
          <w:p>
            <w:pPr>
              <w:spacing w:after="0"/>
              <w:rPr>
                <w:sz w:val="10"/>
                <w:szCs w:val="10"/>
                <w:color w:val="auto"/>
              </w:rPr>
            </w:pPr>
          </w:p>
        </w:tc>
        <w:tc>
          <w:tcPr>
            <w:tcW w:w="1020" w:type="dxa"/>
            <w:vAlign w:val="bottom"/>
            <w:tcBorders>
              <w:right w:val="single" w:sz="8" w:color="auto"/>
            </w:tcBorders>
            <w:shd w:val="clear" w:color="auto" w:fill="CCEEFF"/>
          </w:tcPr>
          <w:p>
            <w:pPr>
              <w:spacing w:after="0"/>
              <w:rPr>
                <w:sz w:val="10"/>
                <w:szCs w:val="10"/>
                <w:color w:val="auto"/>
              </w:rPr>
            </w:pPr>
          </w:p>
        </w:tc>
        <w:tc>
          <w:tcPr>
            <w:tcW w:w="940" w:type="dxa"/>
            <w:vAlign w:val="bottom"/>
            <w:tcBorders>
              <w:right w:val="single" w:sz="8" w:color="auto"/>
            </w:tcBorders>
            <w:shd w:val="clear" w:color="auto" w:fill="CCEEFF"/>
          </w:tcPr>
          <w:p>
            <w:pPr>
              <w:jc w:val="right"/>
              <w:ind w:right="88"/>
              <w:spacing w:after="0" w:line="123" w:lineRule="exact"/>
              <w:rPr>
                <w:sz w:val="20"/>
                <w:szCs w:val="20"/>
                <w:color w:val="auto"/>
              </w:rPr>
            </w:pPr>
            <w:r>
              <w:rPr>
                <w:rFonts w:ascii="Arial" w:cs="Arial" w:eastAsia="Arial" w:hAnsi="Arial"/>
                <w:sz w:val="14"/>
                <w:szCs w:val="14"/>
                <w:color w:val="auto"/>
              </w:rPr>
              <w:t>$ 1,316,718</w:t>
            </w:r>
          </w:p>
        </w:tc>
        <w:tc>
          <w:tcPr>
            <w:tcW w:w="0" w:type="dxa"/>
            <w:vAlign w:val="bottom"/>
          </w:tcPr>
          <w:p>
            <w:pPr>
              <w:spacing w:after="0"/>
              <w:rPr>
                <w:sz w:val="1"/>
                <w:szCs w:val="1"/>
                <w:color w:val="auto"/>
              </w:rPr>
            </w:pPr>
          </w:p>
        </w:tc>
      </w:tr>
      <w:tr>
        <w:trPr>
          <w:trHeight w:val="149"/>
        </w:trPr>
        <w:tc>
          <w:tcPr>
            <w:tcW w:w="1320" w:type="dxa"/>
            <w:vAlign w:val="bottom"/>
            <w:tcBorders>
              <w:left w:val="single" w:sz="8" w:color="auto"/>
              <w:right w:val="single" w:sz="8" w:color="auto"/>
            </w:tcBorders>
            <w:shd w:val="clear" w:color="auto" w:fill="CCEEFF"/>
          </w:tcPr>
          <w:p>
            <w:pPr>
              <w:spacing w:after="0"/>
              <w:rPr>
                <w:sz w:val="12"/>
                <w:szCs w:val="12"/>
                <w:color w:val="auto"/>
              </w:rPr>
            </w:pPr>
          </w:p>
        </w:tc>
        <w:tc>
          <w:tcPr>
            <w:tcW w:w="1640" w:type="dxa"/>
            <w:vAlign w:val="bottom"/>
            <w:tcBorders>
              <w:right w:val="single" w:sz="8" w:color="auto"/>
            </w:tcBorders>
            <w:shd w:val="clear" w:color="auto" w:fill="CCEEFF"/>
          </w:tcPr>
          <w:p>
            <w:pPr>
              <w:ind w:left="100"/>
              <w:spacing w:after="0" w:line="149" w:lineRule="exact"/>
              <w:rPr>
                <w:sz w:val="20"/>
                <w:szCs w:val="20"/>
                <w:color w:val="auto"/>
              </w:rPr>
            </w:pPr>
            <w:r>
              <w:rPr>
                <w:rFonts w:ascii="Arial" w:cs="Arial" w:eastAsia="Arial" w:hAnsi="Arial"/>
                <w:sz w:val="14"/>
                <w:szCs w:val="14"/>
                <w:color w:val="auto"/>
              </w:rPr>
              <w:t xml:space="preserve">02/07/2013 SEM PP </w:t>
            </w:r>
            <w:r>
              <w:rPr>
                <w:rFonts w:ascii="Arial" w:cs="Arial" w:eastAsia="Arial" w:hAnsi="Arial"/>
                <w:sz w:val="12"/>
                <w:szCs w:val="12"/>
                <w:color w:val="auto"/>
              </w:rPr>
              <w:t>(2)</w:t>
            </w:r>
          </w:p>
        </w:tc>
        <w:tc>
          <w:tcPr>
            <w:tcW w:w="780" w:type="dxa"/>
            <w:vAlign w:val="bottom"/>
            <w:tcBorders>
              <w:right w:val="single" w:sz="8" w:color="auto"/>
            </w:tcBorders>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$ 830,592</w:t>
            </w:r>
          </w:p>
        </w:tc>
        <w:tc>
          <w:tcPr>
            <w:tcW w:w="900" w:type="dxa"/>
            <w:vAlign w:val="bottom"/>
            <w:tcBorders>
              <w:right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$ 1,765,008</w:t>
            </w:r>
          </w:p>
        </w:tc>
        <w:tc>
          <w:tcPr>
            <w:tcW w:w="920" w:type="dxa"/>
            <w:vAlign w:val="bottom"/>
            <w:tcBorders>
              <w:right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$ 2,699,424</w:t>
            </w:r>
          </w:p>
        </w:tc>
        <w:tc>
          <w:tcPr>
            <w:tcW w:w="780" w:type="dxa"/>
            <w:vAlign w:val="bottom"/>
            <w:tcBorders>
              <w:right w:val="single" w:sz="8" w:color="auto"/>
            </w:tcBorders>
            <w:shd w:val="clear" w:color="auto" w:fill="CCEEFF"/>
          </w:tcPr>
          <w:p>
            <w:pPr>
              <w:spacing w:after="0"/>
              <w:rPr>
                <w:sz w:val="12"/>
                <w:szCs w:val="12"/>
                <w:color w:val="auto"/>
              </w:rPr>
            </w:pPr>
          </w:p>
        </w:tc>
        <w:tc>
          <w:tcPr>
            <w:tcW w:w="680" w:type="dxa"/>
            <w:vAlign w:val="bottom"/>
            <w:tcBorders>
              <w:right w:val="single" w:sz="8" w:color="auto"/>
            </w:tcBorders>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00" w:type="dxa"/>
            <w:vAlign w:val="bottom"/>
            <w:tcBorders>
              <w:right w:val="single" w:sz="8" w:color="auto"/>
            </w:tcBorders>
            <w:shd w:val="clear" w:color="auto" w:fill="CCEEFF"/>
          </w:tcPr>
          <w:p>
            <w:pPr>
              <w:spacing w:after="0"/>
              <w:rPr>
                <w:sz w:val="12"/>
                <w:szCs w:val="12"/>
                <w:color w:val="auto"/>
              </w:rPr>
            </w:pPr>
          </w:p>
        </w:tc>
        <w:tc>
          <w:tcPr>
            <w:tcW w:w="780" w:type="dxa"/>
            <w:vAlign w:val="bottom"/>
            <w:tcBorders>
              <w:right w:val="single" w:sz="8" w:color="auto"/>
            </w:tcBorders>
            <w:shd w:val="clear" w:color="auto" w:fill="CCEEFF"/>
          </w:tcPr>
          <w:p>
            <w:pPr>
              <w:jc w:val="center"/>
              <w:spacing w:after="0" w:line="149" w:lineRule="exact"/>
              <w:rPr>
                <w:sz w:val="20"/>
                <w:szCs w:val="20"/>
                <w:color w:val="auto"/>
              </w:rPr>
            </w:pPr>
            <w:r>
              <w:rPr>
                <w:rFonts w:ascii="Arial" w:cs="Arial" w:eastAsia="Arial" w:hAnsi="Arial"/>
                <w:sz w:val="14"/>
                <w:szCs w:val="14"/>
                <w:color w:val="auto"/>
                <w:w w:val="84"/>
              </w:rPr>
              <w:t>-</w:t>
            </w:r>
          </w:p>
        </w:tc>
        <w:tc>
          <w:tcPr>
            <w:tcW w:w="900" w:type="dxa"/>
            <w:vAlign w:val="bottom"/>
            <w:tcBorders>
              <w:right w:val="single" w:sz="8" w:color="auto"/>
            </w:tcBorders>
            <w:shd w:val="clear" w:color="auto" w:fill="CCEEFF"/>
          </w:tcPr>
          <w:p>
            <w:pPr>
              <w:spacing w:after="0"/>
              <w:rPr>
                <w:sz w:val="12"/>
                <w:szCs w:val="12"/>
                <w:color w:val="auto"/>
              </w:rPr>
            </w:pPr>
          </w:p>
        </w:tc>
        <w:tc>
          <w:tcPr>
            <w:tcW w:w="1020" w:type="dxa"/>
            <w:vAlign w:val="bottom"/>
            <w:tcBorders>
              <w:right w:val="single" w:sz="8" w:color="auto"/>
            </w:tcBorders>
            <w:shd w:val="clear" w:color="auto" w:fill="CCEEFF"/>
          </w:tcPr>
          <w:p>
            <w:pPr>
              <w:spacing w:after="0"/>
              <w:rPr>
                <w:sz w:val="12"/>
                <w:szCs w:val="12"/>
                <w:color w:val="auto"/>
              </w:rPr>
            </w:pPr>
          </w:p>
        </w:tc>
        <w:tc>
          <w:tcPr>
            <w:tcW w:w="940" w:type="dxa"/>
            <w:vAlign w:val="bottom"/>
            <w:tcBorders>
              <w:right w:val="single" w:sz="8" w:color="auto"/>
            </w:tcBorders>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67"/>
        </w:trPr>
        <w:tc>
          <w:tcPr>
            <w:tcW w:w="1320" w:type="dxa"/>
            <w:vAlign w:val="bottom"/>
            <w:tcBorders>
              <w:left w:val="single" w:sz="8" w:color="auto"/>
              <w:bottom w:val="single" w:sz="8" w:color="auto"/>
              <w:right w:val="single" w:sz="8" w:color="auto"/>
            </w:tcBorders>
            <w:shd w:val="clear" w:color="auto" w:fill="CCEEFF"/>
          </w:tcPr>
          <w:p>
            <w:pPr>
              <w:spacing w:after="0"/>
              <w:rPr>
                <w:sz w:val="14"/>
                <w:szCs w:val="14"/>
                <w:color w:val="auto"/>
              </w:rPr>
            </w:pPr>
          </w:p>
        </w:tc>
        <w:tc>
          <w:tcPr>
            <w:tcW w:w="1640" w:type="dxa"/>
            <w:vAlign w:val="bottom"/>
            <w:tcBorders>
              <w:bottom w:val="single" w:sz="8" w:color="auto"/>
              <w:right w:val="single" w:sz="8" w:color="auto"/>
            </w:tcBorders>
            <w:shd w:val="clear" w:color="auto" w:fill="CCEEFF"/>
          </w:tcPr>
          <w:p>
            <w:pPr>
              <w:ind w:left="100"/>
              <w:spacing w:after="0"/>
              <w:rPr>
                <w:sz w:val="20"/>
                <w:szCs w:val="20"/>
                <w:color w:val="auto"/>
              </w:rPr>
            </w:pPr>
            <w:r>
              <w:rPr>
                <w:rFonts w:ascii="Arial" w:cs="Arial" w:eastAsia="Arial" w:hAnsi="Arial"/>
                <w:sz w:val="14"/>
                <w:szCs w:val="14"/>
                <w:color w:val="auto"/>
              </w:rPr>
              <w:t xml:space="preserve">02/07/2013 NQSOs </w:t>
            </w:r>
            <w:r>
              <w:rPr>
                <w:rFonts w:ascii="Arial" w:cs="Arial" w:eastAsia="Arial" w:hAnsi="Arial"/>
                <w:sz w:val="12"/>
                <w:szCs w:val="12"/>
                <w:color w:val="auto"/>
              </w:rPr>
              <w:t>(3)</w:t>
            </w:r>
          </w:p>
        </w:tc>
        <w:tc>
          <w:tcPr>
            <w:tcW w:w="80" w:type="dxa"/>
            <w:vAlign w:val="bottom"/>
            <w:tcBorders>
              <w:bottom w:val="single" w:sz="8" w:color="auto"/>
            </w:tcBorders>
            <w:shd w:val="clear" w:color="auto" w:fill="CCEEFF"/>
          </w:tcPr>
          <w:p>
            <w:pPr>
              <w:spacing w:after="0"/>
              <w:rPr>
                <w:sz w:val="14"/>
                <w:szCs w:val="14"/>
                <w:color w:val="auto"/>
              </w:rPr>
            </w:pPr>
          </w:p>
        </w:tc>
        <w:tc>
          <w:tcPr>
            <w:tcW w:w="700" w:type="dxa"/>
            <w:vAlign w:val="bottom"/>
            <w:tcBorders>
              <w:bottom w:val="single" w:sz="8" w:color="auto"/>
              <w:right w:val="single" w:sz="8" w:color="auto"/>
            </w:tcBorders>
            <w:shd w:val="clear" w:color="auto" w:fill="CCEEFF"/>
          </w:tcPr>
          <w:p>
            <w:pPr>
              <w:spacing w:after="0"/>
              <w:rPr>
                <w:sz w:val="14"/>
                <w:szCs w:val="14"/>
                <w:color w:val="auto"/>
              </w:rPr>
            </w:pPr>
          </w:p>
        </w:tc>
        <w:tc>
          <w:tcPr>
            <w:tcW w:w="900" w:type="dxa"/>
            <w:vAlign w:val="bottom"/>
            <w:tcBorders>
              <w:bottom w:val="single" w:sz="8" w:color="auto"/>
              <w:right w:val="single" w:sz="8" w:color="auto"/>
            </w:tcBorders>
            <w:shd w:val="clear" w:color="auto" w:fill="CCEEFF"/>
          </w:tcPr>
          <w:p>
            <w:pPr>
              <w:spacing w:after="0"/>
              <w:rPr>
                <w:sz w:val="14"/>
                <w:szCs w:val="14"/>
                <w:color w:val="auto"/>
              </w:rPr>
            </w:pPr>
          </w:p>
        </w:tc>
        <w:tc>
          <w:tcPr>
            <w:tcW w:w="920" w:type="dxa"/>
            <w:vAlign w:val="bottom"/>
            <w:tcBorders>
              <w:bottom w:val="single" w:sz="8" w:color="auto"/>
              <w:right w:val="single" w:sz="8" w:color="auto"/>
            </w:tcBorders>
            <w:shd w:val="clear" w:color="auto" w:fill="CCEEFF"/>
          </w:tcPr>
          <w:p>
            <w:pPr>
              <w:spacing w:after="0"/>
              <w:rPr>
                <w:sz w:val="14"/>
                <w:szCs w:val="14"/>
                <w:color w:val="auto"/>
              </w:rPr>
            </w:pPr>
          </w:p>
        </w:tc>
        <w:tc>
          <w:tcPr>
            <w:tcW w:w="780" w:type="dxa"/>
            <w:vAlign w:val="bottom"/>
            <w:tcBorders>
              <w:bottom w:val="single" w:sz="8" w:color="auto"/>
              <w:right w:val="single" w:sz="8" w:color="auto"/>
            </w:tcBorders>
            <w:shd w:val="clear" w:color="auto" w:fill="CCEEFF"/>
          </w:tcPr>
          <w:p>
            <w:pPr>
              <w:spacing w:after="0"/>
              <w:rPr>
                <w:sz w:val="14"/>
                <w:szCs w:val="14"/>
                <w:color w:val="auto"/>
              </w:rPr>
            </w:pPr>
          </w:p>
        </w:tc>
        <w:tc>
          <w:tcPr>
            <w:tcW w:w="680" w:type="dxa"/>
            <w:vAlign w:val="bottom"/>
            <w:tcBorders>
              <w:bottom w:val="single" w:sz="8" w:color="auto"/>
              <w:right w:val="single" w:sz="8" w:color="auto"/>
            </w:tcBorders>
            <w:shd w:val="clear" w:color="auto" w:fill="CCEEFF"/>
          </w:tcPr>
          <w:p>
            <w:pPr>
              <w:spacing w:after="0"/>
              <w:rPr>
                <w:sz w:val="14"/>
                <w:szCs w:val="14"/>
                <w:color w:val="auto"/>
              </w:rPr>
            </w:pPr>
          </w:p>
        </w:tc>
        <w:tc>
          <w:tcPr>
            <w:tcW w:w="80" w:type="dxa"/>
            <w:vAlign w:val="bottom"/>
            <w:tcBorders>
              <w:bottom w:val="single" w:sz="8" w:color="auto"/>
            </w:tcBorders>
            <w:shd w:val="clear" w:color="auto" w:fill="CCEEFF"/>
          </w:tcPr>
          <w:p>
            <w:pPr>
              <w:spacing w:after="0"/>
              <w:rPr>
                <w:sz w:val="14"/>
                <w:szCs w:val="14"/>
                <w:color w:val="auto"/>
              </w:rPr>
            </w:pPr>
          </w:p>
        </w:tc>
        <w:tc>
          <w:tcPr>
            <w:tcW w:w="700" w:type="dxa"/>
            <w:vAlign w:val="bottom"/>
            <w:tcBorders>
              <w:bottom w:val="single" w:sz="8" w:color="auto"/>
              <w:right w:val="single" w:sz="8" w:color="auto"/>
            </w:tcBorders>
            <w:shd w:val="clear" w:color="auto" w:fill="CCEEFF"/>
          </w:tcPr>
          <w:p>
            <w:pPr>
              <w:spacing w:after="0"/>
              <w:rPr>
                <w:sz w:val="14"/>
                <w:szCs w:val="14"/>
                <w:color w:val="auto"/>
              </w:rPr>
            </w:pPr>
          </w:p>
        </w:tc>
        <w:tc>
          <w:tcPr>
            <w:tcW w:w="780" w:type="dxa"/>
            <w:vAlign w:val="bottom"/>
            <w:tcBorders>
              <w:bottom w:val="single" w:sz="8" w:color="auto"/>
              <w:right w:val="single" w:sz="8" w:color="auto"/>
            </w:tcBorders>
            <w:shd w:val="clear" w:color="auto" w:fill="CCEEFF"/>
          </w:tcPr>
          <w:p>
            <w:pPr>
              <w:spacing w:after="0"/>
              <w:rPr>
                <w:sz w:val="14"/>
                <w:szCs w:val="14"/>
                <w:color w:val="auto"/>
              </w:rPr>
            </w:pPr>
          </w:p>
        </w:tc>
        <w:tc>
          <w:tcPr>
            <w:tcW w:w="900" w:type="dxa"/>
            <w:vAlign w:val="bottom"/>
            <w:tcBorders>
              <w:bottom w:val="single" w:sz="8" w:color="auto"/>
              <w:right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92,900</w:t>
            </w:r>
          </w:p>
        </w:tc>
        <w:tc>
          <w:tcPr>
            <w:tcW w:w="1020" w:type="dxa"/>
            <w:vAlign w:val="bottom"/>
            <w:tcBorders>
              <w:bottom w:val="single" w:sz="8" w:color="auto"/>
              <w:right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$ 56.27</w:t>
            </w:r>
          </w:p>
        </w:tc>
        <w:tc>
          <w:tcPr>
            <w:tcW w:w="940" w:type="dxa"/>
            <w:vAlign w:val="bottom"/>
            <w:tcBorders>
              <w:bottom w:val="single" w:sz="8" w:color="auto"/>
              <w:right w:val="single" w:sz="8" w:color="auto"/>
            </w:tcBorders>
            <w:shd w:val="clear" w:color="auto" w:fill="CCEEFF"/>
          </w:tcPr>
          <w:p>
            <w:pPr>
              <w:jc w:val="right"/>
              <w:ind w:right="88"/>
              <w:spacing w:after="0"/>
              <w:rPr>
                <w:sz w:val="20"/>
                <w:szCs w:val="20"/>
                <w:color w:val="auto"/>
              </w:rPr>
            </w:pPr>
            <w:r>
              <w:rPr>
                <w:rFonts w:ascii="Arial" w:cs="Arial" w:eastAsia="Arial" w:hAnsi="Arial"/>
                <w:sz w:val="14"/>
                <w:szCs w:val="14"/>
                <w:color w:val="auto"/>
              </w:rPr>
              <w:t>$ 1,986,202</w:t>
            </w:r>
          </w:p>
        </w:tc>
        <w:tc>
          <w:tcPr>
            <w:tcW w:w="0" w:type="dxa"/>
            <w:vAlign w:val="bottom"/>
          </w:tcPr>
          <w:p>
            <w:pPr>
              <w:spacing w:after="0"/>
              <w:rPr>
                <w:sz w:val="1"/>
                <w:szCs w:val="1"/>
                <w:color w:val="auto"/>
              </w:rPr>
            </w:pPr>
          </w:p>
        </w:tc>
      </w:tr>
      <w:tr>
        <w:trPr>
          <w:trHeight w:val="123"/>
        </w:trPr>
        <w:tc>
          <w:tcPr>
            <w:tcW w:w="1320" w:type="dxa"/>
            <w:vAlign w:val="bottom"/>
            <w:tcBorders>
              <w:left w:val="single" w:sz="8" w:color="auto"/>
              <w:right w:val="single" w:sz="8" w:color="auto"/>
            </w:tcBorders>
          </w:tcPr>
          <w:p>
            <w:pPr>
              <w:ind w:left="160"/>
              <w:spacing w:after="0" w:line="123" w:lineRule="exact"/>
              <w:rPr>
                <w:sz w:val="20"/>
                <w:szCs w:val="20"/>
                <w:color w:val="auto"/>
              </w:rPr>
            </w:pPr>
            <w:r>
              <w:rPr>
                <w:rFonts w:ascii="Arial" w:cs="Arial" w:eastAsia="Arial" w:hAnsi="Arial"/>
                <w:sz w:val="14"/>
                <w:szCs w:val="14"/>
                <w:color w:val="auto"/>
              </w:rPr>
              <w:t>Christopher J.</w:t>
            </w:r>
          </w:p>
        </w:tc>
        <w:tc>
          <w:tcPr>
            <w:tcW w:w="1640" w:type="dxa"/>
            <w:vAlign w:val="bottom"/>
            <w:tcBorders>
              <w:right w:val="single" w:sz="8" w:color="auto"/>
            </w:tcBorders>
          </w:tcPr>
          <w:p>
            <w:pPr>
              <w:ind w:left="100"/>
              <w:spacing w:after="0" w:line="123" w:lineRule="exact"/>
              <w:rPr>
                <w:sz w:val="20"/>
                <w:szCs w:val="20"/>
                <w:color w:val="auto"/>
              </w:rPr>
            </w:pPr>
            <w:r>
              <w:rPr>
                <w:rFonts w:ascii="Arial" w:cs="Arial" w:eastAsia="Arial" w:hAnsi="Arial"/>
                <w:sz w:val="14"/>
                <w:szCs w:val="14"/>
                <w:color w:val="auto"/>
                <w:w w:val="94"/>
              </w:rPr>
              <w:t xml:space="preserve">02/07/2013 Perf RSUs </w:t>
            </w:r>
            <w:r>
              <w:rPr>
                <w:rFonts w:ascii="Arial" w:cs="Arial" w:eastAsia="Arial" w:hAnsi="Arial"/>
                <w:sz w:val="12"/>
                <w:szCs w:val="12"/>
                <w:color w:val="auto"/>
                <w:w w:val="94"/>
              </w:rPr>
              <w:t>(1)</w:t>
            </w:r>
          </w:p>
        </w:tc>
        <w:tc>
          <w:tcPr>
            <w:tcW w:w="780" w:type="dxa"/>
            <w:vAlign w:val="bottom"/>
            <w:tcBorders>
              <w:right w:val="single" w:sz="8" w:color="auto"/>
            </w:tcBorders>
            <w:gridSpan w:val="2"/>
          </w:tcPr>
          <w:p>
            <w:pPr>
              <w:jc w:val="right"/>
              <w:spacing w:after="0" w:line="123" w:lineRule="exact"/>
              <w:rPr>
                <w:sz w:val="20"/>
                <w:szCs w:val="20"/>
                <w:color w:val="auto"/>
              </w:rPr>
            </w:pPr>
            <w:r>
              <w:rPr>
                <w:rFonts w:ascii="Arial" w:cs="Arial" w:eastAsia="Arial" w:hAnsi="Arial"/>
                <w:sz w:val="14"/>
                <w:szCs w:val="14"/>
                <w:color w:val="auto"/>
              </w:rPr>
              <w:t>$ 56,270</w:t>
            </w:r>
          </w:p>
        </w:tc>
        <w:tc>
          <w:tcPr>
            <w:tcW w:w="900" w:type="dxa"/>
            <w:vAlign w:val="bottom"/>
            <w:tcBorders>
              <w:right w:val="single" w:sz="8" w:color="auto"/>
            </w:tcBorders>
          </w:tcPr>
          <w:p>
            <w:pPr>
              <w:jc w:val="right"/>
              <w:spacing w:after="0" w:line="123" w:lineRule="exact"/>
              <w:rPr>
                <w:sz w:val="20"/>
                <w:szCs w:val="20"/>
                <w:color w:val="auto"/>
              </w:rPr>
            </w:pPr>
            <w:r>
              <w:rPr>
                <w:rFonts w:ascii="Arial" w:cs="Arial" w:eastAsia="Arial" w:hAnsi="Arial"/>
                <w:sz w:val="14"/>
                <w:szCs w:val="14"/>
                <w:color w:val="auto"/>
              </w:rPr>
              <w:t>$ 112,540</w:t>
            </w:r>
          </w:p>
        </w:tc>
        <w:tc>
          <w:tcPr>
            <w:tcW w:w="920" w:type="dxa"/>
            <w:vAlign w:val="bottom"/>
            <w:tcBorders>
              <w:right w:val="single" w:sz="8" w:color="auto"/>
            </w:tcBorders>
          </w:tcPr>
          <w:p>
            <w:pPr>
              <w:jc w:val="right"/>
              <w:spacing w:after="0" w:line="123" w:lineRule="exact"/>
              <w:rPr>
                <w:sz w:val="20"/>
                <w:szCs w:val="20"/>
                <w:color w:val="auto"/>
              </w:rPr>
            </w:pPr>
            <w:r>
              <w:rPr>
                <w:rFonts w:ascii="Arial" w:cs="Arial" w:eastAsia="Arial" w:hAnsi="Arial"/>
                <w:sz w:val="14"/>
                <w:szCs w:val="14"/>
                <w:color w:val="auto"/>
              </w:rPr>
              <w:t>$ 168,810</w:t>
            </w:r>
          </w:p>
        </w:tc>
        <w:tc>
          <w:tcPr>
            <w:tcW w:w="780" w:type="dxa"/>
            <w:vAlign w:val="bottom"/>
            <w:tcBorders>
              <w:right w:val="single" w:sz="8" w:color="auto"/>
            </w:tcBorders>
          </w:tcPr>
          <w:p>
            <w:pPr>
              <w:jc w:val="right"/>
              <w:ind w:right="68"/>
              <w:spacing w:after="0" w:line="123" w:lineRule="exact"/>
              <w:rPr>
                <w:sz w:val="20"/>
                <w:szCs w:val="20"/>
                <w:color w:val="auto"/>
              </w:rPr>
            </w:pPr>
            <w:r>
              <w:rPr>
                <w:rFonts w:ascii="Arial" w:cs="Arial" w:eastAsia="Arial" w:hAnsi="Arial"/>
                <w:sz w:val="14"/>
                <w:szCs w:val="14"/>
                <w:color w:val="auto"/>
              </w:rPr>
              <w:t>1,000</w:t>
            </w:r>
          </w:p>
        </w:tc>
        <w:tc>
          <w:tcPr>
            <w:tcW w:w="680" w:type="dxa"/>
            <w:vAlign w:val="bottom"/>
            <w:tcBorders>
              <w:right w:val="single" w:sz="8" w:color="auto"/>
            </w:tcBorders>
          </w:tcPr>
          <w:p>
            <w:pPr>
              <w:jc w:val="right"/>
              <w:ind w:right="28"/>
              <w:spacing w:after="0" w:line="123" w:lineRule="exact"/>
              <w:rPr>
                <w:sz w:val="20"/>
                <w:szCs w:val="20"/>
                <w:color w:val="auto"/>
              </w:rPr>
            </w:pPr>
            <w:r>
              <w:rPr>
                <w:rFonts w:ascii="Arial" w:cs="Arial" w:eastAsia="Arial" w:hAnsi="Arial"/>
                <w:sz w:val="14"/>
                <w:szCs w:val="14"/>
                <w:color w:val="auto"/>
              </w:rPr>
              <w:t>2,000</w:t>
            </w:r>
          </w:p>
        </w:tc>
        <w:tc>
          <w:tcPr>
            <w:tcW w:w="80" w:type="dxa"/>
            <w:vAlign w:val="bottom"/>
          </w:tcPr>
          <w:p>
            <w:pPr>
              <w:spacing w:after="0"/>
              <w:rPr>
                <w:sz w:val="10"/>
                <w:szCs w:val="10"/>
                <w:color w:val="auto"/>
              </w:rPr>
            </w:pPr>
          </w:p>
        </w:tc>
        <w:tc>
          <w:tcPr>
            <w:tcW w:w="700" w:type="dxa"/>
            <w:vAlign w:val="bottom"/>
            <w:tcBorders>
              <w:right w:val="single" w:sz="8" w:color="auto"/>
            </w:tcBorders>
          </w:tcPr>
          <w:p>
            <w:pPr>
              <w:jc w:val="right"/>
              <w:ind w:right="68"/>
              <w:spacing w:after="0" w:line="123" w:lineRule="exact"/>
              <w:rPr>
                <w:sz w:val="20"/>
                <w:szCs w:val="20"/>
                <w:color w:val="auto"/>
              </w:rPr>
            </w:pPr>
            <w:r>
              <w:rPr>
                <w:rFonts w:ascii="Arial" w:cs="Arial" w:eastAsia="Arial" w:hAnsi="Arial"/>
                <w:sz w:val="14"/>
                <w:szCs w:val="14"/>
                <w:color w:val="auto"/>
              </w:rPr>
              <w:t>3,000</w:t>
            </w:r>
          </w:p>
        </w:tc>
        <w:tc>
          <w:tcPr>
            <w:tcW w:w="780" w:type="dxa"/>
            <w:vAlign w:val="bottom"/>
            <w:tcBorders>
              <w:right w:val="single" w:sz="8" w:color="auto"/>
            </w:tcBorders>
          </w:tcPr>
          <w:p>
            <w:pPr>
              <w:spacing w:after="0"/>
              <w:rPr>
                <w:sz w:val="10"/>
                <w:szCs w:val="10"/>
                <w:color w:val="auto"/>
              </w:rPr>
            </w:pPr>
          </w:p>
        </w:tc>
        <w:tc>
          <w:tcPr>
            <w:tcW w:w="900" w:type="dxa"/>
            <w:vAlign w:val="bottom"/>
            <w:tcBorders>
              <w:right w:val="single" w:sz="8" w:color="auto"/>
            </w:tcBorders>
          </w:tcPr>
          <w:p>
            <w:pPr>
              <w:spacing w:after="0"/>
              <w:rPr>
                <w:sz w:val="10"/>
                <w:szCs w:val="10"/>
                <w:color w:val="auto"/>
              </w:rPr>
            </w:pPr>
          </w:p>
        </w:tc>
        <w:tc>
          <w:tcPr>
            <w:tcW w:w="1020" w:type="dxa"/>
            <w:vAlign w:val="bottom"/>
            <w:tcBorders>
              <w:right w:val="single" w:sz="8" w:color="auto"/>
            </w:tcBorders>
          </w:tcPr>
          <w:p>
            <w:pPr>
              <w:spacing w:after="0"/>
              <w:rPr>
                <w:sz w:val="10"/>
                <w:szCs w:val="10"/>
                <w:color w:val="auto"/>
              </w:rPr>
            </w:pPr>
          </w:p>
        </w:tc>
        <w:tc>
          <w:tcPr>
            <w:tcW w:w="940" w:type="dxa"/>
            <w:vAlign w:val="bottom"/>
            <w:tcBorders>
              <w:right w:val="single" w:sz="8" w:color="auto"/>
            </w:tcBorders>
          </w:tcPr>
          <w:p>
            <w:pPr>
              <w:jc w:val="right"/>
              <w:ind w:right="88"/>
              <w:spacing w:after="0" w:line="123" w:lineRule="exact"/>
              <w:rPr>
                <w:sz w:val="20"/>
                <w:szCs w:val="20"/>
                <w:color w:val="auto"/>
              </w:rPr>
            </w:pPr>
            <w:r>
              <w:rPr>
                <w:rFonts w:ascii="Arial" w:cs="Arial" w:eastAsia="Arial" w:hAnsi="Arial"/>
                <w:sz w:val="14"/>
                <w:szCs w:val="14"/>
                <w:color w:val="auto"/>
              </w:rPr>
              <w:t>$ 112,540</w:t>
            </w:r>
          </w:p>
        </w:tc>
        <w:tc>
          <w:tcPr>
            <w:tcW w:w="0" w:type="dxa"/>
            <w:vAlign w:val="bottom"/>
          </w:tcPr>
          <w:p>
            <w:pPr>
              <w:spacing w:after="0"/>
              <w:rPr>
                <w:sz w:val="1"/>
                <w:szCs w:val="1"/>
                <w:color w:val="auto"/>
              </w:rPr>
            </w:pPr>
          </w:p>
        </w:tc>
      </w:tr>
      <w:tr>
        <w:trPr>
          <w:trHeight w:val="149"/>
        </w:trPr>
        <w:tc>
          <w:tcPr>
            <w:tcW w:w="1320" w:type="dxa"/>
            <w:vAlign w:val="bottom"/>
            <w:tcBorders>
              <w:left w:val="single" w:sz="8" w:color="auto"/>
              <w:right w:val="single" w:sz="8" w:color="auto"/>
            </w:tcBorders>
          </w:tcPr>
          <w:p>
            <w:pPr>
              <w:ind w:left="160"/>
              <w:spacing w:after="0" w:line="149" w:lineRule="exact"/>
              <w:rPr>
                <w:sz w:val="20"/>
                <w:szCs w:val="20"/>
                <w:color w:val="auto"/>
              </w:rPr>
            </w:pPr>
            <w:r>
              <w:rPr>
                <w:rFonts w:ascii="Arial" w:cs="Arial" w:eastAsia="Arial" w:hAnsi="Arial"/>
                <w:sz w:val="14"/>
                <w:szCs w:val="14"/>
                <w:color w:val="auto"/>
              </w:rPr>
              <w:t>Holding</w:t>
            </w:r>
          </w:p>
        </w:tc>
        <w:tc>
          <w:tcPr>
            <w:tcW w:w="1640" w:type="dxa"/>
            <w:vAlign w:val="bottom"/>
            <w:tcBorders>
              <w:right w:val="single" w:sz="8" w:color="auto"/>
            </w:tcBorders>
          </w:tcPr>
          <w:p>
            <w:pPr>
              <w:ind w:left="100"/>
              <w:spacing w:after="0" w:line="149" w:lineRule="exact"/>
              <w:rPr>
                <w:sz w:val="20"/>
                <w:szCs w:val="20"/>
                <w:color w:val="auto"/>
              </w:rPr>
            </w:pPr>
            <w:r>
              <w:rPr>
                <w:rFonts w:ascii="Arial" w:cs="Arial" w:eastAsia="Arial" w:hAnsi="Arial"/>
                <w:sz w:val="14"/>
                <w:szCs w:val="14"/>
                <w:color w:val="auto"/>
              </w:rPr>
              <w:t xml:space="preserve">02/07/2013 M PP </w:t>
            </w:r>
            <w:r>
              <w:rPr>
                <w:rFonts w:ascii="Arial" w:cs="Arial" w:eastAsia="Arial" w:hAnsi="Arial"/>
                <w:sz w:val="12"/>
                <w:szCs w:val="12"/>
                <w:color w:val="auto"/>
              </w:rPr>
              <w:t>(2)</w:t>
            </w:r>
          </w:p>
        </w:tc>
        <w:tc>
          <w:tcPr>
            <w:tcW w:w="780" w:type="dxa"/>
            <w:vAlign w:val="bottom"/>
            <w:tcBorders>
              <w:right w:val="single" w:sz="8" w:color="auto"/>
            </w:tcBorders>
            <w:gridSpan w:val="2"/>
          </w:tcPr>
          <w:p>
            <w:pPr>
              <w:jc w:val="right"/>
              <w:spacing w:after="0" w:line="149" w:lineRule="exact"/>
              <w:rPr>
                <w:sz w:val="20"/>
                <w:szCs w:val="20"/>
                <w:color w:val="auto"/>
              </w:rPr>
            </w:pPr>
            <w:r>
              <w:rPr>
                <w:rFonts w:ascii="Arial" w:cs="Arial" w:eastAsia="Arial" w:hAnsi="Arial"/>
                <w:sz w:val="14"/>
                <w:szCs w:val="14"/>
                <w:color w:val="auto"/>
              </w:rPr>
              <w:t>$ 10,286</w:t>
            </w:r>
          </w:p>
        </w:tc>
        <w:tc>
          <w:tcPr>
            <w:tcW w:w="900" w:type="dxa"/>
            <w:vAlign w:val="bottom"/>
            <w:tcBorders>
              <w:right w:val="single" w:sz="8" w:color="auto"/>
            </w:tcBorders>
          </w:tcPr>
          <w:p>
            <w:pPr>
              <w:jc w:val="right"/>
              <w:spacing w:after="0" w:line="149" w:lineRule="exact"/>
              <w:rPr>
                <w:sz w:val="20"/>
                <w:szCs w:val="20"/>
                <w:color w:val="auto"/>
              </w:rPr>
            </w:pPr>
            <w:r>
              <w:rPr>
                <w:rFonts w:ascii="Arial" w:cs="Arial" w:eastAsia="Arial" w:hAnsi="Arial"/>
                <w:sz w:val="14"/>
                <w:szCs w:val="14"/>
                <w:color w:val="auto"/>
              </w:rPr>
              <w:t>$ 85,714</w:t>
            </w:r>
          </w:p>
        </w:tc>
        <w:tc>
          <w:tcPr>
            <w:tcW w:w="920" w:type="dxa"/>
            <w:vAlign w:val="bottom"/>
            <w:tcBorders>
              <w:right w:val="single" w:sz="8" w:color="auto"/>
            </w:tcBorders>
          </w:tcPr>
          <w:p>
            <w:pPr>
              <w:jc w:val="right"/>
              <w:spacing w:after="0" w:line="149" w:lineRule="exact"/>
              <w:rPr>
                <w:sz w:val="20"/>
                <w:szCs w:val="20"/>
                <w:color w:val="auto"/>
              </w:rPr>
            </w:pPr>
            <w:r>
              <w:rPr>
                <w:rFonts w:ascii="Arial" w:cs="Arial" w:eastAsia="Arial" w:hAnsi="Arial"/>
                <w:sz w:val="14"/>
                <w:szCs w:val="14"/>
                <w:color w:val="auto"/>
              </w:rPr>
              <w:t>$ 171,427</w:t>
            </w:r>
          </w:p>
        </w:tc>
        <w:tc>
          <w:tcPr>
            <w:tcW w:w="780" w:type="dxa"/>
            <w:vAlign w:val="bottom"/>
            <w:tcBorders>
              <w:right w:val="single" w:sz="8" w:color="auto"/>
            </w:tcBorders>
          </w:tcPr>
          <w:p>
            <w:pPr>
              <w:spacing w:after="0"/>
              <w:rPr>
                <w:sz w:val="12"/>
                <w:szCs w:val="12"/>
                <w:color w:val="auto"/>
              </w:rPr>
            </w:pPr>
          </w:p>
        </w:tc>
        <w:tc>
          <w:tcPr>
            <w:tcW w:w="680" w:type="dxa"/>
            <w:vAlign w:val="bottom"/>
            <w:tcBorders>
              <w:right w:val="single" w:sz="8" w:color="auto"/>
            </w:tcBorders>
          </w:tcPr>
          <w:p>
            <w:pPr>
              <w:spacing w:after="0"/>
              <w:rPr>
                <w:sz w:val="12"/>
                <w:szCs w:val="12"/>
                <w:color w:val="auto"/>
              </w:rPr>
            </w:pPr>
          </w:p>
        </w:tc>
        <w:tc>
          <w:tcPr>
            <w:tcW w:w="80" w:type="dxa"/>
            <w:vAlign w:val="bottom"/>
          </w:tcPr>
          <w:p>
            <w:pPr>
              <w:spacing w:after="0"/>
              <w:rPr>
                <w:sz w:val="12"/>
                <w:szCs w:val="12"/>
                <w:color w:val="auto"/>
              </w:rPr>
            </w:pPr>
          </w:p>
        </w:tc>
        <w:tc>
          <w:tcPr>
            <w:tcW w:w="700" w:type="dxa"/>
            <w:vAlign w:val="bottom"/>
            <w:tcBorders>
              <w:right w:val="single" w:sz="8" w:color="auto"/>
            </w:tcBorders>
          </w:tcPr>
          <w:p>
            <w:pPr>
              <w:spacing w:after="0"/>
              <w:rPr>
                <w:sz w:val="12"/>
                <w:szCs w:val="12"/>
                <w:color w:val="auto"/>
              </w:rPr>
            </w:pPr>
          </w:p>
        </w:tc>
        <w:tc>
          <w:tcPr>
            <w:tcW w:w="780" w:type="dxa"/>
            <w:vAlign w:val="bottom"/>
            <w:tcBorders>
              <w:right w:val="single" w:sz="8" w:color="auto"/>
            </w:tcBorders>
          </w:tcPr>
          <w:p>
            <w:pPr>
              <w:jc w:val="center"/>
              <w:spacing w:after="0" w:line="149" w:lineRule="exact"/>
              <w:rPr>
                <w:sz w:val="20"/>
                <w:szCs w:val="20"/>
                <w:color w:val="auto"/>
              </w:rPr>
            </w:pPr>
            <w:r>
              <w:rPr>
                <w:rFonts w:ascii="Arial" w:cs="Arial" w:eastAsia="Arial" w:hAnsi="Arial"/>
                <w:sz w:val="14"/>
                <w:szCs w:val="14"/>
                <w:color w:val="auto"/>
                <w:w w:val="84"/>
              </w:rPr>
              <w:t>-</w:t>
            </w:r>
          </w:p>
        </w:tc>
        <w:tc>
          <w:tcPr>
            <w:tcW w:w="900" w:type="dxa"/>
            <w:vAlign w:val="bottom"/>
            <w:tcBorders>
              <w:right w:val="single" w:sz="8" w:color="auto"/>
            </w:tcBorders>
          </w:tcPr>
          <w:p>
            <w:pPr>
              <w:spacing w:after="0"/>
              <w:rPr>
                <w:sz w:val="12"/>
                <w:szCs w:val="12"/>
                <w:color w:val="auto"/>
              </w:rPr>
            </w:pPr>
          </w:p>
        </w:tc>
        <w:tc>
          <w:tcPr>
            <w:tcW w:w="1020" w:type="dxa"/>
            <w:vAlign w:val="bottom"/>
            <w:tcBorders>
              <w:right w:val="single" w:sz="8" w:color="auto"/>
            </w:tcBorders>
          </w:tcPr>
          <w:p>
            <w:pPr>
              <w:spacing w:after="0"/>
              <w:rPr>
                <w:sz w:val="12"/>
                <w:szCs w:val="12"/>
                <w:color w:val="auto"/>
              </w:rPr>
            </w:pPr>
          </w:p>
        </w:tc>
        <w:tc>
          <w:tcPr>
            <w:tcW w:w="94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67"/>
        </w:trPr>
        <w:tc>
          <w:tcPr>
            <w:tcW w:w="1320" w:type="dxa"/>
            <w:vAlign w:val="bottom"/>
            <w:tcBorders>
              <w:left w:val="single" w:sz="8" w:color="auto"/>
              <w:bottom w:val="single" w:sz="8" w:color="auto"/>
              <w:right w:val="single" w:sz="8" w:color="auto"/>
            </w:tcBorders>
          </w:tcPr>
          <w:p>
            <w:pPr>
              <w:spacing w:after="0"/>
              <w:rPr>
                <w:sz w:val="14"/>
                <w:szCs w:val="14"/>
                <w:color w:val="auto"/>
              </w:rPr>
            </w:pPr>
          </w:p>
        </w:tc>
        <w:tc>
          <w:tcPr>
            <w:tcW w:w="16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4"/>
                <w:szCs w:val="14"/>
                <w:color w:val="auto"/>
              </w:rPr>
              <w:t xml:space="preserve">02/07/2013 NQSOs </w:t>
            </w:r>
            <w:r>
              <w:rPr>
                <w:rFonts w:ascii="Arial" w:cs="Arial" w:eastAsia="Arial" w:hAnsi="Arial"/>
                <w:sz w:val="12"/>
                <w:szCs w:val="12"/>
                <w:color w:val="auto"/>
              </w:rPr>
              <w:t>(3)</w:t>
            </w:r>
          </w:p>
        </w:tc>
        <w:tc>
          <w:tcPr>
            <w:tcW w:w="80" w:type="dxa"/>
            <w:vAlign w:val="bottom"/>
            <w:tcBorders>
              <w:bottom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900" w:type="dxa"/>
            <w:vAlign w:val="bottom"/>
            <w:tcBorders>
              <w:bottom w:val="single" w:sz="8" w:color="auto"/>
              <w:right w:val="single" w:sz="8" w:color="auto"/>
            </w:tcBorders>
          </w:tcPr>
          <w:p>
            <w:pPr>
              <w:spacing w:after="0"/>
              <w:rPr>
                <w:sz w:val="14"/>
                <w:szCs w:val="14"/>
                <w:color w:val="auto"/>
              </w:rPr>
            </w:pPr>
          </w:p>
        </w:tc>
        <w:tc>
          <w:tcPr>
            <w:tcW w:w="920" w:type="dxa"/>
            <w:vAlign w:val="bottom"/>
            <w:tcBorders>
              <w:bottom w:val="single" w:sz="8" w:color="auto"/>
              <w:right w:val="single" w:sz="8" w:color="auto"/>
            </w:tcBorders>
          </w:tcPr>
          <w:p>
            <w:pPr>
              <w:spacing w:after="0"/>
              <w:rPr>
                <w:sz w:val="14"/>
                <w:szCs w:val="14"/>
                <w:color w:val="auto"/>
              </w:rPr>
            </w:pPr>
          </w:p>
        </w:tc>
        <w:tc>
          <w:tcPr>
            <w:tcW w:w="780" w:type="dxa"/>
            <w:vAlign w:val="bottom"/>
            <w:tcBorders>
              <w:bottom w:val="single" w:sz="8" w:color="auto"/>
              <w:right w:val="single" w:sz="8" w:color="auto"/>
            </w:tcBorders>
          </w:tcPr>
          <w:p>
            <w:pPr>
              <w:spacing w:after="0"/>
              <w:rPr>
                <w:sz w:val="14"/>
                <w:szCs w:val="14"/>
                <w:color w:val="auto"/>
              </w:rPr>
            </w:pPr>
          </w:p>
        </w:tc>
        <w:tc>
          <w:tcPr>
            <w:tcW w:w="680" w:type="dxa"/>
            <w:vAlign w:val="bottom"/>
            <w:tcBorders>
              <w:bottom w:val="single" w:sz="8" w:color="auto"/>
              <w:right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80" w:type="dxa"/>
            <w:vAlign w:val="bottom"/>
            <w:tcBorders>
              <w:bottom w:val="single" w:sz="8" w:color="auto"/>
              <w:right w:val="single" w:sz="8" w:color="auto"/>
            </w:tcBorders>
          </w:tcPr>
          <w:p>
            <w:pPr>
              <w:spacing w:after="0"/>
              <w:rPr>
                <w:sz w:val="14"/>
                <w:szCs w:val="14"/>
                <w:color w:val="auto"/>
              </w:rPr>
            </w:pPr>
          </w:p>
        </w:tc>
        <w:tc>
          <w:tcPr>
            <w:tcW w:w="900" w:type="dxa"/>
            <w:vAlign w:val="bottom"/>
            <w:tcBorders>
              <w:bottom w:val="single" w:sz="8" w:color="auto"/>
              <w:right w:val="single" w:sz="8" w:color="auto"/>
            </w:tcBorders>
          </w:tcPr>
          <w:p>
            <w:pPr>
              <w:jc w:val="right"/>
              <w:ind w:right="48"/>
              <w:spacing w:after="0"/>
              <w:rPr>
                <w:sz w:val="20"/>
                <w:szCs w:val="20"/>
                <w:color w:val="auto"/>
              </w:rPr>
            </w:pPr>
            <w:r>
              <w:rPr>
                <w:rFonts w:ascii="Arial" w:cs="Arial" w:eastAsia="Arial" w:hAnsi="Arial"/>
                <w:sz w:val="14"/>
                <w:szCs w:val="14"/>
                <w:color w:val="auto"/>
              </w:rPr>
              <w:t>3,600</w:t>
            </w:r>
          </w:p>
        </w:tc>
        <w:tc>
          <w:tcPr>
            <w:tcW w:w="1020" w:type="dxa"/>
            <w:vAlign w:val="bottom"/>
            <w:tcBorders>
              <w:bottom w:val="single" w:sz="8" w:color="auto"/>
              <w:right w:val="single" w:sz="8" w:color="auto"/>
            </w:tcBorders>
          </w:tcPr>
          <w:p>
            <w:pPr>
              <w:jc w:val="right"/>
              <w:ind w:right="68"/>
              <w:spacing w:after="0"/>
              <w:rPr>
                <w:sz w:val="20"/>
                <w:szCs w:val="20"/>
                <w:color w:val="auto"/>
              </w:rPr>
            </w:pPr>
            <w:r>
              <w:rPr>
                <w:rFonts w:ascii="Arial" w:cs="Arial" w:eastAsia="Arial" w:hAnsi="Arial"/>
                <w:sz w:val="14"/>
                <w:szCs w:val="14"/>
                <w:color w:val="auto"/>
              </w:rPr>
              <w:t>$ 56.27</w:t>
            </w:r>
          </w:p>
        </w:tc>
        <w:tc>
          <w:tcPr>
            <w:tcW w:w="940" w:type="dxa"/>
            <w:vAlign w:val="bottom"/>
            <w:tcBorders>
              <w:bottom w:val="single" w:sz="8" w:color="auto"/>
              <w:right w:val="single" w:sz="8" w:color="auto"/>
            </w:tcBorders>
          </w:tcPr>
          <w:p>
            <w:pPr>
              <w:jc w:val="right"/>
              <w:ind w:right="88"/>
              <w:spacing w:after="0"/>
              <w:rPr>
                <w:sz w:val="20"/>
                <w:szCs w:val="20"/>
                <w:color w:val="auto"/>
              </w:rPr>
            </w:pPr>
            <w:r>
              <w:rPr>
                <w:rFonts w:ascii="Arial" w:cs="Arial" w:eastAsia="Arial" w:hAnsi="Arial"/>
                <w:sz w:val="14"/>
                <w:szCs w:val="14"/>
                <w:color w:val="auto"/>
              </w:rPr>
              <w:t>$ 76,968</w:t>
            </w:r>
          </w:p>
        </w:tc>
        <w:tc>
          <w:tcPr>
            <w:tcW w:w="0" w:type="dxa"/>
            <w:vAlign w:val="bottom"/>
          </w:tcPr>
          <w:p>
            <w:pPr>
              <w:spacing w:after="0"/>
              <w:rPr>
                <w:sz w:val="1"/>
                <w:szCs w:val="1"/>
                <w:color w:val="auto"/>
              </w:rPr>
            </w:pPr>
          </w:p>
        </w:tc>
      </w:tr>
      <w:tr>
        <w:trPr>
          <w:trHeight w:val="123"/>
        </w:trPr>
        <w:tc>
          <w:tcPr>
            <w:tcW w:w="1320" w:type="dxa"/>
            <w:vAlign w:val="bottom"/>
            <w:tcBorders>
              <w:left w:val="single" w:sz="8" w:color="auto"/>
              <w:right w:val="single" w:sz="8" w:color="auto"/>
            </w:tcBorders>
            <w:shd w:val="clear" w:color="auto" w:fill="CCEEFF"/>
          </w:tcPr>
          <w:p>
            <w:pPr>
              <w:ind w:left="160"/>
              <w:spacing w:after="0" w:line="123" w:lineRule="exact"/>
              <w:rPr>
                <w:sz w:val="20"/>
                <w:szCs w:val="20"/>
                <w:color w:val="auto"/>
              </w:rPr>
            </w:pPr>
            <w:r>
              <w:rPr>
                <w:rFonts w:ascii="Arial" w:cs="Arial" w:eastAsia="Arial" w:hAnsi="Arial"/>
                <w:sz w:val="14"/>
                <w:szCs w:val="14"/>
                <w:color w:val="auto"/>
              </w:rPr>
              <w:t>Donald L. Walker</w:t>
            </w:r>
          </w:p>
        </w:tc>
        <w:tc>
          <w:tcPr>
            <w:tcW w:w="1640" w:type="dxa"/>
            <w:vAlign w:val="bottom"/>
            <w:tcBorders>
              <w:right w:val="single" w:sz="8" w:color="auto"/>
            </w:tcBorders>
            <w:shd w:val="clear" w:color="auto" w:fill="CCEEFF"/>
          </w:tcPr>
          <w:p>
            <w:pPr>
              <w:ind w:left="100"/>
              <w:spacing w:after="0" w:line="123" w:lineRule="exact"/>
              <w:rPr>
                <w:sz w:val="20"/>
                <w:szCs w:val="20"/>
                <w:color w:val="auto"/>
              </w:rPr>
            </w:pPr>
            <w:r>
              <w:rPr>
                <w:rFonts w:ascii="Arial" w:cs="Arial" w:eastAsia="Arial" w:hAnsi="Arial"/>
                <w:sz w:val="14"/>
                <w:szCs w:val="14"/>
                <w:color w:val="auto"/>
                <w:w w:val="94"/>
              </w:rPr>
              <w:t xml:space="preserve">02/07/2013 Perf RSUs </w:t>
            </w:r>
            <w:r>
              <w:rPr>
                <w:rFonts w:ascii="Arial" w:cs="Arial" w:eastAsia="Arial" w:hAnsi="Arial"/>
                <w:sz w:val="12"/>
                <w:szCs w:val="12"/>
                <w:color w:val="auto"/>
                <w:w w:val="94"/>
              </w:rPr>
              <w:t>(1)</w:t>
            </w:r>
          </w:p>
        </w:tc>
        <w:tc>
          <w:tcPr>
            <w:tcW w:w="780" w:type="dxa"/>
            <w:vAlign w:val="bottom"/>
            <w:tcBorders>
              <w:right w:val="single" w:sz="8" w:color="auto"/>
            </w:tcBorders>
            <w:gridSpan w:val="2"/>
            <w:shd w:val="clear" w:color="auto" w:fill="CCEEFF"/>
          </w:tcPr>
          <w:p>
            <w:pPr>
              <w:jc w:val="right"/>
              <w:spacing w:after="0" w:line="123" w:lineRule="exact"/>
              <w:rPr>
                <w:sz w:val="20"/>
                <w:szCs w:val="20"/>
                <w:color w:val="auto"/>
              </w:rPr>
            </w:pPr>
            <w:r>
              <w:rPr>
                <w:rFonts w:ascii="Arial" w:cs="Arial" w:eastAsia="Arial" w:hAnsi="Arial"/>
                <w:sz w:val="14"/>
                <w:szCs w:val="14"/>
                <w:color w:val="auto"/>
              </w:rPr>
              <w:t>$ 92,846</w:t>
            </w:r>
          </w:p>
        </w:tc>
        <w:tc>
          <w:tcPr>
            <w:tcW w:w="900" w:type="dxa"/>
            <w:vAlign w:val="bottom"/>
            <w:tcBorders>
              <w:right w:val="single" w:sz="8" w:color="auto"/>
            </w:tcBorders>
            <w:shd w:val="clear" w:color="auto" w:fill="CCEEFF"/>
          </w:tcPr>
          <w:p>
            <w:pPr>
              <w:jc w:val="right"/>
              <w:spacing w:after="0" w:line="123" w:lineRule="exact"/>
              <w:rPr>
                <w:sz w:val="20"/>
                <w:szCs w:val="20"/>
                <w:color w:val="auto"/>
              </w:rPr>
            </w:pPr>
            <w:r>
              <w:rPr>
                <w:rFonts w:ascii="Arial" w:cs="Arial" w:eastAsia="Arial" w:hAnsi="Arial"/>
                <w:sz w:val="14"/>
                <w:szCs w:val="14"/>
                <w:color w:val="auto"/>
              </w:rPr>
              <w:t>$ 185,691</w:t>
            </w:r>
          </w:p>
        </w:tc>
        <w:tc>
          <w:tcPr>
            <w:tcW w:w="920" w:type="dxa"/>
            <w:vAlign w:val="bottom"/>
            <w:tcBorders>
              <w:right w:val="single" w:sz="8" w:color="auto"/>
            </w:tcBorders>
            <w:shd w:val="clear" w:color="auto" w:fill="CCEEFF"/>
          </w:tcPr>
          <w:p>
            <w:pPr>
              <w:jc w:val="right"/>
              <w:spacing w:after="0" w:line="123" w:lineRule="exact"/>
              <w:rPr>
                <w:sz w:val="20"/>
                <w:szCs w:val="20"/>
                <w:color w:val="auto"/>
              </w:rPr>
            </w:pPr>
            <w:r>
              <w:rPr>
                <w:rFonts w:ascii="Arial" w:cs="Arial" w:eastAsia="Arial" w:hAnsi="Arial"/>
                <w:sz w:val="14"/>
                <w:szCs w:val="14"/>
                <w:color w:val="auto"/>
              </w:rPr>
              <w:t>$ 278,537</w:t>
            </w:r>
          </w:p>
        </w:tc>
        <w:tc>
          <w:tcPr>
            <w:tcW w:w="780" w:type="dxa"/>
            <w:vAlign w:val="bottom"/>
            <w:tcBorders>
              <w:right w:val="single" w:sz="8" w:color="auto"/>
            </w:tcBorders>
            <w:shd w:val="clear" w:color="auto" w:fill="CCEEFF"/>
          </w:tcPr>
          <w:p>
            <w:pPr>
              <w:jc w:val="right"/>
              <w:ind w:right="68"/>
              <w:spacing w:after="0" w:line="123" w:lineRule="exact"/>
              <w:rPr>
                <w:sz w:val="20"/>
                <w:szCs w:val="20"/>
                <w:color w:val="auto"/>
              </w:rPr>
            </w:pPr>
            <w:r>
              <w:rPr>
                <w:rFonts w:ascii="Arial" w:cs="Arial" w:eastAsia="Arial" w:hAnsi="Arial"/>
                <w:sz w:val="14"/>
                <w:szCs w:val="14"/>
                <w:color w:val="auto"/>
              </w:rPr>
              <w:t>1,650</w:t>
            </w:r>
          </w:p>
        </w:tc>
        <w:tc>
          <w:tcPr>
            <w:tcW w:w="680" w:type="dxa"/>
            <w:vAlign w:val="bottom"/>
            <w:tcBorders>
              <w:right w:val="single" w:sz="8" w:color="auto"/>
            </w:tcBorders>
            <w:shd w:val="clear" w:color="auto" w:fill="CCEEFF"/>
          </w:tcPr>
          <w:p>
            <w:pPr>
              <w:jc w:val="right"/>
              <w:ind w:right="28"/>
              <w:spacing w:after="0" w:line="123" w:lineRule="exact"/>
              <w:rPr>
                <w:sz w:val="20"/>
                <w:szCs w:val="20"/>
                <w:color w:val="auto"/>
              </w:rPr>
            </w:pPr>
            <w:r>
              <w:rPr>
                <w:rFonts w:ascii="Arial" w:cs="Arial" w:eastAsia="Arial" w:hAnsi="Arial"/>
                <w:sz w:val="14"/>
                <w:szCs w:val="14"/>
                <w:color w:val="auto"/>
              </w:rPr>
              <w:t>3,300</w:t>
            </w:r>
          </w:p>
        </w:tc>
        <w:tc>
          <w:tcPr>
            <w:tcW w:w="80" w:type="dxa"/>
            <w:vAlign w:val="bottom"/>
            <w:shd w:val="clear" w:color="auto" w:fill="CCEEFF"/>
          </w:tcPr>
          <w:p>
            <w:pPr>
              <w:spacing w:after="0"/>
              <w:rPr>
                <w:sz w:val="10"/>
                <w:szCs w:val="10"/>
                <w:color w:val="auto"/>
              </w:rPr>
            </w:pPr>
          </w:p>
        </w:tc>
        <w:tc>
          <w:tcPr>
            <w:tcW w:w="700" w:type="dxa"/>
            <w:vAlign w:val="bottom"/>
            <w:tcBorders>
              <w:right w:val="single" w:sz="8" w:color="auto"/>
            </w:tcBorders>
            <w:shd w:val="clear" w:color="auto" w:fill="CCEEFF"/>
          </w:tcPr>
          <w:p>
            <w:pPr>
              <w:jc w:val="right"/>
              <w:ind w:right="68"/>
              <w:spacing w:after="0" w:line="123" w:lineRule="exact"/>
              <w:rPr>
                <w:sz w:val="20"/>
                <w:szCs w:val="20"/>
                <w:color w:val="auto"/>
              </w:rPr>
            </w:pPr>
            <w:r>
              <w:rPr>
                <w:rFonts w:ascii="Arial" w:cs="Arial" w:eastAsia="Arial" w:hAnsi="Arial"/>
                <w:sz w:val="14"/>
                <w:szCs w:val="14"/>
                <w:color w:val="auto"/>
              </w:rPr>
              <w:t>4,950</w:t>
            </w:r>
          </w:p>
        </w:tc>
        <w:tc>
          <w:tcPr>
            <w:tcW w:w="780" w:type="dxa"/>
            <w:vAlign w:val="bottom"/>
            <w:tcBorders>
              <w:right w:val="single" w:sz="8" w:color="auto"/>
            </w:tcBorders>
            <w:shd w:val="clear" w:color="auto" w:fill="CCEEFF"/>
          </w:tcPr>
          <w:p>
            <w:pPr>
              <w:spacing w:after="0"/>
              <w:rPr>
                <w:sz w:val="10"/>
                <w:szCs w:val="10"/>
                <w:color w:val="auto"/>
              </w:rPr>
            </w:pPr>
          </w:p>
        </w:tc>
        <w:tc>
          <w:tcPr>
            <w:tcW w:w="900" w:type="dxa"/>
            <w:vAlign w:val="bottom"/>
            <w:tcBorders>
              <w:right w:val="single" w:sz="8" w:color="auto"/>
            </w:tcBorders>
            <w:shd w:val="clear" w:color="auto" w:fill="CCEEFF"/>
          </w:tcPr>
          <w:p>
            <w:pPr>
              <w:spacing w:after="0"/>
              <w:rPr>
                <w:sz w:val="10"/>
                <w:szCs w:val="10"/>
                <w:color w:val="auto"/>
              </w:rPr>
            </w:pPr>
          </w:p>
        </w:tc>
        <w:tc>
          <w:tcPr>
            <w:tcW w:w="1020" w:type="dxa"/>
            <w:vAlign w:val="bottom"/>
            <w:tcBorders>
              <w:right w:val="single" w:sz="8" w:color="auto"/>
            </w:tcBorders>
            <w:shd w:val="clear" w:color="auto" w:fill="CCEEFF"/>
          </w:tcPr>
          <w:p>
            <w:pPr>
              <w:spacing w:after="0"/>
              <w:rPr>
                <w:sz w:val="10"/>
                <w:szCs w:val="10"/>
                <w:color w:val="auto"/>
              </w:rPr>
            </w:pPr>
          </w:p>
        </w:tc>
        <w:tc>
          <w:tcPr>
            <w:tcW w:w="940" w:type="dxa"/>
            <w:vAlign w:val="bottom"/>
            <w:tcBorders>
              <w:right w:val="single" w:sz="8" w:color="auto"/>
            </w:tcBorders>
            <w:shd w:val="clear" w:color="auto" w:fill="CCEEFF"/>
          </w:tcPr>
          <w:p>
            <w:pPr>
              <w:jc w:val="right"/>
              <w:ind w:right="88"/>
              <w:spacing w:after="0" w:line="123" w:lineRule="exact"/>
              <w:rPr>
                <w:sz w:val="20"/>
                <w:szCs w:val="20"/>
                <w:color w:val="auto"/>
              </w:rPr>
            </w:pPr>
            <w:r>
              <w:rPr>
                <w:rFonts w:ascii="Arial" w:cs="Arial" w:eastAsia="Arial" w:hAnsi="Arial"/>
                <w:sz w:val="14"/>
                <w:szCs w:val="14"/>
                <w:color w:val="auto"/>
              </w:rPr>
              <w:t>$ 185,691</w:t>
            </w:r>
          </w:p>
        </w:tc>
        <w:tc>
          <w:tcPr>
            <w:tcW w:w="0" w:type="dxa"/>
            <w:vAlign w:val="bottom"/>
          </w:tcPr>
          <w:p>
            <w:pPr>
              <w:spacing w:after="0"/>
              <w:rPr>
                <w:sz w:val="1"/>
                <w:szCs w:val="1"/>
                <w:color w:val="auto"/>
              </w:rPr>
            </w:pPr>
          </w:p>
        </w:tc>
      </w:tr>
      <w:tr>
        <w:trPr>
          <w:trHeight w:val="149"/>
        </w:trPr>
        <w:tc>
          <w:tcPr>
            <w:tcW w:w="1320" w:type="dxa"/>
            <w:vAlign w:val="bottom"/>
            <w:tcBorders>
              <w:left w:val="single" w:sz="8" w:color="auto"/>
              <w:right w:val="single" w:sz="8" w:color="auto"/>
            </w:tcBorders>
            <w:shd w:val="clear" w:color="auto" w:fill="CCEEFF"/>
          </w:tcPr>
          <w:p>
            <w:pPr>
              <w:spacing w:after="0"/>
              <w:rPr>
                <w:sz w:val="12"/>
                <w:szCs w:val="12"/>
                <w:color w:val="auto"/>
              </w:rPr>
            </w:pPr>
          </w:p>
        </w:tc>
        <w:tc>
          <w:tcPr>
            <w:tcW w:w="1640" w:type="dxa"/>
            <w:vAlign w:val="bottom"/>
            <w:tcBorders>
              <w:right w:val="single" w:sz="8" w:color="auto"/>
            </w:tcBorders>
            <w:shd w:val="clear" w:color="auto" w:fill="CCEEFF"/>
          </w:tcPr>
          <w:p>
            <w:pPr>
              <w:ind w:left="100"/>
              <w:spacing w:after="0" w:line="149" w:lineRule="exact"/>
              <w:rPr>
                <w:sz w:val="20"/>
                <w:szCs w:val="20"/>
                <w:color w:val="auto"/>
              </w:rPr>
            </w:pPr>
            <w:r>
              <w:rPr>
                <w:rFonts w:ascii="Arial" w:cs="Arial" w:eastAsia="Arial" w:hAnsi="Arial"/>
                <w:sz w:val="14"/>
                <w:szCs w:val="14"/>
                <w:color w:val="auto"/>
              </w:rPr>
              <w:t xml:space="preserve">02/07/2013 SEM PP </w:t>
            </w:r>
            <w:r>
              <w:rPr>
                <w:rFonts w:ascii="Arial" w:cs="Arial" w:eastAsia="Arial" w:hAnsi="Arial"/>
                <w:sz w:val="12"/>
                <w:szCs w:val="12"/>
                <w:color w:val="auto"/>
              </w:rPr>
              <w:t>(2)</w:t>
            </w:r>
          </w:p>
        </w:tc>
        <w:tc>
          <w:tcPr>
            <w:tcW w:w="780" w:type="dxa"/>
            <w:vAlign w:val="bottom"/>
            <w:tcBorders>
              <w:right w:val="single" w:sz="8" w:color="auto"/>
            </w:tcBorders>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$ 174,096</w:t>
            </w:r>
          </w:p>
        </w:tc>
        <w:tc>
          <w:tcPr>
            <w:tcW w:w="900" w:type="dxa"/>
            <w:vAlign w:val="bottom"/>
            <w:tcBorders>
              <w:right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$ 369,954</w:t>
            </w:r>
          </w:p>
        </w:tc>
        <w:tc>
          <w:tcPr>
            <w:tcW w:w="920" w:type="dxa"/>
            <w:vAlign w:val="bottom"/>
            <w:tcBorders>
              <w:right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$ 565,812</w:t>
            </w:r>
          </w:p>
        </w:tc>
        <w:tc>
          <w:tcPr>
            <w:tcW w:w="780" w:type="dxa"/>
            <w:vAlign w:val="bottom"/>
            <w:tcBorders>
              <w:right w:val="single" w:sz="8" w:color="auto"/>
            </w:tcBorders>
            <w:shd w:val="clear" w:color="auto" w:fill="CCEEFF"/>
          </w:tcPr>
          <w:p>
            <w:pPr>
              <w:spacing w:after="0"/>
              <w:rPr>
                <w:sz w:val="12"/>
                <w:szCs w:val="12"/>
                <w:color w:val="auto"/>
              </w:rPr>
            </w:pPr>
          </w:p>
        </w:tc>
        <w:tc>
          <w:tcPr>
            <w:tcW w:w="680" w:type="dxa"/>
            <w:vAlign w:val="bottom"/>
            <w:tcBorders>
              <w:right w:val="single" w:sz="8" w:color="auto"/>
            </w:tcBorders>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00" w:type="dxa"/>
            <w:vAlign w:val="bottom"/>
            <w:tcBorders>
              <w:right w:val="single" w:sz="8" w:color="auto"/>
            </w:tcBorders>
            <w:shd w:val="clear" w:color="auto" w:fill="CCEEFF"/>
          </w:tcPr>
          <w:p>
            <w:pPr>
              <w:spacing w:after="0"/>
              <w:rPr>
                <w:sz w:val="12"/>
                <w:szCs w:val="12"/>
                <w:color w:val="auto"/>
              </w:rPr>
            </w:pPr>
          </w:p>
        </w:tc>
        <w:tc>
          <w:tcPr>
            <w:tcW w:w="780" w:type="dxa"/>
            <w:vAlign w:val="bottom"/>
            <w:tcBorders>
              <w:right w:val="single" w:sz="8" w:color="auto"/>
            </w:tcBorders>
            <w:shd w:val="clear" w:color="auto" w:fill="CCEEFF"/>
          </w:tcPr>
          <w:p>
            <w:pPr>
              <w:spacing w:after="0"/>
              <w:rPr>
                <w:sz w:val="12"/>
                <w:szCs w:val="12"/>
                <w:color w:val="auto"/>
              </w:rPr>
            </w:pPr>
          </w:p>
        </w:tc>
        <w:tc>
          <w:tcPr>
            <w:tcW w:w="900" w:type="dxa"/>
            <w:vAlign w:val="bottom"/>
            <w:tcBorders>
              <w:right w:val="single" w:sz="8" w:color="auto"/>
            </w:tcBorders>
            <w:shd w:val="clear" w:color="auto" w:fill="CCEEFF"/>
          </w:tcPr>
          <w:p>
            <w:pPr>
              <w:spacing w:after="0"/>
              <w:rPr>
                <w:sz w:val="12"/>
                <w:szCs w:val="12"/>
                <w:color w:val="auto"/>
              </w:rPr>
            </w:pPr>
          </w:p>
        </w:tc>
        <w:tc>
          <w:tcPr>
            <w:tcW w:w="1020" w:type="dxa"/>
            <w:vAlign w:val="bottom"/>
            <w:tcBorders>
              <w:right w:val="single" w:sz="8" w:color="auto"/>
            </w:tcBorders>
            <w:shd w:val="clear" w:color="auto" w:fill="CCEEFF"/>
          </w:tcPr>
          <w:p>
            <w:pPr>
              <w:spacing w:after="0"/>
              <w:rPr>
                <w:sz w:val="12"/>
                <w:szCs w:val="12"/>
                <w:color w:val="auto"/>
              </w:rPr>
            </w:pPr>
          </w:p>
        </w:tc>
        <w:tc>
          <w:tcPr>
            <w:tcW w:w="940" w:type="dxa"/>
            <w:vAlign w:val="bottom"/>
            <w:tcBorders>
              <w:right w:val="single" w:sz="8" w:color="auto"/>
            </w:tcBorders>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320" w:type="dxa"/>
            <w:vAlign w:val="bottom"/>
            <w:tcBorders>
              <w:left w:val="single" w:sz="8" w:color="auto"/>
              <w:right w:val="single" w:sz="8" w:color="auto"/>
            </w:tcBorders>
            <w:shd w:val="clear" w:color="auto" w:fill="CCEEFF"/>
          </w:tcPr>
          <w:p>
            <w:pPr>
              <w:spacing w:after="0"/>
              <w:rPr>
                <w:sz w:val="12"/>
                <w:szCs w:val="12"/>
                <w:color w:val="auto"/>
              </w:rPr>
            </w:pPr>
          </w:p>
        </w:tc>
        <w:tc>
          <w:tcPr>
            <w:tcW w:w="1640" w:type="dxa"/>
            <w:vAlign w:val="bottom"/>
            <w:tcBorders>
              <w:right w:val="single" w:sz="8" w:color="auto"/>
            </w:tcBorders>
            <w:shd w:val="clear" w:color="auto" w:fill="CCEEFF"/>
          </w:tcPr>
          <w:p>
            <w:pPr>
              <w:ind w:left="100"/>
              <w:spacing w:after="0" w:line="149" w:lineRule="exact"/>
              <w:rPr>
                <w:sz w:val="20"/>
                <w:szCs w:val="20"/>
                <w:color w:val="auto"/>
              </w:rPr>
            </w:pPr>
            <w:r>
              <w:rPr>
                <w:rFonts w:ascii="Arial" w:cs="Arial" w:eastAsia="Arial" w:hAnsi="Arial"/>
                <w:sz w:val="14"/>
                <w:szCs w:val="14"/>
                <w:color w:val="auto"/>
              </w:rPr>
              <w:t xml:space="preserve">02/07/2013 NQSOs </w:t>
            </w:r>
            <w:r>
              <w:rPr>
                <w:rFonts w:ascii="Arial" w:cs="Arial" w:eastAsia="Arial" w:hAnsi="Arial"/>
                <w:sz w:val="12"/>
                <w:szCs w:val="12"/>
                <w:color w:val="auto"/>
              </w:rPr>
              <w:t>(3)</w:t>
            </w:r>
          </w:p>
        </w:tc>
        <w:tc>
          <w:tcPr>
            <w:tcW w:w="80" w:type="dxa"/>
            <w:vAlign w:val="bottom"/>
            <w:shd w:val="clear" w:color="auto" w:fill="CCEEFF"/>
          </w:tcPr>
          <w:p>
            <w:pPr>
              <w:spacing w:after="0"/>
              <w:rPr>
                <w:sz w:val="12"/>
                <w:szCs w:val="12"/>
                <w:color w:val="auto"/>
              </w:rPr>
            </w:pPr>
          </w:p>
        </w:tc>
        <w:tc>
          <w:tcPr>
            <w:tcW w:w="700" w:type="dxa"/>
            <w:vAlign w:val="bottom"/>
            <w:tcBorders>
              <w:right w:val="single" w:sz="8" w:color="auto"/>
            </w:tcBorders>
            <w:shd w:val="clear" w:color="auto" w:fill="CCEEFF"/>
          </w:tcPr>
          <w:p>
            <w:pPr>
              <w:spacing w:after="0"/>
              <w:rPr>
                <w:sz w:val="12"/>
                <w:szCs w:val="12"/>
                <w:color w:val="auto"/>
              </w:rPr>
            </w:pPr>
          </w:p>
        </w:tc>
        <w:tc>
          <w:tcPr>
            <w:tcW w:w="900" w:type="dxa"/>
            <w:vAlign w:val="bottom"/>
            <w:tcBorders>
              <w:right w:val="single" w:sz="8" w:color="auto"/>
            </w:tcBorders>
            <w:shd w:val="clear" w:color="auto" w:fill="CCEEFF"/>
          </w:tcPr>
          <w:p>
            <w:pPr>
              <w:spacing w:after="0"/>
              <w:rPr>
                <w:sz w:val="12"/>
                <w:szCs w:val="12"/>
                <w:color w:val="auto"/>
              </w:rPr>
            </w:pPr>
          </w:p>
        </w:tc>
        <w:tc>
          <w:tcPr>
            <w:tcW w:w="920" w:type="dxa"/>
            <w:vAlign w:val="bottom"/>
            <w:tcBorders>
              <w:right w:val="single" w:sz="8" w:color="auto"/>
            </w:tcBorders>
            <w:shd w:val="clear" w:color="auto" w:fill="CCEEFF"/>
          </w:tcPr>
          <w:p>
            <w:pPr>
              <w:spacing w:after="0"/>
              <w:rPr>
                <w:sz w:val="12"/>
                <w:szCs w:val="12"/>
                <w:color w:val="auto"/>
              </w:rPr>
            </w:pPr>
          </w:p>
        </w:tc>
        <w:tc>
          <w:tcPr>
            <w:tcW w:w="780" w:type="dxa"/>
            <w:vAlign w:val="bottom"/>
            <w:tcBorders>
              <w:right w:val="single" w:sz="8" w:color="auto"/>
            </w:tcBorders>
            <w:shd w:val="clear" w:color="auto" w:fill="CCEEFF"/>
          </w:tcPr>
          <w:p>
            <w:pPr>
              <w:spacing w:after="0"/>
              <w:rPr>
                <w:sz w:val="12"/>
                <w:szCs w:val="12"/>
                <w:color w:val="auto"/>
              </w:rPr>
            </w:pPr>
          </w:p>
        </w:tc>
        <w:tc>
          <w:tcPr>
            <w:tcW w:w="680" w:type="dxa"/>
            <w:vAlign w:val="bottom"/>
            <w:tcBorders>
              <w:right w:val="single" w:sz="8" w:color="auto"/>
            </w:tcBorders>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00" w:type="dxa"/>
            <w:vAlign w:val="bottom"/>
            <w:tcBorders>
              <w:right w:val="single" w:sz="8" w:color="auto"/>
            </w:tcBorders>
            <w:shd w:val="clear" w:color="auto" w:fill="CCEEFF"/>
          </w:tcPr>
          <w:p>
            <w:pPr>
              <w:spacing w:after="0"/>
              <w:rPr>
                <w:sz w:val="12"/>
                <w:szCs w:val="12"/>
                <w:color w:val="auto"/>
              </w:rPr>
            </w:pPr>
          </w:p>
        </w:tc>
        <w:tc>
          <w:tcPr>
            <w:tcW w:w="780" w:type="dxa"/>
            <w:vAlign w:val="bottom"/>
            <w:tcBorders>
              <w:right w:val="single" w:sz="8" w:color="auto"/>
            </w:tcBorders>
            <w:shd w:val="clear" w:color="auto" w:fill="CCEEFF"/>
          </w:tcPr>
          <w:p>
            <w:pPr>
              <w:spacing w:after="0"/>
              <w:rPr>
                <w:sz w:val="12"/>
                <w:szCs w:val="12"/>
                <w:color w:val="auto"/>
              </w:rPr>
            </w:pPr>
          </w:p>
        </w:tc>
        <w:tc>
          <w:tcPr>
            <w:tcW w:w="900" w:type="dxa"/>
            <w:vAlign w:val="bottom"/>
            <w:tcBorders>
              <w:right w:val="single" w:sz="8" w:color="auto"/>
            </w:tcBorders>
            <w:shd w:val="clear" w:color="auto" w:fill="CCEEFF"/>
          </w:tcPr>
          <w:p>
            <w:pPr>
              <w:jc w:val="right"/>
              <w:ind w:right="48"/>
              <w:spacing w:after="0" w:line="149" w:lineRule="exact"/>
              <w:rPr>
                <w:sz w:val="20"/>
                <w:szCs w:val="20"/>
                <w:color w:val="auto"/>
              </w:rPr>
            </w:pPr>
            <w:r>
              <w:rPr>
                <w:rFonts w:ascii="Arial" w:cs="Arial" w:eastAsia="Arial" w:hAnsi="Arial"/>
                <w:sz w:val="14"/>
                <w:szCs w:val="14"/>
                <w:color w:val="auto"/>
              </w:rPr>
              <w:t>8,700</w:t>
            </w:r>
          </w:p>
        </w:tc>
        <w:tc>
          <w:tcPr>
            <w:tcW w:w="1020" w:type="dxa"/>
            <w:vAlign w:val="bottom"/>
            <w:tcBorders>
              <w:right w:val="single" w:sz="8" w:color="auto"/>
            </w:tcBorders>
            <w:shd w:val="clear" w:color="auto" w:fill="CCEEFF"/>
          </w:tcPr>
          <w:p>
            <w:pPr>
              <w:jc w:val="right"/>
              <w:ind w:right="68"/>
              <w:spacing w:after="0" w:line="149" w:lineRule="exact"/>
              <w:rPr>
                <w:sz w:val="20"/>
                <w:szCs w:val="20"/>
                <w:color w:val="auto"/>
              </w:rPr>
            </w:pPr>
            <w:r>
              <w:rPr>
                <w:rFonts w:ascii="Arial" w:cs="Arial" w:eastAsia="Arial" w:hAnsi="Arial"/>
                <w:sz w:val="14"/>
                <w:szCs w:val="14"/>
                <w:color w:val="auto"/>
              </w:rPr>
              <w:t>$ 56.27</w:t>
            </w:r>
          </w:p>
        </w:tc>
        <w:tc>
          <w:tcPr>
            <w:tcW w:w="940" w:type="dxa"/>
            <w:vAlign w:val="bottom"/>
            <w:tcBorders>
              <w:right w:val="single" w:sz="8" w:color="auto"/>
            </w:tcBorders>
            <w:shd w:val="clear" w:color="auto" w:fill="CCEEFF"/>
          </w:tcPr>
          <w:p>
            <w:pPr>
              <w:jc w:val="right"/>
              <w:ind w:right="88"/>
              <w:spacing w:after="0" w:line="149" w:lineRule="exact"/>
              <w:rPr>
                <w:sz w:val="20"/>
                <w:szCs w:val="20"/>
                <w:color w:val="auto"/>
              </w:rPr>
            </w:pPr>
            <w:r>
              <w:rPr>
                <w:rFonts w:ascii="Arial" w:cs="Arial" w:eastAsia="Arial" w:hAnsi="Arial"/>
                <w:sz w:val="14"/>
                <w:szCs w:val="14"/>
                <w:color w:val="auto"/>
              </w:rPr>
              <w:t>$ 186,006</w:t>
            </w:r>
          </w:p>
        </w:tc>
        <w:tc>
          <w:tcPr>
            <w:tcW w:w="0" w:type="dxa"/>
            <w:vAlign w:val="bottom"/>
          </w:tcPr>
          <w:p>
            <w:pPr>
              <w:spacing w:after="0"/>
              <w:rPr>
                <w:sz w:val="1"/>
                <w:szCs w:val="1"/>
                <w:color w:val="auto"/>
              </w:rPr>
            </w:pPr>
          </w:p>
        </w:tc>
      </w:tr>
      <w:tr>
        <w:trPr>
          <w:trHeight w:val="167"/>
        </w:trPr>
        <w:tc>
          <w:tcPr>
            <w:tcW w:w="1320" w:type="dxa"/>
            <w:vAlign w:val="bottom"/>
            <w:tcBorders>
              <w:left w:val="single" w:sz="8" w:color="auto"/>
              <w:bottom w:val="single" w:sz="8" w:color="auto"/>
              <w:right w:val="single" w:sz="8" w:color="auto"/>
            </w:tcBorders>
            <w:shd w:val="clear" w:color="auto" w:fill="CCEEFF"/>
          </w:tcPr>
          <w:p>
            <w:pPr>
              <w:spacing w:after="0"/>
              <w:rPr>
                <w:sz w:val="14"/>
                <w:szCs w:val="14"/>
                <w:color w:val="auto"/>
              </w:rPr>
            </w:pPr>
          </w:p>
        </w:tc>
        <w:tc>
          <w:tcPr>
            <w:tcW w:w="1640" w:type="dxa"/>
            <w:vAlign w:val="bottom"/>
            <w:tcBorders>
              <w:bottom w:val="single" w:sz="8" w:color="auto"/>
              <w:right w:val="single" w:sz="8" w:color="auto"/>
            </w:tcBorders>
            <w:shd w:val="clear" w:color="auto" w:fill="CCEEFF"/>
          </w:tcPr>
          <w:p>
            <w:pPr>
              <w:ind w:left="100"/>
              <w:spacing w:after="0"/>
              <w:rPr>
                <w:sz w:val="20"/>
                <w:szCs w:val="20"/>
                <w:color w:val="auto"/>
              </w:rPr>
            </w:pPr>
            <w:r>
              <w:rPr>
                <w:rFonts w:ascii="Arial" w:cs="Arial" w:eastAsia="Arial" w:hAnsi="Arial"/>
                <w:sz w:val="14"/>
                <w:szCs w:val="14"/>
                <w:color w:val="auto"/>
              </w:rPr>
              <w:t xml:space="preserve">02/07/2013 Def Shrs </w:t>
            </w:r>
            <w:r>
              <w:rPr>
                <w:rFonts w:ascii="Arial" w:cs="Arial" w:eastAsia="Arial" w:hAnsi="Arial"/>
                <w:sz w:val="12"/>
                <w:szCs w:val="12"/>
                <w:color w:val="auto"/>
              </w:rPr>
              <w:t>(4)</w:t>
            </w:r>
          </w:p>
        </w:tc>
        <w:tc>
          <w:tcPr>
            <w:tcW w:w="80" w:type="dxa"/>
            <w:vAlign w:val="bottom"/>
            <w:tcBorders>
              <w:bottom w:val="single" w:sz="8" w:color="auto"/>
            </w:tcBorders>
            <w:shd w:val="clear" w:color="auto" w:fill="CCEEFF"/>
          </w:tcPr>
          <w:p>
            <w:pPr>
              <w:spacing w:after="0"/>
              <w:rPr>
                <w:sz w:val="14"/>
                <w:szCs w:val="14"/>
                <w:color w:val="auto"/>
              </w:rPr>
            </w:pPr>
          </w:p>
        </w:tc>
        <w:tc>
          <w:tcPr>
            <w:tcW w:w="700" w:type="dxa"/>
            <w:vAlign w:val="bottom"/>
            <w:tcBorders>
              <w:bottom w:val="single" w:sz="8" w:color="auto"/>
              <w:right w:val="single" w:sz="8" w:color="auto"/>
            </w:tcBorders>
            <w:shd w:val="clear" w:color="auto" w:fill="CCEEFF"/>
          </w:tcPr>
          <w:p>
            <w:pPr>
              <w:spacing w:after="0"/>
              <w:rPr>
                <w:sz w:val="14"/>
                <w:szCs w:val="14"/>
                <w:color w:val="auto"/>
              </w:rPr>
            </w:pPr>
          </w:p>
        </w:tc>
        <w:tc>
          <w:tcPr>
            <w:tcW w:w="900" w:type="dxa"/>
            <w:vAlign w:val="bottom"/>
            <w:tcBorders>
              <w:bottom w:val="single" w:sz="8" w:color="auto"/>
              <w:right w:val="single" w:sz="8" w:color="auto"/>
            </w:tcBorders>
            <w:shd w:val="clear" w:color="auto" w:fill="CCEEFF"/>
          </w:tcPr>
          <w:p>
            <w:pPr>
              <w:spacing w:after="0"/>
              <w:rPr>
                <w:sz w:val="14"/>
                <w:szCs w:val="14"/>
                <w:color w:val="auto"/>
              </w:rPr>
            </w:pPr>
          </w:p>
        </w:tc>
        <w:tc>
          <w:tcPr>
            <w:tcW w:w="920" w:type="dxa"/>
            <w:vAlign w:val="bottom"/>
            <w:tcBorders>
              <w:bottom w:val="single" w:sz="8" w:color="auto"/>
              <w:right w:val="single" w:sz="8" w:color="auto"/>
            </w:tcBorders>
            <w:shd w:val="clear" w:color="auto" w:fill="CCEEFF"/>
          </w:tcPr>
          <w:p>
            <w:pPr>
              <w:spacing w:after="0"/>
              <w:rPr>
                <w:sz w:val="14"/>
                <w:szCs w:val="14"/>
                <w:color w:val="auto"/>
              </w:rPr>
            </w:pPr>
          </w:p>
        </w:tc>
        <w:tc>
          <w:tcPr>
            <w:tcW w:w="780" w:type="dxa"/>
            <w:vAlign w:val="bottom"/>
            <w:tcBorders>
              <w:bottom w:val="single" w:sz="8" w:color="auto"/>
              <w:right w:val="single" w:sz="8" w:color="auto"/>
            </w:tcBorders>
            <w:shd w:val="clear" w:color="auto" w:fill="CCEEFF"/>
          </w:tcPr>
          <w:p>
            <w:pPr>
              <w:spacing w:after="0"/>
              <w:rPr>
                <w:sz w:val="14"/>
                <w:szCs w:val="14"/>
                <w:color w:val="auto"/>
              </w:rPr>
            </w:pPr>
          </w:p>
        </w:tc>
        <w:tc>
          <w:tcPr>
            <w:tcW w:w="680" w:type="dxa"/>
            <w:vAlign w:val="bottom"/>
            <w:tcBorders>
              <w:bottom w:val="single" w:sz="8" w:color="auto"/>
              <w:right w:val="single" w:sz="8" w:color="auto"/>
            </w:tcBorders>
            <w:shd w:val="clear" w:color="auto" w:fill="CCEEFF"/>
          </w:tcPr>
          <w:p>
            <w:pPr>
              <w:spacing w:after="0"/>
              <w:rPr>
                <w:sz w:val="14"/>
                <w:szCs w:val="14"/>
                <w:color w:val="auto"/>
              </w:rPr>
            </w:pPr>
          </w:p>
        </w:tc>
        <w:tc>
          <w:tcPr>
            <w:tcW w:w="80" w:type="dxa"/>
            <w:vAlign w:val="bottom"/>
            <w:tcBorders>
              <w:bottom w:val="single" w:sz="8" w:color="auto"/>
            </w:tcBorders>
            <w:shd w:val="clear" w:color="auto" w:fill="CCEEFF"/>
          </w:tcPr>
          <w:p>
            <w:pPr>
              <w:spacing w:after="0"/>
              <w:rPr>
                <w:sz w:val="14"/>
                <w:szCs w:val="14"/>
                <w:color w:val="auto"/>
              </w:rPr>
            </w:pPr>
          </w:p>
        </w:tc>
        <w:tc>
          <w:tcPr>
            <w:tcW w:w="700" w:type="dxa"/>
            <w:vAlign w:val="bottom"/>
            <w:tcBorders>
              <w:bottom w:val="single" w:sz="8" w:color="auto"/>
              <w:right w:val="single" w:sz="8" w:color="auto"/>
            </w:tcBorders>
            <w:shd w:val="clear" w:color="auto" w:fill="CCEEFF"/>
          </w:tcPr>
          <w:p>
            <w:pPr>
              <w:spacing w:after="0"/>
              <w:rPr>
                <w:sz w:val="14"/>
                <w:szCs w:val="14"/>
                <w:color w:val="auto"/>
              </w:rPr>
            </w:pPr>
          </w:p>
        </w:tc>
        <w:tc>
          <w:tcPr>
            <w:tcW w:w="780" w:type="dxa"/>
            <w:vAlign w:val="bottom"/>
            <w:tcBorders>
              <w:bottom w:val="single" w:sz="8" w:color="auto"/>
              <w:right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1"/>
              </w:rPr>
              <w:t>8,000</w:t>
            </w:r>
          </w:p>
        </w:tc>
        <w:tc>
          <w:tcPr>
            <w:tcW w:w="900" w:type="dxa"/>
            <w:vAlign w:val="bottom"/>
            <w:tcBorders>
              <w:bottom w:val="single" w:sz="8" w:color="auto"/>
              <w:right w:val="single" w:sz="8" w:color="auto"/>
            </w:tcBorders>
            <w:shd w:val="clear" w:color="auto" w:fill="CCEEFF"/>
          </w:tcPr>
          <w:p>
            <w:pPr>
              <w:spacing w:after="0"/>
              <w:rPr>
                <w:sz w:val="14"/>
                <w:szCs w:val="14"/>
                <w:color w:val="auto"/>
              </w:rPr>
            </w:pPr>
          </w:p>
        </w:tc>
        <w:tc>
          <w:tcPr>
            <w:tcW w:w="1020" w:type="dxa"/>
            <w:vAlign w:val="bottom"/>
            <w:tcBorders>
              <w:bottom w:val="single" w:sz="8" w:color="auto"/>
              <w:right w:val="single" w:sz="8" w:color="auto"/>
            </w:tcBorders>
            <w:shd w:val="clear" w:color="auto" w:fill="CCEEFF"/>
          </w:tcPr>
          <w:p>
            <w:pPr>
              <w:spacing w:after="0"/>
              <w:rPr>
                <w:sz w:val="14"/>
                <w:szCs w:val="14"/>
                <w:color w:val="auto"/>
              </w:rPr>
            </w:pPr>
          </w:p>
        </w:tc>
        <w:tc>
          <w:tcPr>
            <w:tcW w:w="940" w:type="dxa"/>
            <w:vAlign w:val="bottom"/>
            <w:tcBorders>
              <w:bottom w:val="single" w:sz="8" w:color="auto"/>
              <w:right w:val="single" w:sz="8" w:color="auto"/>
            </w:tcBorders>
            <w:shd w:val="clear" w:color="auto" w:fill="CCEEFF"/>
          </w:tcPr>
          <w:p>
            <w:pPr>
              <w:jc w:val="right"/>
              <w:ind w:right="88"/>
              <w:spacing w:after="0"/>
              <w:rPr>
                <w:sz w:val="20"/>
                <w:szCs w:val="20"/>
                <w:color w:val="auto"/>
              </w:rPr>
            </w:pPr>
            <w:r>
              <w:rPr>
                <w:rFonts w:ascii="Arial" w:cs="Arial" w:eastAsia="Arial" w:hAnsi="Arial"/>
                <w:sz w:val="14"/>
                <w:szCs w:val="14"/>
                <w:color w:val="auto"/>
              </w:rPr>
              <w:t>$ 450,160</w:t>
            </w:r>
          </w:p>
        </w:tc>
        <w:tc>
          <w:tcPr>
            <w:tcW w:w="0" w:type="dxa"/>
            <w:vAlign w:val="bottom"/>
          </w:tcPr>
          <w:p>
            <w:pPr>
              <w:spacing w:after="0"/>
              <w:rPr>
                <w:sz w:val="1"/>
                <w:szCs w:val="1"/>
                <w:color w:val="auto"/>
              </w:rPr>
            </w:pPr>
          </w:p>
        </w:tc>
      </w:tr>
      <w:tr>
        <w:trPr>
          <w:trHeight w:val="123"/>
        </w:trPr>
        <w:tc>
          <w:tcPr>
            <w:tcW w:w="1320" w:type="dxa"/>
            <w:vAlign w:val="bottom"/>
            <w:tcBorders>
              <w:left w:val="single" w:sz="8" w:color="auto"/>
              <w:right w:val="single" w:sz="8" w:color="auto"/>
            </w:tcBorders>
          </w:tcPr>
          <w:p>
            <w:pPr>
              <w:ind w:left="160"/>
              <w:spacing w:after="0" w:line="123" w:lineRule="exact"/>
              <w:rPr>
                <w:sz w:val="20"/>
                <w:szCs w:val="20"/>
                <w:color w:val="auto"/>
              </w:rPr>
            </w:pPr>
            <w:r>
              <w:rPr>
                <w:rFonts w:ascii="Arial" w:cs="Arial" w:eastAsia="Arial" w:hAnsi="Arial"/>
                <w:sz w:val="14"/>
                <w:szCs w:val="14"/>
                <w:color w:val="auto"/>
              </w:rPr>
              <w:t>Frank A .</w:t>
            </w:r>
          </w:p>
        </w:tc>
        <w:tc>
          <w:tcPr>
            <w:tcW w:w="1640" w:type="dxa"/>
            <w:vAlign w:val="bottom"/>
            <w:tcBorders>
              <w:right w:val="single" w:sz="8" w:color="auto"/>
            </w:tcBorders>
          </w:tcPr>
          <w:p>
            <w:pPr>
              <w:spacing w:after="0"/>
              <w:rPr>
                <w:sz w:val="10"/>
                <w:szCs w:val="10"/>
                <w:color w:val="auto"/>
              </w:rPr>
            </w:pPr>
          </w:p>
        </w:tc>
        <w:tc>
          <w:tcPr>
            <w:tcW w:w="80" w:type="dxa"/>
            <w:vAlign w:val="bottom"/>
          </w:tcPr>
          <w:p>
            <w:pPr>
              <w:spacing w:after="0"/>
              <w:rPr>
                <w:sz w:val="10"/>
                <w:szCs w:val="10"/>
                <w:color w:val="auto"/>
              </w:rPr>
            </w:pPr>
          </w:p>
        </w:tc>
        <w:tc>
          <w:tcPr>
            <w:tcW w:w="700" w:type="dxa"/>
            <w:vAlign w:val="bottom"/>
            <w:tcBorders>
              <w:right w:val="single" w:sz="8" w:color="auto"/>
            </w:tcBorders>
          </w:tcPr>
          <w:p>
            <w:pPr>
              <w:spacing w:after="0"/>
              <w:rPr>
                <w:sz w:val="10"/>
                <w:szCs w:val="10"/>
                <w:color w:val="auto"/>
              </w:rPr>
            </w:pPr>
          </w:p>
        </w:tc>
        <w:tc>
          <w:tcPr>
            <w:tcW w:w="90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680" w:type="dxa"/>
            <w:vAlign w:val="bottom"/>
            <w:tcBorders>
              <w:right w:val="single" w:sz="8" w:color="auto"/>
            </w:tcBorders>
          </w:tcPr>
          <w:p>
            <w:pPr>
              <w:spacing w:after="0"/>
              <w:rPr>
                <w:sz w:val="10"/>
                <w:szCs w:val="10"/>
                <w:color w:val="auto"/>
              </w:rPr>
            </w:pPr>
          </w:p>
        </w:tc>
        <w:tc>
          <w:tcPr>
            <w:tcW w:w="80" w:type="dxa"/>
            <w:vAlign w:val="bottom"/>
          </w:tcPr>
          <w:p>
            <w:pPr>
              <w:spacing w:after="0"/>
              <w:rPr>
                <w:sz w:val="10"/>
                <w:szCs w:val="10"/>
                <w:color w:val="auto"/>
              </w:rPr>
            </w:pPr>
          </w:p>
        </w:tc>
        <w:tc>
          <w:tcPr>
            <w:tcW w:w="700" w:type="dxa"/>
            <w:vAlign w:val="bottom"/>
            <w:tcBorders>
              <w:right w:val="single" w:sz="8" w:color="auto"/>
            </w:tcBorders>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900" w:type="dxa"/>
            <w:vAlign w:val="bottom"/>
            <w:tcBorders>
              <w:right w:val="single" w:sz="8" w:color="auto"/>
            </w:tcBorders>
          </w:tcPr>
          <w:p>
            <w:pPr>
              <w:spacing w:after="0"/>
              <w:rPr>
                <w:sz w:val="10"/>
                <w:szCs w:val="10"/>
                <w:color w:val="auto"/>
              </w:rPr>
            </w:pPr>
          </w:p>
        </w:tc>
        <w:tc>
          <w:tcPr>
            <w:tcW w:w="1020" w:type="dxa"/>
            <w:vAlign w:val="bottom"/>
            <w:tcBorders>
              <w:right w:val="single" w:sz="8" w:color="auto"/>
            </w:tcBorders>
          </w:tcPr>
          <w:p>
            <w:pPr>
              <w:spacing w:after="0"/>
              <w:rPr>
                <w:sz w:val="10"/>
                <w:szCs w:val="10"/>
                <w:color w:val="auto"/>
              </w:rPr>
            </w:pPr>
          </w:p>
        </w:tc>
        <w:tc>
          <w:tcPr>
            <w:tcW w:w="9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82"/>
        </w:trPr>
        <w:tc>
          <w:tcPr>
            <w:tcW w:w="1320" w:type="dxa"/>
            <w:vAlign w:val="bottom"/>
            <w:tcBorders>
              <w:left w:val="single" w:sz="8" w:color="auto"/>
              <w:right w:val="single" w:sz="8" w:color="auto"/>
            </w:tcBorders>
          </w:tcPr>
          <w:p>
            <w:pPr>
              <w:ind w:left="160"/>
              <w:spacing w:after="0"/>
              <w:rPr>
                <w:sz w:val="20"/>
                <w:szCs w:val="20"/>
                <w:color w:val="auto"/>
              </w:rPr>
            </w:pPr>
            <w:r>
              <w:rPr>
                <w:rFonts w:ascii="Arial" w:cs="Arial" w:eastAsia="Arial" w:hAnsi="Arial"/>
                <w:sz w:val="14"/>
                <w:szCs w:val="14"/>
                <w:color w:val="auto"/>
              </w:rPr>
              <w:t>DiPiero</w:t>
            </w:r>
            <w:r>
              <w:rPr>
                <w:rFonts w:ascii="Arial" w:cs="Arial" w:eastAsia="Arial" w:hAnsi="Arial"/>
                <w:sz w:val="12"/>
                <w:szCs w:val="12"/>
                <w:color w:val="auto"/>
              </w:rPr>
              <w:t>(6)</w:t>
            </w:r>
          </w:p>
        </w:tc>
        <w:tc>
          <w:tcPr>
            <w:tcW w:w="1640" w:type="dxa"/>
            <w:vAlign w:val="bottom"/>
            <w:tcBorders>
              <w:right w:val="single" w:sz="8" w:color="auto"/>
            </w:tcBorders>
          </w:tcPr>
          <w:p>
            <w:pPr>
              <w:ind w:left="840"/>
              <w:spacing w:after="0"/>
              <w:rPr>
                <w:sz w:val="20"/>
                <w:szCs w:val="20"/>
                <w:color w:val="auto"/>
              </w:rPr>
            </w:pPr>
            <w:r>
              <w:rPr>
                <w:rFonts w:ascii="Arial" w:cs="Arial" w:eastAsia="Arial" w:hAnsi="Arial"/>
                <w:sz w:val="14"/>
                <w:szCs w:val="14"/>
                <w:color w:val="auto"/>
              </w:rPr>
              <w:t>-</w:t>
            </w:r>
          </w:p>
        </w:tc>
        <w:tc>
          <w:tcPr>
            <w:tcW w:w="780" w:type="dxa"/>
            <w:vAlign w:val="bottom"/>
            <w:tcBorders>
              <w:right w:val="single" w:sz="8" w:color="auto"/>
            </w:tcBorders>
            <w:gridSpan w:val="2"/>
          </w:tcPr>
          <w:p>
            <w:pPr>
              <w:jc w:val="right"/>
              <w:ind w:right="268"/>
              <w:spacing w:after="0"/>
              <w:rPr>
                <w:sz w:val="20"/>
                <w:szCs w:val="20"/>
                <w:color w:val="auto"/>
              </w:rPr>
            </w:pPr>
            <w:r>
              <w:rPr>
                <w:rFonts w:ascii="Arial" w:cs="Arial" w:eastAsia="Arial" w:hAnsi="Arial"/>
                <w:sz w:val="14"/>
                <w:szCs w:val="14"/>
                <w:color w:val="auto"/>
              </w:rPr>
              <w:t>-</w:t>
            </w:r>
          </w:p>
        </w:tc>
        <w:tc>
          <w:tcPr>
            <w:tcW w:w="900" w:type="dxa"/>
            <w:vAlign w:val="bottom"/>
            <w:tcBorders>
              <w:right w:val="single" w:sz="8" w:color="auto"/>
            </w:tcBorders>
          </w:tcPr>
          <w:p>
            <w:pPr>
              <w:jc w:val="right"/>
              <w:ind w:right="308"/>
              <w:spacing w:after="0"/>
              <w:rPr>
                <w:sz w:val="20"/>
                <w:szCs w:val="20"/>
                <w:color w:val="auto"/>
              </w:rPr>
            </w:pPr>
            <w:r>
              <w:rPr>
                <w:rFonts w:ascii="Arial" w:cs="Arial" w:eastAsia="Arial" w:hAnsi="Arial"/>
                <w:sz w:val="14"/>
                <w:szCs w:val="14"/>
                <w:color w:val="auto"/>
              </w:rPr>
              <w:t>-</w:t>
            </w:r>
          </w:p>
        </w:tc>
        <w:tc>
          <w:tcPr>
            <w:tcW w:w="920" w:type="dxa"/>
            <w:vAlign w:val="bottom"/>
            <w:tcBorders>
              <w:right w:val="single" w:sz="8" w:color="auto"/>
            </w:tcBorders>
          </w:tcPr>
          <w:p>
            <w:pPr>
              <w:jc w:val="right"/>
              <w:ind w:right="328"/>
              <w:spacing w:after="0"/>
              <w:rPr>
                <w:sz w:val="20"/>
                <w:szCs w:val="20"/>
                <w:color w:val="auto"/>
              </w:rPr>
            </w:pPr>
            <w:r>
              <w:rPr>
                <w:rFonts w:ascii="Arial" w:cs="Arial" w:eastAsia="Arial" w:hAnsi="Arial"/>
                <w:sz w:val="14"/>
                <w:szCs w:val="14"/>
                <w:color w:val="auto"/>
              </w:rPr>
              <w:t>-</w:t>
            </w:r>
          </w:p>
        </w:tc>
        <w:tc>
          <w:tcPr>
            <w:tcW w:w="780" w:type="dxa"/>
            <w:vAlign w:val="bottom"/>
            <w:tcBorders>
              <w:right w:val="single" w:sz="8" w:color="auto"/>
            </w:tcBorders>
          </w:tcPr>
          <w:p>
            <w:pPr>
              <w:jc w:val="right"/>
              <w:ind w:right="268"/>
              <w:spacing w:after="0"/>
              <w:rPr>
                <w:sz w:val="20"/>
                <w:szCs w:val="20"/>
                <w:color w:val="auto"/>
              </w:rPr>
            </w:pPr>
            <w:r>
              <w:rPr>
                <w:rFonts w:ascii="Arial" w:cs="Arial" w:eastAsia="Arial" w:hAnsi="Arial"/>
                <w:sz w:val="14"/>
                <w:szCs w:val="14"/>
                <w:color w:val="auto"/>
              </w:rPr>
              <w:t>-</w:t>
            </w:r>
          </w:p>
        </w:tc>
        <w:tc>
          <w:tcPr>
            <w:tcW w:w="680" w:type="dxa"/>
            <w:vAlign w:val="bottom"/>
            <w:tcBorders>
              <w:right w:val="single" w:sz="8" w:color="auto"/>
            </w:tcBorders>
          </w:tcPr>
          <w:p>
            <w:pPr>
              <w:jc w:val="center"/>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5"/>
                <w:szCs w:val="15"/>
                <w:color w:val="auto"/>
              </w:rPr>
            </w:pPr>
          </w:p>
        </w:tc>
        <w:tc>
          <w:tcPr>
            <w:tcW w:w="700" w:type="dxa"/>
            <w:vAlign w:val="bottom"/>
            <w:tcBorders>
              <w:right w:val="single" w:sz="8" w:color="auto"/>
            </w:tcBorders>
          </w:tcPr>
          <w:p>
            <w:pPr>
              <w:jc w:val="right"/>
              <w:ind w:right="268"/>
              <w:spacing w:after="0"/>
              <w:rPr>
                <w:sz w:val="20"/>
                <w:szCs w:val="20"/>
                <w:color w:val="auto"/>
              </w:rPr>
            </w:pPr>
            <w:r>
              <w:rPr>
                <w:rFonts w:ascii="Arial" w:cs="Arial" w:eastAsia="Arial" w:hAnsi="Arial"/>
                <w:sz w:val="14"/>
                <w:szCs w:val="14"/>
                <w:color w:val="auto"/>
              </w:rPr>
              <w:t>-</w:t>
            </w:r>
          </w:p>
        </w:tc>
        <w:tc>
          <w:tcPr>
            <w:tcW w:w="780" w:type="dxa"/>
            <w:vAlign w:val="bottom"/>
            <w:tcBorders>
              <w:right w:val="single" w:sz="8" w:color="auto"/>
            </w:tcBorders>
          </w:tcPr>
          <w:p>
            <w:pPr>
              <w:jc w:val="center"/>
              <w:spacing w:after="0"/>
              <w:rPr>
                <w:sz w:val="20"/>
                <w:szCs w:val="20"/>
                <w:color w:val="auto"/>
              </w:rPr>
            </w:pPr>
            <w:r>
              <w:rPr>
                <w:rFonts w:ascii="Arial" w:cs="Arial" w:eastAsia="Arial" w:hAnsi="Arial"/>
                <w:sz w:val="14"/>
                <w:szCs w:val="14"/>
                <w:color w:val="auto"/>
                <w:w w:val="84"/>
              </w:rPr>
              <w:t>-</w:t>
            </w:r>
          </w:p>
        </w:tc>
        <w:tc>
          <w:tcPr>
            <w:tcW w:w="900" w:type="dxa"/>
            <w:vAlign w:val="bottom"/>
            <w:tcBorders>
              <w:right w:val="single" w:sz="8" w:color="auto"/>
            </w:tcBorders>
          </w:tcPr>
          <w:p>
            <w:pPr>
              <w:jc w:val="center"/>
              <w:spacing w:after="0"/>
              <w:rPr>
                <w:sz w:val="20"/>
                <w:szCs w:val="20"/>
                <w:color w:val="auto"/>
              </w:rPr>
            </w:pPr>
            <w:r>
              <w:rPr>
                <w:rFonts w:ascii="Arial" w:cs="Arial" w:eastAsia="Arial" w:hAnsi="Arial"/>
                <w:sz w:val="14"/>
                <w:szCs w:val="14"/>
                <w:color w:val="auto"/>
                <w:w w:val="84"/>
              </w:rPr>
              <w:t>-</w:t>
            </w:r>
          </w:p>
        </w:tc>
        <w:tc>
          <w:tcPr>
            <w:tcW w:w="1020" w:type="dxa"/>
            <w:vAlign w:val="bottom"/>
            <w:tcBorders>
              <w:right w:val="single" w:sz="8" w:color="auto"/>
            </w:tcBorders>
          </w:tcPr>
          <w:p>
            <w:pPr>
              <w:jc w:val="center"/>
              <w:spacing w:after="0"/>
              <w:rPr>
                <w:sz w:val="20"/>
                <w:szCs w:val="20"/>
                <w:color w:val="auto"/>
              </w:rPr>
            </w:pPr>
            <w:r>
              <w:rPr>
                <w:rFonts w:ascii="Arial" w:cs="Arial" w:eastAsia="Arial" w:hAnsi="Arial"/>
                <w:sz w:val="14"/>
                <w:szCs w:val="14"/>
                <w:color w:val="auto"/>
                <w:w w:val="84"/>
              </w:rPr>
              <w:t>-</w:t>
            </w:r>
          </w:p>
        </w:tc>
        <w:tc>
          <w:tcPr>
            <w:tcW w:w="940" w:type="dxa"/>
            <w:vAlign w:val="bottom"/>
            <w:tcBorders>
              <w:right w:val="single" w:sz="8" w:color="auto"/>
            </w:tcBorders>
          </w:tcPr>
          <w:p>
            <w:pPr>
              <w:jc w:val="center"/>
              <w:ind w:right="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34"/>
        </w:trPr>
        <w:tc>
          <w:tcPr>
            <w:tcW w:w="1320" w:type="dxa"/>
            <w:vAlign w:val="bottom"/>
            <w:tcBorders>
              <w:left w:val="single" w:sz="8" w:color="auto"/>
              <w:bottom w:val="single" w:sz="8" w:color="auto"/>
              <w:right w:val="single" w:sz="8" w:color="auto"/>
            </w:tcBorders>
          </w:tcPr>
          <w:p>
            <w:pPr>
              <w:spacing w:after="0"/>
              <w:rPr>
                <w:sz w:val="11"/>
                <w:szCs w:val="11"/>
                <w:color w:val="auto"/>
              </w:rPr>
            </w:pPr>
          </w:p>
        </w:tc>
        <w:tc>
          <w:tcPr>
            <w:tcW w:w="1640" w:type="dxa"/>
            <w:vAlign w:val="bottom"/>
            <w:tcBorders>
              <w:bottom w:val="single" w:sz="8" w:color="auto"/>
              <w:right w:val="single" w:sz="8" w:color="auto"/>
            </w:tcBorders>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700" w:type="dxa"/>
            <w:vAlign w:val="bottom"/>
            <w:tcBorders>
              <w:bottom w:val="single" w:sz="8" w:color="auto"/>
              <w:right w:val="single" w:sz="8" w:color="auto"/>
            </w:tcBorders>
          </w:tcPr>
          <w:p>
            <w:pPr>
              <w:spacing w:after="0"/>
              <w:rPr>
                <w:sz w:val="11"/>
                <w:szCs w:val="11"/>
                <w:color w:val="auto"/>
              </w:rPr>
            </w:pPr>
          </w:p>
        </w:tc>
        <w:tc>
          <w:tcPr>
            <w:tcW w:w="900" w:type="dxa"/>
            <w:vAlign w:val="bottom"/>
            <w:tcBorders>
              <w:bottom w:val="single" w:sz="8" w:color="auto"/>
              <w:right w:val="single" w:sz="8" w:color="auto"/>
            </w:tcBorders>
          </w:tcPr>
          <w:p>
            <w:pPr>
              <w:spacing w:after="0"/>
              <w:rPr>
                <w:sz w:val="11"/>
                <w:szCs w:val="11"/>
                <w:color w:val="auto"/>
              </w:rPr>
            </w:pPr>
          </w:p>
        </w:tc>
        <w:tc>
          <w:tcPr>
            <w:tcW w:w="920" w:type="dxa"/>
            <w:vAlign w:val="bottom"/>
            <w:tcBorders>
              <w:bottom w:val="single" w:sz="8" w:color="auto"/>
              <w:right w:val="single" w:sz="8" w:color="auto"/>
            </w:tcBorders>
          </w:tcPr>
          <w:p>
            <w:pPr>
              <w:spacing w:after="0"/>
              <w:rPr>
                <w:sz w:val="11"/>
                <w:szCs w:val="11"/>
                <w:color w:val="auto"/>
              </w:rPr>
            </w:pPr>
          </w:p>
        </w:tc>
        <w:tc>
          <w:tcPr>
            <w:tcW w:w="780" w:type="dxa"/>
            <w:vAlign w:val="bottom"/>
            <w:tcBorders>
              <w:bottom w:val="single" w:sz="8" w:color="auto"/>
              <w:right w:val="single" w:sz="8" w:color="auto"/>
            </w:tcBorders>
          </w:tcPr>
          <w:p>
            <w:pPr>
              <w:spacing w:after="0"/>
              <w:rPr>
                <w:sz w:val="11"/>
                <w:szCs w:val="11"/>
                <w:color w:val="auto"/>
              </w:rPr>
            </w:pPr>
          </w:p>
        </w:tc>
        <w:tc>
          <w:tcPr>
            <w:tcW w:w="680" w:type="dxa"/>
            <w:vAlign w:val="bottom"/>
            <w:tcBorders>
              <w:bottom w:val="single" w:sz="8" w:color="auto"/>
              <w:right w:val="single" w:sz="8" w:color="auto"/>
            </w:tcBorders>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700" w:type="dxa"/>
            <w:vAlign w:val="bottom"/>
            <w:tcBorders>
              <w:bottom w:val="single" w:sz="8" w:color="auto"/>
              <w:right w:val="single" w:sz="8" w:color="auto"/>
            </w:tcBorders>
          </w:tcPr>
          <w:p>
            <w:pPr>
              <w:spacing w:after="0"/>
              <w:rPr>
                <w:sz w:val="11"/>
                <w:szCs w:val="11"/>
                <w:color w:val="auto"/>
              </w:rPr>
            </w:pPr>
          </w:p>
        </w:tc>
        <w:tc>
          <w:tcPr>
            <w:tcW w:w="780" w:type="dxa"/>
            <w:vAlign w:val="bottom"/>
            <w:tcBorders>
              <w:bottom w:val="single" w:sz="8" w:color="auto"/>
              <w:right w:val="single" w:sz="8" w:color="auto"/>
            </w:tcBorders>
          </w:tcPr>
          <w:p>
            <w:pPr>
              <w:spacing w:after="0"/>
              <w:rPr>
                <w:sz w:val="11"/>
                <w:szCs w:val="11"/>
                <w:color w:val="auto"/>
              </w:rPr>
            </w:pPr>
          </w:p>
        </w:tc>
        <w:tc>
          <w:tcPr>
            <w:tcW w:w="900" w:type="dxa"/>
            <w:vAlign w:val="bottom"/>
            <w:tcBorders>
              <w:bottom w:val="single" w:sz="8" w:color="auto"/>
              <w:right w:val="single" w:sz="8" w:color="auto"/>
            </w:tcBorders>
          </w:tcPr>
          <w:p>
            <w:pPr>
              <w:spacing w:after="0"/>
              <w:rPr>
                <w:sz w:val="11"/>
                <w:szCs w:val="11"/>
                <w:color w:val="auto"/>
              </w:rPr>
            </w:pPr>
          </w:p>
        </w:tc>
        <w:tc>
          <w:tcPr>
            <w:tcW w:w="1020" w:type="dxa"/>
            <w:vAlign w:val="bottom"/>
            <w:tcBorders>
              <w:bottom w:val="single" w:sz="8" w:color="auto"/>
              <w:right w:val="single" w:sz="8" w:color="auto"/>
            </w:tcBorders>
          </w:tcPr>
          <w:p>
            <w:pPr>
              <w:spacing w:after="0"/>
              <w:rPr>
                <w:sz w:val="11"/>
                <w:szCs w:val="11"/>
                <w:color w:val="auto"/>
              </w:rPr>
            </w:pPr>
          </w:p>
        </w:tc>
        <w:tc>
          <w:tcPr>
            <w:tcW w:w="94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bl>
    <w:p>
      <w:pPr>
        <w:spacing w:after="0" w:line="224" w:lineRule="exact"/>
        <w:rPr>
          <w:sz w:val="20"/>
          <w:szCs w:val="20"/>
          <w:color w:val="auto"/>
        </w:rPr>
      </w:pPr>
    </w:p>
    <w:p>
      <w:pPr>
        <w:ind w:left="340" w:right="240" w:hanging="332"/>
        <w:spacing w:after="0" w:line="253" w:lineRule="auto"/>
        <w:tabs>
          <w:tab w:leader="none" w:pos="340" w:val="left"/>
        </w:tabs>
        <w:numPr>
          <w:ilvl w:val="0"/>
          <w:numId w:val="31"/>
        </w:numPr>
        <w:rPr>
          <w:rFonts w:ascii="Arial" w:cs="Arial" w:eastAsia="Arial" w:hAnsi="Arial"/>
          <w:sz w:val="14"/>
          <w:szCs w:val="14"/>
          <w:color w:val="auto"/>
        </w:rPr>
      </w:pPr>
      <w:r>
        <w:rPr>
          <w:rFonts w:ascii="Arial" w:cs="Arial" w:eastAsia="Arial" w:hAnsi="Arial"/>
          <w:sz w:val="14"/>
          <w:szCs w:val="14"/>
          <w:color w:val="auto"/>
        </w:rPr>
        <w:t>The “Perf RSUs” amounts shown indicate aggregate threshold, target and maximum award opportunities for Timken strategic performance shares (performance-based restricted stock units) covering the 2013-2015 performance cycle granted to each NEOs in 2013 under the Long-Term Incentive Plan.</w:t>
      </w:r>
    </w:p>
    <w:p>
      <w:pPr>
        <w:spacing w:after="0" w:line="200" w:lineRule="exact"/>
        <w:rPr>
          <w:rFonts w:ascii="Arial" w:cs="Arial" w:eastAsia="Arial" w:hAnsi="Arial"/>
          <w:sz w:val="14"/>
          <w:szCs w:val="14"/>
          <w:color w:val="auto"/>
        </w:rPr>
      </w:pPr>
    </w:p>
    <w:p>
      <w:pPr>
        <w:ind w:left="340" w:right="220" w:hanging="332"/>
        <w:spacing w:after="0" w:line="249" w:lineRule="auto"/>
        <w:tabs>
          <w:tab w:leader="none" w:pos="340" w:val="left"/>
        </w:tabs>
        <w:numPr>
          <w:ilvl w:val="0"/>
          <w:numId w:val="31"/>
        </w:numPr>
        <w:rPr>
          <w:rFonts w:ascii="Arial" w:cs="Arial" w:eastAsia="Arial" w:hAnsi="Arial"/>
          <w:sz w:val="13"/>
          <w:szCs w:val="13"/>
          <w:color w:val="auto"/>
        </w:rPr>
      </w:pPr>
      <w:r>
        <w:rPr>
          <w:rFonts w:ascii="Arial" w:cs="Arial" w:eastAsia="Arial" w:hAnsi="Arial"/>
          <w:sz w:val="13"/>
          <w:szCs w:val="13"/>
          <w:color w:val="auto"/>
        </w:rPr>
        <w:t>The “APA” amounts shown indicate possible funding levels at threshold, target and maximum performance levels for Annual Performance Awards for 2013. Mr. Timken and Mr. Walker participated in the Senior Executive Management Performance Plans, a shareholder-approved plan, in 2013. Mr. Holding participated in the Management Performance Plan in 2013. Awards paid to individual executives are based on the actual financial results in relation to the target goals under the applicable plan. In addition, the Timken Compensation Committee retains the discretion to adjust downward any awards determined by the formula as the Timken Compensation Committee deems appropriate. Target Annual Performance Awards for each of the NEOs were as follows: Mr. Timken - $1,038,240; Mr. Holding - $85,714; and Mr. Walker - $217,620. See “The Spinoff–Non–equity Based Incentive Plans” for information about the non-equity based incentive compensation program that has been established for 2014 for TimkenSteel in connection with the spinoff.</w:t>
      </w:r>
    </w:p>
    <w:p>
      <w:pPr>
        <w:spacing w:after="0" w:line="203" w:lineRule="exact"/>
        <w:rPr>
          <w:rFonts w:ascii="Arial" w:cs="Arial" w:eastAsia="Arial" w:hAnsi="Arial"/>
          <w:sz w:val="13"/>
          <w:szCs w:val="13"/>
          <w:color w:val="auto"/>
        </w:rPr>
      </w:pPr>
    </w:p>
    <w:p>
      <w:pPr>
        <w:ind w:left="340" w:right="100" w:hanging="332"/>
        <w:spacing w:after="0" w:line="249" w:lineRule="auto"/>
        <w:tabs>
          <w:tab w:leader="none" w:pos="340" w:val="left"/>
        </w:tabs>
        <w:numPr>
          <w:ilvl w:val="0"/>
          <w:numId w:val="31"/>
        </w:numPr>
        <w:rPr>
          <w:rFonts w:ascii="Arial" w:cs="Arial" w:eastAsia="Arial" w:hAnsi="Arial"/>
          <w:sz w:val="13"/>
          <w:szCs w:val="13"/>
          <w:color w:val="auto"/>
        </w:rPr>
      </w:pPr>
      <w:r>
        <w:rPr>
          <w:rFonts w:ascii="Arial" w:cs="Arial" w:eastAsia="Arial" w:hAnsi="Arial"/>
          <w:sz w:val="13"/>
          <w:szCs w:val="13"/>
          <w:color w:val="auto"/>
        </w:rPr>
        <w:t>The “NQSOs” amounts shown reflect Timken nonqualified stock options granted in 2013. All options granted to the NEOs during 2013 were granted on February 7, 2013. All options were granted pursuant to the Long-Term Incentive Plan with an exercise price equal to the fair market value (as defined in the plan) on the date of grant, have a ten-year term and generally will become exercisable over four years in 25% increments on the anniversary of the date of grant. The agreements pertaining to these options provide that such options will become exercisable in full and will vest in the event of death or disability of the option holder or a change in control of Timken, in each case as defined in such agreements. The spinoff is not a change in control of Timken for purposes of these agreements. In the cases of normal retirement and retirement with Timken’s consent (prior to the age of 62), such options will become exercisable with the same terms and conditions as normal vesting, as if the option holder had remained in the continuous employ of Timken.</w:t>
      </w:r>
    </w:p>
    <w:p>
      <w:pPr>
        <w:spacing w:after="0" w:line="203" w:lineRule="exact"/>
        <w:rPr>
          <w:rFonts w:ascii="Arial" w:cs="Arial" w:eastAsia="Arial" w:hAnsi="Arial"/>
          <w:sz w:val="13"/>
          <w:szCs w:val="13"/>
          <w:color w:val="auto"/>
        </w:rPr>
      </w:pPr>
    </w:p>
    <w:p>
      <w:pPr>
        <w:ind w:left="340" w:right="300" w:hanging="332"/>
        <w:spacing w:after="0" w:line="253" w:lineRule="auto"/>
        <w:tabs>
          <w:tab w:leader="none" w:pos="340" w:val="left"/>
        </w:tabs>
        <w:numPr>
          <w:ilvl w:val="0"/>
          <w:numId w:val="31"/>
        </w:numPr>
        <w:rPr>
          <w:rFonts w:ascii="Arial" w:cs="Arial" w:eastAsia="Arial" w:hAnsi="Arial"/>
          <w:sz w:val="14"/>
          <w:szCs w:val="14"/>
          <w:color w:val="auto"/>
        </w:rPr>
      </w:pPr>
      <w:r>
        <w:rPr>
          <w:rFonts w:ascii="Arial" w:cs="Arial" w:eastAsia="Arial" w:hAnsi="Arial"/>
          <w:sz w:val="14"/>
          <w:szCs w:val="14"/>
          <w:color w:val="auto"/>
        </w:rPr>
        <w:t>The “Def Shrs” amounts shown reflect a one-time grant of 8,000 deferred shares made to Mr. Walker on February 7, 2013 under the Long-Term Incentive Plan. These shares vest in full on December 31, 2015 contingent on continued employment with us.</w:t>
      </w:r>
    </w:p>
    <w:p>
      <w:pPr>
        <w:spacing w:after="0" w:line="200" w:lineRule="exact"/>
        <w:rPr>
          <w:rFonts w:ascii="Arial" w:cs="Arial" w:eastAsia="Arial" w:hAnsi="Arial"/>
          <w:sz w:val="14"/>
          <w:szCs w:val="14"/>
          <w:color w:val="auto"/>
        </w:rPr>
      </w:pPr>
    </w:p>
    <w:p>
      <w:pPr>
        <w:jc w:val="both"/>
        <w:ind w:left="340" w:right="20" w:hanging="332"/>
        <w:spacing w:after="0" w:line="238" w:lineRule="auto"/>
        <w:tabs>
          <w:tab w:leader="none" w:pos="340" w:val="left"/>
        </w:tabs>
        <w:numPr>
          <w:ilvl w:val="0"/>
          <w:numId w:val="31"/>
        </w:numPr>
        <w:rPr>
          <w:rFonts w:ascii="Arial" w:cs="Arial" w:eastAsia="Arial" w:hAnsi="Arial"/>
          <w:sz w:val="14"/>
          <w:szCs w:val="14"/>
          <w:color w:val="auto"/>
        </w:rPr>
      </w:pPr>
      <w:r>
        <w:rPr>
          <w:rFonts w:ascii="Arial" w:cs="Arial" w:eastAsia="Arial" w:hAnsi="Arial"/>
          <w:sz w:val="14"/>
          <w:szCs w:val="14"/>
          <w:color w:val="auto"/>
        </w:rPr>
        <w:t>The amounts shown reflect the fair value on the date of grant of options, deferred shares and strategic performance shares granted in 2013, computed in accordance with FASB ASC Topic 718. The fair value of deferred shares and strategic performance shares is the opening price of Timken’s common shares on the date of grant multiplied by the number of full shares granted. The fair value of options is determined using the Black-Scholes model.</w:t>
      </w:r>
    </w:p>
    <w:p>
      <w:pPr>
        <w:spacing w:after="0" w:line="209" w:lineRule="exact"/>
        <w:rPr>
          <w:rFonts w:ascii="Arial" w:cs="Arial" w:eastAsia="Arial" w:hAnsi="Arial"/>
          <w:sz w:val="14"/>
          <w:szCs w:val="14"/>
          <w:color w:val="auto"/>
        </w:rPr>
      </w:pPr>
    </w:p>
    <w:p>
      <w:pPr>
        <w:ind w:left="340" w:hanging="332"/>
        <w:spacing w:after="0"/>
        <w:tabs>
          <w:tab w:leader="none" w:pos="340" w:val="left"/>
        </w:tabs>
        <w:numPr>
          <w:ilvl w:val="0"/>
          <w:numId w:val="31"/>
        </w:numPr>
        <w:rPr>
          <w:rFonts w:ascii="Arial" w:cs="Arial" w:eastAsia="Arial" w:hAnsi="Arial"/>
          <w:sz w:val="14"/>
          <w:szCs w:val="14"/>
          <w:color w:val="auto"/>
        </w:rPr>
      </w:pPr>
      <w:r>
        <w:rPr>
          <w:rFonts w:ascii="Arial" w:cs="Arial" w:eastAsia="Arial" w:hAnsi="Arial"/>
          <w:sz w:val="14"/>
          <w:szCs w:val="14"/>
          <w:color w:val="auto"/>
        </w:rPr>
        <w:t>Mr. DiPiero was not employed by Timken in 2013 and therefore no historical information is available for him.</w:t>
      </w:r>
    </w:p>
    <w:p>
      <w:pPr>
        <w:spacing w:after="0" w:line="141"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76</w:t>
      </w:r>
    </w:p>
    <w:p>
      <w:pPr>
        <w:sectPr>
          <w:pgSz w:w="11900" w:h="16838" w:orient="portrait"/>
          <w:cols w:equalWidth="0" w:num="1">
            <w:col w:w="11440"/>
          </w:cols>
          <w:pgMar w:left="240" w:top="459" w:right="219" w:bottom="1440" w:gutter="0" w:footer="0" w:header="0"/>
        </w:sectPr>
      </w:pPr>
    </w:p>
    <w:bookmarkStart w:id="88" w:name="page89"/>
    <w:bookmarkEnd w:id="8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3">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Outstanding Equity Awards at 2013 Year-End Table</w:t>
      </w:r>
    </w:p>
    <w:p>
      <w:pPr>
        <w:spacing w:after="0" w:line="310" w:lineRule="exact"/>
        <w:rPr>
          <w:sz w:val="20"/>
          <w:szCs w:val="20"/>
          <w:color w:val="auto"/>
        </w:rPr>
      </w:pPr>
    </w:p>
    <w:p>
      <w:pPr>
        <w:ind w:left="920"/>
        <w:spacing w:after="0"/>
        <w:rPr>
          <w:sz w:val="20"/>
          <w:szCs w:val="20"/>
          <w:color w:val="auto"/>
        </w:rPr>
      </w:pPr>
      <w:r>
        <w:rPr>
          <w:rFonts w:ascii="Arial" w:cs="Arial" w:eastAsia="Arial" w:hAnsi="Arial"/>
          <w:sz w:val="16"/>
          <w:szCs w:val="16"/>
          <w:color w:val="auto"/>
        </w:rPr>
        <w:t>The following table sets forth information concerning unexercised Timken options and Timken stock awards that have not vested for each of our</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NEOs as of December 31, 2013:</w:t>
      </w:r>
    </w:p>
    <w:p>
      <w:pPr>
        <w:spacing w:after="0" w:line="205" w:lineRule="exact"/>
        <w:rPr>
          <w:sz w:val="20"/>
          <w:szCs w:val="20"/>
          <w:color w:val="auto"/>
        </w:rPr>
      </w:pPr>
    </w:p>
    <w:tbl>
      <w:tblPr>
        <w:tblLayout w:type="fixed"/>
        <w:tblInd w:w="10" w:type="dxa"/>
        <w:tblCellMar>
          <w:top w:w="0" w:type="dxa"/>
          <w:left w:w="0" w:type="dxa"/>
          <w:bottom w:w="0" w:type="dxa"/>
          <w:right w:w="0" w:type="dxa"/>
        </w:tblCellMar>
      </w:tblPr>
      <w:tr>
        <w:trPr>
          <w:trHeight w:val="162"/>
        </w:trPr>
        <w:tc>
          <w:tcPr>
            <w:tcW w:w="1720" w:type="dxa"/>
            <w:vAlign w:val="bottom"/>
            <w:tcBorders>
              <w:top w:val="single" w:sz="8" w:color="auto"/>
              <w:left w:val="single" w:sz="8" w:color="auto"/>
              <w:bottom w:val="single" w:sz="8" w:color="auto"/>
              <w:right w:val="single" w:sz="8" w:color="auto"/>
            </w:tcBorders>
          </w:tcPr>
          <w:p>
            <w:pPr>
              <w:spacing w:after="0"/>
              <w:rPr>
                <w:sz w:val="14"/>
                <w:szCs w:val="14"/>
                <w:color w:val="auto"/>
              </w:rPr>
            </w:pPr>
          </w:p>
        </w:tc>
        <w:tc>
          <w:tcPr>
            <w:tcW w:w="900" w:type="dxa"/>
            <w:vAlign w:val="bottom"/>
            <w:tcBorders>
              <w:top w:val="single" w:sz="8" w:color="auto"/>
              <w:bottom w:val="single" w:sz="8" w:color="auto"/>
            </w:tcBorders>
          </w:tcPr>
          <w:p>
            <w:pPr>
              <w:spacing w:after="0"/>
              <w:rPr>
                <w:sz w:val="14"/>
                <w:szCs w:val="14"/>
                <w:color w:val="auto"/>
              </w:rPr>
            </w:pPr>
          </w:p>
        </w:tc>
        <w:tc>
          <w:tcPr>
            <w:tcW w:w="80" w:type="dxa"/>
            <w:vAlign w:val="bottom"/>
            <w:tcBorders>
              <w:top w:val="single" w:sz="8" w:color="auto"/>
              <w:bottom w:val="single" w:sz="8" w:color="auto"/>
            </w:tcBorders>
          </w:tcPr>
          <w:p>
            <w:pPr>
              <w:spacing w:after="0"/>
              <w:rPr>
                <w:sz w:val="14"/>
                <w:szCs w:val="14"/>
                <w:color w:val="auto"/>
              </w:rPr>
            </w:pPr>
          </w:p>
        </w:tc>
        <w:tc>
          <w:tcPr>
            <w:tcW w:w="1840" w:type="dxa"/>
            <w:vAlign w:val="bottom"/>
            <w:tcBorders>
              <w:top w:val="single" w:sz="8" w:color="auto"/>
              <w:bottom w:val="single" w:sz="8" w:color="auto"/>
            </w:tcBorders>
            <w:gridSpan w:val="3"/>
          </w:tcPr>
          <w:p>
            <w:pPr>
              <w:jc w:val="right"/>
              <w:spacing w:after="0"/>
              <w:rPr>
                <w:sz w:val="20"/>
                <w:szCs w:val="20"/>
                <w:color w:val="auto"/>
              </w:rPr>
            </w:pPr>
            <w:r>
              <w:rPr>
                <w:rFonts w:ascii="Arial" w:cs="Arial" w:eastAsia="Arial" w:hAnsi="Arial"/>
                <w:sz w:val="14"/>
                <w:szCs w:val="14"/>
                <w:color w:val="auto"/>
              </w:rPr>
              <w:t xml:space="preserve">Option Awards </w:t>
            </w:r>
            <w:r>
              <w:rPr>
                <w:rFonts w:ascii="Arial" w:cs="Arial" w:eastAsia="Arial" w:hAnsi="Arial"/>
                <w:sz w:val="12"/>
                <w:szCs w:val="12"/>
                <w:color w:val="auto"/>
              </w:rPr>
              <w:t>(1)</w:t>
            </w:r>
          </w:p>
        </w:tc>
        <w:tc>
          <w:tcPr>
            <w:tcW w:w="700" w:type="dxa"/>
            <w:vAlign w:val="bottom"/>
            <w:tcBorders>
              <w:top w:val="single" w:sz="8" w:color="auto"/>
              <w:bottom w:val="single" w:sz="8" w:color="auto"/>
            </w:tcBorders>
          </w:tcPr>
          <w:p>
            <w:pPr>
              <w:spacing w:after="0"/>
              <w:rPr>
                <w:sz w:val="14"/>
                <w:szCs w:val="14"/>
                <w:color w:val="auto"/>
              </w:rPr>
            </w:pPr>
          </w:p>
        </w:tc>
        <w:tc>
          <w:tcPr>
            <w:tcW w:w="900" w:type="dxa"/>
            <w:vAlign w:val="bottom"/>
            <w:tcBorders>
              <w:top w:val="single" w:sz="8" w:color="auto"/>
              <w:bottom w:val="single" w:sz="8" w:color="auto"/>
              <w:right w:val="single" w:sz="8" w:color="auto"/>
            </w:tcBorders>
          </w:tcPr>
          <w:p>
            <w:pPr>
              <w:spacing w:after="0"/>
              <w:rPr>
                <w:sz w:val="14"/>
                <w:szCs w:val="14"/>
                <w:color w:val="auto"/>
              </w:rPr>
            </w:pPr>
          </w:p>
        </w:tc>
        <w:tc>
          <w:tcPr>
            <w:tcW w:w="920" w:type="dxa"/>
            <w:vAlign w:val="bottom"/>
            <w:tcBorders>
              <w:top w:val="single" w:sz="8" w:color="auto"/>
              <w:bottom w:val="single" w:sz="8" w:color="auto"/>
            </w:tcBorders>
          </w:tcPr>
          <w:p>
            <w:pPr>
              <w:spacing w:after="0"/>
              <w:rPr>
                <w:sz w:val="14"/>
                <w:szCs w:val="14"/>
                <w:color w:val="auto"/>
              </w:rPr>
            </w:pPr>
          </w:p>
        </w:tc>
        <w:tc>
          <w:tcPr>
            <w:tcW w:w="780" w:type="dxa"/>
            <w:vAlign w:val="bottom"/>
            <w:tcBorders>
              <w:top w:val="single" w:sz="8" w:color="auto"/>
              <w:bottom w:val="single" w:sz="8" w:color="auto"/>
            </w:tcBorders>
          </w:tcPr>
          <w:p>
            <w:pPr>
              <w:spacing w:after="0"/>
              <w:rPr>
                <w:sz w:val="14"/>
                <w:szCs w:val="14"/>
                <w:color w:val="auto"/>
              </w:rPr>
            </w:pPr>
          </w:p>
        </w:tc>
        <w:tc>
          <w:tcPr>
            <w:tcW w:w="2240" w:type="dxa"/>
            <w:vAlign w:val="bottom"/>
            <w:tcBorders>
              <w:top w:val="single" w:sz="8" w:color="auto"/>
              <w:bottom w:val="single" w:sz="8" w:color="auto"/>
            </w:tcBorders>
            <w:gridSpan w:val="2"/>
          </w:tcPr>
          <w:p>
            <w:pPr>
              <w:jc w:val="right"/>
              <w:ind w:right="768"/>
              <w:spacing w:after="0"/>
              <w:rPr>
                <w:sz w:val="20"/>
                <w:szCs w:val="20"/>
                <w:color w:val="auto"/>
              </w:rPr>
            </w:pPr>
            <w:r>
              <w:rPr>
                <w:rFonts w:ascii="Arial" w:cs="Arial" w:eastAsia="Arial" w:hAnsi="Arial"/>
                <w:sz w:val="14"/>
                <w:szCs w:val="14"/>
                <w:color w:val="auto"/>
              </w:rPr>
              <w:t xml:space="preserve">Stock Awards </w:t>
            </w:r>
            <w:r>
              <w:rPr>
                <w:rFonts w:ascii="Arial" w:cs="Arial" w:eastAsia="Arial" w:hAnsi="Arial"/>
                <w:sz w:val="12"/>
                <w:szCs w:val="12"/>
                <w:color w:val="auto"/>
              </w:rPr>
              <w:t>(2)</w:t>
            </w:r>
          </w:p>
        </w:tc>
        <w:tc>
          <w:tcPr>
            <w:tcW w:w="1360" w:type="dxa"/>
            <w:vAlign w:val="bottom"/>
            <w:tcBorders>
              <w:top w:val="single" w:sz="8" w:color="auto"/>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23"/>
        </w:trPr>
        <w:tc>
          <w:tcPr>
            <w:tcW w:w="1720" w:type="dxa"/>
            <w:vAlign w:val="bottom"/>
            <w:tcBorders>
              <w:left w:val="single" w:sz="8" w:color="auto"/>
              <w:right w:val="single" w:sz="8" w:color="auto"/>
            </w:tcBorders>
          </w:tcPr>
          <w:p>
            <w:pPr>
              <w:ind w:left="760"/>
              <w:spacing w:after="0" w:line="123" w:lineRule="exact"/>
              <w:rPr>
                <w:sz w:val="20"/>
                <w:szCs w:val="20"/>
                <w:color w:val="auto"/>
              </w:rPr>
            </w:pPr>
            <w:r>
              <w:rPr>
                <w:rFonts w:ascii="Arial" w:cs="Arial" w:eastAsia="Arial" w:hAnsi="Arial"/>
                <w:sz w:val="14"/>
                <w:szCs w:val="14"/>
                <w:color w:val="auto"/>
              </w:rPr>
              <w:t>Name</w:t>
            </w:r>
          </w:p>
        </w:tc>
        <w:tc>
          <w:tcPr>
            <w:tcW w:w="900" w:type="dxa"/>
            <w:vAlign w:val="bottom"/>
            <w:tcBorders>
              <w:right w:val="single" w:sz="8" w:color="auto"/>
            </w:tcBorders>
          </w:tcPr>
          <w:p>
            <w:pPr>
              <w:jc w:val="right"/>
              <w:ind w:right="28"/>
              <w:spacing w:after="0" w:line="123" w:lineRule="exact"/>
              <w:rPr>
                <w:sz w:val="20"/>
                <w:szCs w:val="20"/>
                <w:color w:val="auto"/>
              </w:rPr>
            </w:pPr>
            <w:r>
              <w:rPr>
                <w:rFonts w:ascii="Arial" w:cs="Arial" w:eastAsia="Arial" w:hAnsi="Arial"/>
                <w:sz w:val="14"/>
                <w:szCs w:val="14"/>
                <w:color w:val="auto"/>
              </w:rPr>
              <w:t>Grant Date</w:t>
            </w:r>
          </w:p>
        </w:tc>
        <w:tc>
          <w:tcPr>
            <w:tcW w:w="80" w:type="dxa"/>
            <w:vAlign w:val="bottom"/>
          </w:tcPr>
          <w:p>
            <w:pPr>
              <w:spacing w:after="0"/>
              <w:rPr>
                <w:sz w:val="10"/>
                <w:szCs w:val="10"/>
                <w:color w:val="auto"/>
              </w:rPr>
            </w:pPr>
          </w:p>
        </w:tc>
        <w:tc>
          <w:tcPr>
            <w:tcW w:w="820" w:type="dxa"/>
            <w:vAlign w:val="bottom"/>
            <w:tcBorders>
              <w:right w:val="single" w:sz="8" w:color="auto"/>
            </w:tcBorders>
          </w:tcPr>
          <w:p>
            <w:pPr>
              <w:jc w:val="center"/>
              <w:spacing w:after="0" w:line="123" w:lineRule="exact"/>
              <w:rPr>
                <w:sz w:val="20"/>
                <w:szCs w:val="20"/>
                <w:color w:val="auto"/>
              </w:rPr>
            </w:pPr>
            <w:r>
              <w:rPr>
                <w:rFonts w:ascii="Arial" w:cs="Arial" w:eastAsia="Arial" w:hAnsi="Arial"/>
                <w:sz w:val="14"/>
                <w:szCs w:val="14"/>
                <w:color w:val="auto"/>
                <w:w w:val="94"/>
              </w:rPr>
              <w:t>Number of</w:t>
            </w:r>
          </w:p>
        </w:tc>
        <w:tc>
          <w:tcPr>
            <w:tcW w:w="100" w:type="dxa"/>
            <w:vAlign w:val="bottom"/>
          </w:tcPr>
          <w:p>
            <w:pPr>
              <w:spacing w:after="0"/>
              <w:rPr>
                <w:sz w:val="10"/>
                <w:szCs w:val="10"/>
                <w:color w:val="auto"/>
              </w:rPr>
            </w:pPr>
          </w:p>
        </w:tc>
        <w:tc>
          <w:tcPr>
            <w:tcW w:w="920" w:type="dxa"/>
            <w:vAlign w:val="bottom"/>
            <w:tcBorders>
              <w:right w:val="single" w:sz="8" w:color="auto"/>
            </w:tcBorders>
          </w:tcPr>
          <w:p>
            <w:pPr>
              <w:jc w:val="center"/>
              <w:spacing w:after="0" w:line="123" w:lineRule="exact"/>
              <w:rPr>
                <w:sz w:val="20"/>
                <w:szCs w:val="20"/>
                <w:color w:val="auto"/>
              </w:rPr>
            </w:pPr>
            <w:r>
              <w:rPr>
                <w:rFonts w:ascii="Arial" w:cs="Arial" w:eastAsia="Arial" w:hAnsi="Arial"/>
                <w:sz w:val="14"/>
                <w:szCs w:val="14"/>
                <w:color w:val="auto"/>
                <w:w w:val="94"/>
              </w:rPr>
              <w:t>Number of</w:t>
            </w:r>
          </w:p>
        </w:tc>
        <w:tc>
          <w:tcPr>
            <w:tcW w:w="700" w:type="dxa"/>
            <w:vAlign w:val="bottom"/>
            <w:tcBorders>
              <w:right w:val="single" w:sz="8" w:color="auto"/>
            </w:tcBorders>
          </w:tcPr>
          <w:p>
            <w:pPr>
              <w:jc w:val="center"/>
              <w:spacing w:after="0" w:line="123" w:lineRule="exact"/>
              <w:rPr>
                <w:sz w:val="20"/>
                <w:szCs w:val="20"/>
                <w:color w:val="auto"/>
              </w:rPr>
            </w:pPr>
            <w:r>
              <w:rPr>
                <w:rFonts w:ascii="Arial" w:cs="Arial" w:eastAsia="Arial" w:hAnsi="Arial"/>
                <w:sz w:val="14"/>
                <w:szCs w:val="14"/>
                <w:color w:val="auto"/>
                <w:w w:val="96"/>
              </w:rPr>
              <w:t>Option</w:t>
            </w:r>
          </w:p>
        </w:tc>
        <w:tc>
          <w:tcPr>
            <w:tcW w:w="900" w:type="dxa"/>
            <w:vAlign w:val="bottom"/>
            <w:tcBorders>
              <w:right w:val="single" w:sz="8" w:color="auto"/>
            </w:tcBorders>
          </w:tcPr>
          <w:p>
            <w:pPr>
              <w:jc w:val="center"/>
              <w:spacing w:after="0" w:line="123" w:lineRule="exact"/>
              <w:rPr>
                <w:sz w:val="20"/>
                <w:szCs w:val="20"/>
                <w:color w:val="auto"/>
              </w:rPr>
            </w:pPr>
            <w:r>
              <w:rPr>
                <w:rFonts w:ascii="Arial" w:cs="Arial" w:eastAsia="Arial" w:hAnsi="Arial"/>
                <w:sz w:val="14"/>
                <w:szCs w:val="14"/>
                <w:color w:val="auto"/>
                <w:w w:val="96"/>
              </w:rPr>
              <w:t>Option</w:t>
            </w:r>
          </w:p>
        </w:tc>
        <w:tc>
          <w:tcPr>
            <w:tcW w:w="920" w:type="dxa"/>
            <w:vAlign w:val="bottom"/>
            <w:tcBorders>
              <w:right w:val="single" w:sz="8" w:color="auto"/>
            </w:tcBorders>
          </w:tcPr>
          <w:p>
            <w:pPr>
              <w:jc w:val="right"/>
              <w:ind w:right="28"/>
              <w:spacing w:after="0" w:line="123" w:lineRule="exact"/>
              <w:rPr>
                <w:sz w:val="20"/>
                <w:szCs w:val="20"/>
                <w:color w:val="auto"/>
              </w:rPr>
            </w:pPr>
            <w:r>
              <w:rPr>
                <w:rFonts w:ascii="Arial" w:cs="Arial" w:eastAsia="Arial" w:hAnsi="Arial"/>
                <w:sz w:val="14"/>
                <w:szCs w:val="14"/>
                <w:color w:val="auto"/>
              </w:rPr>
              <w:t>Grant Date</w:t>
            </w:r>
          </w:p>
        </w:tc>
        <w:tc>
          <w:tcPr>
            <w:tcW w:w="780" w:type="dxa"/>
            <w:vAlign w:val="bottom"/>
            <w:tcBorders>
              <w:right w:val="single" w:sz="8" w:color="auto"/>
            </w:tcBorders>
          </w:tcPr>
          <w:p>
            <w:pPr>
              <w:jc w:val="right"/>
              <w:spacing w:after="0" w:line="123" w:lineRule="exact"/>
              <w:rPr>
                <w:sz w:val="20"/>
                <w:szCs w:val="20"/>
                <w:color w:val="auto"/>
              </w:rPr>
            </w:pPr>
            <w:r>
              <w:rPr>
                <w:rFonts w:ascii="Arial" w:cs="Arial" w:eastAsia="Arial" w:hAnsi="Arial"/>
                <w:sz w:val="14"/>
                <w:szCs w:val="14"/>
                <w:color w:val="auto"/>
              </w:rPr>
              <w:t>Number of</w:t>
            </w:r>
          </w:p>
        </w:tc>
        <w:tc>
          <w:tcPr>
            <w:tcW w:w="1000" w:type="dxa"/>
            <w:vAlign w:val="bottom"/>
            <w:tcBorders>
              <w:right w:val="single" w:sz="8" w:color="auto"/>
            </w:tcBorders>
          </w:tcPr>
          <w:p>
            <w:pPr>
              <w:jc w:val="center"/>
              <w:spacing w:after="0" w:line="123" w:lineRule="exact"/>
              <w:rPr>
                <w:sz w:val="20"/>
                <w:szCs w:val="20"/>
                <w:color w:val="auto"/>
              </w:rPr>
            </w:pPr>
            <w:r>
              <w:rPr>
                <w:rFonts w:ascii="Arial" w:cs="Arial" w:eastAsia="Arial" w:hAnsi="Arial"/>
                <w:sz w:val="14"/>
                <w:szCs w:val="14"/>
                <w:color w:val="auto"/>
                <w:w w:val="94"/>
              </w:rPr>
              <w:t>Market Value</w:t>
            </w:r>
          </w:p>
        </w:tc>
        <w:tc>
          <w:tcPr>
            <w:tcW w:w="1240" w:type="dxa"/>
            <w:vAlign w:val="bottom"/>
            <w:tcBorders>
              <w:right w:val="single" w:sz="8" w:color="auto"/>
            </w:tcBorders>
          </w:tcPr>
          <w:p>
            <w:pPr>
              <w:jc w:val="right"/>
              <w:ind w:right="48"/>
              <w:spacing w:after="0" w:line="123" w:lineRule="exact"/>
              <w:rPr>
                <w:sz w:val="20"/>
                <w:szCs w:val="20"/>
                <w:color w:val="auto"/>
              </w:rPr>
            </w:pPr>
            <w:r>
              <w:rPr>
                <w:rFonts w:ascii="Arial" w:cs="Arial" w:eastAsia="Arial" w:hAnsi="Arial"/>
                <w:sz w:val="14"/>
                <w:szCs w:val="14"/>
                <w:color w:val="auto"/>
              </w:rPr>
              <w:t>Equity Incentive</w:t>
            </w:r>
          </w:p>
        </w:tc>
        <w:tc>
          <w:tcPr>
            <w:tcW w:w="1360" w:type="dxa"/>
            <w:vAlign w:val="bottom"/>
            <w:tcBorders>
              <w:right w:val="single" w:sz="8" w:color="auto"/>
            </w:tcBorders>
          </w:tcPr>
          <w:p>
            <w:pPr>
              <w:jc w:val="center"/>
              <w:ind w:right="8"/>
              <w:spacing w:after="0" w:line="123" w:lineRule="exact"/>
              <w:rPr>
                <w:sz w:val="20"/>
                <w:szCs w:val="20"/>
                <w:color w:val="auto"/>
              </w:rPr>
            </w:pPr>
            <w:r>
              <w:rPr>
                <w:rFonts w:ascii="Arial" w:cs="Arial" w:eastAsia="Arial" w:hAnsi="Arial"/>
                <w:sz w:val="14"/>
                <w:szCs w:val="14"/>
                <w:color w:val="auto"/>
                <w:w w:val="97"/>
              </w:rPr>
              <w:t>Equity Incentive</w:t>
            </w:r>
          </w:p>
        </w:tc>
        <w:tc>
          <w:tcPr>
            <w:tcW w:w="0" w:type="dxa"/>
            <w:vAlign w:val="bottom"/>
          </w:tcPr>
          <w:p>
            <w:pPr>
              <w:spacing w:after="0"/>
              <w:rPr>
                <w:sz w:val="1"/>
                <w:szCs w:val="1"/>
                <w:color w:val="auto"/>
              </w:rPr>
            </w:pPr>
          </w:p>
        </w:tc>
      </w:tr>
      <w:tr>
        <w:trPr>
          <w:trHeight w:val="149"/>
        </w:trPr>
        <w:tc>
          <w:tcPr>
            <w:tcW w:w="1720" w:type="dxa"/>
            <w:vAlign w:val="bottom"/>
            <w:tcBorders>
              <w:left w:val="single" w:sz="8" w:color="auto"/>
              <w:right w:val="single" w:sz="8" w:color="auto"/>
            </w:tcBorders>
          </w:tcPr>
          <w:p>
            <w:pPr>
              <w:spacing w:after="0"/>
              <w:rPr>
                <w:sz w:val="12"/>
                <w:szCs w:val="12"/>
                <w:color w:val="auto"/>
              </w:rPr>
            </w:pPr>
          </w:p>
        </w:tc>
        <w:tc>
          <w:tcPr>
            <w:tcW w:w="900" w:type="dxa"/>
            <w:vAlign w:val="bottom"/>
            <w:tcBorders>
              <w:right w:val="single" w:sz="8" w:color="auto"/>
            </w:tcBorders>
          </w:tcPr>
          <w:p>
            <w:pPr>
              <w:spacing w:after="0"/>
              <w:rPr>
                <w:sz w:val="12"/>
                <w:szCs w:val="12"/>
                <w:color w:val="auto"/>
              </w:rPr>
            </w:pPr>
          </w:p>
        </w:tc>
        <w:tc>
          <w:tcPr>
            <w:tcW w:w="80" w:type="dxa"/>
            <w:vAlign w:val="bottom"/>
          </w:tcPr>
          <w:p>
            <w:pPr>
              <w:spacing w:after="0"/>
              <w:rPr>
                <w:sz w:val="12"/>
                <w:szCs w:val="12"/>
                <w:color w:val="auto"/>
              </w:rPr>
            </w:pPr>
          </w:p>
        </w:tc>
        <w:tc>
          <w:tcPr>
            <w:tcW w:w="820" w:type="dxa"/>
            <w:vAlign w:val="bottom"/>
            <w:tcBorders>
              <w:right w:val="single" w:sz="8" w:color="auto"/>
            </w:tcBorders>
          </w:tcPr>
          <w:p>
            <w:pPr>
              <w:jc w:val="center"/>
              <w:spacing w:after="0" w:line="149" w:lineRule="exact"/>
              <w:rPr>
                <w:sz w:val="20"/>
                <w:szCs w:val="20"/>
                <w:color w:val="auto"/>
              </w:rPr>
            </w:pPr>
            <w:r>
              <w:rPr>
                <w:rFonts w:ascii="Arial" w:cs="Arial" w:eastAsia="Arial" w:hAnsi="Arial"/>
                <w:sz w:val="14"/>
                <w:szCs w:val="14"/>
                <w:color w:val="auto"/>
                <w:w w:val="94"/>
              </w:rPr>
              <w:t>Securities</w:t>
            </w:r>
          </w:p>
        </w:tc>
        <w:tc>
          <w:tcPr>
            <w:tcW w:w="100" w:type="dxa"/>
            <w:vAlign w:val="bottom"/>
          </w:tcPr>
          <w:p>
            <w:pPr>
              <w:spacing w:after="0"/>
              <w:rPr>
                <w:sz w:val="12"/>
                <w:szCs w:val="12"/>
                <w:color w:val="auto"/>
              </w:rPr>
            </w:pPr>
          </w:p>
        </w:tc>
        <w:tc>
          <w:tcPr>
            <w:tcW w:w="920" w:type="dxa"/>
            <w:vAlign w:val="bottom"/>
            <w:tcBorders>
              <w:right w:val="single" w:sz="8" w:color="auto"/>
            </w:tcBorders>
          </w:tcPr>
          <w:p>
            <w:pPr>
              <w:jc w:val="center"/>
              <w:spacing w:after="0" w:line="149" w:lineRule="exact"/>
              <w:rPr>
                <w:sz w:val="20"/>
                <w:szCs w:val="20"/>
                <w:color w:val="auto"/>
              </w:rPr>
            </w:pPr>
            <w:r>
              <w:rPr>
                <w:rFonts w:ascii="Arial" w:cs="Arial" w:eastAsia="Arial" w:hAnsi="Arial"/>
                <w:sz w:val="14"/>
                <w:szCs w:val="14"/>
                <w:color w:val="auto"/>
                <w:w w:val="94"/>
              </w:rPr>
              <w:t>Securities</w:t>
            </w:r>
          </w:p>
        </w:tc>
        <w:tc>
          <w:tcPr>
            <w:tcW w:w="700" w:type="dxa"/>
            <w:vAlign w:val="bottom"/>
            <w:tcBorders>
              <w:right w:val="single" w:sz="8" w:color="auto"/>
            </w:tcBorders>
          </w:tcPr>
          <w:p>
            <w:pPr>
              <w:jc w:val="center"/>
              <w:spacing w:after="0" w:line="149" w:lineRule="exact"/>
              <w:rPr>
                <w:sz w:val="20"/>
                <w:szCs w:val="20"/>
                <w:color w:val="auto"/>
              </w:rPr>
            </w:pPr>
            <w:r>
              <w:rPr>
                <w:rFonts w:ascii="Arial" w:cs="Arial" w:eastAsia="Arial" w:hAnsi="Arial"/>
                <w:sz w:val="14"/>
                <w:szCs w:val="14"/>
                <w:color w:val="auto"/>
                <w:w w:val="93"/>
              </w:rPr>
              <w:t>Exercise</w:t>
            </w:r>
          </w:p>
        </w:tc>
        <w:tc>
          <w:tcPr>
            <w:tcW w:w="900" w:type="dxa"/>
            <w:vAlign w:val="bottom"/>
            <w:tcBorders>
              <w:right w:val="single" w:sz="8" w:color="auto"/>
            </w:tcBorders>
          </w:tcPr>
          <w:p>
            <w:pPr>
              <w:ind w:left="180"/>
              <w:spacing w:after="0" w:line="149" w:lineRule="exact"/>
              <w:rPr>
                <w:sz w:val="20"/>
                <w:szCs w:val="20"/>
                <w:color w:val="auto"/>
              </w:rPr>
            </w:pPr>
            <w:r>
              <w:rPr>
                <w:rFonts w:ascii="Arial" w:cs="Arial" w:eastAsia="Arial" w:hAnsi="Arial"/>
                <w:sz w:val="14"/>
                <w:szCs w:val="14"/>
                <w:color w:val="auto"/>
              </w:rPr>
              <w:t>Expiration</w:t>
            </w:r>
          </w:p>
        </w:tc>
        <w:tc>
          <w:tcPr>
            <w:tcW w:w="920" w:type="dxa"/>
            <w:vAlign w:val="bottom"/>
            <w:tcBorders>
              <w:right w:val="single" w:sz="8" w:color="auto"/>
            </w:tcBorders>
          </w:tcPr>
          <w:p>
            <w:pPr>
              <w:spacing w:after="0"/>
              <w:rPr>
                <w:sz w:val="12"/>
                <w:szCs w:val="12"/>
                <w:color w:val="auto"/>
              </w:rPr>
            </w:pPr>
          </w:p>
        </w:tc>
        <w:tc>
          <w:tcPr>
            <w:tcW w:w="780" w:type="dxa"/>
            <w:vAlign w:val="bottom"/>
            <w:tcBorders>
              <w:right w:val="single" w:sz="8" w:color="auto"/>
            </w:tcBorders>
          </w:tcPr>
          <w:p>
            <w:pPr>
              <w:jc w:val="center"/>
              <w:spacing w:after="0" w:line="149" w:lineRule="exact"/>
              <w:rPr>
                <w:sz w:val="20"/>
                <w:szCs w:val="20"/>
                <w:color w:val="auto"/>
              </w:rPr>
            </w:pPr>
            <w:r>
              <w:rPr>
                <w:rFonts w:ascii="Arial" w:cs="Arial" w:eastAsia="Arial" w:hAnsi="Arial"/>
                <w:sz w:val="14"/>
                <w:szCs w:val="14"/>
                <w:color w:val="auto"/>
                <w:w w:val="88"/>
              </w:rPr>
              <w:t>Shares or</w:t>
            </w:r>
          </w:p>
        </w:tc>
        <w:tc>
          <w:tcPr>
            <w:tcW w:w="1000" w:type="dxa"/>
            <w:vAlign w:val="bottom"/>
            <w:tcBorders>
              <w:right w:val="single" w:sz="8" w:color="auto"/>
            </w:tcBorders>
          </w:tcPr>
          <w:p>
            <w:pPr>
              <w:jc w:val="center"/>
              <w:spacing w:after="0" w:line="149" w:lineRule="exact"/>
              <w:rPr>
                <w:sz w:val="20"/>
                <w:szCs w:val="20"/>
                <w:color w:val="auto"/>
              </w:rPr>
            </w:pPr>
            <w:r>
              <w:rPr>
                <w:rFonts w:ascii="Arial" w:cs="Arial" w:eastAsia="Arial" w:hAnsi="Arial"/>
                <w:sz w:val="14"/>
                <w:szCs w:val="14"/>
                <w:color w:val="auto"/>
                <w:w w:val="91"/>
              </w:rPr>
              <w:t>of Shares or</w:t>
            </w:r>
          </w:p>
        </w:tc>
        <w:tc>
          <w:tcPr>
            <w:tcW w:w="1240" w:type="dxa"/>
            <w:vAlign w:val="bottom"/>
            <w:tcBorders>
              <w:right w:val="single" w:sz="8" w:color="auto"/>
            </w:tcBorders>
          </w:tcPr>
          <w:p>
            <w:pPr>
              <w:jc w:val="center"/>
              <w:ind w:left="8"/>
              <w:spacing w:after="0" w:line="149" w:lineRule="exact"/>
              <w:rPr>
                <w:sz w:val="20"/>
                <w:szCs w:val="20"/>
                <w:color w:val="auto"/>
              </w:rPr>
            </w:pPr>
            <w:r>
              <w:rPr>
                <w:rFonts w:ascii="Arial" w:cs="Arial" w:eastAsia="Arial" w:hAnsi="Arial"/>
                <w:sz w:val="14"/>
                <w:szCs w:val="14"/>
                <w:color w:val="auto"/>
                <w:w w:val="92"/>
              </w:rPr>
              <w:t>Plan Awards:</w:t>
            </w:r>
          </w:p>
        </w:tc>
        <w:tc>
          <w:tcPr>
            <w:tcW w:w="1360" w:type="dxa"/>
            <w:vAlign w:val="bottom"/>
            <w:tcBorders>
              <w:right w:val="single" w:sz="8" w:color="auto"/>
            </w:tcBorders>
          </w:tcPr>
          <w:p>
            <w:pPr>
              <w:jc w:val="center"/>
              <w:ind w:right="8"/>
              <w:spacing w:after="0" w:line="149" w:lineRule="exact"/>
              <w:rPr>
                <w:sz w:val="20"/>
                <w:szCs w:val="20"/>
                <w:color w:val="auto"/>
              </w:rPr>
            </w:pPr>
            <w:r>
              <w:rPr>
                <w:rFonts w:ascii="Arial" w:cs="Arial" w:eastAsia="Arial" w:hAnsi="Arial"/>
                <w:sz w:val="14"/>
                <w:szCs w:val="14"/>
                <w:color w:val="auto"/>
                <w:w w:val="92"/>
              </w:rPr>
              <w:t>Plan Awards:</w:t>
            </w:r>
          </w:p>
        </w:tc>
        <w:tc>
          <w:tcPr>
            <w:tcW w:w="0" w:type="dxa"/>
            <w:vAlign w:val="bottom"/>
          </w:tcPr>
          <w:p>
            <w:pPr>
              <w:spacing w:after="0"/>
              <w:rPr>
                <w:sz w:val="1"/>
                <w:szCs w:val="1"/>
                <w:color w:val="auto"/>
              </w:rPr>
            </w:pPr>
          </w:p>
        </w:tc>
      </w:tr>
      <w:tr>
        <w:trPr>
          <w:trHeight w:val="149"/>
        </w:trPr>
        <w:tc>
          <w:tcPr>
            <w:tcW w:w="1720" w:type="dxa"/>
            <w:vAlign w:val="bottom"/>
            <w:tcBorders>
              <w:left w:val="single" w:sz="8" w:color="auto"/>
              <w:right w:val="single" w:sz="8" w:color="auto"/>
            </w:tcBorders>
          </w:tcPr>
          <w:p>
            <w:pPr>
              <w:spacing w:after="0"/>
              <w:rPr>
                <w:sz w:val="12"/>
                <w:szCs w:val="12"/>
                <w:color w:val="auto"/>
              </w:rPr>
            </w:pPr>
          </w:p>
        </w:tc>
        <w:tc>
          <w:tcPr>
            <w:tcW w:w="900" w:type="dxa"/>
            <w:vAlign w:val="bottom"/>
            <w:tcBorders>
              <w:right w:val="single" w:sz="8" w:color="auto"/>
            </w:tcBorders>
          </w:tcPr>
          <w:p>
            <w:pPr>
              <w:spacing w:after="0"/>
              <w:rPr>
                <w:sz w:val="12"/>
                <w:szCs w:val="12"/>
                <w:color w:val="auto"/>
              </w:rPr>
            </w:pPr>
          </w:p>
        </w:tc>
        <w:tc>
          <w:tcPr>
            <w:tcW w:w="80" w:type="dxa"/>
            <w:vAlign w:val="bottom"/>
          </w:tcPr>
          <w:p>
            <w:pPr>
              <w:spacing w:after="0"/>
              <w:rPr>
                <w:sz w:val="12"/>
                <w:szCs w:val="12"/>
                <w:color w:val="auto"/>
              </w:rPr>
            </w:pPr>
          </w:p>
        </w:tc>
        <w:tc>
          <w:tcPr>
            <w:tcW w:w="820" w:type="dxa"/>
            <w:vAlign w:val="bottom"/>
            <w:tcBorders>
              <w:right w:val="single" w:sz="8" w:color="auto"/>
            </w:tcBorders>
          </w:tcPr>
          <w:p>
            <w:pPr>
              <w:jc w:val="center"/>
              <w:spacing w:after="0" w:line="149" w:lineRule="exact"/>
              <w:rPr>
                <w:sz w:val="20"/>
                <w:szCs w:val="20"/>
                <w:color w:val="auto"/>
              </w:rPr>
            </w:pPr>
            <w:r>
              <w:rPr>
                <w:rFonts w:ascii="Arial" w:cs="Arial" w:eastAsia="Arial" w:hAnsi="Arial"/>
                <w:sz w:val="14"/>
                <w:szCs w:val="14"/>
                <w:color w:val="auto"/>
                <w:w w:val="98"/>
              </w:rPr>
              <w:t>Underlying</w:t>
            </w:r>
          </w:p>
        </w:tc>
        <w:tc>
          <w:tcPr>
            <w:tcW w:w="100" w:type="dxa"/>
            <w:vAlign w:val="bottom"/>
          </w:tcPr>
          <w:p>
            <w:pPr>
              <w:spacing w:after="0"/>
              <w:rPr>
                <w:sz w:val="12"/>
                <w:szCs w:val="12"/>
                <w:color w:val="auto"/>
              </w:rPr>
            </w:pPr>
          </w:p>
        </w:tc>
        <w:tc>
          <w:tcPr>
            <w:tcW w:w="920" w:type="dxa"/>
            <w:vAlign w:val="bottom"/>
            <w:tcBorders>
              <w:right w:val="single" w:sz="8" w:color="auto"/>
            </w:tcBorders>
          </w:tcPr>
          <w:p>
            <w:pPr>
              <w:jc w:val="center"/>
              <w:spacing w:after="0" w:line="149" w:lineRule="exact"/>
              <w:rPr>
                <w:sz w:val="20"/>
                <w:szCs w:val="20"/>
                <w:color w:val="auto"/>
              </w:rPr>
            </w:pPr>
            <w:r>
              <w:rPr>
                <w:rFonts w:ascii="Arial" w:cs="Arial" w:eastAsia="Arial" w:hAnsi="Arial"/>
                <w:sz w:val="14"/>
                <w:szCs w:val="14"/>
                <w:color w:val="auto"/>
                <w:w w:val="98"/>
              </w:rPr>
              <w:t>Underlying</w:t>
            </w:r>
          </w:p>
        </w:tc>
        <w:tc>
          <w:tcPr>
            <w:tcW w:w="700" w:type="dxa"/>
            <w:vAlign w:val="bottom"/>
            <w:tcBorders>
              <w:right w:val="single" w:sz="8" w:color="auto"/>
            </w:tcBorders>
          </w:tcPr>
          <w:p>
            <w:pPr>
              <w:jc w:val="center"/>
              <w:spacing w:after="0" w:line="149" w:lineRule="exact"/>
              <w:rPr>
                <w:sz w:val="20"/>
                <w:szCs w:val="20"/>
                <w:color w:val="auto"/>
              </w:rPr>
            </w:pPr>
            <w:r>
              <w:rPr>
                <w:rFonts w:ascii="Arial" w:cs="Arial" w:eastAsia="Arial" w:hAnsi="Arial"/>
                <w:sz w:val="14"/>
                <w:szCs w:val="14"/>
                <w:color w:val="auto"/>
                <w:w w:val="93"/>
              </w:rPr>
              <w:t>Price</w:t>
            </w:r>
          </w:p>
        </w:tc>
        <w:tc>
          <w:tcPr>
            <w:tcW w:w="900" w:type="dxa"/>
            <w:vAlign w:val="bottom"/>
            <w:tcBorders>
              <w:right w:val="single" w:sz="8" w:color="auto"/>
            </w:tcBorders>
          </w:tcPr>
          <w:p>
            <w:pPr>
              <w:jc w:val="center"/>
              <w:ind w:left="8"/>
              <w:spacing w:after="0" w:line="149" w:lineRule="exact"/>
              <w:rPr>
                <w:sz w:val="20"/>
                <w:szCs w:val="20"/>
                <w:color w:val="auto"/>
              </w:rPr>
            </w:pPr>
            <w:r>
              <w:rPr>
                <w:rFonts w:ascii="Arial" w:cs="Arial" w:eastAsia="Arial" w:hAnsi="Arial"/>
                <w:sz w:val="14"/>
                <w:szCs w:val="14"/>
                <w:color w:val="auto"/>
                <w:w w:val="87"/>
              </w:rPr>
              <w:t>Date</w:t>
            </w:r>
          </w:p>
        </w:tc>
        <w:tc>
          <w:tcPr>
            <w:tcW w:w="920" w:type="dxa"/>
            <w:vAlign w:val="bottom"/>
            <w:tcBorders>
              <w:right w:val="single" w:sz="8" w:color="auto"/>
            </w:tcBorders>
          </w:tcPr>
          <w:p>
            <w:pPr>
              <w:spacing w:after="0"/>
              <w:rPr>
                <w:sz w:val="12"/>
                <w:szCs w:val="12"/>
                <w:color w:val="auto"/>
              </w:rPr>
            </w:pPr>
          </w:p>
        </w:tc>
        <w:tc>
          <w:tcPr>
            <w:tcW w:w="780" w:type="dxa"/>
            <w:vAlign w:val="bottom"/>
            <w:tcBorders>
              <w:right w:val="single" w:sz="8" w:color="auto"/>
            </w:tcBorders>
          </w:tcPr>
          <w:p>
            <w:pPr>
              <w:jc w:val="center"/>
              <w:spacing w:after="0" w:line="149" w:lineRule="exact"/>
              <w:rPr>
                <w:sz w:val="20"/>
                <w:szCs w:val="20"/>
                <w:color w:val="auto"/>
              </w:rPr>
            </w:pPr>
            <w:r>
              <w:rPr>
                <w:rFonts w:ascii="Arial" w:cs="Arial" w:eastAsia="Arial" w:hAnsi="Arial"/>
                <w:sz w:val="14"/>
                <w:szCs w:val="14"/>
                <w:color w:val="auto"/>
              </w:rPr>
              <w:t>Units of</w:t>
            </w:r>
          </w:p>
        </w:tc>
        <w:tc>
          <w:tcPr>
            <w:tcW w:w="1000" w:type="dxa"/>
            <w:vAlign w:val="bottom"/>
            <w:tcBorders>
              <w:right w:val="single" w:sz="8" w:color="auto"/>
            </w:tcBorders>
          </w:tcPr>
          <w:p>
            <w:pPr>
              <w:jc w:val="right"/>
              <w:spacing w:after="0" w:line="149" w:lineRule="exact"/>
              <w:rPr>
                <w:sz w:val="20"/>
                <w:szCs w:val="20"/>
                <w:color w:val="auto"/>
              </w:rPr>
            </w:pPr>
            <w:r>
              <w:rPr>
                <w:rFonts w:ascii="Arial" w:cs="Arial" w:eastAsia="Arial" w:hAnsi="Arial"/>
                <w:sz w:val="14"/>
                <w:szCs w:val="14"/>
                <w:color w:val="auto"/>
              </w:rPr>
              <w:t>Units of Stock</w:t>
            </w:r>
          </w:p>
        </w:tc>
        <w:tc>
          <w:tcPr>
            <w:tcW w:w="1240" w:type="dxa"/>
            <w:vAlign w:val="bottom"/>
            <w:tcBorders>
              <w:right w:val="single" w:sz="8" w:color="auto"/>
            </w:tcBorders>
          </w:tcPr>
          <w:p>
            <w:pPr>
              <w:jc w:val="center"/>
              <w:ind w:left="8"/>
              <w:spacing w:after="0" w:line="149" w:lineRule="exact"/>
              <w:rPr>
                <w:sz w:val="20"/>
                <w:szCs w:val="20"/>
                <w:color w:val="auto"/>
              </w:rPr>
            </w:pPr>
            <w:r>
              <w:rPr>
                <w:rFonts w:ascii="Arial" w:cs="Arial" w:eastAsia="Arial" w:hAnsi="Arial"/>
                <w:sz w:val="14"/>
                <w:szCs w:val="14"/>
                <w:color w:val="auto"/>
                <w:w w:val="97"/>
              </w:rPr>
              <w:t>Number of</w:t>
            </w:r>
          </w:p>
        </w:tc>
        <w:tc>
          <w:tcPr>
            <w:tcW w:w="1360" w:type="dxa"/>
            <w:vAlign w:val="bottom"/>
            <w:tcBorders>
              <w:right w:val="single" w:sz="8" w:color="auto"/>
            </w:tcBorders>
          </w:tcPr>
          <w:p>
            <w:pPr>
              <w:jc w:val="center"/>
              <w:spacing w:after="0" w:line="149" w:lineRule="exact"/>
              <w:rPr>
                <w:sz w:val="20"/>
                <w:szCs w:val="20"/>
                <w:color w:val="auto"/>
              </w:rPr>
            </w:pPr>
            <w:r>
              <w:rPr>
                <w:rFonts w:ascii="Arial" w:cs="Arial" w:eastAsia="Arial" w:hAnsi="Arial"/>
                <w:sz w:val="14"/>
                <w:szCs w:val="14"/>
                <w:color w:val="auto"/>
                <w:w w:val="95"/>
              </w:rPr>
              <w:t>Market or Payout</w:t>
            </w:r>
          </w:p>
        </w:tc>
        <w:tc>
          <w:tcPr>
            <w:tcW w:w="0" w:type="dxa"/>
            <w:vAlign w:val="bottom"/>
          </w:tcPr>
          <w:p>
            <w:pPr>
              <w:spacing w:after="0"/>
              <w:rPr>
                <w:sz w:val="1"/>
                <w:szCs w:val="1"/>
                <w:color w:val="auto"/>
              </w:rPr>
            </w:pPr>
          </w:p>
        </w:tc>
      </w:tr>
      <w:tr>
        <w:trPr>
          <w:trHeight w:val="149"/>
        </w:trPr>
        <w:tc>
          <w:tcPr>
            <w:tcW w:w="1720" w:type="dxa"/>
            <w:vAlign w:val="bottom"/>
            <w:tcBorders>
              <w:left w:val="single" w:sz="8" w:color="auto"/>
              <w:right w:val="single" w:sz="8" w:color="auto"/>
            </w:tcBorders>
          </w:tcPr>
          <w:p>
            <w:pPr>
              <w:spacing w:after="0"/>
              <w:rPr>
                <w:sz w:val="12"/>
                <w:szCs w:val="12"/>
                <w:color w:val="auto"/>
              </w:rPr>
            </w:pPr>
          </w:p>
        </w:tc>
        <w:tc>
          <w:tcPr>
            <w:tcW w:w="900" w:type="dxa"/>
            <w:vAlign w:val="bottom"/>
            <w:tcBorders>
              <w:right w:val="single" w:sz="8" w:color="auto"/>
            </w:tcBorders>
          </w:tcPr>
          <w:p>
            <w:pPr>
              <w:spacing w:after="0"/>
              <w:rPr>
                <w:sz w:val="12"/>
                <w:szCs w:val="12"/>
                <w:color w:val="auto"/>
              </w:rPr>
            </w:pPr>
          </w:p>
        </w:tc>
        <w:tc>
          <w:tcPr>
            <w:tcW w:w="80" w:type="dxa"/>
            <w:vAlign w:val="bottom"/>
          </w:tcPr>
          <w:p>
            <w:pPr>
              <w:spacing w:after="0"/>
              <w:rPr>
                <w:sz w:val="12"/>
                <w:szCs w:val="12"/>
                <w:color w:val="auto"/>
              </w:rPr>
            </w:pPr>
          </w:p>
        </w:tc>
        <w:tc>
          <w:tcPr>
            <w:tcW w:w="820" w:type="dxa"/>
            <w:vAlign w:val="bottom"/>
            <w:tcBorders>
              <w:right w:val="single" w:sz="8" w:color="auto"/>
            </w:tcBorders>
          </w:tcPr>
          <w:p>
            <w:pPr>
              <w:jc w:val="right"/>
              <w:ind w:right="8"/>
              <w:spacing w:after="0" w:line="149" w:lineRule="exact"/>
              <w:rPr>
                <w:sz w:val="20"/>
                <w:szCs w:val="20"/>
                <w:color w:val="auto"/>
              </w:rPr>
            </w:pPr>
            <w:r>
              <w:rPr>
                <w:rFonts w:ascii="Arial" w:cs="Arial" w:eastAsia="Arial" w:hAnsi="Arial"/>
                <w:sz w:val="14"/>
                <w:szCs w:val="14"/>
                <w:color w:val="auto"/>
                <w:w w:val="92"/>
              </w:rPr>
              <w:t>Unexercised</w:t>
            </w:r>
          </w:p>
        </w:tc>
        <w:tc>
          <w:tcPr>
            <w:tcW w:w="100" w:type="dxa"/>
            <w:vAlign w:val="bottom"/>
          </w:tcPr>
          <w:p>
            <w:pPr>
              <w:spacing w:after="0"/>
              <w:rPr>
                <w:sz w:val="12"/>
                <w:szCs w:val="12"/>
                <w:color w:val="auto"/>
              </w:rPr>
            </w:pPr>
          </w:p>
        </w:tc>
        <w:tc>
          <w:tcPr>
            <w:tcW w:w="920" w:type="dxa"/>
            <w:vAlign w:val="bottom"/>
            <w:tcBorders>
              <w:right w:val="single" w:sz="8" w:color="auto"/>
            </w:tcBorders>
          </w:tcPr>
          <w:p>
            <w:pPr>
              <w:jc w:val="center"/>
              <w:spacing w:after="0" w:line="149" w:lineRule="exact"/>
              <w:rPr>
                <w:sz w:val="20"/>
                <w:szCs w:val="20"/>
                <w:color w:val="auto"/>
              </w:rPr>
            </w:pPr>
            <w:r>
              <w:rPr>
                <w:rFonts w:ascii="Arial" w:cs="Arial" w:eastAsia="Arial" w:hAnsi="Arial"/>
                <w:sz w:val="14"/>
                <w:szCs w:val="14"/>
                <w:color w:val="auto"/>
                <w:w w:val="92"/>
              </w:rPr>
              <w:t>Unexercised</w:t>
            </w:r>
          </w:p>
        </w:tc>
        <w:tc>
          <w:tcPr>
            <w:tcW w:w="700" w:type="dxa"/>
            <w:vAlign w:val="bottom"/>
            <w:tcBorders>
              <w:right w:val="single" w:sz="8" w:color="auto"/>
            </w:tcBorders>
          </w:tcPr>
          <w:p>
            <w:pPr>
              <w:jc w:val="right"/>
              <w:ind w:right="28"/>
              <w:spacing w:after="0" w:line="149" w:lineRule="exact"/>
              <w:rPr>
                <w:sz w:val="20"/>
                <w:szCs w:val="20"/>
                <w:color w:val="auto"/>
              </w:rPr>
            </w:pPr>
            <w:r>
              <w:rPr>
                <w:rFonts w:ascii="Arial" w:cs="Arial" w:eastAsia="Arial" w:hAnsi="Arial"/>
                <w:sz w:val="14"/>
                <w:szCs w:val="14"/>
                <w:color w:val="auto"/>
              </w:rPr>
              <w:t>($/share)</w:t>
            </w:r>
          </w:p>
        </w:tc>
        <w:tc>
          <w:tcPr>
            <w:tcW w:w="900" w:type="dxa"/>
            <w:vAlign w:val="bottom"/>
            <w:tcBorders>
              <w:right w:val="single" w:sz="8" w:color="auto"/>
            </w:tcBorders>
          </w:tcPr>
          <w:p>
            <w:pPr>
              <w:spacing w:after="0"/>
              <w:rPr>
                <w:sz w:val="12"/>
                <w:szCs w:val="12"/>
                <w:color w:val="auto"/>
              </w:rPr>
            </w:pPr>
          </w:p>
        </w:tc>
        <w:tc>
          <w:tcPr>
            <w:tcW w:w="920" w:type="dxa"/>
            <w:vAlign w:val="bottom"/>
            <w:tcBorders>
              <w:right w:val="single" w:sz="8" w:color="auto"/>
            </w:tcBorders>
          </w:tcPr>
          <w:p>
            <w:pPr>
              <w:spacing w:after="0"/>
              <w:rPr>
                <w:sz w:val="12"/>
                <w:szCs w:val="12"/>
                <w:color w:val="auto"/>
              </w:rPr>
            </w:pPr>
          </w:p>
        </w:tc>
        <w:tc>
          <w:tcPr>
            <w:tcW w:w="780" w:type="dxa"/>
            <w:vAlign w:val="bottom"/>
            <w:tcBorders>
              <w:right w:val="single" w:sz="8" w:color="auto"/>
            </w:tcBorders>
          </w:tcPr>
          <w:p>
            <w:pPr>
              <w:jc w:val="right"/>
              <w:spacing w:after="0" w:line="149" w:lineRule="exact"/>
              <w:rPr>
                <w:sz w:val="20"/>
                <w:szCs w:val="20"/>
                <w:color w:val="auto"/>
              </w:rPr>
            </w:pPr>
            <w:r>
              <w:rPr>
                <w:rFonts w:ascii="Arial" w:cs="Arial" w:eastAsia="Arial" w:hAnsi="Arial"/>
                <w:sz w:val="14"/>
                <w:szCs w:val="14"/>
                <w:color w:val="auto"/>
              </w:rPr>
              <w:t>Stock That</w:t>
            </w:r>
          </w:p>
        </w:tc>
        <w:tc>
          <w:tcPr>
            <w:tcW w:w="1000" w:type="dxa"/>
            <w:vAlign w:val="bottom"/>
            <w:tcBorders>
              <w:right w:val="single" w:sz="8" w:color="auto"/>
            </w:tcBorders>
          </w:tcPr>
          <w:p>
            <w:pPr>
              <w:jc w:val="center"/>
              <w:ind w:left="8"/>
              <w:spacing w:after="0" w:line="149" w:lineRule="exact"/>
              <w:rPr>
                <w:sz w:val="20"/>
                <w:szCs w:val="20"/>
                <w:color w:val="auto"/>
              </w:rPr>
            </w:pPr>
            <w:r>
              <w:rPr>
                <w:rFonts w:ascii="Arial" w:cs="Arial" w:eastAsia="Arial" w:hAnsi="Arial"/>
                <w:sz w:val="14"/>
                <w:szCs w:val="14"/>
                <w:color w:val="auto"/>
                <w:w w:val="92"/>
              </w:rPr>
              <w:t>That Have</w:t>
            </w:r>
          </w:p>
        </w:tc>
        <w:tc>
          <w:tcPr>
            <w:tcW w:w="1240" w:type="dxa"/>
            <w:vAlign w:val="bottom"/>
            <w:tcBorders>
              <w:right w:val="single" w:sz="8" w:color="auto"/>
            </w:tcBorders>
          </w:tcPr>
          <w:p>
            <w:pPr>
              <w:jc w:val="center"/>
              <w:ind w:left="8"/>
              <w:spacing w:after="0" w:line="149" w:lineRule="exact"/>
              <w:rPr>
                <w:sz w:val="20"/>
                <w:szCs w:val="20"/>
                <w:color w:val="auto"/>
              </w:rPr>
            </w:pPr>
            <w:r>
              <w:rPr>
                <w:rFonts w:ascii="Arial" w:cs="Arial" w:eastAsia="Arial" w:hAnsi="Arial"/>
                <w:sz w:val="14"/>
                <w:szCs w:val="14"/>
                <w:color w:val="auto"/>
                <w:w w:val="91"/>
              </w:rPr>
              <w:t>Unearned</w:t>
            </w:r>
          </w:p>
        </w:tc>
        <w:tc>
          <w:tcPr>
            <w:tcW w:w="1360" w:type="dxa"/>
            <w:vAlign w:val="bottom"/>
            <w:tcBorders>
              <w:right w:val="single" w:sz="8" w:color="auto"/>
            </w:tcBorders>
          </w:tcPr>
          <w:p>
            <w:pPr>
              <w:jc w:val="center"/>
              <w:ind w:right="8"/>
              <w:spacing w:after="0" w:line="149" w:lineRule="exact"/>
              <w:rPr>
                <w:sz w:val="20"/>
                <w:szCs w:val="20"/>
                <w:color w:val="auto"/>
              </w:rPr>
            </w:pPr>
            <w:r>
              <w:rPr>
                <w:rFonts w:ascii="Arial" w:cs="Arial" w:eastAsia="Arial" w:hAnsi="Arial"/>
                <w:sz w:val="14"/>
                <w:szCs w:val="14"/>
                <w:color w:val="auto"/>
                <w:w w:val="92"/>
              </w:rPr>
              <w:t>Value of Unearned</w:t>
            </w:r>
          </w:p>
        </w:tc>
        <w:tc>
          <w:tcPr>
            <w:tcW w:w="0" w:type="dxa"/>
            <w:vAlign w:val="bottom"/>
          </w:tcPr>
          <w:p>
            <w:pPr>
              <w:spacing w:after="0"/>
              <w:rPr>
                <w:sz w:val="1"/>
                <w:szCs w:val="1"/>
                <w:color w:val="auto"/>
              </w:rPr>
            </w:pPr>
          </w:p>
        </w:tc>
      </w:tr>
      <w:tr>
        <w:trPr>
          <w:trHeight w:val="149"/>
        </w:trPr>
        <w:tc>
          <w:tcPr>
            <w:tcW w:w="1720" w:type="dxa"/>
            <w:vAlign w:val="bottom"/>
            <w:tcBorders>
              <w:left w:val="single" w:sz="8" w:color="auto"/>
              <w:right w:val="single" w:sz="8" w:color="auto"/>
            </w:tcBorders>
          </w:tcPr>
          <w:p>
            <w:pPr>
              <w:spacing w:after="0"/>
              <w:rPr>
                <w:sz w:val="12"/>
                <w:szCs w:val="12"/>
                <w:color w:val="auto"/>
              </w:rPr>
            </w:pPr>
          </w:p>
        </w:tc>
        <w:tc>
          <w:tcPr>
            <w:tcW w:w="900" w:type="dxa"/>
            <w:vAlign w:val="bottom"/>
            <w:tcBorders>
              <w:right w:val="single" w:sz="8" w:color="auto"/>
            </w:tcBorders>
          </w:tcPr>
          <w:p>
            <w:pPr>
              <w:spacing w:after="0"/>
              <w:rPr>
                <w:sz w:val="12"/>
                <w:szCs w:val="12"/>
                <w:color w:val="auto"/>
              </w:rPr>
            </w:pPr>
          </w:p>
        </w:tc>
        <w:tc>
          <w:tcPr>
            <w:tcW w:w="80" w:type="dxa"/>
            <w:vAlign w:val="bottom"/>
          </w:tcPr>
          <w:p>
            <w:pPr>
              <w:spacing w:after="0"/>
              <w:rPr>
                <w:sz w:val="12"/>
                <w:szCs w:val="12"/>
                <w:color w:val="auto"/>
              </w:rPr>
            </w:pPr>
          </w:p>
        </w:tc>
        <w:tc>
          <w:tcPr>
            <w:tcW w:w="820" w:type="dxa"/>
            <w:vAlign w:val="bottom"/>
            <w:tcBorders>
              <w:right w:val="single" w:sz="8" w:color="auto"/>
            </w:tcBorders>
          </w:tcPr>
          <w:p>
            <w:pPr>
              <w:jc w:val="center"/>
              <w:spacing w:after="0" w:line="149" w:lineRule="exact"/>
              <w:rPr>
                <w:sz w:val="20"/>
                <w:szCs w:val="20"/>
                <w:color w:val="auto"/>
              </w:rPr>
            </w:pPr>
            <w:r>
              <w:rPr>
                <w:rFonts w:ascii="Arial" w:cs="Arial" w:eastAsia="Arial" w:hAnsi="Arial"/>
                <w:sz w:val="14"/>
                <w:szCs w:val="14"/>
                <w:color w:val="auto"/>
                <w:w w:val="95"/>
              </w:rPr>
              <w:t>Options</w:t>
            </w:r>
          </w:p>
        </w:tc>
        <w:tc>
          <w:tcPr>
            <w:tcW w:w="100" w:type="dxa"/>
            <w:vAlign w:val="bottom"/>
          </w:tcPr>
          <w:p>
            <w:pPr>
              <w:spacing w:after="0"/>
              <w:rPr>
                <w:sz w:val="12"/>
                <w:szCs w:val="12"/>
                <w:color w:val="auto"/>
              </w:rPr>
            </w:pPr>
          </w:p>
        </w:tc>
        <w:tc>
          <w:tcPr>
            <w:tcW w:w="920" w:type="dxa"/>
            <w:vAlign w:val="bottom"/>
            <w:tcBorders>
              <w:right w:val="single" w:sz="8" w:color="auto"/>
            </w:tcBorders>
          </w:tcPr>
          <w:p>
            <w:pPr>
              <w:jc w:val="center"/>
              <w:spacing w:after="0" w:line="149" w:lineRule="exact"/>
              <w:rPr>
                <w:sz w:val="20"/>
                <w:szCs w:val="20"/>
                <w:color w:val="auto"/>
              </w:rPr>
            </w:pPr>
            <w:r>
              <w:rPr>
                <w:rFonts w:ascii="Arial" w:cs="Arial" w:eastAsia="Arial" w:hAnsi="Arial"/>
                <w:sz w:val="14"/>
                <w:szCs w:val="14"/>
                <w:color w:val="auto"/>
                <w:w w:val="95"/>
              </w:rPr>
              <w:t>Options</w:t>
            </w:r>
          </w:p>
        </w:tc>
        <w:tc>
          <w:tcPr>
            <w:tcW w:w="700" w:type="dxa"/>
            <w:vAlign w:val="bottom"/>
            <w:tcBorders>
              <w:right w:val="single" w:sz="8" w:color="auto"/>
            </w:tcBorders>
          </w:tcPr>
          <w:p>
            <w:pPr>
              <w:spacing w:after="0"/>
              <w:rPr>
                <w:sz w:val="12"/>
                <w:szCs w:val="12"/>
                <w:color w:val="auto"/>
              </w:rPr>
            </w:pPr>
          </w:p>
        </w:tc>
        <w:tc>
          <w:tcPr>
            <w:tcW w:w="900" w:type="dxa"/>
            <w:vAlign w:val="bottom"/>
            <w:tcBorders>
              <w:right w:val="single" w:sz="8" w:color="auto"/>
            </w:tcBorders>
          </w:tcPr>
          <w:p>
            <w:pPr>
              <w:spacing w:after="0"/>
              <w:rPr>
                <w:sz w:val="12"/>
                <w:szCs w:val="12"/>
                <w:color w:val="auto"/>
              </w:rPr>
            </w:pPr>
          </w:p>
        </w:tc>
        <w:tc>
          <w:tcPr>
            <w:tcW w:w="920" w:type="dxa"/>
            <w:vAlign w:val="bottom"/>
            <w:tcBorders>
              <w:right w:val="single" w:sz="8" w:color="auto"/>
            </w:tcBorders>
          </w:tcPr>
          <w:p>
            <w:pPr>
              <w:spacing w:after="0"/>
              <w:rPr>
                <w:sz w:val="12"/>
                <w:szCs w:val="12"/>
                <w:color w:val="auto"/>
              </w:rPr>
            </w:pPr>
          </w:p>
        </w:tc>
        <w:tc>
          <w:tcPr>
            <w:tcW w:w="780" w:type="dxa"/>
            <w:vAlign w:val="bottom"/>
            <w:tcBorders>
              <w:right w:val="single" w:sz="8" w:color="auto"/>
            </w:tcBorders>
          </w:tcPr>
          <w:p>
            <w:pPr>
              <w:jc w:val="center"/>
              <w:spacing w:after="0" w:line="149" w:lineRule="exact"/>
              <w:rPr>
                <w:sz w:val="20"/>
                <w:szCs w:val="20"/>
                <w:color w:val="auto"/>
              </w:rPr>
            </w:pPr>
            <w:r>
              <w:rPr>
                <w:rFonts w:ascii="Arial" w:cs="Arial" w:eastAsia="Arial" w:hAnsi="Arial"/>
                <w:sz w:val="14"/>
                <w:szCs w:val="14"/>
                <w:color w:val="auto"/>
                <w:w w:val="95"/>
              </w:rPr>
              <w:t>Have Not</w:t>
            </w:r>
          </w:p>
        </w:tc>
        <w:tc>
          <w:tcPr>
            <w:tcW w:w="1000" w:type="dxa"/>
            <w:vAlign w:val="bottom"/>
            <w:tcBorders>
              <w:right w:val="single" w:sz="8" w:color="auto"/>
            </w:tcBorders>
          </w:tcPr>
          <w:p>
            <w:pPr>
              <w:jc w:val="center"/>
              <w:ind w:left="8"/>
              <w:spacing w:after="0" w:line="149" w:lineRule="exact"/>
              <w:rPr>
                <w:sz w:val="20"/>
                <w:szCs w:val="20"/>
                <w:color w:val="auto"/>
              </w:rPr>
            </w:pPr>
            <w:r>
              <w:rPr>
                <w:rFonts w:ascii="Arial" w:cs="Arial" w:eastAsia="Arial" w:hAnsi="Arial"/>
                <w:sz w:val="14"/>
                <w:szCs w:val="14"/>
                <w:color w:val="auto"/>
                <w:w w:val="92"/>
              </w:rPr>
              <w:t>Not Vested</w:t>
            </w:r>
          </w:p>
        </w:tc>
        <w:tc>
          <w:tcPr>
            <w:tcW w:w="1240" w:type="dxa"/>
            <w:vAlign w:val="bottom"/>
            <w:tcBorders>
              <w:right w:val="single" w:sz="8" w:color="auto"/>
            </w:tcBorders>
          </w:tcPr>
          <w:p>
            <w:pPr>
              <w:jc w:val="right"/>
              <w:ind w:right="68"/>
              <w:spacing w:after="0" w:line="149" w:lineRule="exact"/>
              <w:rPr>
                <w:sz w:val="20"/>
                <w:szCs w:val="20"/>
                <w:color w:val="auto"/>
              </w:rPr>
            </w:pPr>
            <w:r>
              <w:rPr>
                <w:rFonts w:ascii="Arial" w:cs="Arial" w:eastAsia="Arial" w:hAnsi="Arial"/>
                <w:sz w:val="14"/>
                <w:szCs w:val="14"/>
                <w:color w:val="auto"/>
              </w:rPr>
              <w:t>Shares, Units or</w:t>
            </w:r>
          </w:p>
        </w:tc>
        <w:tc>
          <w:tcPr>
            <w:tcW w:w="1360" w:type="dxa"/>
            <w:vAlign w:val="bottom"/>
            <w:tcBorders>
              <w:right w:val="single" w:sz="8" w:color="auto"/>
            </w:tcBorders>
          </w:tcPr>
          <w:p>
            <w:pPr>
              <w:jc w:val="center"/>
              <w:ind w:right="8"/>
              <w:spacing w:after="0" w:line="149" w:lineRule="exact"/>
              <w:rPr>
                <w:sz w:val="20"/>
                <w:szCs w:val="20"/>
                <w:color w:val="auto"/>
              </w:rPr>
            </w:pPr>
            <w:r>
              <w:rPr>
                <w:rFonts w:ascii="Arial" w:cs="Arial" w:eastAsia="Arial" w:hAnsi="Arial"/>
                <w:sz w:val="14"/>
                <w:szCs w:val="14"/>
                <w:color w:val="auto"/>
                <w:w w:val="91"/>
              </w:rPr>
              <w:t>Shares, Units or</w:t>
            </w:r>
          </w:p>
        </w:tc>
        <w:tc>
          <w:tcPr>
            <w:tcW w:w="0" w:type="dxa"/>
            <w:vAlign w:val="bottom"/>
          </w:tcPr>
          <w:p>
            <w:pPr>
              <w:spacing w:after="0"/>
              <w:rPr>
                <w:sz w:val="1"/>
                <w:szCs w:val="1"/>
                <w:color w:val="auto"/>
              </w:rPr>
            </w:pPr>
          </w:p>
        </w:tc>
      </w:tr>
      <w:tr>
        <w:trPr>
          <w:trHeight w:val="149"/>
        </w:trPr>
        <w:tc>
          <w:tcPr>
            <w:tcW w:w="1720" w:type="dxa"/>
            <w:vAlign w:val="bottom"/>
            <w:tcBorders>
              <w:left w:val="single" w:sz="8" w:color="auto"/>
              <w:right w:val="single" w:sz="8" w:color="auto"/>
            </w:tcBorders>
          </w:tcPr>
          <w:p>
            <w:pPr>
              <w:spacing w:after="0"/>
              <w:rPr>
                <w:sz w:val="12"/>
                <w:szCs w:val="12"/>
                <w:color w:val="auto"/>
              </w:rPr>
            </w:pPr>
          </w:p>
        </w:tc>
        <w:tc>
          <w:tcPr>
            <w:tcW w:w="900" w:type="dxa"/>
            <w:vAlign w:val="bottom"/>
            <w:tcBorders>
              <w:right w:val="single" w:sz="8" w:color="auto"/>
            </w:tcBorders>
          </w:tcPr>
          <w:p>
            <w:pPr>
              <w:spacing w:after="0"/>
              <w:rPr>
                <w:sz w:val="12"/>
                <w:szCs w:val="12"/>
                <w:color w:val="auto"/>
              </w:rPr>
            </w:pPr>
          </w:p>
        </w:tc>
        <w:tc>
          <w:tcPr>
            <w:tcW w:w="80" w:type="dxa"/>
            <w:vAlign w:val="bottom"/>
          </w:tcPr>
          <w:p>
            <w:pPr>
              <w:spacing w:after="0"/>
              <w:rPr>
                <w:sz w:val="12"/>
                <w:szCs w:val="12"/>
                <w:color w:val="auto"/>
              </w:rPr>
            </w:pPr>
          </w:p>
        </w:tc>
        <w:tc>
          <w:tcPr>
            <w:tcW w:w="820" w:type="dxa"/>
            <w:vAlign w:val="bottom"/>
            <w:tcBorders>
              <w:right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920" w:type="dxa"/>
            <w:vAlign w:val="bottom"/>
            <w:tcBorders>
              <w:right w:val="single" w:sz="8" w:color="auto"/>
            </w:tcBorders>
          </w:tcPr>
          <w:p>
            <w:pPr>
              <w:spacing w:after="0"/>
              <w:rPr>
                <w:sz w:val="12"/>
                <w:szCs w:val="12"/>
                <w:color w:val="auto"/>
              </w:rPr>
            </w:pPr>
          </w:p>
        </w:tc>
        <w:tc>
          <w:tcPr>
            <w:tcW w:w="700" w:type="dxa"/>
            <w:vAlign w:val="bottom"/>
            <w:tcBorders>
              <w:right w:val="single" w:sz="8" w:color="auto"/>
            </w:tcBorders>
          </w:tcPr>
          <w:p>
            <w:pPr>
              <w:spacing w:after="0"/>
              <w:rPr>
                <w:sz w:val="12"/>
                <w:szCs w:val="12"/>
                <w:color w:val="auto"/>
              </w:rPr>
            </w:pPr>
          </w:p>
        </w:tc>
        <w:tc>
          <w:tcPr>
            <w:tcW w:w="900" w:type="dxa"/>
            <w:vAlign w:val="bottom"/>
            <w:tcBorders>
              <w:right w:val="single" w:sz="8" w:color="auto"/>
            </w:tcBorders>
          </w:tcPr>
          <w:p>
            <w:pPr>
              <w:spacing w:after="0"/>
              <w:rPr>
                <w:sz w:val="12"/>
                <w:szCs w:val="12"/>
                <w:color w:val="auto"/>
              </w:rPr>
            </w:pPr>
          </w:p>
        </w:tc>
        <w:tc>
          <w:tcPr>
            <w:tcW w:w="920" w:type="dxa"/>
            <w:vAlign w:val="bottom"/>
            <w:tcBorders>
              <w:right w:val="single" w:sz="8" w:color="auto"/>
            </w:tcBorders>
          </w:tcPr>
          <w:p>
            <w:pPr>
              <w:spacing w:after="0"/>
              <w:rPr>
                <w:sz w:val="12"/>
                <w:szCs w:val="12"/>
                <w:color w:val="auto"/>
              </w:rPr>
            </w:pPr>
          </w:p>
        </w:tc>
        <w:tc>
          <w:tcPr>
            <w:tcW w:w="780" w:type="dxa"/>
            <w:vAlign w:val="bottom"/>
            <w:tcBorders>
              <w:right w:val="single" w:sz="8" w:color="auto"/>
            </w:tcBorders>
          </w:tcPr>
          <w:p>
            <w:pPr>
              <w:jc w:val="center"/>
              <w:spacing w:after="0" w:line="149" w:lineRule="exact"/>
              <w:rPr>
                <w:sz w:val="20"/>
                <w:szCs w:val="20"/>
                <w:color w:val="auto"/>
              </w:rPr>
            </w:pPr>
            <w:r>
              <w:rPr>
                <w:rFonts w:ascii="Arial" w:cs="Arial" w:eastAsia="Arial" w:hAnsi="Arial"/>
                <w:sz w:val="14"/>
                <w:szCs w:val="14"/>
                <w:color w:val="auto"/>
                <w:w w:val="87"/>
              </w:rPr>
              <w:t>Vested</w:t>
            </w:r>
          </w:p>
        </w:tc>
        <w:tc>
          <w:tcPr>
            <w:tcW w:w="1000" w:type="dxa"/>
            <w:vAlign w:val="bottom"/>
            <w:tcBorders>
              <w:right w:val="single" w:sz="8" w:color="auto"/>
            </w:tcBorders>
          </w:tcPr>
          <w:p>
            <w:pPr>
              <w:spacing w:after="0"/>
              <w:rPr>
                <w:sz w:val="12"/>
                <w:szCs w:val="12"/>
                <w:color w:val="auto"/>
              </w:rPr>
            </w:pPr>
          </w:p>
        </w:tc>
        <w:tc>
          <w:tcPr>
            <w:tcW w:w="1240" w:type="dxa"/>
            <w:vAlign w:val="bottom"/>
            <w:tcBorders>
              <w:right w:val="single" w:sz="8" w:color="auto"/>
            </w:tcBorders>
          </w:tcPr>
          <w:p>
            <w:pPr>
              <w:jc w:val="center"/>
              <w:ind w:left="28"/>
              <w:spacing w:after="0" w:line="149" w:lineRule="exact"/>
              <w:rPr>
                <w:sz w:val="20"/>
                <w:szCs w:val="20"/>
                <w:color w:val="auto"/>
              </w:rPr>
            </w:pPr>
            <w:r>
              <w:rPr>
                <w:rFonts w:ascii="Arial" w:cs="Arial" w:eastAsia="Arial" w:hAnsi="Arial"/>
                <w:sz w:val="14"/>
                <w:szCs w:val="14"/>
                <w:color w:val="auto"/>
                <w:w w:val="94"/>
              </w:rPr>
              <w:t>Other Rights</w:t>
            </w:r>
          </w:p>
        </w:tc>
        <w:tc>
          <w:tcPr>
            <w:tcW w:w="1360" w:type="dxa"/>
            <w:vAlign w:val="bottom"/>
            <w:tcBorders>
              <w:right w:val="single" w:sz="8" w:color="auto"/>
            </w:tcBorders>
          </w:tcPr>
          <w:p>
            <w:pPr>
              <w:jc w:val="center"/>
              <w:ind w:right="8"/>
              <w:spacing w:after="0" w:line="149" w:lineRule="exact"/>
              <w:rPr>
                <w:sz w:val="20"/>
                <w:szCs w:val="20"/>
                <w:color w:val="auto"/>
              </w:rPr>
            </w:pPr>
            <w:r>
              <w:rPr>
                <w:rFonts w:ascii="Arial" w:cs="Arial" w:eastAsia="Arial" w:hAnsi="Arial"/>
                <w:sz w:val="14"/>
                <w:szCs w:val="14"/>
                <w:color w:val="auto"/>
                <w:w w:val="94"/>
              </w:rPr>
              <w:t>Other Rights That</w:t>
            </w:r>
          </w:p>
        </w:tc>
        <w:tc>
          <w:tcPr>
            <w:tcW w:w="0" w:type="dxa"/>
            <w:vAlign w:val="bottom"/>
          </w:tcPr>
          <w:p>
            <w:pPr>
              <w:spacing w:after="0"/>
              <w:rPr>
                <w:sz w:val="1"/>
                <w:szCs w:val="1"/>
                <w:color w:val="auto"/>
              </w:rPr>
            </w:pPr>
          </w:p>
        </w:tc>
      </w:tr>
      <w:tr>
        <w:trPr>
          <w:trHeight w:val="149"/>
        </w:trPr>
        <w:tc>
          <w:tcPr>
            <w:tcW w:w="1720" w:type="dxa"/>
            <w:vAlign w:val="bottom"/>
            <w:tcBorders>
              <w:left w:val="single" w:sz="8" w:color="auto"/>
              <w:right w:val="single" w:sz="8" w:color="auto"/>
            </w:tcBorders>
          </w:tcPr>
          <w:p>
            <w:pPr>
              <w:spacing w:after="0"/>
              <w:rPr>
                <w:sz w:val="12"/>
                <w:szCs w:val="12"/>
                <w:color w:val="auto"/>
              </w:rPr>
            </w:pPr>
          </w:p>
        </w:tc>
        <w:tc>
          <w:tcPr>
            <w:tcW w:w="900" w:type="dxa"/>
            <w:vAlign w:val="bottom"/>
            <w:tcBorders>
              <w:right w:val="single" w:sz="8" w:color="auto"/>
            </w:tcBorders>
          </w:tcPr>
          <w:p>
            <w:pPr>
              <w:spacing w:after="0"/>
              <w:rPr>
                <w:sz w:val="12"/>
                <w:szCs w:val="12"/>
                <w:color w:val="auto"/>
              </w:rPr>
            </w:pPr>
          </w:p>
        </w:tc>
        <w:tc>
          <w:tcPr>
            <w:tcW w:w="80" w:type="dxa"/>
            <w:vAlign w:val="bottom"/>
          </w:tcPr>
          <w:p>
            <w:pPr>
              <w:spacing w:after="0"/>
              <w:rPr>
                <w:sz w:val="12"/>
                <w:szCs w:val="12"/>
                <w:color w:val="auto"/>
              </w:rPr>
            </w:pPr>
          </w:p>
        </w:tc>
        <w:tc>
          <w:tcPr>
            <w:tcW w:w="820" w:type="dxa"/>
            <w:vAlign w:val="bottom"/>
            <w:tcBorders>
              <w:right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920" w:type="dxa"/>
            <w:vAlign w:val="bottom"/>
            <w:tcBorders>
              <w:right w:val="single" w:sz="8" w:color="auto"/>
            </w:tcBorders>
          </w:tcPr>
          <w:p>
            <w:pPr>
              <w:spacing w:after="0"/>
              <w:rPr>
                <w:sz w:val="12"/>
                <w:szCs w:val="12"/>
                <w:color w:val="auto"/>
              </w:rPr>
            </w:pPr>
          </w:p>
        </w:tc>
        <w:tc>
          <w:tcPr>
            <w:tcW w:w="700" w:type="dxa"/>
            <w:vAlign w:val="bottom"/>
            <w:tcBorders>
              <w:right w:val="single" w:sz="8" w:color="auto"/>
            </w:tcBorders>
          </w:tcPr>
          <w:p>
            <w:pPr>
              <w:spacing w:after="0"/>
              <w:rPr>
                <w:sz w:val="12"/>
                <w:szCs w:val="12"/>
                <w:color w:val="auto"/>
              </w:rPr>
            </w:pPr>
          </w:p>
        </w:tc>
        <w:tc>
          <w:tcPr>
            <w:tcW w:w="900" w:type="dxa"/>
            <w:vAlign w:val="bottom"/>
            <w:tcBorders>
              <w:right w:val="single" w:sz="8" w:color="auto"/>
            </w:tcBorders>
          </w:tcPr>
          <w:p>
            <w:pPr>
              <w:spacing w:after="0"/>
              <w:rPr>
                <w:sz w:val="12"/>
                <w:szCs w:val="12"/>
                <w:color w:val="auto"/>
              </w:rPr>
            </w:pPr>
          </w:p>
        </w:tc>
        <w:tc>
          <w:tcPr>
            <w:tcW w:w="920" w:type="dxa"/>
            <w:vAlign w:val="bottom"/>
            <w:tcBorders>
              <w:right w:val="single" w:sz="8" w:color="auto"/>
            </w:tcBorders>
          </w:tcPr>
          <w:p>
            <w:pPr>
              <w:spacing w:after="0"/>
              <w:rPr>
                <w:sz w:val="12"/>
                <w:szCs w:val="12"/>
                <w:color w:val="auto"/>
              </w:rPr>
            </w:pPr>
          </w:p>
        </w:tc>
        <w:tc>
          <w:tcPr>
            <w:tcW w:w="780" w:type="dxa"/>
            <w:vAlign w:val="bottom"/>
            <w:tcBorders>
              <w:right w:val="single" w:sz="8" w:color="auto"/>
            </w:tcBorders>
          </w:tcPr>
          <w:p>
            <w:pPr>
              <w:spacing w:after="0"/>
              <w:rPr>
                <w:sz w:val="12"/>
                <w:szCs w:val="12"/>
                <w:color w:val="auto"/>
              </w:rPr>
            </w:pPr>
          </w:p>
        </w:tc>
        <w:tc>
          <w:tcPr>
            <w:tcW w:w="1000" w:type="dxa"/>
            <w:vAlign w:val="bottom"/>
            <w:tcBorders>
              <w:right w:val="single" w:sz="8" w:color="auto"/>
            </w:tcBorders>
          </w:tcPr>
          <w:p>
            <w:pPr>
              <w:spacing w:after="0"/>
              <w:rPr>
                <w:sz w:val="12"/>
                <w:szCs w:val="12"/>
                <w:color w:val="auto"/>
              </w:rPr>
            </w:pPr>
          </w:p>
        </w:tc>
        <w:tc>
          <w:tcPr>
            <w:tcW w:w="1240" w:type="dxa"/>
            <w:vAlign w:val="bottom"/>
            <w:tcBorders>
              <w:right w:val="single" w:sz="8" w:color="auto"/>
            </w:tcBorders>
          </w:tcPr>
          <w:p>
            <w:pPr>
              <w:jc w:val="center"/>
              <w:ind w:left="28"/>
              <w:spacing w:after="0" w:line="149" w:lineRule="exact"/>
              <w:rPr>
                <w:sz w:val="20"/>
                <w:szCs w:val="20"/>
                <w:color w:val="auto"/>
              </w:rPr>
            </w:pPr>
            <w:r>
              <w:rPr>
                <w:rFonts w:ascii="Arial" w:cs="Arial" w:eastAsia="Arial" w:hAnsi="Arial"/>
                <w:sz w:val="14"/>
                <w:szCs w:val="14"/>
                <w:color w:val="auto"/>
                <w:w w:val="95"/>
              </w:rPr>
              <w:t>That Have Not</w:t>
            </w:r>
          </w:p>
        </w:tc>
        <w:tc>
          <w:tcPr>
            <w:tcW w:w="1360" w:type="dxa"/>
            <w:vAlign w:val="bottom"/>
            <w:tcBorders>
              <w:right w:val="single" w:sz="8" w:color="auto"/>
            </w:tcBorders>
          </w:tcPr>
          <w:p>
            <w:pPr>
              <w:jc w:val="center"/>
              <w:spacing w:after="0" w:line="149" w:lineRule="exact"/>
              <w:rPr>
                <w:sz w:val="20"/>
                <w:szCs w:val="20"/>
                <w:color w:val="auto"/>
              </w:rPr>
            </w:pPr>
            <w:r>
              <w:rPr>
                <w:rFonts w:ascii="Arial" w:cs="Arial" w:eastAsia="Arial" w:hAnsi="Arial"/>
                <w:sz w:val="14"/>
                <w:szCs w:val="14"/>
                <w:color w:val="auto"/>
                <w:w w:val="92"/>
              </w:rPr>
              <w:t>Have Not Vested</w:t>
            </w:r>
          </w:p>
        </w:tc>
        <w:tc>
          <w:tcPr>
            <w:tcW w:w="0" w:type="dxa"/>
            <w:vAlign w:val="bottom"/>
          </w:tcPr>
          <w:p>
            <w:pPr>
              <w:spacing w:after="0"/>
              <w:rPr>
                <w:sz w:val="1"/>
                <w:szCs w:val="1"/>
                <w:color w:val="auto"/>
              </w:rPr>
            </w:pPr>
          </w:p>
        </w:tc>
      </w:tr>
      <w:tr>
        <w:trPr>
          <w:trHeight w:val="182"/>
        </w:trPr>
        <w:tc>
          <w:tcPr>
            <w:tcW w:w="1720" w:type="dxa"/>
            <w:vAlign w:val="bottom"/>
            <w:tcBorders>
              <w:left w:val="single" w:sz="8" w:color="auto"/>
              <w:right w:val="single" w:sz="8" w:color="auto"/>
            </w:tcBorders>
          </w:tcPr>
          <w:p>
            <w:pPr>
              <w:spacing w:after="0"/>
              <w:rPr>
                <w:sz w:val="15"/>
                <w:szCs w:val="15"/>
                <w:color w:val="auto"/>
              </w:rPr>
            </w:pPr>
          </w:p>
        </w:tc>
        <w:tc>
          <w:tcPr>
            <w:tcW w:w="900" w:type="dxa"/>
            <w:vAlign w:val="bottom"/>
            <w:tcBorders>
              <w:right w:val="single" w:sz="8" w:color="auto"/>
            </w:tcBorders>
          </w:tcPr>
          <w:p>
            <w:pPr>
              <w:spacing w:after="0"/>
              <w:rPr>
                <w:sz w:val="15"/>
                <w:szCs w:val="15"/>
                <w:color w:val="auto"/>
              </w:rPr>
            </w:pPr>
          </w:p>
        </w:tc>
        <w:tc>
          <w:tcPr>
            <w:tcW w:w="80" w:type="dxa"/>
            <w:vAlign w:val="bottom"/>
          </w:tcPr>
          <w:p>
            <w:pPr>
              <w:spacing w:after="0"/>
              <w:rPr>
                <w:sz w:val="15"/>
                <w:szCs w:val="15"/>
                <w:color w:val="auto"/>
              </w:rPr>
            </w:pPr>
          </w:p>
        </w:tc>
        <w:tc>
          <w:tcPr>
            <w:tcW w:w="82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4"/>
                <w:szCs w:val="14"/>
                <w:color w:val="auto"/>
                <w:w w:val="91"/>
              </w:rPr>
              <w:t>Exercisable</w:t>
            </w:r>
          </w:p>
        </w:tc>
        <w:tc>
          <w:tcPr>
            <w:tcW w:w="100" w:type="dxa"/>
            <w:vAlign w:val="bottom"/>
          </w:tcPr>
          <w:p>
            <w:pPr>
              <w:spacing w:after="0"/>
              <w:rPr>
                <w:sz w:val="15"/>
                <w:szCs w:val="15"/>
                <w:color w:val="auto"/>
              </w:rPr>
            </w:pPr>
          </w:p>
        </w:tc>
        <w:tc>
          <w:tcPr>
            <w:tcW w:w="920" w:type="dxa"/>
            <w:vAlign w:val="bottom"/>
            <w:tcBorders>
              <w:right w:val="single" w:sz="8" w:color="auto"/>
            </w:tcBorders>
            <w:vMerge w:val="restart"/>
          </w:tcPr>
          <w:p>
            <w:pPr>
              <w:jc w:val="right"/>
              <w:ind w:right="8"/>
              <w:spacing w:after="0"/>
              <w:rPr>
                <w:sz w:val="20"/>
                <w:szCs w:val="20"/>
                <w:color w:val="auto"/>
              </w:rPr>
            </w:pPr>
            <w:r>
              <w:rPr>
                <w:rFonts w:ascii="Arial" w:cs="Arial" w:eastAsia="Arial" w:hAnsi="Arial"/>
                <w:sz w:val="14"/>
                <w:szCs w:val="14"/>
                <w:color w:val="auto"/>
                <w:w w:val="92"/>
              </w:rPr>
              <w:t>Unexercisable</w:t>
            </w:r>
          </w:p>
        </w:tc>
        <w:tc>
          <w:tcPr>
            <w:tcW w:w="700" w:type="dxa"/>
            <w:vAlign w:val="bottom"/>
            <w:tcBorders>
              <w:right w:val="single" w:sz="8" w:color="auto"/>
            </w:tcBorders>
          </w:tcPr>
          <w:p>
            <w:pPr>
              <w:spacing w:after="0"/>
              <w:rPr>
                <w:sz w:val="15"/>
                <w:szCs w:val="15"/>
                <w:color w:val="auto"/>
              </w:rPr>
            </w:pPr>
          </w:p>
        </w:tc>
        <w:tc>
          <w:tcPr>
            <w:tcW w:w="900" w:type="dxa"/>
            <w:vAlign w:val="bottom"/>
            <w:tcBorders>
              <w:right w:val="single" w:sz="8" w:color="auto"/>
            </w:tcBorders>
          </w:tcPr>
          <w:p>
            <w:pPr>
              <w:spacing w:after="0"/>
              <w:rPr>
                <w:sz w:val="15"/>
                <w:szCs w:val="15"/>
                <w:color w:val="auto"/>
              </w:rPr>
            </w:pPr>
          </w:p>
        </w:tc>
        <w:tc>
          <w:tcPr>
            <w:tcW w:w="920" w:type="dxa"/>
            <w:vAlign w:val="bottom"/>
            <w:tcBorders>
              <w:right w:val="single" w:sz="8" w:color="auto"/>
            </w:tcBorders>
          </w:tcPr>
          <w:p>
            <w:pPr>
              <w:spacing w:after="0"/>
              <w:rPr>
                <w:sz w:val="15"/>
                <w:szCs w:val="15"/>
                <w:color w:val="auto"/>
              </w:rPr>
            </w:pPr>
          </w:p>
        </w:tc>
        <w:tc>
          <w:tcPr>
            <w:tcW w:w="780" w:type="dxa"/>
            <w:vAlign w:val="bottom"/>
            <w:tcBorders>
              <w:right w:val="single" w:sz="8" w:color="auto"/>
            </w:tcBorders>
          </w:tcPr>
          <w:p>
            <w:pPr>
              <w:spacing w:after="0"/>
              <w:rPr>
                <w:sz w:val="15"/>
                <w:szCs w:val="15"/>
                <w:color w:val="auto"/>
              </w:rPr>
            </w:pPr>
          </w:p>
        </w:tc>
        <w:tc>
          <w:tcPr>
            <w:tcW w:w="1000" w:type="dxa"/>
            <w:vAlign w:val="bottom"/>
            <w:tcBorders>
              <w:right w:val="single" w:sz="8" w:color="auto"/>
            </w:tcBorders>
          </w:tcPr>
          <w:p>
            <w:pPr>
              <w:spacing w:after="0"/>
              <w:rPr>
                <w:sz w:val="15"/>
                <w:szCs w:val="15"/>
                <w:color w:val="auto"/>
              </w:rPr>
            </w:pPr>
          </w:p>
        </w:tc>
        <w:tc>
          <w:tcPr>
            <w:tcW w:w="1240" w:type="dxa"/>
            <w:vAlign w:val="bottom"/>
            <w:tcBorders>
              <w:right w:val="single" w:sz="8" w:color="auto"/>
            </w:tcBorders>
          </w:tcPr>
          <w:p>
            <w:pPr>
              <w:jc w:val="center"/>
              <w:ind w:left="28"/>
              <w:spacing w:after="0"/>
              <w:rPr>
                <w:sz w:val="20"/>
                <w:szCs w:val="20"/>
                <w:color w:val="auto"/>
              </w:rPr>
            </w:pPr>
            <w:r>
              <w:rPr>
                <w:rFonts w:ascii="Arial" w:cs="Arial" w:eastAsia="Arial" w:hAnsi="Arial"/>
                <w:sz w:val="14"/>
                <w:szCs w:val="14"/>
                <w:color w:val="auto"/>
                <w:w w:val="87"/>
              </w:rPr>
              <w:t>Vested</w:t>
            </w:r>
          </w:p>
        </w:tc>
        <w:tc>
          <w:tcPr>
            <w:tcW w:w="136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34"/>
        </w:trPr>
        <w:tc>
          <w:tcPr>
            <w:tcW w:w="1720" w:type="dxa"/>
            <w:vAlign w:val="bottom"/>
            <w:tcBorders>
              <w:left w:val="single" w:sz="8" w:color="auto"/>
              <w:bottom w:val="single" w:sz="8" w:color="auto"/>
              <w:right w:val="single" w:sz="8" w:color="auto"/>
            </w:tcBorders>
          </w:tcPr>
          <w:p>
            <w:pPr>
              <w:spacing w:after="0"/>
              <w:rPr>
                <w:sz w:val="11"/>
                <w:szCs w:val="11"/>
                <w:color w:val="auto"/>
              </w:rPr>
            </w:pPr>
          </w:p>
        </w:tc>
        <w:tc>
          <w:tcPr>
            <w:tcW w:w="900" w:type="dxa"/>
            <w:vAlign w:val="bottom"/>
            <w:tcBorders>
              <w:bottom w:val="single" w:sz="8" w:color="auto"/>
              <w:right w:val="single" w:sz="8" w:color="auto"/>
            </w:tcBorders>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820" w:type="dxa"/>
            <w:vAlign w:val="bottom"/>
            <w:tcBorders>
              <w:bottom w:val="single" w:sz="8" w:color="auto"/>
              <w:right w:val="single" w:sz="8" w:color="auto"/>
            </w:tcBorders>
            <w:vMerge w:val="continue"/>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920" w:type="dxa"/>
            <w:vAlign w:val="bottom"/>
            <w:tcBorders>
              <w:bottom w:val="single" w:sz="8" w:color="auto"/>
              <w:right w:val="single" w:sz="8" w:color="auto"/>
            </w:tcBorders>
            <w:vMerge w:val="continue"/>
          </w:tcPr>
          <w:p>
            <w:pPr>
              <w:spacing w:after="0"/>
              <w:rPr>
                <w:sz w:val="11"/>
                <w:szCs w:val="11"/>
                <w:color w:val="auto"/>
              </w:rPr>
            </w:pPr>
          </w:p>
        </w:tc>
        <w:tc>
          <w:tcPr>
            <w:tcW w:w="700" w:type="dxa"/>
            <w:vAlign w:val="bottom"/>
            <w:tcBorders>
              <w:bottom w:val="single" w:sz="8" w:color="auto"/>
              <w:right w:val="single" w:sz="8" w:color="auto"/>
            </w:tcBorders>
          </w:tcPr>
          <w:p>
            <w:pPr>
              <w:spacing w:after="0"/>
              <w:rPr>
                <w:sz w:val="11"/>
                <w:szCs w:val="11"/>
                <w:color w:val="auto"/>
              </w:rPr>
            </w:pPr>
          </w:p>
        </w:tc>
        <w:tc>
          <w:tcPr>
            <w:tcW w:w="900" w:type="dxa"/>
            <w:vAlign w:val="bottom"/>
            <w:tcBorders>
              <w:bottom w:val="single" w:sz="8" w:color="auto"/>
              <w:right w:val="single" w:sz="8" w:color="auto"/>
            </w:tcBorders>
          </w:tcPr>
          <w:p>
            <w:pPr>
              <w:spacing w:after="0"/>
              <w:rPr>
                <w:sz w:val="11"/>
                <w:szCs w:val="11"/>
                <w:color w:val="auto"/>
              </w:rPr>
            </w:pPr>
          </w:p>
        </w:tc>
        <w:tc>
          <w:tcPr>
            <w:tcW w:w="920" w:type="dxa"/>
            <w:vAlign w:val="bottom"/>
            <w:tcBorders>
              <w:bottom w:val="single" w:sz="8" w:color="auto"/>
              <w:right w:val="single" w:sz="8" w:color="auto"/>
            </w:tcBorders>
          </w:tcPr>
          <w:p>
            <w:pPr>
              <w:spacing w:after="0"/>
              <w:rPr>
                <w:sz w:val="11"/>
                <w:szCs w:val="11"/>
                <w:color w:val="auto"/>
              </w:rPr>
            </w:pPr>
          </w:p>
        </w:tc>
        <w:tc>
          <w:tcPr>
            <w:tcW w:w="780" w:type="dxa"/>
            <w:vAlign w:val="bottom"/>
            <w:tcBorders>
              <w:bottom w:val="single" w:sz="8" w:color="auto"/>
              <w:right w:val="single" w:sz="8" w:color="auto"/>
            </w:tcBorders>
          </w:tcPr>
          <w:p>
            <w:pPr>
              <w:spacing w:after="0"/>
              <w:rPr>
                <w:sz w:val="11"/>
                <w:szCs w:val="11"/>
                <w:color w:val="auto"/>
              </w:rPr>
            </w:pPr>
          </w:p>
        </w:tc>
        <w:tc>
          <w:tcPr>
            <w:tcW w:w="1000" w:type="dxa"/>
            <w:vAlign w:val="bottom"/>
            <w:tcBorders>
              <w:bottom w:val="single" w:sz="8" w:color="auto"/>
              <w:right w:val="single" w:sz="8" w:color="auto"/>
            </w:tcBorders>
          </w:tcPr>
          <w:p>
            <w:pPr>
              <w:spacing w:after="0"/>
              <w:rPr>
                <w:sz w:val="11"/>
                <w:szCs w:val="11"/>
                <w:color w:val="auto"/>
              </w:rPr>
            </w:pPr>
          </w:p>
        </w:tc>
        <w:tc>
          <w:tcPr>
            <w:tcW w:w="1240" w:type="dxa"/>
            <w:vAlign w:val="bottom"/>
            <w:tcBorders>
              <w:bottom w:val="single" w:sz="8" w:color="auto"/>
              <w:right w:val="single" w:sz="8" w:color="auto"/>
            </w:tcBorders>
          </w:tcPr>
          <w:p>
            <w:pPr>
              <w:spacing w:after="0"/>
              <w:rPr>
                <w:sz w:val="11"/>
                <w:szCs w:val="11"/>
                <w:color w:val="auto"/>
              </w:rPr>
            </w:pPr>
          </w:p>
        </w:tc>
        <w:tc>
          <w:tcPr>
            <w:tcW w:w="136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23"/>
        </w:trPr>
        <w:tc>
          <w:tcPr>
            <w:tcW w:w="1720" w:type="dxa"/>
            <w:vAlign w:val="bottom"/>
            <w:tcBorders>
              <w:left w:val="single" w:sz="8" w:color="auto"/>
              <w:right w:val="single" w:sz="8" w:color="auto"/>
            </w:tcBorders>
            <w:shd w:val="clear" w:color="auto" w:fill="CCEEFF"/>
          </w:tcPr>
          <w:p>
            <w:pPr>
              <w:ind w:left="160"/>
              <w:spacing w:after="0" w:line="123" w:lineRule="exact"/>
              <w:rPr>
                <w:sz w:val="20"/>
                <w:szCs w:val="20"/>
                <w:color w:val="auto"/>
              </w:rPr>
            </w:pPr>
            <w:r>
              <w:rPr>
                <w:rFonts w:ascii="Arial" w:cs="Arial" w:eastAsia="Arial" w:hAnsi="Arial"/>
                <w:sz w:val="14"/>
                <w:szCs w:val="14"/>
                <w:color w:val="auto"/>
              </w:rPr>
              <w:t>Ward J. Timken, Jr.</w:t>
            </w:r>
          </w:p>
        </w:tc>
        <w:tc>
          <w:tcPr>
            <w:tcW w:w="900" w:type="dxa"/>
            <w:vAlign w:val="bottom"/>
            <w:tcBorders>
              <w:right w:val="single" w:sz="8" w:color="auto"/>
            </w:tcBorders>
            <w:shd w:val="clear" w:color="auto" w:fill="CCEEFF"/>
          </w:tcPr>
          <w:p>
            <w:pPr>
              <w:jc w:val="right"/>
              <w:spacing w:after="0" w:line="123" w:lineRule="exact"/>
              <w:rPr>
                <w:sz w:val="20"/>
                <w:szCs w:val="20"/>
                <w:color w:val="auto"/>
              </w:rPr>
            </w:pPr>
            <w:r>
              <w:rPr>
                <w:rFonts w:ascii="Arial" w:cs="Arial" w:eastAsia="Arial" w:hAnsi="Arial"/>
                <w:sz w:val="14"/>
                <w:szCs w:val="14"/>
                <w:color w:val="auto"/>
              </w:rPr>
              <w:t>02/06/2006</w:t>
            </w:r>
          </w:p>
        </w:tc>
        <w:tc>
          <w:tcPr>
            <w:tcW w:w="900" w:type="dxa"/>
            <w:vAlign w:val="bottom"/>
            <w:tcBorders>
              <w:right w:val="single" w:sz="8" w:color="auto"/>
            </w:tcBorders>
            <w:gridSpan w:val="2"/>
            <w:shd w:val="clear" w:color="auto" w:fill="CCEEFF"/>
          </w:tcPr>
          <w:p>
            <w:pPr>
              <w:jc w:val="right"/>
              <w:ind w:right="48"/>
              <w:spacing w:after="0" w:line="123" w:lineRule="exact"/>
              <w:rPr>
                <w:sz w:val="20"/>
                <w:szCs w:val="20"/>
                <w:color w:val="auto"/>
              </w:rPr>
            </w:pPr>
            <w:r>
              <w:rPr>
                <w:rFonts w:ascii="Arial" w:cs="Arial" w:eastAsia="Arial" w:hAnsi="Arial"/>
                <w:sz w:val="14"/>
                <w:szCs w:val="14"/>
                <w:color w:val="auto"/>
              </w:rPr>
              <w:t>114,000</w:t>
            </w:r>
          </w:p>
        </w:tc>
        <w:tc>
          <w:tcPr>
            <w:tcW w:w="1020" w:type="dxa"/>
            <w:vAlign w:val="bottom"/>
            <w:tcBorders>
              <w:right w:val="single" w:sz="8" w:color="auto"/>
            </w:tcBorders>
            <w:gridSpan w:val="2"/>
            <w:shd w:val="clear" w:color="auto" w:fill="CCEEFF"/>
          </w:tcPr>
          <w:p>
            <w:pPr>
              <w:jc w:val="right"/>
              <w:ind w:right="48"/>
              <w:spacing w:after="0" w:line="123" w:lineRule="exact"/>
              <w:rPr>
                <w:sz w:val="20"/>
                <w:szCs w:val="20"/>
                <w:color w:val="auto"/>
              </w:rPr>
            </w:pPr>
            <w:r>
              <w:rPr>
                <w:rFonts w:ascii="Arial" w:cs="Arial" w:eastAsia="Arial" w:hAnsi="Arial"/>
                <w:sz w:val="14"/>
                <w:szCs w:val="14"/>
                <w:color w:val="auto"/>
              </w:rPr>
              <w:t>0</w:t>
            </w:r>
          </w:p>
        </w:tc>
        <w:tc>
          <w:tcPr>
            <w:tcW w:w="700" w:type="dxa"/>
            <w:vAlign w:val="bottom"/>
            <w:tcBorders>
              <w:right w:val="single" w:sz="8" w:color="auto"/>
            </w:tcBorders>
            <w:shd w:val="clear" w:color="auto" w:fill="CCEEFF"/>
          </w:tcPr>
          <w:p>
            <w:pPr>
              <w:jc w:val="right"/>
              <w:ind w:right="28"/>
              <w:spacing w:after="0" w:line="123" w:lineRule="exact"/>
              <w:rPr>
                <w:sz w:val="20"/>
                <w:szCs w:val="20"/>
                <w:color w:val="auto"/>
              </w:rPr>
            </w:pPr>
            <w:r>
              <w:rPr>
                <w:rFonts w:ascii="Arial" w:cs="Arial" w:eastAsia="Arial" w:hAnsi="Arial"/>
                <w:sz w:val="14"/>
                <w:szCs w:val="14"/>
                <w:color w:val="auto"/>
              </w:rPr>
              <w:t>$30.93</w:t>
            </w:r>
          </w:p>
        </w:tc>
        <w:tc>
          <w:tcPr>
            <w:tcW w:w="900" w:type="dxa"/>
            <w:vAlign w:val="bottom"/>
            <w:tcBorders>
              <w:right w:val="single" w:sz="8" w:color="auto"/>
            </w:tcBorders>
            <w:shd w:val="clear" w:color="auto" w:fill="CCEEFF"/>
          </w:tcPr>
          <w:p>
            <w:pPr>
              <w:ind w:left="200"/>
              <w:spacing w:after="0" w:line="123" w:lineRule="exact"/>
              <w:rPr>
                <w:sz w:val="20"/>
                <w:szCs w:val="20"/>
                <w:color w:val="auto"/>
              </w:rPr>
            </w:pPr>
            <w:r>
              <w:rPr>
                <w:rFonts w:ascii="Arial" w:cs="Arial" w:eastAsia="Arial" w:hAnsi="Arial"/>
                <w:sz w:val="14"/>
                <w:szCs w:val="14"/>
                <w:color w:val="auto"/>
                <w:w w:val="94"/>
              </w:rPr>
              <w:t>02/06/2016</w:t>
            </w:r>
          </w:p>
        </w:tc>
        <w:tc>
          <w:tcPr>
            <w:tcW w:w="920" w:type="dxa"/>
            <w:vAlign w:val="bottom"/>
            <w:tcBorders>
              <w:right w:val="single" w:sz="8" w:color="auto"/>
            </w:tcBorders>
            <w:shd w:val="clear" w:color="auto" w:fill="CCEEFF"/>
          </w:tcPr>
          <w:p>
            <w:pPr>
              <w:jc w:val="right"/>
              <w:spacing w:after="0" w:line="123" w:lineRule="exact"/>
              <w:rPr>
                <w:sz w:val="20"/>
                <w:szCs w:val="20"/>
                <w:color w:val="auto"/>
              </w:rPr>
            </w:pPr>
            <w:r>
              <w:rPr>
                <w:rFonts w:ascii="Arial" w:cs="Arial" w:eastAsia="Arial" w:hAnsi="Arial"/>
                <w:sz w:val="14"/>
                <w:szCs w:val="14"/>
                <w:color w:val="auto"/>
              </w:rPr>
              <w:t>02/08/2010</w:t>
            </w:r>
          </w:p>
        </w:tc>
        <w:tc>
          <w:tcPr>
            <w:tcW w:w="780" w:type="dxa"/>
            <w:vAlign w:val="bottom"/>
            <w:tcBorders>
              <w:right w:val="single" w:sz="8" w:color="auto"/>
            </w:tcBorders>
            <w:shd w:val="clear" w:color="auto" w:fill="CCEEFF"/>
          </w:tcPr>
          <w:p>
            <w:pPr>
              <w:jc w:val="right"/>
              <w:ind w:right="168"/>
              <w:spacing w:after="0" w:line="123" w:lineRule="exact"/>
              <w:rPr>
                <w:sz w:val="20"/>
                <w:szCs w:val="20"/>
                <w:color w:val="auto"/>
              </w:rPr>
            </w:pPr>
            <w:r>
              <w:rPr>
                <w:rFonts w:ascii="Arial" w:cs="Arial" w:eastAsia="Arial" w:hAnsi="Arial"/>
                <w:sz w:val="14"/>
                <w:szCs w:val="14"/>
                <w:color w:val="auto"/>
              </w:rPr>
              <w:t>7,000</w:t>
            </w:r>
          </w:p>
        </w:tc>
        <w:tc>
          <w:tcPr>
            <w:tcW w:w="1000" w:type="dxa"/>
            <w:vAlign w:val="bottom"/>
            <w:tcBorders>
              <w:right w:val="single" w:sz="8" w:color="auto"/>
            </w:tcBorders>
            <w:shd w:val="clear" w:color="auto" w:fill="CCEEFF"/>
          </w:tcPr>
          <w:p>
            <w:pPr>
              <w:jc w:val="right"/>
              <w:spacing w:after="0" w:line="123" w:lineRule="exact"/>
              <w:rPr>
                <w:sz w:val="20"/>
                <w:szCs w:val="20"/>
                <w:color w:val="auto"/>
              </w:rPr>
            </w:pPr>
            <w:r>
              <w:rPr>
                <w:rFonts w:ascii="Arial" w:cs="Arial" w:eastAsia="Arial" w:hAnsi="Arial"/>
                <w:sz w:val="14"/>
                <w:szCs w:val="14"/>
                <w:color w:val="auto"/>
              </w:rPr>
              <w:t>$385,490</w:t>
            </w:r>
          </w:p>
        </w:tc>
        <w:tc>
          <w:tcPr>
            <w:tcW w:w="1240" w:type="dxa"/>
            <w:vAlign w:val="bottom"/>
            <w:tcBorders>
              <w:right w:val="single" w:sz="8" w:color="auto"/>
            </w:tcBorders>
            <w:shd w:val="clear" w:color="auto" w:fill="CCEEFF"/>
          </w:tcPr>
          <w:p>
            <w:pPr>
              <w:spacing w:after="0"/>
              <w:rPr>
                <w:sz w:val="10"/>
                <w:szCs w:val="10"/>
                <w:color w:val="auto"/>
              </w:rPr>
            </w:pPr>
          </w:p>
        </w:tc>
        <w:tc>
          <w:tcPr>
            <w:tcW w:w="1360" w:type="dxa"/>
            <w:vAlign w:val="bottom"/>
            <w:tcBorders>
              <w:right w:val="single" w:sz="8" w:color="auto"/>
            </w:tcBorders>
            <w:shd w:val="clear" w:color="auto" w:fill="CCEEFF"/>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1720" w:type="dxa"/>
            <w:vAlign w:val="bottom"/>
            <w:tcBorders>
              <w:left w:val="single" w:sz="8" w:color="auto"/>
              <w:right w:val="single" w:sz="8" w:color="auto"/>
            </w:tcBorders>
            <w:shd w:val="clear" w:color="auto" w:fill="CCEEFF"/>
          </w:tcPr>
          <w:p>
            <w:pPr>
              <w:spacing w:after="0"/>
              <w:rPr>
                <w:sz w:val="12"/>
                <w:szCs w:val="12"/>
                <w:color w:val="auto"/>
              </w:rPr>
            </w:pPr>
          </w:p>
        </w:tc>
        <w:tc>
          <w:tcPr>
            <w:tcW w:w="900" w:type="dxa"/>
            <w:vAlign w:val="bottom"/>
            <w:tcBorders>
              <w:right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02/05/2007</w:t>
            </w:r>
          </w:p>
        </w:tc>
        <w:tc>
          <w:tcPr>
            <w:tcW w:w="900" w:type="dxa"/>
            <w:vAlign w:val="bottom"/>
            <w:tcBorders>
              <w:right w:val="single" w:sz="8" w:color="auto"/>
            </w:tcBorders>
            <w:gridSpan w:val="2"/>
            <w:shd w:val="clear" w:color="auto" w:fill="CCEEFF"/>
          </w:tcPr>
          <w:p>
            <w:pPr>
              <w:jc w:val="right"/>
              <w:ind w:right="48"/>
              <w:spacing w:after="0" w:line="149" w:lineRule="exact"/>
              <w:rPr>
                <w:sz w:val="20"/>
                <w:szCs w:val="20"/>
                <w:color w:val="auto"/>
              </w:rPr>
            </w:pPr>
            <w:r>
              <w:rPr>
                <w:rFonts w:ascii="Arial" w:cs="Arial" w:eastAsia="Arial" w:hAnsi="Arial"/>
                <w:sz w:val="14"/>
                <w:szCs w:val="14"/>
                <w:color w:val="auto"/>
              </w:rPr>
              <w:t>114,000</w:t>
            </w:r>
          </w:p>
        </w:tc>
        <w:tc>
          <w:tcPr>
            <w:tcW w:w="1020" w:type="dxa"/>
            <w:vAlign w:val="bottom"/>
            <w:tcBorders>
              <w:right w:val="single" w:sz="8" w:color="auto"/>
            </w:tcBorders>
            <w:gridSpan w:val="2"/>
            <w:shd w:val="clear" w:color="auto" w:fill="CCEEFF"/>
          </w:tcPr>
          <w:p>
            <w:pPr>
              <w:jc w:val="right"/>
              <w:ind w:right="48"/>
              <w:spacing w:after="0" w:line="149" w:lineRule="exact"/>
              <w:rPr>
                <w:sz w:val="20"/>
                <w:szCs w:val="20"/>
                <w:color w:val="auto"/>
              </w:rPr>
            </w:pPr>
            <w:r>
              <w:rPr>
                <w:rFonts w:ascii="Arial" w:cs="Arial" w:eastAsia="Arial" w:hAnsi="Arial"/>
                <w:sz w:val="14"/>
                <w:szCs w:val="14"/>
                <w:color w:val="auto"/>
              </w:rPr>
              <w:t>0</w:t>
            </w:r>
          </w:p>
        </w:tc>
        <w:tc>
          <w:tcPr>
            <w:tcW w:w="700" w:type="dxa"/>
            <w:vAlign w:val="bottom"/>
            <w:tcBorders>
              <w:right w:val="single" w:sz="8" w:color="auto"/>
            </w:tcBorders>
            <w:shd w:val="clear" w:color="auto" w:fill="CCEEFF"/>
          </w:tcPr>
          <w:p>
            <w:pPr>
              <w:jc w:val="right"/>
              <w:ind w:right="28"/>
              <w:spacing w:after="0" w:line="149" w:lineRule="exact"/>
              <w:rPr>
                <w:sz w:val="20"/>
                <w:szCs w:val="20"/>
                <w:color w:val="auto"/>
              </w:rPr>
            </w:pPr>
            <w:r>
              <w:rPr>
                <w:rFonts w:ascii="Arial" w:cs="Arial" w:eastAsia="Arial" w:hAnsi="Arial"/>
                <w:sz w:val="14"/>
                <w:szCs w:val="14"/>
                <w:color w:val="auto"/>
              </w:rPr>
              <w:t>$29.23</w:t>
            </w:r>
          </w:p>
        </w:tc>
        <w:tc>
          <w:tcPr>
            <w:tcW w:w="900" w:type="dxa"/>
            <w:vAlign w:val="bottom"/>
            <w:tcBorders>
              <w:right w:val="single" w:sz="8" w:color="auto"/>
            </w:tcBorders>
            <w:shd w:val="clear" w:color="auto" w:fill="CCEEFF"/>
          </w:tcPr>
          <w:p>
            <w:pPr>
              <w:ind w:left="200"/>
              <w:spacing w:after="0" w:line="149" w:lineRule="exact"/>
              <w:rPr>
                <w:sz w:val="20"/>
                <w:szCs w:val="20"/>
                <w:color w:val="auto"/>
              </w:rPr>
            </w:pPr>
            <w:r>
              <w:rPr>
                <w:rFonts w:ascii="Arial" w:cs="Arial" w:eastAsia="Arial" w:hAnsi="Arial"/>
                <w:sz w:val="14"/>
                <w:szCs w:val="14"/>
                <w:color w:val="auto"/>
                <w:w w:val="94"/>
              </w:rPr>
              <w:t>02/05/2017</w:t>
            </w:r>
          </w:p>
        </w:tc>
        <w:tc>
          <w:tcPr>
            <w:tcW w:w="920" w:type="dxa"/>
            <w:vAlign w:val="bottom"/>
            <w:tcBorders>
              <w:right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02/08/2011</w:t>
            </w:r>
          </w:p>
        </w:tc>
        <w:tc>
          <w:tcPr>
            <w:tcW w:w="780" w:type="dxa"/>
            <w:vAlign w:val="bottom"/>
            <w:tcBorders>
              <w:right w:val="single" w:sz="8" w:color="auto"/>
            </w:tcBorders>
            <w:shd w:val="clear" w:color="auto" w:fill="CCEEFF"/>
          </w:tcPr>
          <w:p>
            <w:pPr>
              <w:jc w:val="right"/>
              <w:ind w:right="168"/>
              <w:spacing w:after="0" w:line="149" w:lineRule="exact"/>
              <w:rPr>
                <w:sz w:val="20"/>
                <w:szCs w:val="20"/>
                <w:color w:val="auto"/>
              </w:rPr>
            </w:pPr>
            <w:r>
              <w:rPr>
                <w:rFonts w:ascii="Arial" w:cs="Arial" w:eastAsia="Arial" w:hAnsi="Arial"/>
                <w:sz w:val="14"/>
                <w:szCs w:val="14"/>
                <w:color w:val="auto"/>
              </w:rPr>
              <w:t>8,900</w:t>
            </w:r>
          </w:p>
        </w:tc>
        <w:tc>
          <w:tcPr>
            <w:tcW w:w="1000" w:type="dxa"/>
            <w:vAlign w:val="bottom"/>
            <w:tcBorders>
              <w:right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$490,123</w:t>
            </w:r>
          </w:p>
        </w:tc>
        <w:tc>
          <w:tcPr>
            <w:tcW w:w="1240" w:type="dxa"/>
            <w:vAlign w:val="bottom"/>
            <w:tcBorders>
              <w:right w:val="single" w:sz="8" w:color="auto"/>
            </w:tcBorders>
            <w:shd w:val="clear" w:color="auto" w:fill="CCEEFF"/>
          </w:tcPr>
          <w:p>
            <w:pPr>
              <w:spacing w:after="0"/>
              <w:rPr>
                <w:sz w:val="12"/>
                <w:szCs w:val="12"/>
                <w:color w:val="auto"/>
              </w:rPr>
            </w:pPr>
          </w:p>
        </w:tc>
        <w:tc>
          <w:tcPr>
            <w:tcW w:w="1360" w:type="dxa"/>
            <w:vAlign w:val="bottom"/>
            <w:tcBorders>
              <w:right w:val="single" w:sz="8" w:color="auto"/>
            </w:tcBorders>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720" w:type="dxa"/>
            <w:vAlign w:val="bottom"/>
            <w:tcBorders>
              <w:left w:val="single" w:sz="8" w:color="auto"/>
              <w:right w:val="single" w:sz="8" w:color="auto"/>
            </w:tcBorders>
            <w:shd w:val="clear" w:color="auto" w:fill="CCEEFF"/>
          </w:tcPr>
          <w:p>
            <w:pPr>
              <w:spacing w:after="0"/>
              <w:rPr>
                <w:sz w:val="12"/>
                <w:szCs w:val="12"/>
                <w:color w:val="auto"/>
              </w:rPr>
            </w:pPr>
          </w:p>
        </w:tc>
        <w:tc>
          <w:tcPr>
            <w:tcW w:w="900" w:type="dxa"/>
            <w:vAlign w:val="bottom"/>
            <w:tcBorders>
              <w:right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02/04/2008</w:t>
            </w:r>
          </w:p>
        </w:tc>
        <w:tc>
          <w:tcPr>
            <w:tcW w:w="80" w:type="dxa"/>
            <w:vAlign w:val="bottom"/>
            <w:shd w:val="clear" w:color="auto" w:fill="CCEEFF"/>
          </w:tcPr>
          <w:p>
            <w:pPr>
              <w:spacing w:after="0"/>
              <w:rPr>
                <w:sz w:val="12"/>
                <w:szCs w:val="12"/>
                <w:color w:val="auto"/>
              </w:rPr>
            </w:pPr>
          </w:p>
        </w:tc>
        <w:tc>
          <w:tcPr>
            <w:tcW w:w="820" w:type="dxa"/>
            <w:vAlign w:val="bottom"/>
            <w:tcBorders>
              <w:right w:val="single" w:sz="8" w:color="auto"/>
            </w:tcBorders>
            <w:shd w:val="clear" w:color="auto" w:fill="CCEEFF"/>
          </w:tcPr>
          <w:p>
            <w:pPr>
              <w:jc w:val="right"/>
              <w:ind w:right="48"/>
              <w:spacing w:after="0" w:line="149" w:lineRule="exact"/>
              <w:rPr>
                <w:sz w:val="20"/>
                <w:szCs w:val="20"/>
                <w:color w:val="auto"/>
              </w:rPr>
            </w:pPr>
            <w:r>
              <w:rPr>
                <w:rFonts w:ascii="Arial" w:cs="Arial" w:eastAsia="Arial" w:hAnsi="Arial"/>
                <w:sz w:val="14"/>
                <w:szCs w:val="14"/>
                <w:color w:val="auto"/>
              </w:rPr>
              <w:t>127,000</w:t>
            </w:r>
          </w:p>
        </w:tc>
        <w:tc>
          <w:tcPr>
            <w:tcW w:w="1020" w:type="dxa"/>
            <w:vAlign w:val="bottom"/>
            <w:tcBorders>
              <w:right w:val="single" w:sz="8" w:color="auto"/>
            </w:tcBorders>
            <w:gridSpan w:val="2"/>
            <w:shd w:val="clear" w:color="auto" w:fill="CCEEFF"/>
          </w:tcPr>
          <w:p>
            <w:pPr>
              <w:jc w:val="right"/>
              <w:ind w:right="48"/>
              <w:spacing w:after="0" w:line="149" w:lineRule="exact"/>
              <w:rPr>
                <w:sz w:val="20"/>
                <w:szCs w:val="20"/>
                <w:color w:val="auto"/>
              </w:rPr>
            </w:pPr>
            <w:r>
              <w:rPr>
                <w:rFonts w:ascii="Arial" w:cs="Arial" w:eastAsia="Arial" w:hAnsi="Arial"/>
                <w:sz w:val="14"/>
                <w:szCs w:val="14"/>
                <w:color w:val="auto"/>
              </w:rPr>
              <w:t>0</w:t>
            </w:r>
          </w:p>
        </w:tc>
        <w:tc>
          <w:tcPr>
            <w:tcW w:w="700" w:type="dxa"/>
            <w:vAlign w:val="bottom"/>
            <w:tcBorders>
              <w:right w:val="single" w:sz="8" w:color="auto"/>
            </w:tcBorders>
            <w:shd w:val="clear" w:color="auto" w:fill="CCEEFF"/>
          </w:tcPr>
          <w:p>
            <w:pPr>
              <w:jc w:val="right"/>
              <w:ind w:right="28"/>
              <w:spacing w:after="0" w:line="149" w:lineRule="exact"/>
              <w:rPr>
                <w:sz w:val="20"/>
                <w:szCs w:val="20"/>
                <w:color w:val="auto"/>
              </w:rPr>
            </w:pPr>
            <w:r>
              <w:rPr>
                <w:rFonts w:ascii="Arial" w:cs="Arial" w:eastAsia="Arial" w:hAnsi="Arial"/>
                <w:sz w:val="14"/>
                <w:szCs w:val="14"/>
                <w:color w:val="auto"/>
              </w:rPr>
              <w:t>$30.70</w:t>
            </w:r>
          </w:p>
        </w:tc>
        <w:tc>
          <w:tcPr>
            <w:tcW w:w="900" w:type="dxa"/>
            <w:vAlign w:val="bottom"/>
            <w:tcBorders>
              <w:right w:val="single" w:sz="8" w:color="auto"/>
            </w:tcBorders>
            <w:shd w:val="clear" w:color="auto" w:fill="CCEEFF"/>
          </w:tcPr>
          <w:p>
            <w:pPr>
              <w:ind w:left="200"/>
              <w:spacing w:after="0" w:line="149" w:lineRule="exact"/>
              <w:rPr>
                <w:sz w:val="20"/>
                <w:szCs w:val="20"/>
                <w:color w:val="auto"/>
              </w:rPr>
            </w:pPr>
            <w:r>
              <w:rPr>
                <w:rFonts w:ascii="Arial" w:cs="Arial" w:eastAsia="Arial" w:hAnsi="Arial"/>
                <w:sz w:val="14"/>
                <w:szCs w:val="14"/>
                <w:color w:val="auto"/>
                <w:w w:val="94"/>
              </w:rPr>
              <w:t>02/04/2018</w:t>
            </w:r>
          </w:p>
        </w:tc>
        <w:tc>
          <w:tcPr>
            <w:tcW w:w="920" w:type="dxa"/>
            <w:vAlign w:val="bottom"/>
            <w:tcBorders>
              <w:right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02/09/2012</w:t>
            </w:r>
          </w:p>
        </w:tc>
        <w:tc>
          <w:tcPr>
            <w:tcW w:w="780" w:type="dxa"/>
            <w:vAlign w:val="bottom"/>
            <w:tcBorders>
              <w:right w:val="single" w:sz="8" w:color="auto"/>
            </w:tcBorders>
            <w:shd w:val="clear" w:color="auto" w:fill="CCEEFF"/>
          </w:tcPr>
          <w:p>
            <w:pPr>
              <w:spacing w:after="0"/>
              <w:rPr>
                <w:sz w:val="12"/>
                <w:szCs w:val="12"/>
                <w:color w:val="auto"/>
              </w:rPr>
            </w:pPr>
          </w:p>
        </w:tc>
        <w:tc>
          <w:tcPr>
            <w:tcW w:w="1000" w:type="dxa"/>
            <w:vAlign w:val="bottom"/>
            <w:tcBorders>
              <w:right w:val="single" w:sz="8" w:color="auto"/>
            </w:tcBorders>
            <w:shd w:val="clear" w:color="auto" w:fill="CCEEFF"/>
          </w:tcPr>
          <w:p>
            <w:pPr>
              <w:spacing w:after="0"/>
              <w:rPr>
                <w:sz w:val="12"/>
                <w:szCs w:val="12"/>
                <w:color w:val="auto"/>
              </w:rPr>
            </w:pPr>
          </w:p>
        </w:tc>
        <w:tc>
          <w:tcPr>
            <w:tcW w:w="1240" w:type="dxa"/>
            <w:vAlign w:val="bottom"/>
            <w:tcBorders>
              <w:right w:val="single" w:sz="8" w:color="auto"/>
            </w:tcBorders>
            <w:shd w:val="clear" w:color="auto" w:fill="CCEEFF"/>
          </w:tcPr>
          <w:p>
            <w:pPr>
              <w:jc w:val="right"/>
              <w:ind w:right="88"/>
              <w:spacing w:after="0" w:line="149" w:lineRule="exact"/>
              <w:rPr>
                <w:sz w:val="20"/>
                <w:szCs w:val="20"/>
                <w:color w:val="auto"/>
              </w:rPr>
            </w:pPr>
            <w:r>
              <w:rPr>
                <w:rFonts w:ascii="Arial" w:cs="Arial" w:eastAsia="Arial" w:hAnsi="Arial"/>
                <w:sz w:val="14"/>
                <w:szCs w:val="14"/>
                <w:color w:val="auto"/>
              </w:rPr>
              <w:t>24,000</w:t>
            </w:r>
          </w:p>
        </w:tc>
        <w:tc>
          <w:tcPr>
            <w:tcW w:w="1360" w:type="dxa"/>
            <w:vAlign w:val="bottom"/>
            <w:tcBorders>
              <w:right w:val="single" w:sz="8" w:color="auto"/>
            </w:tcBorders>
            <w:shd w:val="clear" w:color="auto" w:fill="CCEEFF"/>
          </w:tcPr>
          <w:p>
            <w:pPr>
              <w:jc w:val="right"/>
              <w:ind w:right="88"/>
              <w:spacing w:after="0" w:line="149" w:lineRule="exact"/>
              <w:rPr>
                <w:sz w:val="20"/>
                <w:szCs w:val="20"/>
                <w:color w:val="auto"/>
              </w:rPr>
            </w:pPr>
            <w:r>
              <w:rPr>
                <w:rFonts w:ascii="Arial" w:cs="Arial" w:eastAsia="Arial" w:hAnsi="Arial"/>
                <w:sz w:val="14"/>
                <w:szCs w:val="14"/>
                <w:color w:val="auto"/>
              </w:rPr>
              <w:t>$1,321,680</w:t>
            </w:r>
          </w:p>
        </w:tc>
        <w:tc>
          <w:tcPr>
            <w:tcW w:w="0" w:type="dxa"/>
            <w:vAlign w:val="bottom"/>
          </w:tcPr>
          <w:p>
            <w:pPr>
              <w:spacing w:after="0"/>
              <w:rPr>
                <w:sz w:val="1"/>
                <w:szCs w:val="1"/>
                <w:color w:val="auto"/>
              </w:rPr>
            </w:pPr>
          </w:p>
        </w:tc>
      </w:tr>
      <w:tr>
        <w:trPr>
          <w:trHeight w:val="149"/>
        </w:trPr>
        <w:tc>
          <w:tcPr>
            <w:tcW w:w="1720" w:type="dxa"/>
            <w:vAlign w:val="bottom"/>
            <w:tcBorders>
              <w:left w:val="single" w:sz="8" w:color="auto"/>
              <w:right w:val="single" w:sz="8" w:color="auto"/>
            </w:tcBorders>
            <w:shd w:val="clear" w:color="auto" w:fill="CCEEFF"/>
          </w:tcPr>
          <w:p>
            <w:pPr>
              <w:spacing w:after="0"/>
              <w:rPr>
                <w:sz w:val="12"/>
                <w:szCs w:val="12"/>
                <w:color w:val="auto"/>
              </w:rPr>
            </w:pPr>
          </w:p>
        </w:tc>
        <w:tc>
          <w:tcPr>
            <w:tcW w:w="900" w:type="dxa"/>
            <w:vAlign w:val="bottom"/>
            <w:tcBorders>
              <w:right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02/08/2010</w:t>
            </w:r>
          </w:p>
        </w:tc>
        <w:tc>
          <w:tcPr>
            <w:tcW w:w="80" w:type="dxa"/>
            <w:vAlign w:val="bottom"/>
            <w:shd w:val="clear" w:color="auto" w:fill="CCEEFF"/>
          </w:tcPr>
          <w:p>
            <w:pPr>
              <w:spacing w:after="0"/>
              <w:rPr>
                <w:sz w:val="12"/>
                <w:szCs w:val="12"/>
                <w:color w:val="auto"/>
              </w:rPr>
            </w:pPr>
          </w:p>
        </w:tc>
        <w:tc>
          <w:tcPr>
            <w:tcW w:w="820" w:type="dxa"/>
            <w:vAlign w:val="bottom"/>
            <w:tcBorders>
              <w:right w:val="single" w:sz="8" w:color="auto"/>
            </w:tcBorders>
            <w:shd w:val="clear" w:color="auto" w:fill="CCEEFF"/>
          </w:tcPr>
          <w:p>
            <w:pPr>
              <w:jc w:val="right"/>
              <w:ind w:right="48"/>
              <w:spacing w:after="0" w:line="149" w:lineRule="exact"/>
              <w:rPr>
                <w:sz w:val="20"/>
                <w:szCs w:val="20"/>
                <w:color w:val="auto"/>
              </w:rPr>
            </w:pPr>
            <w:r>
              <w:rPr>
                <w:rFonts w:ascii="Arial" w:cs="Arial" w:eastAsia="Arial" w:hAnsi="Arial"/>
                <w:sz w:val="14"/>
                <w:szCs w:val="14"/>
                <w:color w:val="auto"/>
              </w:rPr>
              <w:t>62,825</w:t>
            </w:r>
          </w:p>
        </w:tc>
        <w:tc>
          <w:tcPr>
            <w:tcW w:w="1020" w:type="dxa"/>
            <w:vAlign w:val="bottom"/>
            <w:tcBorders>
              <w:right w:val="single" w:sz="8" w:color="auto"/>
            </w:tcBorders>
            <w:gridSpan w:val="2"/>
            <w:shd w:val="clear" w:color="auto" w:fill="CCEEFF"/>
          </w:tcPr>
          <w:p>
            <w:pPr>
              <w:jc w:val="right"/>
              <w:ind w:right="48"/>
              <w:spacing w:after="0" w:line="149" w:lineRule="exact"/>
              <w:rPr>
                <w:sz w:val="20"/>
                <w:szCs w:val="20"/>
                <w:color w:val="auto"/>
              </w:rPr>
            </w:pPr>
            <w:r>
              <w:rPr>
                <w:rFonts w:ascii="Arial" w:cs="Arial" w:eastAsia="Arial" w:hAnsi="Arial"/>
                <w:sz w:val="14"/>
                <w:szCs w:val="14"/>
                <w:color w:val="auto"/>
              </w:rPr>
              <w:t>41,775</w:t>
            </w:r>
          </w:p>
        </w:tc>
        <w:tc>
          <w:tcPr>
            <w:tcW w:w="700" w:type="dxa"/>
            <w:vAlign w:val="bottom"/>
            <w:tcBorders>
              <w:right w:val="single" w:sz="8" w:color="auto"/>
            </w:tcBorders>
            <w:shd w:val="clear" w:color="auto" w:fill="CCEEFF"/>
          </w:tcPr>
          <w:p>
            <w:pPr>
              <w:jc w:val="right"/>
              <w:ind w:right="28"/>
              <w:spacing w:after="0" w:line="149" w:lineRule="exact"/>
              <w:rPr>
                <w:sz w:val="20"/>
                <w:szCs w:val="20"/>
                <w:color w:val="auto"/>
              </w:rPr>
            </w:pPr>
            <w:r>
              <w:rPr>
                <w:rFonts w:ascii="Arial" w:cs="Arial" w:eastAsia="Arial" w:hAnsi="Arial"/>
                <w:sz w:val="14"/>
                <w:szCs w:val="14"/>
                <w:color w:val="auto"/>
              </w:rPr>
              <w:t>$22.67</w:t>
            </w:r>
          </w:p>
        </w:tc>
        <w:tc>
          <w:tcPr>
            <w:tcW w:w="900" w:type="dxa"/>
            <w:vAlign w:val="bottom"/>
            <w:tcBorders>
              <w:right w:val="single" w:sz="8" w:color="auto"/>
            </w:tcBorders>
            <w:shd w:val="clear" w:color="auto" w:fill="CCEEFF"/>
          </w:tcPr>
          <w:p>
            <w:pPr>
              <w:ind w:left="200"/>
              <w:spacing w:after="0" w:line="149" w:lineRule="exact"/>
              <w:rPr>
                <w:sz w:val="20"/>
                <w:szCs w:val="20"/>
                <w:color w:val="auto"/>
              </w:rPr>
            </w:pPr>
            <w:r>
              <w:rPr>
                <w:rFonts w:ascii="Arial" w:cs="Arial" w:eastAsia="Arial" w:hAnsi="Arial"/>
                <w:sz w:val="14"/>
                <w:szCs w:val="14"/>
                <w:color w:val="auto"/>
                <w:w w:val="94"/>
              </w:rPr>
              <w:t>02/08/2020</w:t>
            </w:r>
          </w:p>
        </w:tc>
        <w:tc>
          <w:tcPr>
            <w:tcW w:w="920" w:type="dxa"/>
            <w:vAlign w:val="bottom"/>
            <w:tcBorders>
              <w:right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02/07/2013</w:t>
            </w:r>
          </w:p>
        </w:tc>
        <w:tc>
          <w:tcPr>
            <w:tcW w:w="780" w:type="dxa"/>
            <w:vAlign w:val="bottom"/>
            <w:tcBorders>
              <w:right w:val="single" w:sz="8" w:color="auto"/>
            </w:tcBorders>
            <w:shd w:val="clear" w:color="auto" w:fill="CCEEFF"/>
          </w:tcPr>
          <w:p>
            <w:pPr>
              <w:spacing w:after="0"/>
              <w:rPr>
                <w:sz w:val="12"/>
                <w:szCs w:val="12"/>
                <w:color w:val="auto"/>
              </w:rPr>
            </w:pPr>
          </w:p>
        </w:tc>
        <w:tc>
          <w:tcPr>
            <w:tcW w:w="1000" w:type="dxa"/>
            <w:vAlign w:val="bottom"/>
            <w:tcBorders>
              <w:right w:val="single" w:sz="8" w:color="auto"/>
            </w:tcBorders>
            <w:shd w:val="clear" w:color="auto" w:fill="CCEEFF"/>
          </w:tcPr>
          <w:p>
            <w:pPr>
              <w:spacing w:after="0"/>
              <w:rPr>
                <w:sz w:val="12"/>
                <w:szCs w:val="12"/>
                <w:color w:val="auto"/>
              </w:rPr>
            </w:pPr>
          </w:p>
        </w:tc>
        <w:tc>
          <w:tcPr>
            <w:tcW w:w="1240" w:type="dxa"/>
            <w:vAlign w:val="bottom"/>
            <w:tcBorders>
              <w:right w:val="single" w:sz="8" w:color="auto"/>
            </w:tcBorders>
            <w:shd w:val="clear" w:color="auto" w:fill="CCEEFF"/>
          </w:tcPr>
          <w:p>
            <w:pPr>
              <w:jc w:val="right"/>
              <w:ind w:right="88"/>
              <w:spacing w:after="0" w:line="149" w:lineRule="exact"/>
              <w:rPr>
                <w:sz w:val="20"/>
                <w:szCs w:val="20"/>
                <w:color w:val="auto"/>
              </w:rPr>
            </w:pPr>
            <w:r>
              <w:rPr>
                <w:rFonts w:ascii="Arial" w:cs="Arial" w:eastAsia="Arial" w:hAnsi="Arial"/>
                <w:sz w:val="14"/>
                <w:szCs w:val="14"/>
                <w:color w:val="auto"/>
              </w:rPr>
              <w:t>23,400</w:t>
            </w:r>
          </w:p>
        </w:tc>
        <w:tc>
          <w:tcPr>
            <w:tcW w:w="1360" w:type="dxa"/>
            <w:vAlign w:val="bottom"/>
            <w:tcBorders>
              <w:right w:val="single" w:sz="8" w:color="auto"/>
            </w:tcBorders>
            <w:shd w:val="clear" w:color="auto" w:fill="CCEEFF"/>
          </w:tcPr>
          <w:p>
            <w:pPr>
              <w:jc w:val="right"/>
              <w:ind w:right="88"/>
              <w:spacing w:after="0" w:line="149" w:lineRule="exact"/>
              <w:rPr>
                <w:sz w:val="20"/>
                <w:szCs w:val="20"/>
                <w:color w:val="auto"/>
              </w:rPr>
            </w:pPr>
            <w:r>
              <w:rPr>
                <w:rFonts w:ascii="Arial" w:cs="Arial" w:eastAsia="Arial" w:hAnsi="Arial"/>
                <w:sz w:val="14"/>
                <w:szCs w:val="14"/>
                <w:color w:val="auto"/>
              </w:rPr>
              <w:t>$1,288,638</w:t>
            </w:r>
          </w:p>
        </w:tc>
        <w:tc>
          <w:tcPr>
            <w:tcW w:w="0" w:type="dxa"/>
            <w:vAlign w:val="bottom"/>
          </w:tcPr>
          <w:p>
            <w:pPr>
              <w:spacing w:after="0"/>
              <w:rPr>
                <w:sz w:val="1"/>
                <w:szCs w:val="1"/>
                <w:color w:val="auto"/>
              </w:rPr>
            </w:pPr>
          </w:p>
        </w:tc>
      </w:tr>
      <w:tr>
        <w:trPr>
          <w:trHeight w:val="149"/>
        </w:trPr>
        <w:tc>
          <w:tcPr>
            <w:tcW w:w="1720" w:type="dxa"/>
            <w:vAlign w:val="bottom"/>
            <w:tcBorders>
              <w:left w:val="single" w:sz="8" w:color="auto"/>
              <w:right w:val="single" w:sz="8" w:color="auto"/>
            </w:tcBorders>
            <w:shd w:val="clear" w:color="auto" w:fill="CCEEFF"/>
          </w:tcPr>
          <w:p>
            <w:pPr>
              <w:spacing w:after="0"/>
              <w:rPr>
                <w:sz w:val="12"/>
                <w:szCs w:val="12"/>
                <w:color w:val="auto"/>
              </w:rPr>
            </w:pPr>
          </w:p>
        </w:tc>
        <w:tc>
          <w:tcPr>
            <w:tcW w:w="900" w:type="dxa"/>
            <w:vAlign w:val="bottom"/>
            <w:tcBorders>
              <w:right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02/08/2011</w:t>
            </w:r>
          </w:p>
        </w:tc>
        <w:tc>
          <w:tcPr>
            <w:tcW w:w="80" w:type="dxa"/>
            <w:vAlign w:val="bottom"/>
            <w:shd w:val="clear" w:color="auto" w:fill="CCEEFF"/>
          </w:tcPr>
          <w:p>
            <w:pPr>
              <w:spacing w:after="0"/>
              <w:rPr>
                <w:sz w:val="12"/>
                <w:szCs w:val="12"/>
                <w:color w:val="auto"/>
              </w:rPr>
            </w:pPr>
          </w:p>
        </w:tc>
        <w:tc>
          <w:tcPr>
            <w:tcW w:w="820" w:type="dxa"/>
            <w:vAlign w:val="bottom"/>
            <w:tcBorders>
              <w:right w:val="single" w:sz="8" w:color="auto"/>
            </w:tcBorders>
            <w:shd w:val="clear" w:color="auto" w:fill="CCEEFF"/>
          </w:tcPr>
          <w:p>
            <w:pPr>
              <w:jc w:val="right"/>
              <w:ind w:right="48"/>
              <w:spacing w:after="0" w:line="149" w:lineRule="exact"/>
              <w:rPr>
                <w:sz w:val="20"/>
                <w:szCs w:val="20"/>
                <w:color w:val="auto"/>
              </w:rPr>
            </w:pPr>
            <w:r>
              <w:rPr>
                <w:rFonts w:ascii="Arial" w:cs="Arial" w:eastAsia="Arial" w:hAnsi="Arial"/>
                <w:sz w:val="14"/>
                <w:szCs w:val="14"/>
                <w:color w:val="auto"/>
              </w:rPr>
              <w:t>53,000</w:t>
            </w:r>
          </w:p>
        </w:tc>
        <w:tc>
          <w:tcPr>
            <w:tcW w:w="100" w:type="dxa"/>
            <w:vAlign w:val="bottom"/>
            <w:shd w:val="clear" w:color="auto" w:fill="CCEEFF"/>
          </w:tcPr>
          <w:p>
            <w:pPr>
              <w:spacing w:after="0"/>
              <w:rPr>
                <w:sz w:val="12"/>
                <w:szCs w:val="12"/>
                <w:color w:val="auto"/>
              </w:rPr>
            </w:pPr>
          </w:p>
        </w:tc>
        <w:tc>
          <w:tcPr>
            <w:tcW w:w="920" w:type="dxa"/>
            <w:vAlign w:val="bottom"/>
            <w:tcBorders>
              <w:right w:val="single" w:sz="8" w:color="auto"/>
            </w:tcBorders>
            <w:shd w:val="clear" w:color="auto" w:fill="CCEEFF"/>
          </w:tcPr>
          <w:p>
            <w:pPr>
              <w:jc w:val="right"/>
              <w:ind w:right="48"/>
              <w:spacing w:after="0" w:line="149" w:lineRule="exact"/>
              <w:rPr>
                <w:sz w:val="20"/>
                <w:szCs w:val="20"/>
                <w:color w:val="auto"/>
              </w:rPr>
            </w:pPr>
            <w:r>
              <w:rPr>
                <w:rFonts w:ascii="Arial" w:cs="Arial" w:eastAsia="Arial" w:hAnsi="Arial"/>
                <w:sz w:val="14"/>
                <w:szCs w:val="14"/>
                <w:color w:val="auto"/>
              </w:rPr>
              <w:t>53,000</w:t>
            </w:r>
          </w:p>
        </w:tc>
        <w:tc>
          <w:tcPr>
            <w:tcW w:w="700" w:type="dxa"/>
            <w:vAlign w:val="bottom"/>
            <w:tcBorders>
              <w:right w:val="single" w:sz="8" w:color="auto"/>
            </w:tcBorders>
            <w:shd w:val="clear" w:color="auto" w:fill="CCEEFF"/>
          </w:tcPr>
          <w:p>
            <w:pPr>
              <w:jc w:val="right"/>
              <w:ind w:right="28"/>
              <w:spacing w:after="0" w:line="149" w:lineRule="exact"/>
              <w:rPr>
                <w:sz w:val="20"/>
                <w:szCs w:val="20"/>
                <w:color w:val="auto"/>
              </w:rPr>
            </w:pPr>
            <w:r>
              <w:rPr>
                <w:rFonts w:ascii="Arial" w:cs="Arial" w:eastAsia="Arial" w:hAnsi="Arial"/>
                <w:sz w:val="14"/>
                <w:szCs w:val="14"/>
                <w:color w:val="auto"/>
              </w:rPr>
              <w:t>$49.91</w:t>
            </w:r>
          </w:p>
        </w:tc>
        <w:tc>
          <w:tcPr>
            <w:tcW w:w="900" w:type="dxa"/>
            <w:vAlign w:val="bottom"/>
            <w:tcBorders>
              <w:right w:val="single" w:sz="8" w:color="auto"/>
            </w:tcBorders>
            <w:shd w:val="clear" w:color="auto" w:fill="CCEEFF"/>
          </w:tcPr>
          <w:p>
            <w:pPr>
              <w:ind w:left="200"/>
              <w:spacing w:after="0" w:line="149" w:lineRule="exact"/>
              <w:rPr>
                <w:sz w:val="20"/>
                <w:szCs w:val="20"/>
                <w:color w:val="auto"/>
              </w:rPr>
            </w:pPr>
            <w:r>
              <w:rPr>
                <w:rFonts w:ascii="Arial" w:cs="Arial" w:eastAsia="Arial" w:hAnsi="Arial"/>
                <w:sz w:val="14"/>
                <w:szCs w:val="14"/>
                <w:color w:val="auto"/>
                <w:w w:val="94"/>
              </w:rPr>
              <w:t>02/08/2021</w:t>
            </w:r>
          </w:p>
        </w:tc>
        <w:tc>
          <w:tcPr>
            <w:tcW w:w="920" w:type="dxa"/>
            <w:vAlign w:val="bottom"/>
            <w:tcBorders>
              <w:right w:val="single" w:sz="8" w:color="auto"/>
            </w:tcBorders>
            <w:shd w:val="clear" w:color="auto" w:fill="CCEEFF"/>
          </w:tcPr>
          <w:p>
            <w:pPr>
              <w:spacing w:after="0"/>
              <w:rPr>
                <w:sz w:val="12"/>
                <w:szCs w:val="12"/>
                <w:color w:val="auto"/>
              </w:rPr>
            </w:pPr>
          </w:p>
        </w:tc>
        <w:tc>
          <w:tcPr>
            <w:tcW w:w="780" w:type="dxa"/>
            <w:vAlign w:val="bottom"/>
            <w:tcBorders>
              <w:right w:val="single" w:sz="8" w:color="auto"/>
            </w:tcBorders>
            <w:shd w:val="clear" w:color="auto" w:fill="CCEEFF"/>
          </w:tcPr>
          <w:p>
            <w:pPr>
              <w:spacing w:after="0"/>
              <w:rPr>
                <w:sz w:val="12"/>
                <w:szCs w:val="12"/>
                <w:color w:val="auto"/>
              </w:rPr>
            </w:pPr>
          </w:p>
        </w:tc>
        <w:tc>
          <w:tcPr>
            <w:tcW w:w="1000" w:type="dxa"/>
            <w:vAlign w:val="bottom"/>
            <w:tcBorders>
              <w:right w:val="single" w:sz="8" w:color="auto"/>
            </w:tcBorders>
            <w:shd w:val="clear" w:color="auto" w:fill="CCEEFF"/>
          </w:tcPr>
          <w:p>
            <w:pPr>
              <w:spacing w:after="0"/>
              <w:rPr>
                <w:sz w:val="12"/>
                <w:szCs w:val="12"/>
                <w:color w:val="auto"/>
              </w:rPr>
            </w:pPr>
          </w:p>
        </w:tc>
        <w:tc>
          <w:tcPr>
            <w:tcW w:w="1240" w:type="dxa"/>
            <w:vAlign w:val="bottom"/>
            <w:tcBorders>
              <w:right w:val="single" w:sz="8" w:color="auto"/>
            </w:tcBorders>
            <w:shd w:val="clear" w:color="auto" w:fill="CCEEFF"/>
          </w:tcPr>
          <w:p>
            <w:pPr>
              <w:spacing w:after="0"/>
              <w:rPr>
                <w:sz w:val="12"/>
                <w:szCs w:val="12"/>
                <w:color w:val="auto"/>
              </w:rPr>
            </w:pPr>
          </w:p>
        </w:tc>
        <w:tc>
          <w:tcPr>
            <w:tcW w:w="1360" w:type="dxa"/>
            <w:vAlign w:val="bottom"/>
            <w:tcBorders>
              <w:right w:val="single" w:sz="8" w:color="auto"/>
            </w:tcBorders>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720" w:type="dxa"/>
            <w:vAlign w:val="bottom"/>
            <w:tcBorders>
              <w:left w:val="single" w:sz="8" w:color="auto"/>
              <w:right w:val="single" w:sz="8" w:color="auto"/>
            </w:tcBorders>
            <w:shd w:val="clear" w:color="auto" w:fill="CCEEFF"/>
          </w:tcPr>
          <w:p>
            <w:pPr>
              <w:spacing w:after="0"/>
              <w:rPr>
                <w:sz w:val="12"/>
                <w:szCs w:val="12"/>
                <w:color w:val="auto"/>
              </w:rPr>
            </w:pPr>
          </w:p>
        </w:tc>
        <w:tc>
          <w:tcPr>
            <w:tcW w:w="900" w:type="dxa"/>
            <w:vAlign w:val="bottom"/>
            <w:tcBorders>
              <w:right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02/09/2012</w:t>
            </w:r>
          </w:p>
        </w:tc>
        <w:tc>
          <w:tcPr>
            <w:tcW w:w="80" w:type="dxa"/>
            <w:vAlign w:val="bottom"/>
            <w:shd w:val="clear" w:color="auto" w:fill="CCEEFF"/>
          </w:tcPr>
          <w:p>
            <w:pPr>
              <w:spacing w:after="0"/>
              <w:rPr>
                <w:sz w:val="12"/>
                <w:szCs w:val="12"/>
                <w:color w:val="auto"/>
              </w:rPr>
            </w:pPr>
          </w:p>
        </w:tc>
        <w:tc>
          <w:tcPr>
            <w:tcW w:w="820" w:type="dxa"/>
            <w:vAlign w:val="bottom"/>
            <w:tcBorders>
              <w:right w:val="single" w:sz="8" w:color="auto"/>
            </w:tcBorders>
            <w:shd w:val="clear" w:color="auto" w:fill="CCEEFF"/>
          </w:tcPr>
          <w:p>
            <w:pPr>
              <w:jc w:val="right"/>
              <w:ind w:right="48"/>
              <w:spacing w:after="0" w:line="149" w:lineRule="exact"/>
              <w:rPr>
                <w:sz w:val="20"/>
                <w:szCs w:val="20"/>
                <w:color w:val="auto"/>
              </w:rPr>
            </w:pPr>
            <w:r>
              <w:rPr>
                <w:rFonts w:ascii="Arial" w:cs="Arial" w:eastAsia="Arial" w:hAnsi="Arial"/>
                <w:sz w:val="14"/>
                <w:szCs w:val="14"/>
                <w:color w:val="auto"/>
              </w:rPr>
              <w:t>22,550</w:t>
            </w:r>
          </w:p>
        </w:tc>
        <w:tc>
          <w:tcPr>
            <w:tcW w:w="100" w:type="dxa"/>
            <w:vAlign w:val="bottom"/>
            <w:shd w:val="clear" w:color="auto" w:fill="CCEEFF"/>
          </w:tcPr>
          <w:p>
            <w:pPr>
              <w:spacing w:after="0"/>
              <w:rPr>
                <w:sz w:val="12"/>
                <w:szCs w:val="12"/>
                <w:color w:val="auto"/>
              </w:rPr>
            </w:pPr>
          </w:p>
        </w:tc>
        <w:tc>
          <w:tcPr>
            <w:tcW w:w="920" w:type="dxa"/>
            <w:vAlign w:val="bottom"/>
            <w:tcBorders>
              <w:right w:val="single" w:sz="8" w:color="auto"/>
            </w:tcBorders>
            <w:shd w:val="clear" w:color="auto" w:fill="CCEEFF"/>
          </w:tcPr>
          <w:p>
            <w:pPr>
              <w:jc w:val="right"/>
              <w:ind w:right="48"/>
              <w:spacing w:after="0" w:line="149" w:lineRule="exact"/>
              <w:rPr>
                <w:sz w:val="20"/>
                <w:szCs w:val="20"/>
                <w:color w:val="auto"/>
              </w:rPr>
            </w:pPr>
            <w:r>
              <w:rPr>
                <w:rFonts w:ascii="Arial" w:cs="Arial" w:eastAsia="Arial" w:hAnsi="Arial"/>
                <w:sz w:val="14"/>
                <w:szCs w:val="14"/>
                <w:color w:val="auto"/>
              </w:rPr>
              <w:t>67,650</w:t>
            </w:r>
          </w:p>
        </w:tc>
        <w:tc>
          <w:tcPr>
            <w:tcW w:w="700" w:type="dxa"/>
            <w:vAlign w:val="bottom"/>
            <w:tcBorders>
              <w:right w:val="single" w:sz="8" w:color="auto"/>
            </w:tcBorders>
            <w:shd w:val="clear" w:color="auto" w:fill="CCEEFF"/>
          </w:tcPr>
          <w:p>
            <w:pPr>
              <w:jc w:val="right"/>
              <w:ind w:right="28"/>
              <w:spacing w:after="0" w:line="149" w:lineRule="exact"/>
              <w:rPr>
                <w:sz w:val="20"/>
                <w:szCs w:val="20"/>
                <w:color w:val="auto"/>
              </w:rPr>
            </w:pPr>
            <w:r>
              <w:rPr>
                <w:rFonts w:ascii="Arial" w:cs="Arial" w:eastAsia="Arial" w:hAnsi="Arial"/>
                <w:sz w:val="14"/>
                <w:szCs w:val="14"/>
                <w:color w:val="auto"/>
              </w:rPr>
              <w:t>$51.76</w:t>
            </w:r>
          </w:p>
        </w:tc>
        <w:tc>
          <w:tcPr>
            <w:tcW w:w="900" w:type="dxa"/>
            <w:vAlign w:val="bottom"/>
            <w:tcBorders>
              <w:right w:val="single" w:sz="8" w:color="auto"/>
            </w:tcBorders>
            <w:shd w:val="clear" w:color="auto" w:fill="CCEEFF"/>
          </w:tcPr>
          <w:p>
            <w:pPr>
              <w:ind w:left="200"/>
              <w:spacing w:after="0" w:line="149" w:lineRule="exact"/>
              <w:rPr>
                <w:sz w:val="20"/>
                <w:szCs w:val="20"/>
                <w:color w:val="auto"/>
              </w:rPr>
            </w:pPr>
            <w:r>
              <w:rPr>
                <w:rFonts w:ascii="Arial" w:cs="Arial" w:eastAsia="Arial" w:hAnsi="Arial"/>
                <w:sz w:val="14"/>
                <w:szCs w:val="14"/>
                <w:color w:val="auto"/>
                <w:w w:val="94"/>
              </w:rPr>
              <w:t>02/09/2022</w:t>
            </w:r>
          </w:p>
        </w:tc>
        <w:tc>
          <w:tcPr>
            <w:tcW w:w="920" w:type="dxa"/>
            <w:vAlign w:val="bottom"/>
            <w:tcBorders>
              <w:right w:val="single" w:sz="8" w:color="auto"/>
            </w:tcBorders>
            <w:shd w:val="clear" w:color="auto" w:fill="CCEEFF"/>
          </w:tcPr>
          <w:p>
            <w:pPr>
              <w:spacing w:after="0"/>
              <w:rPr>
                <w:sz w:val="12"/>
                <w:szCs w:val="12"/>
                <w:color w:val="auto"/>
              </w:rPr>
            </w:pPr>
          </w:p>
        </w:tc>
        <w:tc>
          <w:tcPr>
            <w:tcW w:w="780" w:type="dxa"/>
            <w:vAlign w:val="bottom"/>
            <w:tcBorders>
              <w:right w:val="single" w:sz="8" w:color="auto"/>
            </w:tcBorders>
            <w:shd w:val="clear" w:color="auto" w:fill="CCEEFF"/>
          </w:tcPr>
          <w:p>
            <w:pPr>
              <w:spacing w:after="0"/>
              <w:rPr>
                <w:sz w:val="12"/>
                <w:szCs w:val="12"/>
                <w:color w:val="auto"/>
              </w:rPr>
            </w:pPr>
          </w:p>
        </w:tc>
        <w:tc>
          <w:tcPr>
            <w:tcW w:w="1000" w:type="dxa"/>
            <w:vAlign w:val="bottom"/>
            <w:tcBorders>
              <w:right w:val="single" w:sz="8" w:color="auto"/>
            </w:tcBorders>
            <w:shd w:val="clear" w:color="auto" w:fill="CCEEFF"/>
          </w:tcPr>
          <w:p>
            <w:pPr>
              <w:spacing w:after="0"/>
              <w:rPr>
                <w:sz w:val="12"/>
                <w:szCs w:val="12"/>
                <w:color w:val="auto"/>
              </w:rPr>
            </w:pPr>
          </w:p>
        </w:tc>
        <w:tc>
          <w:tcPr>
            <w:tcW w:w="1240" w:type="dxa"/>
            <w:vAlign w:val="bottom"/>
            <w:tcBorders>
              <w:right w:val="single" w:sz="8" w:color="auto"/>
            </w:tcBorders>
            <w:shd w:val="clear" w:color="auto" w:fill="CCEEFF"/>
          </w:tcPr>
          <w:p>
            <w:pPr>
              <w:spacing w:after="0"/>
              <w:rPr>
                <w:sz w:val="12"/>
                <w:szCs w:val="12"/>
                <w:color w:val="auto"/>
              </w:rPr>
            </w:pPr>
          </w:p>
        </w:tc>
        <w:tc>
          <w:tcPr>
            <w:tcW w:w="1360" w:type="dxa"/>
            <w:vAlign w:val="bottom"/>
            <w:tcBorders>
              <w:right w:val="single" w:sz="8" w:color="auto"/>
            </w:tcBorders>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67"/>
        </w:trPr>
        <w:tc>
          <w:tcPr>
            <w:tcW w:w="1720" w:type="dxa"/>
            <w:vAlign w:val="bottom"/>
            <w:tcBorders>
              <w:left w:val="single" w:sz="8" w:color="auto"/>
              <w:bottom w:val="single" w:sz="8" w:color="auto"/>
              <w:right w:val="single" w:sz="8" w:color="auto"/>
            </w:tcBorders>
            <w:shd w:val="clear" w:color="auto" w:fill="CCEEFF"/>
          </w:tcPr>
          <w:p>
            <w:pPr>
              <w:spacing w:after="0"/>
              <w:rPr>
                <w:sz w:val="14"/>
                <w:szCs w:val="14"/>
                <w:color w:val="auto"/>
              </w:rPr>
            </w:pPr>
          </w:p>
        </w:tc>
        <w:tc>
          <w:tcPr>
            <w:tcW w:w="900" w:type="dxa"/>
            <w:vAlign w:val="bottom"/>
            <w:tcBorders>
              <w:bottom w:val="single" w:sz="8" w:color="auto"/>
              <w:right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02/07/2013</w:t>
            </w:r>
          </w:p>
        </w:tc>
        <w:tc>
          <w:tcPr>
            <w:tcW w:w="80" w:type="dxa"/>
            <w:vAlign w:val="bottom"/>
            <w:tcBorders>
              <w:bottom w:val="single" w:sz="8" w:color="auto"/>
            </w:tcBorders>
            <w:shd w:val="clear" w:color="auto" w:fill="CCEEFF"/>
          </w:tcPr>
          <w:p>
            <w:pPr>
              <w:spacing w:after="0"/>
              <w:rPr>
                <w:sz w:val="14"/>
                <w:szCs w:val="14"/>
                <w:color w:val="auto"/>
              </w:rPr>
            </w:pPr>
          </w:p>
        </w:tc>
        <w:tc>
          <w:tcPr>
            <w:tcW w:w="820" w:type="dxa"/>
            <w:vAlign w:val="bottom"/>
            <w:tcBorders>
              <w:bottom w:val="single" w:sz="8" w:color="auto"/>
              <w:right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0</w:t>
            </w:r>
          </w:p>
        </w:tc>
        <w:tc>
          <w:tcPr>
            <w:tcW w:w="100" w:type="dxa"/>
            <w:vAlign w:val="bottom"/>
            <w:tcBorders>
              <w:bottom w:val="single" w:sz="8" w:color="auto"/>
            </w:tcBorders>
            <w:shd w:val="clear" w:color="auto" w:fill="CCEEFF"/>
          </w:tcPr>
          <w:p>
            <w:pPr>
              <w:spacing w:after="0"/>
              <w:rPr>
                <w:sz w:val="14"/>
                <w:szCs w:val="14"/>
                <w:color w:val="auto"/>
              </w:rPr>
            </w:pPr>
          </w:p>
        </w:tc>
        <w:tc>
          <w:tcPr>
            <w:tcW w:w="920" w:type="dxa"/>
            <w:vAlign w:val="bottom"/>
            <w:tcBorders>
              <w:bottom w:val="single" w:sz="8" w:color="auto"/>
              <w:right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92,900</w:t>
            </w:r>
          </w:p>
        </w:tc>
        <w:tc>
          <w:tcPr>
            <w:tcW w:w="700" w:type="dxa"/>
            <w:vAlign w:val="bottom"/>
            <w:tcBorders>
              <w:bottom w:val="single" w:sz="8" w:color="auto"/>
              <w:right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$56.27</w:t>
            </w:r>
          </w:p>
        </w:tc>
        <w:tc>
          <w:tcPr>
            <w:tcW w:w="900" w:type="dxa"/>
            <w:vAlign w:val="bottom"/>
            <w:tcBorders>
              <w:bottom w:val="single" w:sz="8" w:color="auto"/>
              <w:right w:val="single" w:sz="8" w:color="auto"/>
            </w:tcBorders>
            <w:shd w:val="clear" w:color="auto" w:fill="CCEEFF"/>
          </w:tcPr>
          <w:p>
            <w:pPr>
              <w:ind w:left="200"/>
              <w:spacing w:after="0"/>
              <w:rPr>
                <w:sz w:val="20"/>
                <w:szCs w:val="20"/>
                <w:color w:val="auto"/>
              </w:rPr>
            </w:pPr>
            <w:r>
              <w:rPr>
                <w:rFonts w:ascii="Arial" w:cs="Arial" w:eastAsia="Arial" w:hAnsi="Arial"/>
                <w:sz w:val="14"/>
                <w:szCs w:val="14"/>
                <w:color w:val="auto"/>
                <w:w w:val="94"/>
              </w:rPr>
              <w:t>02/07/2023</w:t>
            </w:r>
          </w:p>
        </w:tc>
        <w:tc>
          <w:tcPr>
            <w:tcW w:w="920" w:type="dxa"/>
            <w:vAlign w:val="bottom"/>
            <w:tcBorders>
              <w:bottom w:val="single" w:sz="8" w:color="auto"/>
              <w:right w:val="single" w:sz="8" w:color="auto"/>
            </w:tcBorders>
            <w:shd w:val="clear" w:color="auto" w:fill="CCEEFF"/>
          </w:tcPr>
          <w:p>
            <w:pPr>
              <w:spacing w:after="0"/>
              <w:rPr>
                <w:sz w:val="14"/>
                <w:szCs w:val="14"/>
                <w:color w:val="auto"/>
              </w:rPr>
            </w:pPr>
          </w:p>
        </w:tc>
        <w:tc>
          <w:tcPr>
            <w:tcW w:w="780" w:type="dxa"/>
            <w:vAlign w:val="bottom"/>
            <w:tcBorders>
              <w:bottom w:val="single" w:sz="8" w:color="auto"/>
              <w:right w:val="single" w:sz="8" w:color="auto"/>
            </w:tcBorders>
            <w:shd w:val="clear" w:color="auto" w:fill="CCEEFF"/>
          </w:tcPr>
          <w:p>
            <w:pPr>
              <w:spacing w:after="0"/>
              <w:rPr>
                <w:sz w:val="14"/>
                <w:szCs w:val="14"/>
                <w:color w:val="auto"/>
              </w:rPr>
            </w:pPr>
          </w:p>
        </w:tc>
        <w:tc>
          <w:tcPr>
            <w:tcW w:w="1000" w:type="dxa"/>
            <w:vAlign w:val="bottom"/>
            <w:tcBorders>
              <w:bottom w:val="single" w:sz="8" w:color="auto"/>
              <w:right w:val="single" w:sz="8" w:color="auto"/>
            </w:tcBorders>
            <w:shd w:val="clear" w:color="auto" w:fill="CCEEFF"/>
          </w:tcPr>
          <w:p>
            <w:pPr>
              <w:spacing w:after="0"/>
              <w:rPr>
                <w:sz w:val="14"/>
                <w:szCs w:val="14"/>
                <w:color w:val="auto"/>
              </w:rPr>
            </w:pPr>
          </w:p>
        </w:tc>
        <w:tc>
          <w:tcPr>
            <w:tcW w:w="1240" w:type="dxa"/>
            <w:vAlign w:val="bottom"/>
            <w:tcBorders>
              <w:bottom w:val="single" w:sz="8" w:color="auto"/>
              <w:right w:val="single" w:sz="8" w:color="auto"/>
            </w:tcBorders>
            <w:shd w:val="clear" w:color="auto" w:fill="CCEEFF"/>
          </w:tcPr>
          <w:p>
            <w:pPr>
              <w:spacing w:after="0"/>
              <w:rPr>
                <w:sz w:val="14"/>
                <w:szCs w:val="14"/>
                <w:color w:val="auto"/>
              </w:rPr>
            </w:pPr>
          </w:p>
        </w:tc>
        <w:tc>
          <w:tcPr>
            <w:tcW w:w="1360" w:type="dxa"/>
            <w:vAlign w:val="bottom"/>
            <w:tcBorders>
              <w:bottom w:val="single" w:sz="8" w:color="auto"/>
              <w:right w:val="single" w:sz="8" w:color="auto"/>
            </w:tcBorders>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23"/>
        </w:trPr>
        <w:tc>
          <w:tcPr>
            <w:tcW w:w="1720" w:type="dxa"/>
            <w:vAlign w:val="bottom"/>
            <w:tcBorders>
              <w:left w:val="single" w:sz="8" w:color="auto"/>
              <w:right w:val="single" w:sz="8" w:color="auto"/>
            </w:tcBorders>
          </w:tcPr>
          <w:p>
            <w:pPr>
              <w:ind w:left="160"/>
              <w:spacing w:after="0" w:line="123" w:lineRule="exact"/>
              <w:rPr>
                <w:sz w:val="20"/>
                <w:szCs w:val="20"/>
                <w:color w:val="auto"/>
              </w:rPr>
            </w:pPr>
            <w:r>
              <w:rPr>
                <w:rFonts w:ascii="Arial" w:cs="Arial" w:eastAsia="Arial" w:hAnsi="Arial"/>
                <w:sz w:val="14"/>
                <w:szCs w:val="14"/>
                <w:color w:val="auto"/>
              </w:rPr>
              <w:t>Christopher J. Holding</w:t>
            </w:r>
          </w:p>
        </w:tc>
        <w:tc>
          <w:tcPr>
            <w:tcW w:w="900" w:type="dxa"/>
            <w:vAlign w:val="bottom"/>
            <w:tcBorders>
              <w:right w:val="single" w:sz="8" w:color="auto"/>
            </w:tcBorders>
          </w:tcPr>
          <w:p>
            <w:pPr>
              <w:jc w:val="right"/>
              <w:spacing w:after="0" w:line="123" w:lineRule="exact"/>
              <w:rPr>
                <w:sz w:val="20"/>
                <w:szCs w:val="20"/>
                <w:color w:val="auto"/>
              </w:rPr>
            </w:pPr>
            <w:r>
              <w:rPr>
                <w:rFonts w:ascii="Arial" w:cs="Arial" w:eastAsia="Arial" w:hAnsi="Arial"/>
                <w:sz w:val="14"/>
                <w:szCs w:val="14"/>
                <w:color w:val="auto"/>
              </w:rPr>
              <w:t>02/08/2010</w:t>
            </w:r>
          </w:p>
        </w:tc>
        <w:tc>
          <w:tcPr>
            <w:tcW w:w="80" w:type="dxa"/>
            <w:vAlign w:val="bottom"/>
          </w:tcPr>
          <w:p>
            <w:pPr>
              <w:spacing w:after="0"/>
              <w:rPr>
                <w:sz w:val="10"/>
                <w:szCs w:val="10"/>
                <w:color w:val="auto"/>
              </w:rPr>
            </w:pPr>
          </w:p>
        </w:tc>
        <w:tc>
          <w:tcPr>
            <w:tcW w:w="820" w:type="dxa"/>
            <w:vAlign w:val="bottom"/>
            <w:tcBorders>
              <w:right w:val="single" w:sz="8" w:color="auto"/>
            </w:tcBorders>
          </w:tcPr>
          <w:p>
            <w:pPr>
              <w:jc w:val="right"/>
              <w:ind w:right="48"/>
              <w:spacing w:after="0" w:line="123" w:lineRule="exact"/>
              <w:rPr>
                <w:sz w:val="20"/>
                <w:szCs w:val="20"/>
                <w:color w:val="auto"/>
              </w:rPr>
            </w:pPr>
            <w:r>
              <w:rPr>
                <w:rFonts w:ascii="Arial" w:cs="Arial" w:eastAsia="Arial" w:hAnsi="Arial"/>
                <w:sz w:val="14"/>
                <w:szCs w:val="14"/>
                <w:color w:val="auto"/>
              </w:rPr>
              <w:t>3,375</w:t>
            </w:r>
          </w:p>
        </w:tc>
        <w:tc>
          <w:tcPr>
            <w:tcW w:w="100" w:type="dxa"/>
            <w:vAlign w:val="bottom"/>
          </w:tcPr>
          <w:p>
            <w:pPr>
              <w:spacing w:after="0"/>
              <w:rPr>
                <w:sz w:val="10"/>
                <w:szCs w:val="10"/>
                <w:color w:val="auto"/>
              </w:rPr>
            </w:pPr>
          </w:p>
        </w:tc>
        <w:tc>
          <w:tcPr>
            <w:tcW w:w="920" w:type="dxa"/>
            <w:vAlign w:val="bottom"/>
            <w:tcBorders>
              <w:right w:val="single" w:sz="8" w:color="auto"/>
            </w:tcBorders>
          </w:tcPr>
          <w:p>
            <w:pPr>
              <w:jc w:val="right"/>
              <w:ind w:right="48"/>
              <w:spacing w:after="0" w:line="123" w:lineRule="exact"/>
              <w:rPr>
                <w:sz w:val="20"/>
                <w:szCs w:val="20"/>
                <w:color w:val="auto"/>
              </w:rPr>
            </w:pPr>
            <w:r>
              <w:rPr>
                <w:rFonts w:ascii="Arial" w:cs="Arial" w:eastAsia="Arial" w:hAnsi="Arial"/>
                <w:sz w:val="14"/>
                <w:szCs w:val="14"/>
                <w:color w:val="auto"/>
              </w:rPr>
              <w:t>1,125</w:t>
            </w:r>
          </w:p>
        </w:tc>
        <w:tc>
          <w:tcPr>
            <w:tcW w:w="700" w:type="dxa"/>
            <w:vAlign w:val="bottom"/>
            <w:tcBorders>
              <w:right w:val="single" w:sz="8" w:color="auto"/>
            </w:tcBorders>
          </w:tcPr>
          <w:p>
            <w:pPr>
              <w:jc w:val="right"/>
              <w:ind w:right="28"/>
              <w:spacing w:after="0" w:line="123" w:lineRule="exact"/>
              <w:rPr>
                <w:sz w:val="20"/>
                <w:szCs w:val="20"/>
                <w:color w:val="auto"/>
              </w:rPr>
            </w:pPr>
            <w:r>
              <w:rPr>
                <w:rFonts w:ascii="Arial" w:cs="Arial" w:eastAsia="Arial" w:hAnsi="Arial"/>
                <w:sz w:val="14"/>
                <w:szCs w:val="14"/>
                <w:color w:val="auto"/>
              </w:rPr>
              <w:t>$22.67</w:t>
            </w:r>
          </w:p>
        </w:tc>
        <w:tc>
          <w:tcPr>
            <w:tcW w:w="900" w:type="dxa"/>
            <w:vAlign w:val="bottom"/>
            <w:tcBorders>
              <w:right w:val="single" w:sz="8" w:color="auto"/>
            </w:tcBorders>
          </w:tcPr>
          <w:p>
            <w:pPr>
              <w:ind w:left="200"/>
              <w:spacing w:after="0" w:line="123" w:lineRule="exact"/>
              <w:rPr>
                <w:sz w:val="20"/>
                <w:szCs w:val="20"/>
                <w:color w:val="auto"/>
              </w:rPr>
            </w:pPr>
            <w:r>
              <w:rPr>
                <w:rFonts w:ascii="Arial" w:cs="Arial" w:eastAsia="Arial" w:hAnsi="Arial"/>
                <w:sz w:val="14"/>
                <w:szCs w:val="14"/>
                <w:color w:val="auto"/>
                <w:w w:val="94"/>
              </w:rPr>
              <w:t>02/08/2020</w:t>
            </w:r>
          </w:p>
        </w:tc>
        <w:tc>
          <w:tcPr>
            <w:tcW w:w="920" w:type="dxa"/>
            <w:vAlign w:val="bottom"/>
            <w:tcBorders>
              <w:right w:val="single" w:sz="8" w:color="auto"/>
            </w:tcBorders>
          </w:tcPr>
          <w:p>
            <w:pPr>
              <w:jc w:val="right"/>
              <w:spacing w:after="0" w:line="123" w:lineRule="exact"/>
              <w:rPr>
                <w:sz w:val="20"/>
                <w:szCs w:val="20"/>
                <w:color w:val="auto"/>
              </w:rPr>
            </w:pPr>
            <w:r>
              <w:rPr>
                <w:rFonts w:ascii="Arial" w:cs="Arial" w:eastAsia="Arial" w:hAnsi="Arial"/>
                <w:sz w:val="14"/>
                <w:szCs w:val="14"/>
                <w:color w:val="auto"/>
              </w:rPr>
              <w:t>02/08/2010</w:t>
            </w:r>
          </w:p>
        </w:tc>
        <w:tc>
          <w:tcPr>
            <w:tcW w:w="780" w:type="dxa"/>
            <w:vAlign w:val="bottom"/>
            <w:tcBorders>
              <w:right w:val="single" w:sz="8" w:color="auto"/>
            </w:tcBorders>
          </w:tcPr>
          <w:p>
            <w:pPr>
              <w:jc w:val="right"/>
              <w:ind w:right="168"/>
              <w:spacing w:after="0" w:line="123" w:lineRule="exact"/>
              <w:rPr>
                <w:sz w:val="20"/>
                <w:szCs w:val="20"/>
                <w:color w:val="auto"/>
              </w:rPr>
            </w:pPr>
            <w:r>
              <w:rPr>
                <w:rFonts w:ascii="Arial" w:cs="Arial" w:eastAsia="Arial" w:hAnsi="Arial"/>
                <w:sz w:val="14"/>
                <w:szCs w:val="14"/>
                <w:color w:val="auto"/>
              </w:rPr>
              <w:t>250</w:t>
            </w:r>
          </w:p>
        </w:tc>
        <w:tc>
          <w:tcPr>
            <w:tcW w:w="1000" w:type="dxa"/>
            <w:vAlign w:val="bottom"/>
            <w:tcBorders>
              <w:right w:val="single" w:sz="8" w:color="auto"/>
            </w:tcBorders>
          </w:tcPr>
          <w:p>
            <w:pPr>
              <w:jc w:val="right"/>
              <w:spacing w:after="0" w:line="123" w:lineRule="exact"/>
              <w:rPr>
                <w:sz w:val="20"/>
                <w:szCs w:val="20"/>
                <w:color w:val="auto"/>
              </w:rPr>
            </w:pPr>
            <w:r>
              <w:rPr>
                <w:rFonts w:ascii="Arial" w:cs="Arial" w:eastAsia="Arial" w:hAnsi="Arial"/>
                <w:sz w:val="14"/>
                <w:szCs w:val="14"/>
                <w:color w:val="auto"/>
              </w:rPr>
              <w:t>$13,768</w:t>
            </w:r>
          </w:p>
        </w:tc>
        <w:tc>
          <w:tcPr>
            <w:tcW w:w="1240" w:type="dxa"/>
            <w:vAlign w:val="bottom"/>
            <w:tcBorders>
              <w:right w:val="single" w:sz="8" w:color="auto"/>
            </w:tcBorders>
          </w:tcPr>
          <w:p>
            <w:pPr>
              <w:spacing w:after="0"/>
              <w:rPr>
                <w:sz w:val="10"/>
                <w:szCs w:val="10"/>
                <w:color w:val="auto"/>
              </w:rPr>
            </w:pPr>
          </w:p>
        </w:tc>
        <w:tc>
          <w:tcPr>
            <w:tcW w:w="136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1720" w:type="dxa"/>
            <w:vAlign w:val="bottom"/>
            <w:tcBorders>
              <w:left w:val="single" w:sz="8" w:color="auto"/>
              <w:right w:val="single" w:sz="8" w:color="auto"/>
            </w:tcBorders>
          </w:tcPr>
          <w:p>
            <w:pPr>
              <w:spacing w:after="0"/>
              <w:rPr>
                <w:sz w:val="12"/>
                <w:szCs w:val="12"/>
                <w:color w:val="auto"/>
              </w:rPr>
            </w:pPr>
          </w:p>
        </w:tc>
        <w:tc>
          <w:tcPr>
            <w:tcW w:w="900" w:type="dxa"/>
            <w:vAlign w:val="bottom"/>
            <w:tcBorders>
              <w:right w:val="single" w:sz="8" w:color="auto"/>
            </w:tcBorders>
          </w:tcPr>
          <w:p>
            <w:pPr>
              <w:jc w:val="right"/>
              <w:spacing w:after="0" w:line="149" w:lineRule="exact"/>
              <w:rPr>
                <w:sz w:val="20"/>
                <w:szCs w:val="20"/>
                <w:color w:val="auto"/>
              </w:rPr>
            </w:pPr>
            <w:r>
              <w:rPr>
                <w:rFonts w:ascii="Arial" w:cs="Arial" w:eastAsia="Arial" w:hAnsi="Arial"/>
                <w:sz w:val="14"/>
                <w:szCs w:val="14"/>
                <w:color w:val="auto"/>
              </w:rPr>
              <w:t>02/08/2011</w:t>
            </w:r>
          </w:p>
        </w:tc>
        <w:tc>
          <w:tcPr>
            <w:tcW w:w="900" w:type="dxa"/>
            <w:vAlign w:val="bottom"/>
            <w:tcBorders>
              <w:right w:val="single" w:sz="8" w:color="auto"/>
            </w:tcBorders>
            <w:gridSpan w:val="2"/>
          </w:tcPr>
          <w:p>
            <w:pPr>
              <w:jc w:val="right"/>
              <w:ind w:right="48"/>
              <w:spacing w:after="0" w:line="149" w:lineRule="exact"/>
              <w:rPr>
                <w:sz w:val="20"/>
                <w:szCs w:val="20"/>
                <w:color w:val="auto"/>
              </w:rPr>
            </w:pPr>
            <w:r>
              <w:rPr>
                <w:rFonts w:ascii="Arial" w:cs="Arial" w:eastAsia="Arial" w:hAnsi="Arial"/>
                <w:sz w:val="14"/>
                <w:szCs w:val="14"/>
                <w:color w:val="auto"/>
              </w:rPr>
              <w:t>2,800</w:t>
            </w:r>
          </w:p>
        </w:tc>
        <w:tc>
          <w:tcPr>
            <w:tcW w:w="1020" w:type="dxa"/>
            <w:vAlign w:val="bottom"/>
            <w:tcBorders>
              <w:right w:val="single" w:sz="8" w:color="auto"/>
            </w:tcBorders>
            <w:gridSpan w:val="2"/>
          </w:tcPr>
          <w:p>
            <w:pPr>
              <w:jc w:val="right"/>
              <w:ind w:right="48"/>
              <w:spacing w:after="0" w:line="149" w:lineRule="exact"/>
              <w:rPr>
                <w:sz w:val="20"/>
                <w:szCs w:val="20"/>
                <w:color w:val="auto"/>
              </w:rPr>
            </w:pPr>
            <w:r>
              <w:rPr>
                <w:rFonts w:ascii="Arial" w:cs="Arial" w:eastAsia="Arial" w:hAnsi="Arial"/>
                <w:sz w:val="14"/>
                <w:szCs w:val="14"/>
                <w:color w:val="auto"/>
              </w:rPr>
              <w:t>2,800</w:t>
            </w:r>
          </w:p>
        </w:tc>
        <w:tc>
          <w:tcPr>
            <w:tcW w:w="700" w:type="dxa"/>
            <w:vAlign w:val="bottom"/>
            <w:tcBorders>
              <w:right w:val="single" w:sz="8" w:color="auto"/>
            </w:tcBorders>
          </w:tcPr>
          <w:p>
            <w:pPr>
              <w:jc w:val="right"/>
              <w:ind w:right="28"/>
              <w:spacing w:after="0" w:line="149" w:lineRule="exact"/>
              <w:rPr>
                <w:sz w:val="20"/>
                <w:szCs w:val="20"/>
                <w:color w:val="auto"/>
              </w:rPr>
            </w:pPr>
            <w:r>
              <w:rPr>
                <w:rFonts w:ascii="Arial" w:cs="Arial" w:eastAsia="Arial" w:hAnsi="Arial"/>
                <w:sz w:val="14"/>
                <w:szCs w:val="14"/>
                <w:color w:val="auto"/>
              </w:rPr>
              <w:t>$49.91</w:t>
            </w:r>
          </w:p>
        </w:tc>
        <w:tc>
          <w:tcPr>
            <w:tcW w:w="900" w:type="dxa"/>
            <w:vAlign w:val="bottom"/>
            <w:tcBorders>
              <w:right w:val="single" w:sz="8" w:color="auto"/>
            </w:tcBorders>
          </w:tcPr>
          <w:p>
            <w:pPr>
              <w:ind w:left="200"/>
              <w:spacing w:after="0" w:line="149" w:lineRule="exact"/>
              <w:rPr>
                <w:sz w:val="20"/>
                <w:szCs w:val="20"/>
                <w:color w:val="auto"/>
              </w:rPr>
            </w:pPr>
            <w:r>
              <w:rPr>
                <w:rFonts w:ascii="Arial" w:cs="Arial" w:eastAsia="Arial" w:hAnsi="Arial"/>
                <w:sz w:val="14"/>
                <w:szCs w:val="14"/>
                <w:color w:val="auto"/>
                <w:w w:val="94"/>
              </w:rPr>
              <w:t>02/08/2021</w:t>
            </w:r>
          </w:p>
        </w:tc>
        <w:tc>
          <w:tcPr>
            <w:tcW w:w="920" w:type="dxa"/>
            <w:vAlign w:val="bottom"/>
            <w:tcBorders>
              <w:right w:val="single" w:sz="8" w:color="auto"/>
            </w:tcBorders>
          </w:tcPr>
          <w:p>
            <w:pPr>
              <w:jc w:val="right"/>
              <w:spacing w:after="0" w:line="149" w:lineRule="exact"/>
              <w:rPr>
                <w:sz w:val="20"/>
                <w:szCs w:val="20"/>
                <w:color w:val="auto"/>
              </w:rPr>
            </w:pPr>
            <w:r>
              <w:rPr>
                <w:rFonts w:ascii="Arial" w:cs="Arial" w:eastAsia="Arial" w:hAnsi="Arial"/>
                <w:sz w:val="14"/>
                <w:szCs w:val="14"/>
                <w:color w:val="auto"/>
              </w:rPr>
              <w:t>02/08/2011</w:t>
            </w:r>
          </w:p>
        </w:tc>
        <w:tc>
          <w:tcPr>
            <w:tcW w:w="780" w:type="dxa"/>
            <w:vAlign w:val="bottom"/>
            <w:tcBorders>
              <w:right w:val="single" w:sz="8" w:color="auto"/>
            </w:tcBorders>
          </w:tcPr>
          <w:p>
            <w:pPr>
              <w:jc w:val="right"/>
              <w:ind w:right="168"/>
              <w:spacing w:after="0" w:line="149" w:lineRule="exact"/>
              <w:rPr>
                <w:sz w:val="20"/>
                <w:szCs w:val="20"/>
                <w:color w:val="auto"/>
              </w:rPr>
            </w:pPr>
            <w:r>
              <w:rPr>
                <w:rFonts w:ascii="Arial" w:cs="Arial" w:eastAsia="Arial" w:hAnsi="Arial"/>
                <w:sz w:val="14"/>
                <w:szCs w:val="14"/>
                <w:color w:val="auto"/>
              </w:rPr>
              <w:t>450</w:t>
            </w:r>
          </w:p>
        </w:tc>
        <w:tc>
          <w:tcPr>
            <w:tcW w:w="1000" w:type="dxa"/>
            <w:vAlign w:val="bottom"/>
            <w:tcBorders>
              <w:right w:val="single" w:sz="8" w:color="auto"/>
            </w:tcBorders>
          </w:tcPr>
          <w:p>
            <w:pPr>
              <w:jc w:val="right"/>
              <w:spacing w:after="0" w:line="149" w:lineRule="exact"/>
              <w:rPr>
                <w:sz w:val="20"/>
                <w:szCs w:val="20"/>
                <w:color w:val="auto"/>
              </w:rPr>
            </w:pPr>
            <w:r>
              <w:rPr>
                <w:rFonts w:ascii="Arial" w:cs="Arial" w:eastAsia="Arial" w:hAnsi="Arial"/>
                <w:sz w:val="14"/>
                <w:szCs w:val="14"/>
                <w:color w:val="auto"/>
              </w:rPr>
              <w:t>$24,782</w:t>
            </w:r>
          </w:p>
        </w:tc>
        <w:tc>
          <w:tcPr>
            <w:tcW w:w="1240" w:type="dxa"/>
            <w:vAlign w:val="bottom"/>
            <w:tcBorders>
              <w:right w:val="single" w:sz="8" w:color="auto"/>
            </w:tcBorders>
          </w:tcPr>
          <w:p>
            <w:pPr>
              <w:spacing w:after="0"/>
              <w:rPr>
                <w:sz w:val="12"/>
                <w:szCs w:val="12"/>
                <w:color w:val="auto"/>
              </w:rPr>
            </w:pPr>
          </w:p>
        </w:tc>
        <w:tc>
          <w:tcPr>
            <w:tcW w:w="136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720" w:type="dxa"/>
            <w:vAlign w:val="bottom"/>
            <w:tcBorders>
              <w:left w:val="single" w:sz="8" w:color="auto"/>
              <w:right w:val="single" w:sz="8" w:color="auto"/>
            </w:tcBorders>
          </w:tcPr>
          <w:p>
            <w:pPr>
              <w:spacing w:after="0"/>
              <w:rPr>
                <w:sz w:val="12"/>
                <w:szCs w:val="12"/>
                <w:color w:val="auto"/>
              </w:rPr>
            </w:pPr>
          </w:p>
        </w:tc>
        <w:tc>
          <w:tcPr>
            <w:tcW w:w="900" w:type="dxa"/>
            <w:vAlign w:val="bottom"/>
            <w:tcBorders>
              <w:right w:val="single" w:sz="8" w:color="auto"/>
            </w:tcBorders>
          </w:tcPr>
          <w:p>
            <w:pPr>
              <w:jc w:val="right"/>
              <w:spacing w:after="0" w:line="149" w:lineRule="exact"/>
              <w:rPr>
                <w:sz w:val="20"/>
                <w:szCs w:val="20"/>
                <w:color w:val="auto"/>
              </w:rPr>
            </w:pPr>
            <w:r>
              <w:rPr>
                <w:rFonts w:ascii="Arial" w:cs="Arial" w:eastAsia="Arial" w:hAnsi="Arial"/>
                <w:sz w:val="14"/>
                <w:szCs w:val="14"/>
                <w:color w:val="auto"/>
              </w:rPr>
              <w:t>02/09/2012</w:t>
            </w:r>
          </w:p>
        </w:tc>
        <w:tc>
          <w:tcPr>
            <w:tcW w:w="900" w:type="dxa"/>
            <w:vAlign w:val="bottom"/>
            <w:tcBorders>
              <w:right w:val="single" w:sz="8" w:color="auto"/>
            </w:tcBorders>
            <w:gridSpan w:val="2"/>
          </w:tcPr>
          <w:p>
            <w:pPr>
              <w:jc w:val="right"/>
              <w:ind w:right="48"/>
              <w:spacing w:after="0" w:line="149" w:lineRule="exact"/>
              <w:rPr>
                <w:sz w:val="20"/>
                <w:szCs w:val="20"/>
                <w:color w:val="auto"/>
              </w:rPr>
            </w:pPr>
            <w:r>
              <w:rPr>
                <w:rFonts w:ascii="Arial" w:cs="Arial" w:eastAsia="Arial" w:hAnsi="Arial"/>
                <w:sz w:val="14"/>
                <w:szCs w:val="14"/>
                <w:color w:val="auto"/>
              </w:rPr>
              <w:t>1,000</w:t>
            </w:r>
          </w:p>
        </w:tc>
        <w:tc>
          <w:tcPr>
            <w:tcW w:w="1020" w:type="dxa"/>
            <w:vAlign w:val="bottom"/>
            <w:tcBorders>
              <w:right w:val="single" w:sz="8" w:color="auto"/>
            </w:tcBorders>
            <w:gridSpan w:val="2"/>
          </w:tcPr>
          <w:p>
            <w:pPr>
              <w:jc w:val="right"/>
              <w:ind w:right="48"/>
              <w:spacing w:after="0" w:line="149" w:lineRule="exact"/>
              <w:rPr>
                <w:sz w:val="20"/>
                <w:szCs w:val="20"/>
                <w:color w:val="auto"/>
              </w:rPr>
            </w:pPr>
            <w:r>
              <w:rPr>
                <w:rFonts w:ascii="Arial" w:cs="Arial" w:eastAsia="Arial" w:hAnsi="Arial"/>
                <w:sz w:val="14"/>
                <w:szCs w:val="14"/>
                <w:color w:val="auto"/>
              </w:rPr>
              <w:t>3,000</w:t>
            </w:r>
          </w:p>
        </w:tc>
        <w:tc>
          <w:tcPr>
            <w:tcW w:w="700" w:type="dxa"/>
            <w:vAlign w:val="bottom"/>
            <w:tcBorders>
              <w:right w:val="single" w:sz="8" w:color="auto"/>
            </w:tcBorders>
          </w:tcPr>
          <w:p>
            <w:pPr>
              <w:jc w:val="right"/>
              <w:ind w:right="28"/>
              <w:spacing w:after="0" w:line="149" w:lineRule="exact"/>
              <w:rPr>
                <w:sz w:val="20"/>
                <w:szCs w:val="20"/>
                <w:color w:val="auto"/>
              </w:rPr>
            </w:pPr>
            <w:r>
              <w:rPr>
                <w:rFonts w:ascii="Arial" w:cs="Arial" w:eastAsia="Arial" w:hAnsi="Arial"/>
                <w:sz w:val="14"/>
                <w:szCs w:val="14"/>
                <w:color w:val="auto"/>
              </w:rPr>
              <w:t>$51.76</w:t>
            </w:r>
          </w:p>
        </w:tc>
        <w:tc>
          <w:tcPr>
            <w:tcW w:w="900" w:type="dxa"/>
            <w:vAlign w:val="bottom"/>
            <w:tcBorders>
              <w:right w:val="single" w:sz="8" w:color="auto"/>
            </w:tcBorders>
          </w:tcPr>
          <w:p>
            <w:pPr>
              <w:ind w:left="200"/>
              <w:spacing w:after="0" w:line="149" w:lineRule="exact"/>
              <w:rPr>
                <w:sz w:val="20"/>
                <w:szCs w:val="20"/>
                <w:color w:val="auto"/>
              </w:rPr>
            </w:pPr>
            <w:r>
              <w:rPr>
                <w:rFonts w:ascii="Arial" w:cs="Arial" w:eastAsia="Arial" w:hAnsi="Arial"/>
                <w:sz w:val="14"/>
                <w:szCs w:val="14"/>
                <w:color w:val="auto"/>
                <w:w w:val="94"/>
              </w:rPr>
              <w:t>02/09/2022</w:t>
            </w:r>
          </w:p>
        </w:tc>
        <w:tc>
          <w:tcPr>
            <w:tcW w:w="920" w:type="dxa"/>
            <w:vAlign w:val="bottom"/>
            <w:tcBorders>
              <w:right w:val="single" w:sz="8" w:color="auto"/>
            </w:tcBorders>
          </w:tcPr>
          <w:p>
            <w:pPr>
              <w:jc w:val="right"/>
              <w:spacing w:after="0" w:line="149" w:lineRule="exact"/>
              <w:rPr>
                <w:sz w:val="20"/>
                <w:szCs w:val="20"/>
                <w:color w:val="auto"/>
              </w:rPr>
            </w:pPr>
            <w:r>
              <w:rPr>
                <w:rFonts w:ascii="Arial" w:cs="Arial" w:eastAsia="Arial" w:hAnsi="Arial"/>
                <w:sz w:val="14"/>
                <w:szCs w:val="14"/>
                <w:color w:val="auto"/>
              </w:rPr>
              <w:t>02/09/2012</w:t>
            </w:r>
          </w:p>
        </w:tc>
        <w:tc>
          <w:tcPr>
            <w:tcW w:w="780" w:type="dxa"/>
            <w:vAlign w:val="bottom"/>
            <w:tcBorders>
              <w:right w:val="single" w:sz="8" w:color="auto"/>
            </w:tcBorders>
          </w:tcPr>
          <w:p>
            <w:pPr>
              <w:spacing w:after="0"/>
              <w:rPr>
                <w:sz w:val="12"/>
                <w:szCs w:val="12"/>
                <w:color w:val="auto"/>
              </w:rPr>
            </w:pPr>
          </w:p>
        </w:tc>
        <w:tc>
          <w:tcPr>
            <w:tcW w:w="1000" w:type="dxa"/>
            <w:vAlign w:val="bottom"/>
            <w:tcBorders>
              <w:right w:val="single" w:sz="8" w:color="auto"/>
            </w:tcBorders>
          </w:tcPr>
          <w:p>
            <w:pPr>
              <w:spacing w:after="0"/>
              <w:rPr>
                <w:sz w:val="12"/>
                <w:szCs w:val="12"/>
                <w:color w:val="auto"/>
              </w:rPr>
            </w:pPr>
          </w:p>
        </w:tc>
        <w:tc>
          <w:tcPr>
            <w:tcW w:w="1240" w:type="dxa"/>
            <w:vAlign w:val="bottom"/>
            <w:tcBorders>
              <w:right w:val="single" w:sz="8" w:color="auto"/>
            </w:tcBorders>
          </w:tcPr>
          <w:p>
            <w:pPr>
              <w:jc w:val="right"/>
              <w:ind w:right="88"/>
              <w:spacing w:after="0" w:line="149" w:lineRule="exact"/>
              <w:rPr>
                <w:sz w:val="20"/>
                <w:szCs w:val="20"/>
                <w:color w:val="auto"/>
              </w:rPr>
            </w:pPr>
            <w:r>
              <w:rPr>
                <w:rFonts w:ascii="Arial" w:cs="Arial" w:eastAsia="Arial" w:hAnsi="Arial"/>
                <w:sz w:val="14"/>
                <w:szCs w:val="14"/>
                <w:color w:val="auto"/>
              </w:rPr>
              <w:t>2,200</w:t>
            </w:r>
          </w:p>
        </w:tc>
        <w:tc>
          <w:tcPr>
            <w:tcW w:w="1360" w:type="dxa"/>
            <w:vAlign w:val="bottom"/>
            <w:tcBorders>
              <w:right w:val="single" w:sz="8" w:color="auto"/>
            </w:tcBorders>
          </w:tcPr>
          <w:p>
            <w:pPr>
              <w:jc w:val="right"/>
              <w:ind w:right="88"/>
              <w:spacing w:after="0" w:line="149" w:lineRule="exact"/>
              <w:rPr>
                <w:sz w:val="20"/>
                <w:szCs w:val="20"/>
                <w:color w:val="auto"/>
              </w:rPr>
            </w:pPr>
            <w:r>
              <w:rPr>
                <w:rFonts w:ascii="Arial" w:cs="Arial" w:eastAsia="Arial" w:hAnsi="Arial"/>
                <w:sz w:val="14"/>
                <w:szCs w:val="14"/>
                <w:color w:val="auto"/>
              </w:rPr>
              <w:t>$121,154</w:t>
            </w:r>
          </w:p>
        </w:tc>
        <w:tc>
          <w:tcPr>
            <w:tcW w:w="0" w:type="dxa"/>
            <w:vAlign w:val="bottom"/>
          </w:tcPr>
          <w:p>
            <w:pPr>
              <w:spacing w:after="0"/>
              <w:rPr>
                <w:sz w:val="1"/>
                <w:szCs w:val="1"/>
                <w:color w:val="auto"/>
              </w:rPr>
            </w:pPr>
          </w:p>
        </w:tc>
      </w:tr>
      <w:tr>
        <w:trPr>
          <w:trHeight w:val="167"/>
        </w:trPr>
        <w:tc>
          <w:tcPr>
            <w:tcW w:w="1720" w:type="dxa"/>
            <w:vAlign w:val="bottom"/>
            <w:tcBorders>
              <w:left w:val="single" w:sz="8" w:color="auto"/>
              <w:bottom w:val="single" w:sz="8" w:color="auto"/>
              <w:right w:val="single" w:sz="8" w:color="auto"/>
            </w:tcBorders>
          </w:tcPr>
          <w:p>
            <w:pPr>
              <w:spacing w:after="0"/>
              <w:rPr>
                <w:sz w:val="14"/>
                <w:szCs w:val="14"/>
                <w:color w:val="auto"/>
              </w:rPr>
            </w:pPr>
          </w:p>
        </w:tc>
        <w:tc>
          <w:tcPr>
            <w:tcW w:w="900" w:type="dxa"/>
            <w:vAlign w:val="bottom"/>
            <w:tcBorders>
              <w:bottom w:val="single" w:sz="8" w:color="auto"/>
              <w:right w:val="single" w:sz="8" w:color="auto"/>
            </w:tcBorders>
          </w:tcPr>
          <w:p>
            <w:pPr>
              <w:jc w:val="right"/>
              <w:spacing w:after="0"/>
              <w:rPr>
                <w:sz w:val="20"/>
                <w:szCs w:val="20"/>
                <w:color w:val="auto"/>
              </w:rPr>
            </w:pPr>
            <w:r>
              <w:rPr>
                <w:rFonts w:ascii="Arial" w:cs="Arial" w:eastAsia="Arial" w:hAnsi="Arial"/>
                <w:sz w:val="14"/>
                <w:szCs w:val="14"/>
                <w:color w:val="auto"/>
              </w:rPr>
              <w:t>02/07/2013</w:t>
            </w:r>
          </w:p>
        </w:tc>
        <w:tc>
          <w:tcPr>
            <w:tcW w:w="900" w:type="dxa"/>
            <w:vAlign w:val="bottom"/>
            <w:tcBorders>
              <w:bottom w:val="single" w:sz="8" w:color="auto"/>
              <w:right w:val="single" w:sz="8" w:color="auto"/>
            </w:tcBorders>
            <w:gridSpan w:val="2"/>
          </w:tcPr>
          <w:p>
            <w:pPr>
              <w:jc w:val="right"/>
              <w:ind w:right="48"/>
              <w:spacing w:after="0"/>
              <w:rPr>
                <w:sz w:val="20"/>
                <w:szCs w:val="20"/>
                <w:color w:val="auto"/>
              </w:rPr>
            </w:pPr>
            <w:r>
              <w:rPr>
                <w:rFonts w:ascii="Arial" w:cs="Arial" w:eastAsia="Arial" w:hAnsi="Arial"/>
                <w:sz w:val="14"/>
                <w:szCs w:val="14"/>
                <w:color w:val="auto"/>
              </w:rPr>
              <w:t>0</w:t>
            </w:r>
          </w:p>
        </w:tc>
        <w:tc>
          <w:tcPr>
            <w:tcW w:w="1020" w:type="dxa"/>
            <w:vAlign w:val="bottom"/>
            <w:tcBorders>
              <w:bottom w:val="single" w:sz="8" w:color="auto"/>
              <w:right w:val="single" w:sz="8" w:color="auto"/>
            </w:tcBorders>
            <w:gridSpan w:val="2"/>
          </w:tcPr>
          <w:p>
            <w:pPr>
              <w:jc w:val="right"/>
              <w:ind w:right="48"/>
              <w:spacing w:after="0"/>
              <w:rPr>
                <w:sz w:val="20"/>
                <w:szCs w:val="20"/>
                <w:color w:val="auto"/>
              </w:rPr>
            </w:pPr>
            <w:r>
              <w:rPr>
                <w:rFonts w:ascii="Arial" w:cs="Arial" w:eastAsia="Arial" w:hAnsi="Arial"/>
                <w:sz w:val="14"/>
                <w:szCs w:val="14"/>
                <w:color w:val="auto"/>
              </w:rPr>
              <w:t>3,600</w:t>
            </w:r>
          </w:p>
        </w:tc>
        <w:tc>
          <w:tcPr>
            <w:tcW w:w="700" w:type="dxa"/>
            <w:vAlign w:val="bottom"/>
            <w:tcBorders>
              <w:bottom w:val="single" w:sz="8" w:color="auto"/>
              <w:right w:val="single" w:sz="8" w:color="auto"/>
            </w:tcBorders>
          </w:tcPr>
          <w:p>
            <w:pPr>
              <w:jc w:val="right"/>
              <w:ind w:right="28"/>
              <w:spacing w:after="0"/>
              <w:rPr>
                <w:sz w:val="20"/>
                <w:szCs w:val="20"/>
                <w:color w:val="auto"/>
              </w:rPr>
            </w:pPr>
            <w:r>
              <w:rPr>
                <w:rFonts w:ascii="Arial" w:cs="Arial" w:eastAsia="Arial" w:hAnsi="Arial"/>
                <w:sz w:val="14"/>
                <w:szCs w:val="14"/>
                <w:color w:val="auto"/>
              </w:rPr>
              <w:t>$56.27</w:t>
            </w:r>
          </w:p>
        </w:tc>
        <w:tc>
          <w:tcPr>
            <w:tcW w:w="900" w:type="dxa"/>
            <w:vAlign w:val="bottom"/>
            <w:tcBorders>
              <w:bottom w:val="single" w:sz="8" w:color="auto"/>
              <w:right w:val="single" w:sz="8" w:color="auto"/>
            </w:tcBorders>
          </w:tcPr>
          <w:p>
            <w:pPr>
              <w:ind w:left="200"/>
              <w:spacing w:after="0"/>
              <w:rPr>
                <w:sz w:val="20"/>
                <w:szCs w:val="20"/>
                <w:color w:val="auto"/>
              </w:rPr>
            </w:pPr>
            <w:r>
              <w:rPr>
                <w:rFonts w:ascii="Arial" w:cs="Arial" w:eastAsia="Arial" w:hAnsi="Arial"/>
                <w:sz w:val="14"/>
                <w:szCs w:val="14"/>
                <w:color w:val="auto"/>
                <w:w w:val="94"/>
              </w:rPr>
              <w:t>02/07/2023</w:t>
            </w:r>
          </w:p>
        </w:tc>
        <w:tc>
          <w:tcPr>
            <w:tcW w:w="920" w:type="dxa"/>
            <w:vAlign w:val="bottom"/>
            <w:tcBorders>
              <w:bottom w:val="single" w:sz="8" w:color="auto"/>
              <w:right w:val="single" w:sz="8" w:color="auto"/>
            </w:tcBorders>
          </w:tcPr>
          <w:p>
            <w:pPr>
              <w:jc w:val="right"/>
              <w:spacing w:after="0"/>
              <w:rPr>
                <w:sz w:val="20"/>
                <w:szCs w:val="20"/>
                <w:color w:val="auto"/>
              </w:rPr>
            </w:pPr>
            <w:r>
              <w:rPr>
                <w:rFonts w:ascii="Arial" w:cs="Arial" w:eastAsia="Arial" w:hAnsi="Arial"/>
                <w:sz w:val="14"/>
                <w:szCs w:val="14"/>
                <w:color w:val="auto"/>
              </w:rPr>
              <w:t>02/07/2013</w:t>
            </w:r>
          </w:p>
        </w:tc>
        <w:tc>
          <w:tcPr>
            <w:tcW w:w="78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1240" w:type="dxa"/>
            <w:vAlign w:val="bottom"/>
            <w:tcBorders>
              <w:bottom w:val="single" w:sz="8" w:color="auto"/>
              <w:right w:val="single" w:sz="8" w:color="auto"/>
            </w:tcBorders>
          </w:tcPr>
          <w:p>
            <w:pPr>
              <w:jc w:val="right"/>
              <w:ind w:right="88"/>
              <w:spacing w:after="0"/>
              <w:rPr>
                <w:sz w:val="20"/>
                <w:szCs w:val="20"/>
                <w:color w:val="auto"/>
              </w:rPr>
            </w:pPr>
            <w:r>
              <w:rPr>
                <w:rFonts w:ascii="Arial" w:cs="Arial" w:eastAsia="Arial" w:hAnsi="Arial"/>
                <w:sz w:val="14"/>
                <w:szCs w:val="14"/>
                <w:color w:val="auto"/>
              </w:rPr>
              <w:t>2,000</w:t>
            </w:r>
          </w:p>
        </w:tc>
        <w:tc>
          <w:tcPr>
            <w:tcW w:w="1360" w:type="dxa"/>
            <w:vAlign w:val="bottom"/>
            <w:tcBorders>
              <w:bottom w:val="single" w:sz="8" w:color="auto"/>
              <w:right w:val="single" w:sz="8" w:color="auto"/>
            </w:tcBorders>
          </w:tcPr>
          <w:p>
            <w:pPr>
              <w:jc w:val="right"/>
              <w:ind w:right="88"/>
              <w:spacing w:after="0"/>
              <w:rPr>
                <w:sz w:val="20"/>
                <w:szCs w:val="20"/>
                <w:color w:val="auto"/>
              </w:rPr>
            </w:pPr>
            <w:r>
              <w:rPr>
                <w:rFonts w:ascii="Arial" w:cs="Arial" w:eastAsia="Arial" w:hAnsi="Arial"/>
                <w:sz w:val="14"/>
                <w:szCs w:val="14"/>
                <w:color w:val="auto"/>
              </w:rPr>
              <w:t>$110,140</w:t>
            </w:r>
          </w:p>
        </w:tc>
        <w:tc>
          <w:tcPr>
            <w:tcW w:w="0" w:type="dxa"/>
            <w:vAlign w:val="bottom"/>
          </w:tcPr>
          <w:p>
            <w:pPr>
              <w:spacing w:after="0"/>
              <w:rPr>
                <w:sz w:val="1"/>
                <w:szCs w:val="1"/>
                <w:color w:val="auto"/>
              </w:rPr>
            </w:pPr>
          </w:p>
        </w:tc>
      </w:tr>
      <w:tr>
        <w:trPr>
          <w:trHeight w:val="123"/>
        </w:trPr>
        <w:tc>
          <w:tcPr>
            <w:tcW w:w="1720" w:type="dxa"/>
            <w:vAlign w:val="bottom"/>
            <w:tcBorders>
              <w:left w:val="single" w:sz="8" w:color="auto"/>
              <w:right w:val="single" w:sz="8" w:color="auto"/>
            </w:tcBorders>
            <w:shd w:val="clear" w:color="auto" w:fill="CCEEFF"/>
          </w:tcPr>
          <w:p>
            <w:pPr>
              <w:ind w:left="160"/>
              <w:spacing w:after="0" w:line="123" w:lineRule="exact"/>
              <w:rPr>
                <w:sz w:val="20"/>
                <w:szCs w:val="20"/>
                <w:color w:val="auto"/>
              </w:rPr>
            </w:pPr>
            <w:r>
              <w:rPr>
                <w:rFonts w:ascii="Arial" w:cs="Arial" w:eastAsia="Arial" w:hAnsi="Arial"/>
                <w:sz w:val="14"/>
                <w:szCs w:val="14"/>
                <w:color w:val="auto"/>
              </w:rPr>
              <w:t>Donald L. Walker</w:t>
            </w:r>
          </w:p>
        </w:tc>
        <w:tc>
          <w:tcPr>
            <w:tcW w:w="900" w:type="dxa"/>
            <w:vAlign w:val="bottom"/>
            <w:tcBorders>
              <w:right w:val="single" w:sz="8" w:color="auto"/>
            </w:tcBorders>
            <w:shd w:val="clear" w:color="auto" w:fill="CCEEFF"/>
          </w:tcPr>
          <w:p>
            <w:pPr>
              <w:jc w:val="right"/>
              <w:spacing w:after="0" w:line="123" w:lineRule="exact"/>
              <w:rPr>
                <w:sz w:val="20"/>
                <w:szCs w:val="20"/>
                <w:color w:val="auto"/>
              </w:rPr>
            </w:pPr>
            <w:r>
              <w:rPr>
                <w:rFonts w:ascii="Arial" w:cs="Arial" w:eastAsia="Arial" w:hAnsi="Arial"/>
                <w:sz w:val="14"/>
                <w:szCs w:val="14"/>
                <w:color w:val="auto"/>
              </w:rPr>
              <w:t>02/08/2010</w:t>
            </w:r>
          </w:p>
        </w:tc>
        <w:tc>
          <w:tcPr>
            <w:tcW w:w="900" w:type="dxa"/>
            <w:vAlign w:val="bottom"/>
            <w:tcBorders>
              <w:right w:val="single" w:sz="8" w:color="auto"/>
            </w:tcBorders>
            <w:gridSpan w:val="2"/>
            <w:shd w:val="clear" w:color="auto" w:fill="CCEEFF"/>
          </w:tcPr>
          <w:p>
            <w:pPr>
              <w:jc w:val="right"/>
              <w:ind w:right="48"/>
              <w:spacing w:after="0" w:line="123" w:lineRule="exact"/>
              <w:rPr>
                <w:sz w:val="20"/>
                <w:szCs w:val="20"/>
                <w:color w:val="auto"/>
              </w:rPr>
            </w:pPr>
            <w:r>
              <w:rPr>
                <w:rFonts w:ascii="Arial" w:cs="Arial" w:eastAsia="Arial" w:hAnsi="Arial"/>
                <w:sz w:val="14"/>
                <w:szCs w:val="14"/>
                <w:color w:val="auto"/>
              </w:rPr>
              <w:t>0</w:t>
            </w:r>
          </w:p>
        </w:tc>
        <w:tc>
          <w:tcPr>
            <w:tcW w:w="1020" w:type="dxa"/>
            <w:vAlign w:val="bottom"/>
            <w:tcBorders>
              <w:right w:val="single" w:sz="8" w:color="auto"/>
            </w:tcBorders>
            <w:gridSpan w:val="2"/>
            <w:shd w:val="clear" w:color="auto" w:fill="CCEEFF"/>
          </w:tcPr>
          <w:p>
            <w:pPr>
              <w:jc w:val="right"/>
              <w:ind w:right="48"/>
              <w:spacing w:after="0" w:line="123" w:lineRule="exact"/>
              <w:rPr>
                <w:sz w:val="20"/>
                <w:szCs w:val="20"/>
                <w:color w:val="auto"/>
              </w:rPr>
            </w:pPr>
            <w:r>
              <w:rPr>
                <w:rFonts w:ascii="Arial" w:cs="Arial" w:eastAsia="Arial" w:hAnsi="Arial"/>
                <w:sz w:val="14"/>
                <w:szCs w:val="14"/>
                <w:color w:val="auto"/>
              </w:rPr>
              <w:t>3,600</w:t>
            </w:r>
          </w:p>
        </w:tc>
        <w:tc>
          <w:tcPr>
            <w:tcW w:w="700" w:type="dxa"/>
            <w:vAlign w:val="bottom"/>
            <w:tcBorders>
              <w:right w:val="single" w:sz="8" w:color="auto"/>
            </w:tcBorders>
            <w:shd w:val="clear" w:color="auto" w:fill="CCEEFF"/>
          </w:tcPr>
          <w:p>
            <w:pPr>
              <w:jc w:val="right"/>
              <w:ind w:right="28"/>
              <w:spacing w:after="0" w:line="123" w:lineRule="exact"/>
              <w:rPr>
                <w:sz w:val="20"/>
                <w:szCs w:val="20"/>
                <w:color w:val="auto"/>
              </w:rPr>
            </w:pPr>
            <w:r>
              <w:rPr>
                <w:rFonts w:ascii="Arial" w:cs="Arial" w:eastAsia="Arial" w:hAnsi="Arial"/>
                <w:sz w:val="14"/>
                <w:szCs w:val="14"/>
                <w:color w:val="auto"/>
              </w:rPr>
              <w:t>$22.67</w:t>
            </w:r>
          </w:p>
        </w:tc>
        <w:tc>
          <w:tcPr>
            <w:tcW w:w="900" w:type="dxa"/>
            <w:vAlign w:val="bottom"/>
            <w:tcBorders>
              <w:right w:val="single" w:sz="8" w:color="auto"/>
            </w:tcBorders>
            <w:shd w:val="clear" w:color="auto" w:fill="CCEEFF"/>
          </w:tcPr>
          <w:p>
            <w:pPr>
              <w:ind w:left="200"/>
              <w:spacing w:after="0" w:line="123" w:lineRule="exact"/>
              <w:rPr>
                <w:sz w:val="20"/>
                <w:szCs w:val="20"/>
                <w:color w:val="auto"/>
              </w:rPr>
            </w:pPr>
            <w:r>
              <w:rPr>
                <w:rFonts w:ascii="Arial" w:cs="Arial" w:eastAsia="Arial" w:hAnsi="Arial"/>
                <w:sz w:val="14"/>
                <w:szCs w:val="14"/>
                <w:color w:val="auto"/>
                <w:w w:val="94"/>
              </w:rPr>
              <w:t>02/08/2020</w:t>
            </w:r>
          </w:p>
        </w:tc>
        <w:tc>
          <w:tcPr>
            <w:tcW w:w="920" w:type="dxa"/>
            <w:vAlign w:val="bottom"/>
            <w:tcBorders>
              <w:right w:val="single" w:sz="8" w:color="auto"/>
            </w:tcBorders>
            <w:shd w:val="clear" w:color="auto" w:fill="CCEEFF"/>
          </w:tcPr>
          <w:p>
            <w:pPr>
              <w:jc w:val="right"/>
              <w:spacing w:after="0" w:line="123" w:lineRule="exact"/>
              <w:rPr>
                <w:sz w:val="20"/>
                <w:szCs w:val="20"/>
                <w:color w:val="auto"/>
              </w:rPr>
            </w:pPr>
            <w:r>
              <w:rPr>
                <w:rFonts w:ascii="Arial" w:cs="Arial" w:eastAsia="Arial" w:hAnsi="Arial"/>
                <w:sz w:val="14"/>
                <w:szCs w:val="14"/>
                <w:color w:val="auto"/>
              </w:rPr>
              <w:t>02/08/2010</w:t>
            </w:r>
          </w:p>
        </w:tc>
        <w:tc>
          <w:tcPr>
            <w:tcW w:w="780" w:type="dxa"/>
            <w:vAlign w:val="bottom"/>
            <w:tcBorders>
              <w:right w:val="single" w:sz="8" w:color="auto"/>
            </w:tcBorders>
            <w:shd w:val="clear" w:color="auto" w:fill="CCEEFF"/>
          </w:tcPr>
          <w:p>
            <w:pPr>
              <w:jc w:val="right"/>
              <w:ind w:right="168"/>
              <w:spacing w:after="0" w:line="123" w:lineRule="exact"/>
              <w:rPr>
                <w:sz w:val="20"/>
                <w:szCs w:val="20"/>
                <w:color w:val="auto"/>
              </w:rPr>
            </w:pPr>
            <w:r>
              <w:rPr>
                <w:rFonts w:ascii="Arial" w:cs="Arial" w:eastAsia="Arial" w:hAnsi="Arial"/>
                <w:sz w:val="14"/>
                <w:szCs w:val="14"/>
                <w:color w:val="auto"/>
              </w:rPr>
              <w:t>875</w:t>
            </w:r>
          </w:p>
        </w:tc>
        <w:tc>
          <w:tcPr>
            <w:tcW w:w="1000" w:type="dxa"/>
            <w:vAlign w:val="bottom"/>
            <w:tcBorders>
              <w:right w:val="single" w:sz="8" w:color="auto"/>
            </w:tcBorders>
            <w:shd w:val="clear" w:color="auto" w:fill="CCEEFF"/>
          </w:tcPr>
          <w:p>
            <w:pPr>
              <w:jc w:val="right"/>
              <w:spacing w:after="0" w:line="123" w:lineRule="exact"/>
              <w:rPr>
                <w:sz w:val="20"/>
                <w:szCs w:val="20"/>
                <w:color w:val="auto"/>
              </w:rPr>
            </w:pPr>
            <w:r>
              <w:rPr>
                <w:rFonts w:ascii="Arial" w:cs="Arial" w:eastAsia="Arial" w:hAnsi="Arial"/>
                <w:sz w:val="14"/>
                <w:szCs w:val="14"/>
                <w:color w:val="auto"/>
              </w:rPr>
              <w:t>$48,186</w:t>
            </w:r>
          </w:p>
        </w:tc>
        <w:tc>
          <w:tcPr>
            <w:tcW w:w="1240" w:type="dxa"/>
            <w:vAlign w:val="bottom"/>
            <w:tcBorders>
              <w:right w:val="single" w:sz="8" w:color="auto"/>
            </w:tcBorders>
            <w:shd w:val="clear" w:color="auto" w:fill="CCEEFF"/>
          </w:tcPr>
          <w:p>
            <w:pPr>
              <w:spacing w:after="0"/>
              <w:rPr>
                <w:sz w:val="10"/>
                <w:szCs w:val="10"/>
                <w:color w:val="auto"/>
              </w:rPr>
            </w:pPr>
          </w:p>
        </w:tc>
        <w:tc>
          <w:tcPr>
            <w:tcW w:w="1360" w:type="dxa"/>
            <w:vAlign w:val="bottom"/>
            <w:tcBorders>
              <w:right w:val="single" w:sz="8" w:color="auto"/>
            </w:tcBorders>
            <w:shd w:val="clear" w:color="auto" w:fill="CCEEFF"/>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1720" w:type="dxa"/>
            <w:vAlign w:val="bottom"/>
            <w:tcBorders>
              <w:left w:val="single" w:sz="8" w:color="auto"/>
              <w:right w:val="single" w:sz="8" w:color="auto"/>
            </w:tcBorders>
            <w:shd w:val="clear" w:color="auto" w:fill="CCEEFF"/>
          </w:tcPr>
          <w:p>
            <w:pPr>
              <w:spacing w:after="0"/>
              <w:rPr>
                <w:sz w:val="12"/>
                <w:szCs w:val="12"/>
                <w:color w:val="auto"/>
              </w:rPr>
            </w:pPr>
          </w:p>
        </w:tc>
        <w:tc>
          <w:tcPr>
            <w:tcW w:w="900" w:type="dxa"/>
            <w:vAlign w:val="bottom"/>
            <w:tcBorders>
              <w:right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02/08/2011</w:t>
            </w:r>
          </w:p>
        </w:tc>
        <w:tc>
          <w:tcPr>
            <w:tcW w:w="900" w:type="dxa"/>
            <w:vAlign w:val="bottom"/>
            <w:tcBorders>
              <w:right w:val="single" w:sz="8" w:color="auto"/>
            </w:tcBorders>
            <w:gridSpan w:val="2"/>
            <w:shd w:val="clear" w:color="auto" w:fill="CCEEFF"/>
          </w:tcPr>
          <w:p>
            <w:pPr>
              <w:jc w:val="right"/>
              <w:ind w:right="48"/>
              <w:spacing w:after="0" w:line="149" w:lineRule="exact"/>
              <w:rPr>
                <w:sz w:val="20"/>
                <w:szCs w:val="20"/>
                <w:color w:val="auto"/>
              </w:rPr>
            </w:pPr>
            <w:r>
              <w:rPr>
                <w:rFonts w:ascii="Arial" w:cs="Arial" w:eastAsia="Arial" w:hAnsi="Arial"/>
                <w:sz w:val="14"/>
                <w:szCs w:val="14"/>
                <w:color w:val="auto"/>
              </w:rPr>
              <w:t>4,150</w:t>
            </w:r>
          </w:p>
        </w:tc>
        <w:tc>
          <w:tcPr>
            <w:tcW w:w="1020" w:type="dxa"/>
            <w:vAlign w:val="bottom"/>
            <w:tcBorders>
              <w:right w:val="single" w:sz="8" w:color="auto"/>
            </w:tcBorders>
            <w:gridSpan w:val="2"/>
            <w:shd w:val="clear" w:color="auto" w:fill="CCEEFF"/>
          </w:tcPr>
          <w:p>
            <w:pPr>
              <w:jc w:val="right"/>
              <w:ind w:right="48"/>
              <w:spacing w:after="0" w:line="149" w:lineRule="exact"/>
              <w:rPr>
                <w:sz w:val="20"/>
                <w:szCs w:val="20"/>
                <w:color w:val="auto"/>
              </w:rPr>
            </w:pPr>
            <w:r>
              <w:rPr>
                <w:rFonts w:ascii="Arial" w:cs="Arial" w:eastAsia="Arial" w:hAnsi="Arial"/>
                <w:sz w:val="14"/>
                <w:szCs w:val="14"/>
                <w:color w:val="auto"/>
              </w:rPr>
              <w:t>4,150</w:t>
            </w:r>
          </w:p>
        </w:tc>
        <w:tc>
          <w:tcPr>
            <w:tcW w:w="700" w:type="dxa"/>
            <w:vAlign w:val="bottom"/>
            <w:tcBorders>
              <w:right w:val="single" w:sz="8" w:color="auto"/>
            </w:tcBorders>
            <w:shd w:val="clear" w:color="auto" w:fill="CCEEFF"/>
          </w:tcPr>
          <w:p>
            <w:pPr>
              <w:jc w:val="right"/>
              <w:ind w:right="28"/>
              <w:spacing w:after="0" w:line="149" w:lineRule="exact"/>
              <w:rPr>
                <w:sz w:val="20"/>
                <w:szCs w:val="20"/>
                <w:color w:val="auto"/>
              </w:rPr>
            </w:pPr>
            <w:r>
              <w:rPr>
                <w:rFonts w:ascii="Arial" w:cs="Arial" w:eastAsia="Arial" w:hAnsi="Arial"/>
                <w:sz w:val="14"/>
                <w:szCs w:val="14"/>
                <w:color w:val="auto"/>
              </w:rPr>
              <w:t>$49.91</w:t>
            </w:r>
          </w:p>
        </w:tc>
        <w:tc>
          <w:tcPr>
            <w:tcW w:w="900" w:type="dxa"/>
            <w:vAlign w:val="bottom"/>
            <w:tcBorders>
              <w:right w:val="single" w:sz="8" w:color="auto"/>
            </w:tcBorders>
            <w:shd w:val="clear" w:color="auto" w:fill="CCEEFF"/>
          </w:tcPr>
          <w:p>
            <w:pPr>
              <w:ind w:left="200"/>
              <w:spacing w:after="0" w:line="149" w:lineRule="exact"/>
              <w:rPr>
                <w:sz w:val="20"/>
                <w:szCs w:val="20"/>
                <w:color w:val="auto"/>
              </w:rPr>
            </w:pPr>
            <w:r>
              <w:rPr>
                <w:rFonts w:ascii="Arial" w:cs="Arial" w:eastAsia="Arial" w:hAnsi="Arial"/>
                <w:sz w:val="14"/>
                <w:szCs w:val="14"/>
                <w:color w:val="auto"/>
                <w:w w:val="94"/>
              </w:rPr>
              <w:t>02/08/2021</w:t>
            </w:r>
          </w:p>
        </w:tc>
        <w:tc>
          <w:tcPr>
            <w:tcW w:w="920" w:type="dxa"/>
            <w:vAlign w:val="bottom"/>
            <w:tcBorders>
              <w:right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02/08/2011</w:t>
            </w:r>
          </w:p>
        </w:tc>
        <w:tc>
          <w:tcPr>
            <w:tcW w:w="780" w:type="dxa"/>
            <w:vAlign w:val="bottom"/>
            <w:tcBorders>
              <w:right w:val="single" w:sz="8" w:color="auto"/>
            </w:tcBorders>
            <w:shd w:val="clear" w:color="auto" w:fill="CCEEFF"/>
          </w:tcPr>
          <w:p>
            <w:pPr>
              <w:jc w:val="right"/>
              <w:ind w:right="168"/>
              <w:spacing w:after="0" w:line="149" w:lineRule="exact"/>
              <w:rPr>
                <w:sz w:val="20"/>
                <w:szCs w:val="20"/>
                <w:color w:val="auto"/>
              </w:rPr>
            </w:pPr>
            <w:r>
              <w:rPr>
                <w:rFonts w:ascii="Arial" w:cs="Arial" w:eastAsia="Arial" w:hAnsi="Arial"/>
                <w:sz w:val="14"/>
                <w:szCs w:val="14"/>
                <w:color w:val="auto"/>
              </w:rPr>
              <w:t>1,000</w:t>
            </w:r>
          </w:p>
        </w:tc>
        <w:tc>
          <w:tcPr>
            <w:tcW w:w="1000" w:type="dxa"/>
            <w:vAlign w:val="bottom"/>
            <w:tcBorders>
              <w:right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$55,070</w:t>
            </w:r>
          </w:p>
        </w:tc>
        <w:tc>
          <w:tcPr>
            <w:tcW w:w="1240" w:type="dxa"/>
            <w:vAlign w:val="bottom"/>
            <w:tcBorders>
              <w:right w:val="single" w:sz="8" w:color="auto"/>
            </w:tcBorders>
            <w:shd w:val="clear" w:color="auto" w:fill="CCEEFF"/>
          </w:tcPr>
          <w:p>
            <w:pPr>
              <w:spacing w:after="0"/>
              <w:rPr>
                <w:sz w:val="12"/>
                <w:szCs w:val="12"/>
                <w:color w:val="auto"/>
              </w:rPr>
            </w:pPr>
          </w:p>
        </w:tc>
        <w:tc>
          <w:tcPr>
            <w:tcW w:w="1360" w:type="dxa"/>
            <w:vAlign w:val="bottom"/>
            <w:tcBorders>
              <w:right w:val="single" w:sz="8" w:color="auto"/>
            </w:tcBorders>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720" w:type="dxa"/>
            <w:vAlign w:val="bottom"/>
            <w:tcBorders>
              <w:left w:val="single" w:sz="8" w:color="auto"/>
              <w:right w:val="single" w:sz="8" w:color="auto"/>
            </w:tcBorders>
            <w:shd w:val="clear" w:color="auto" w:fill="CCEEFF"/>
          </w:tcPr>
          <w:p>
            <w:pPr>
              <w:spacing w:after="0"/>
              <w:rPr>
                <w:sz w:val="12"/>
                <w:szCs w:val="12"/>
                <w:color w:val="auto"/>
              </w:rPr>
            </w:pPr>
          </w:p>
        </w:tc>
        <w:tc>
          <w:tcPr>
            <w:tcW w:w="900" w:type="dxa"/>
            <w:vAlign w:val="bottom"/>
            <w:tcBorders>
              <w:right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02/09/2012</w:t>
            </w:r>
          </w:p>
        </w:tc>
        <w:tc>
          <w:tcPr>
            <w:tcW w:w="80" w:type="dxa"/>
            <w:vAlign w:val="bottom"/>
            <w:shd w:val="clear" w:color="auto" w:fill="CCEEFF"/>
          </w:tcPr>
          <w:p>
            <w:pPr>
              <w:spacing w:after="0"/>
              <w:rPr>
                <w:sz w:val="12"/>
                <w:szCs w:val="12"/>
                <w:color w:val="auto"/>
              </w:rPr>
            </w:pPr>
          </w:p>
        </w:tc>
        <w:tc>
          <w:tcPr>
            <w:tcW w:w="820" w:type="dxa"/>
            <w:vAlign w:val="bottom"/>
            <w:tcBorders>
              <w:right w:val="single" w:sz="8" w:color="auto"/>
            </w:tcBorders>
            <w:shd w:val="clear" w:color="auto" w:fill="CCEEFF"/>
          </w:tcPr>
          <w:p>
            <w:pPr>
              <w:jc w:val="right"/>
              <w:ind w:right="48"/>
              <w:spacing w:after="0" w:line="149" w:lineRule="exact"/>
              <w:rPr>
                <w:sz w:val="20"/>
                <w:szCs w:val="20"/>
                <w:color w:val="auto"/>
              </w:rPr>
            </w:pPr>
            <w:r>
              <w:rPr>
                <w:rFonts w:ascii="Arial" w:cs="Arial" w:eastAsia="Arial" w:hAnsi="Arial"/>
                <w:sz w:val="14"/>
                <w:szCs w:val="14"/>
                <w:color w:val="auto"/>
              </w:rPr>
              <w:t>1,825</w:t>
            </w:r>
          </w:p>
        </w:tc>
        <w:tc>
          <w:tcPr>
            <w:tcW w:w="1020" w:type="dxa"/>
            <w:vAlign w:val="bottom"/>
            <w:tcBorders>
              <w:right w:val="single" w:sz="8" w:color="auto"/>
            </w:tcBorders>
            <w:gridSpan w:val="2"/>
            <w:shd w:val="clear" w:color="auto" w:fill="CCEEFF"/>
          </w:tcPr>
          <w:p>
            <w:pPr>
              <w:jc w:val="right"/>
              <w:ind w:right="48"/>
              <w:spacing w:after="0" w:line="149" w:lineRule="exact"/>
              <w:rPr>
                <w:sz w:val="20"/>
                <w:szCs w:val="20"/>
                <w:color w:val="auto"/>
              </w:rPr>
            </w:pPr>
            <w:r>
              <w:rPr>
                <w:rFonts w:ascii="Arial" w:cs="Arial" w:eastAsia="Arial" w:hAnsi="Arial"/>
                <w:sz w:val="14"/>
                <w:szCs w:val="14"/>
                <w:color w:val="auto"/>
              </w:rPr>
              <w:t>5,475</w:t>
            </w:r>
          </w:p>
        </w:tc>
        <w:tc>
          <w:tcPr>
            <w:tcW w:w="700" w:type="dxa"/>
            <w:vAlign w:val="bottom"/>
            <w:tcBorders>
              <w:right w:val="single" w:sz="8" w:color="auto"/>
            </w:tcBorders>
            <w:shd w:val="clear" w:color="auto" w:fill="CCEEFF"/>
          </w:tcPr>
          <w:p>
            <w:pPr>
              <w:jc w:val="right"/>
              <w:ind w:right="28"/>
              <w:spacing w:after="0" w:line="149" w:lineRule="exact"/>
              <w:rPr>
                <w:sz w:val="20"/>
                <w:szCs w:val="20"/>
                <w:color w:val="auto"/>
              </w:rPr>
            </w:pPr>
            <w:r>
              <w:rPr>
                <w:rFonts w:ascii="Arial" w:cs="Arial" w:eastAsia="Arial" w:hAnsi="Arial"/>
                <w:sz w:val="14"/>
                <w:szCs w:val="14"/>
                <w:color w:val="auto"/>
              </w:rPr>
              <w:t>$51.76</w:t>
            </w:r>
          </w:p>
        </w:tc>
        <w:tc>
          <w:tcPr>
            <w:tcW w:w="900" w:type="dxa"/>
            <w:vAlign w:val="bottom"/>
            <w:tcBorders>
              <w:right w:val="single" w:sz="8" w:color="auto"/>
            </w:tcBorders>
            <w:shd w:val="clear" w:color="auto" w:fill="CCEEFF"/>
          </w:tcPr>
          <w:p>
            <w:pPr>
              <w:ind w:left="200"/>
              <w:spacing w:after="0" w:line="149" w:lineRule="exact"/>
              <w:rPr>
                <w:sz w:val="20"/>
                <w:szCs w:val="20"/>
                <w:color w:val="auto"/>
              </w:rPr>
            </w:pPr>
            <w:r>
              <w:rPr>
                <w:rFonts w:ascii="Arial" w:cs="Arial" w:eastAsia="Arial" w:hAnsi="Arial"/>
                <w:sz w:val="14"/>
                <w:szCs w:val="14"/>
                <w:color w:val="auto"/>
                <w:w w:val="94"/>
              </w:rPr>
              <w:t>02/09/2022</w:t>
            </w:r>
          </w:p>
        </w:tc>
        <w:tc>
          <w:tcPr>
            <w:tcW w:w="920" w:type="dxa"/>
            <w:vAlign w:val="bottom"/>
            <w:tcBorders>
              <w:right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02/09/2012</w:t>
            </w:r>
          </w:p>
        </w:tc>
        <w:tc>
          <w:tcPr>
            <w:tcW w:w="780" w:type="dxa"/>
            <w:vAlign w:val="bottom"/>
            <w:tcBorders>
              <w:right w:val="single" w:sz="8" w:color="auto"/>
            </w:tcBorders>
            <w:shd w:val="clear" w:color="auto" w:fill="CCEEFF"/>
          </w:tcPr>
          <w:p>
            <w:pPr>
              <w:spacing w:after="0"/>
              <w:rPr>
                <w:sz w:val="12"/>
                <w:szCs w:val="12"/>
                <w:color w:val="auto"/>
              </w:rPr>
            </w:pPr>
          </w:p>
        </w:tc>
        <w:tc>
          <w:tcPr>
            <w:tcW w:w="1000" w:type="dxa"/>
            <w:vAlign w:val="bottom"/>
            <w:tcBorders>
              <w:right w:val="single" w:sz="8" w:color="auto"/>
            </w:tcBorders>
            <w:shd w:val="clear" w:color="auto" w:fill="CCEEFF"/>
          </w:tcPr>
          <w:p>
            <w:pPr>
              <w:spacing w:after="0"/>
              <w:rPr>
                <w:sz w:val="12"/>
                <w:szCs w:val="12"/>
                <w:color w:val="auto"/>
              </w:rPr>
            </w:pPr>
          </w:p>
        </w:tc>
        <w:tc>
          <w:tcPr>
            <w:tcW w:w="1240" w:type="dxa"/>
            <w:vAlign w:val="bottom"/>
            <w:tcBorders>
              <w:right w:val="single" w:sz="8" w:color="auto"/>
            </w:tcBorders>
            <w:shd w:val="clear" w:color="auto" w:fill="CCEEFF"/>
          </w:tcPr>
          <w:p>
            <w:pPr>
              <w:jc w:val="right"/>
              <w:ind w:right="88"/>
              <w:spacing w:after="0" w:line="149" w:lineRule="exact"/>
              <w:rPr>
                <w:sz w:val="20"/>
                <w:szCs w:val="20"/>
                <w:color w:val="auto"/>
              </w:rPr>
            </w:pPr>
            <w:r>
              <w:rPr>
                <w:rFonts w:ascii="Arial" w:cs="Arial" w:eastAsia="Arial" w:hAnsi="Arial"/>
                <w:sz w:val="14"/>
                <w:szCs w:val="14"/>
                <w:color w:val="auto"/>
              </w:rPr>
              <w:t>4,400</w:t>
            </w:r>
          </w:p>
        </w:tc>
        <w:tc>
          <w:tcPr>
            <w:tcW w:w="1360" w:type="dxa"/>
            <w:vAlign w:val="bottom"/>
            <w:tcBorders>
              <w:right w:val="single" w:sz="8" w:color="auto"/>
            </w:tcBorders>
            <w:shd w:val="clear" w:color="auto" w:fill="CCEEFF"/>
          </w:tcPr>
          <w:p>
            <w:pPr>
              <w:jc w:val="right"/>
              <w:ind w:right="88"/>
              <w:spacing w:after="0" w:line="149" w:lineRule="exact"/>
              <w:rPr>
                <w:sz w:val="20"/>
                <w:szCs w:val="20"/>
                <w:color w:val="auto"/>
              </w:rPr>
            </w:pPr>
            <w:r>
              <w:rPr>
                <w:rFonts w:ascii="Arial" w:cs="Arial" w:eastAsia="Arial" w:hAnsi="Arial"/>
                <w:sz w:val="14"/>
                <w:szCs w:val="14"/>
                <w:color w:val="auto"/>
              </w:rPr>
              <w:t>$242,308</w:t>
            </w:r>
          </w:p>
        </w:tc>
        <w:tc>
          <w:tcPr>
            <w:tcW w:w="0" w:type="dxa"/>
            <w:vAlign w:val="bottom"/>
          </w:tcPr>
          <w:p>
            <w:pPr>
              <w:spacing w:after="0"/>
              <w:rPr>
                <w:sz w:val="1"/>
                <w:szCs w:val="1"/>
                <w:color w:val="auto"/>
              </w:rPr>
            </w:pPr>
          </w:p>
        </w:tc>
      </w:tr>
      <w:tr>
        <w:trPr>
          <w:trHeight w:val="167"/>
        </w:trPr>
        <w:tc>
          <w:tcPr>
            <w:tcW w:w="1720" w:type="dxa"/>
            <w:vAlign w:val="bottom"/>
            <w:tcBorders>
              <w:left w:val="single" w:sz="8" w:color="auto"/>
              <w:bottom w:val="single" w:sz="8" w:color="auto"/>
              <w:right w:val="single" w:sz="8" w:color="auto"/>
            </w:tcBorders>
            <w:shd w:val="clear" w:color="auto" w:fill="CCEEFF"/>
          </w:tcPr>
          <w:p>
            <w:pPr>
              <w:spacing w:after="0"/>
              <w:rPr>
                <w:sz w:val="14"/>
                <w:szCs w:val="14"/>
                <w:color w:val="auto"/>
              </w:rPr>
            </w:pPr>
          </w:p>
        </w:tc>
        <w:tc>
          <w:tcPr>
            <w:tcW w:w="900" w:type="dxa"/>
            <w:vAlign w:val="bottom"/>
            <w:tcBorders>
              <w:bottom w:val="single" w:sz="8" w:color="auto"/>
              <w:right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02/07/2013</w:t>
            </w:r>
          </w:p>
        </w:tc>
        <w:tc>
          <w:tcPr>
            <w:tcW w:w="80" w:type="dxa"/>
            <w:vAlign w:val="bottom"/>
            <w:tcBorders>
              <w:bottom w:val="single" w:sz="8" w:color="auto"/>
            </w:tcBorders>
            <w:shd w:val="clear" w:color="auto" w:fill="CCEEFF"/>
          </w:tcPr>
          <w:p>
            <w:pPr>
              <w:spacing w:after="0"/>
              <w:rPr>
                <w:sz w:val="14"/>
                <w:szCs w:val="14"/>
                <w:color w:val="auto"/>
              </w:rPr>
            </w:pPr>
          </w:p>
        </w:tc>
        <w:tc>
          <w:tcPr>
            <w:tcW w:w="820" w:type="dxa"/>
            <w:vAlign w:val="bottom"/>
            <w:tcBorders>
              <w:bottom w:val="single" w:sz="8" w:color="auto"/>
              <w:right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0</w:t>
            </w:r>
          </w:p>
        </w:tc>
        <w:tc>
          <w:tcPr>
            <w:tcW w:w="1020" w:type="dxa"/>
            <w:vAlign w:val="bottom"/>
            <w:tcBorders>
              <w:bottom w:val="single" w:sz="8" w:color="auto"/>
              <w:right w:val="single" w:sz="8" w:color="auto"/>
            </w:tcBorders>
            <w:gridSpan w:val="2"/>
            <w:shd w:val="clear" w:color="auto" w:fill="CCEEFF"/>
          </w:tcPr>
          <w:p>
            <w:pPr>
              <w:jc w:val="right"/>
              <w:ind w:right="48"/>
              <w:spacing w:after="0"/>
              <w:rPr>
                <w:sz w:val="20"/>
                <w:szCs w:val="20"/>
                <w:color w:val="auto"/>
              </w:rPr>
            </w:pPr>
            <w:r>
              <w:rPr>
                <w:rFonts w:ascii="Arial" w:cs="Arial" w:eastAsia="Arial" w:hAnsi="Arial"/>
                <w:sz w:val="14"/>
                <w:szCs w:val="14"/>
                <w:color w:val="auto"/>
              </w:rPr>
              <w:t>8,700</w:t>
            </w:r>
          </w:p>
        </w:tc>
        <w:tc>
          <w:tcPr>
            <w:tcW w:w="700" w:type="dxa"/>
            <w:vAlign w:val="bottom"/>
            <w:tcBorders>
              <w:bottom w:val="single" w:sz="8" w:color="auto"/>
              <w:right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$56.27</w:t>
            </w:r>
          </w:p>
        </w:tc>
        <w:tc>
          <w:tcPr>
            <w:tcW w:w="900" w:type="dxa"/>
            <w:vAlign w:val="bottom"/>
            <w:tcBorders>
              <w:bottom w:val="single" w:sz="8" w:color="auto"/>
              <w:right w:val="single" w:sz="8" w:color="auto"/>
            </w:tcBorders>
            <w:shd w:val="clear" w:color="auto" w:fill="CCEEFF"/>
          </w:tcPr>
          <w:p>
            <w:pPr>
              <w:ind w:left="200"/>
              <w:spacing w:after="0"/>
              <w:rPr>
                <w:sz w:val="20"/>
                <w:szCs w:val="20"/>
                <w:color w:val="auto"/>
              </w:rPr>
            </w:pPr>
            <w:r>
              <w:rPr>
                <w:rFonts w:ascii="Arial" w:cs="Arial" w:eastAsia="Arial" w:hAnsi="Arial"/>
                <w:sz w:val="14"/>
                <w:szCs w:val="14"/>
                <w:color w:val="auto"/>
                <w:w w:val="94"/>
              </w:rPr>
              <w:t>02/07/2023</w:t>
            </w:r>
          </w:p>
        </w:tc>
        <w:tc>
          <w:tcPr>
            <w:tcW w:w="920" w:type="dxa"/>
            <w:vAlign w:val="bottom"/>
            <w:tcBorders>
              <w:bottom w:val="single" w:sz="8" w:color="auto"/>
              <w:right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02/07/2013</w:t>
            </w:r>
          </w:p>
        </w:tc>
        <w:tc>
          <w:tcPr>
            <w:tcW w:w="780" w:type="dxa"/>
            <w:vAlign w:val="bottom"/>
            <w:tcBorders>
              <w:bottom w:val="single" w:sz="8" w:color="auto"/>
              <w:right w:val="single" w:sz="8" w:color="auto"/>
            </w:tcBorders>
            <w:shd w:val="clear" w:color="auto" w:fill="CCEEFF"/>
          </w:tcPr>
          <w:p>
            <w:pPr>
              <w:jc w:val="right"/>
              <w:ind w:right="168"/>
              <w:spacing w:after="0"/>
              <w:rPr>
                <w:sz w:val="20"/>
                <w:szCs w:val="20"/>
                <w:color w:val="auto"/>
              </w:rPr>
            </w:pPr>
            <w:r>
              <w:rPr>
                <w:rFonts w:ascii="Arial" w:cs="Arial" w:eastAsia="Arial" w:hAnsi="Arial"/>
                <w:sz w:val="14"/>
                <w:szCs w:val="14"/>
                <w:color w:val="auto"/>
              </w:rPr>
              <w:t>8,000</w:t>
            </w:r>
          </w:p>
        </w:tc>
        <w:tc>
          <w:tcPr>
            <w:tcW w:w="1000" w:type="dxa"/>
            <w:vAlign w:val="bottom"/>
            <w:tcBorders>
              <w:bottom w:val="single" w:sz="8" w:color="auto"/>
              <w:right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$440,560</w:t>
            </w:r>
          </w:p>
        </w:tc>
        <w:tc>
          <w:tcPr>
            <w:tcW w:w="1240" w:type="dxa"/>
            <w:vAlign w:val="bottom"/>
            <w:tcBorders>
              <w:bottom w:val="single" w:sz="8" w:color="auto"/>
              <w:right w:val="single" w:sz="8" w:color="auto"/>
            </w:tcBorders>
            <w:shd w:val="clear" w:color="auto" w:fill="CCEEFF"/>
          </w:tcPr>
          <w:p>
            <w:pPr>
              <w:jc w:val="right"/>
              <w:ind w:right="88"/>
              <w:spacing w:after="0"/>
              <w:rPr>
                <w:sz w:val="20"/>
                <w:szCs w:val="20"/>
                <w:color w:val="auto"/>
              </w:rPr>
            </w:pPr>
            <w:r>
              <w:rPr>
                <w:rFonts w:ascii="Arial" w:cs="Arial" w:eastAsia="Arial" w:hAnsi="Arial"/>
                <w:sz w:val="14"/>
                <w:szCs w:val="14"/>
                <w:color w:val="auto"/>
              </w:rPr>
              <w:t>3,300</w:t>
            </w:r>
          </w:p>
        </w:tc>
        <w:tc>
          <w:tcPr>
            <w:tcW w:w="1360" w:type="dxa"/>
            <w:vAlign w:val="bottom"/>
            <w:tcBorders>
              <w:bottom w:val="single" w:sz="8" w:color="auto"/>
              <w:right w:val="single" w:sz="8" w:color="auto"/>
            </w:tcBorders>
            <w:shd w:val="clear" w:color="auto" w:fill="CCEEFF"/>
          </w:tcPr>
          <w:p>
            <w:pPr>
              <w:jc w:val="right"/>
              <w:ind w:right="88"/>
              <w:spacing w:after="0"/>
              <w:rPr>
                <w:sz w:val="20"/>
                <w:szCs w:val="20"/>
                <w:color w:val="auto"/>
              </w:rPr>
            </w:pPr>
            <w:r>
              <w:rPr>
                <w:rFonts w:ascii="Arial" w:cs="Arial" w:eastAsia="Arial" w:hAnsi="Arial"/>
                <w:sz w:val="14"/>
                <w:szCs w:val="14"/>
                <w:color w:val="auto"/>
              </w:rPr>
              <w:t>$181,731</w:t>
            </w:r>
          </w:p>
        </w:tc>
        <w:tc>
          <w:tcPr>
            <w:tcW w:w="0" w:type="dxa"/>
            <w:vAlign w:val="bottom"/>
          </w:tcPr>
          <w:p>
            <w:pPr>
              <w:spacing w:after="0"/>
              <w:rPr>
                <w:sz w:val="1"/>
                <w:szCs w:val="1"/>
                <w:color w:val="auto"/>
              </w:rPr>
            </w:pPr>
          </w:p>
        </w:tc>
      </w:tr>
      <w:tr>
        <w:trPr>
          <w:trHeight w:val="123"/>
        </w:trPr>
        <w:tc>
          <w:tcPr>
            <w:tcW w:w="1720" w:type="dxa"/>
            <w:vAlign w:val="bottom"/>
            <w:tcBorders>
              <w:left w:val="single" w:sz="8" w:color="auto"/>
              <w:right w:val="single" w:sz="8" w:color="auto"/>
            </w:tcBorders>
          </w:tcPr>
          <w:p>
            <w:pPr>
              <w:ind w:left="160"/>
              <w:spacing w:after="0" w:line="123" w:lineRule="exact"/>
              <w:rPr>
                <w:sz w:val="20"/>
                <w:szCs w:val="20"/>
                <w:color w:val="auto"/>
              </w:rPr>
            </w:pPr>
            <w:r>
              <w:rPr>
                <w:rFonts w:ascii="Arial" w:cs="Arial" w:eastAsia="Arial" w:hAnsi="Arial"/>
                <w:sz w:val="14"/>
                <w:szCs w:val="14"/>
                <w:color w:val="auto"/>
              </w:rPr>
              <w:t>Frank A.</w:t>
            </w:r>
          </w:p>
        </w:tc>
        <w:tc>
          <w:tcPr>
            <w:tcW w:w="900" w:type="dxa"/>
            <w:vAlign w:val="bottom"/>
            <w:tcBorders>
              <w:right w:val="single" w:sz="8" w:color="auto"/>
            </w:tcBorders>
          </w:tcPr>
          <w:p>
            <w:pPr>
              <w:spacing w:after="0"/>
              <w:rPr>
                <w:sz w:val="10"/>
                <w:szCs w:val="10"/>
                <w:color w:val="auto"/>
              </w:rPr>
            </w:pPr>
          </w:p>
        </w:tc>
        <w:tc>
          <w:tcPr>
            <w:tcW w:w="80" w:type="dxa"/>
            <w:vAlign w:val="bottom"/>
          </w:tcPr>
          <w:p>
            <w:pPr>
              <w:spacing w:after="0"/>
              <w:rPr>
                <w:sz w:val="10"/>
                <w:szCs w:val="10"/>
                <w:color w:val="auto"/>
              </w:rPr>
            </w:pPr>
          </w:p>
        </w:tc>
        <w:tc>
          <w:tcPr>
            <w:tcW w:w="820" w:type="dxa"/>
            <w:vAlign w:val="bottom"/>
            <w:tcBorders>
              <w:right w:val="single" w:sz="8" w:color="auto"/>
            </w:tcBorders>
          </w:tcPr>
          <w:p>
            <w:pPr>
              <w:spacing w:after="0"/>
              <w:rPr>
                <w:sz w:val="10"/>
                <w:szCs w:val="10"/>
                <w:color w:val="auto"/>
              </w:rPr>
            </w:pPr>
          </w:p>
        </w:tc>
        <w:tc>
          <w:tcPr>
            <w:tcW w:w="100" w:type="dxa"/>
            <w:vAlign w:val="bottom"/>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tcPr>
          <w:p>
            <w:pPr>
              <w:spacing w:after="0"/>
              <w:rPr>
                <w:sz w:val="10"/>
                <w:szCs w:val="10"/>
                <w:color w:val="auto"/>
              </w:rPr>
            </w:pPr>
          </w:p>
        </w:tc>
        <w:tc>
          <w:tcPr>
            <w:tcW w:w="90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1000" w:type="dxa"/>
            <w:vAlign w:val="bottom"/>
            <w:tcBorders>
              <w:right w:val="single" w:sz="8" w:color="auto"/>
            </w:tcBorders>
          </w:tcPr>
          <w:p>
            <w:pPr>
              <w:spacing w:after="0"/>
              <w:rPr>
                <w:sz w:val="10"/>
                <w:szCs w:val="10"/>
                <w:color w:val="auto"/>
              </w:rPr>
            </w:pPr>
          </w:p>
        </w:tc>
        <w:tc>
          <w:tcPr>
            <w:tcW w:w="1240" w:type="dxa"/>
            <w:vAlign w:val="bottom"/>
            <w:tcBorders>
              <w:right w:val="single" w:sz="8" w:color="auto"/>
            </w:tcBorders>
          </w:tcPr>
          <w:p>
            <w:pPr>
              <w:spacing w:after="0"/>
              <w:rPr>
                <w:sz w:val="10"/>
                <w:szCs w:val="10"/>
                <w:color w:val="auto"/>
              </w:rPr>
            </w:pPr>
          </w:p>
        </w:tc>
        <w:tc>
          <w:tcPr>
            <w:tcW w:w="136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82"/>
        </w:trPr>
        <w:tc>
          <w:tcPr>
            <w:tcW w:w="1720" w:type="dxa"/>
            <w:vAlign w:val="bottom"/>
            <w:tcBorders>
              <w:left w:val="single" w:sz="8" w:color="auto"/>
              <w:right w:val="single" w:sz="8" w:color="auto"/>
            </w:tcBorders>
          </w:tcPr>
          <w:p>
            <w:pPr>
              <w:ind w:left="160"/>
              <w:spacing w:after="0"/>
              <w:rPr>
                <w:sz w:val="20"/>
                <w:szCs w:val="20"/>
                <w:color w:val="auto"/>
              </w:rPr>
            </w:pPr>
            <w:r>
              <w:rPr>
                <w:rFonts w:ascii="Arial" w:cs="Arial" w:eastAsia="Arial" w:hAnsi="Arial"/>
                <w:sz w:val="14"/>
                <w:szCs w:val="14"/>
                <w:color w:val="auto"/>
              </w:rPr>
              <w:t>DiPiero</w:t>
            </w:r>
            <w:r>
              <w:rPr>
                <w:rFonts w:ascii="Arial" w:cs="Arial" w:eastAsia="Arial" w:hAnsi="Arial"/>
                <w:sz w:val="12"/>
                <w:szCs w:val="12"/>
                <w:color w:val="auto"/>
              </w:rPr>
              <w:t>(3)</w:t>
            </w:r>
          </w:p>
        </w:tc>
        <w:tc>
          <w:tcPr>
            <w:tcW w:w="900" w:type="dxa"/>
            <w:vAlign w:val="bottom"/>
            <w:tcBorders>
              <w:right w:val="single" w:sz="8" w:color="auto"/>
            </w:tcBorders>
          </w:tcPr>
          <w:p>
            <w:pPr>
              <w:jc w:val="right"/>
              <w:ind w:right="328"/>
              <w:spacing w:after="0"/>
              <w:rPr>
                <w:sz w:val="20"/>
                <w:szCs w:val="20"/>
                <w:color w:val="auto"/>
              </w:rPr>
            </w:pPr>
            <w:r>
              <w:rPr>
                <w:rFonts w:ascii="Arial" w:cs="Arial" w:eastAsia="Arial" w:hAnsi="Arial"/>
                <w:sz w:val="14"/>
                <w:szCs w:val="14"/>
                <w:color w:val="auto"/>
              </w:rPr>
              <w:t>-</w:t>
            </w:r>
          </w:p>
        </w:tc>
        <w:tc>
          <w:tcPr>
            <w:tcW w:w="900" w:type="dxa"/>
            <w:vAlign w:val="bottom"/>
            <w:tcBorders>
              <w:right w:val="single" w:sz="8" w:color="auto"/>
            </w:tcBorders>
            <w:gridSpan w:val="2"/>
          </w:tcPr>
          <w:p>
            <w:pPr>
              <w:jc w:val="center"/>
              <w:ind w:left="8"/>
              <w:spacing w:after="0"/>
              <w:rPr>
                <w:sz w:val="20"/>
                <w:szCs w:val="20"/>
                <w:color w:val="auto"/>
              </w:rPr>
            </w:pPr>
            <w:r>
              <w:rPr>
                <w:rFonts w:ascii="Arial" w:cs="Arial" w:eastAsia="Arial" w:hAnsi="Arial"/>
                <w:sz w:val="14"/>
                <w:szCs w:val="14"/>
                <w:color w:val="auto"/>
              </w:rPr>
              <w:t>-</w:t>
            </w:r>
          </w:p>
        </w:tc>
        <w:tc>
          <w:tcPr>
            <w:tcW w:w="1020" w:type="dxa"/>
            <w:vAlign w:val="bottom"/>
            <w:tcBorders>
              <w:right w:val="single" w:sz="8" w:color="auto"/>
            </w:tcBorders>
            <w:gridSpan w:val="2"/>
          </w:tcPr>
          <w:p>
            <w:pPr>
              <w:jc w:val="center"/>
              <w:ind w:left="8"/>
              <w:spacing w:after="0"/>
              <w:rPr>
                <w:sz w:val="20"/>
                <w:szCs w:val="20"/>
                <w:color w:val="auto"/>
              </w:rPr>
            </w:pPr>
            <w:r>
              <w:rPr>
                <w:rFonts w:ascii="Arial" w:cs="Arial" w:eastAsia="Arial" w:hAnsi="Arial"/>
                <w:sz w:val="14"/>
                <w:szCs w:val="14"/>
                <w:color w:val="auto"/>
              </w:rPr>
              <w:t>-</w:t>
            </w:r>
          </w:p>
        </w:tc>
        <w:tc>
          <w:tcPr>
            <w:tcW w:w="700" w:type="dxa"/>
            <w:vAlign w:val="bottom"/>
            <w:tcBorders>
              <w:right w:val="single" w:sz="8" w:color="auto"/>
            </w:tcBorders>
          </w:tcPr>
          <w:p>
            <w:pPr>
              <w:jc w:val="right"/>
              <w:ind w:right="248"/>
              <w:spacing w:after="0"/>
              <w:rPr>
                <w:sz w:val="20"/>
                <w:szCs w:val="20"/>
                <w:color w:val="auto"/>
              </w:rPr>
            </w:pPr>
            <w:r>
              <w:rPr>
                <w:rFonts w:ascii="Arial" w:cs="Arial" w:eastAsia="Arial" w:hAnsi="Arial"/>
                <w:sz w:val="14"/>
                <w:szCs w:val="14"/>
                <w:color w:val="auto"/>
              </w:rPr>
              <w:t>-</w:t>
            </w:r>
          </w:p>
        </w:tc>
        <w:tc>
          <w:tcPr>
            <w:tcW w:w="900" w:type="dxa"/>
            <w:vAlign w:val="bottom"/>
            <w:tcBorders>
              <w:right w:val="single" w:sz="8" w:color="auto"/>
            </w:tcBorders>
          </w:tcPr>
          <w:p>
            <w:pPr>
              <w:jc w:val="center"/>
              <w:ind w:left="8"/>
              <w:spacing w:after="0"/>
              <w:rPr>
                <w:sz w:val="20"/>
                <w:szCs w:val="20"/>
                <w:color w:val="auto"/>
              </w:rPr>
            </w:pPr>
            <w:r>
              <w:rPr>
                <w:rFonts w:ascii="Arial" w:cs="Arial" w:eastAsia="Arial" w:hAnsi="Arial"/>
                <w:sz w:val="14"/>
                <w:szCs w:val="14"/>
                <w:color w:val="auto"/>
              </w:rPr>
              <w:t>-</w:t>
            </w:r>
          </w:p>
        </w:tc>
        <w:tc>
          <w:tcPr>
            <w:tcW w:w="920" w:type="dxa"/>
            <w:vAlign w:val="bottom"/>
            <w:tcBorders>
              <w:right w:val="single" w:sz="8" w:color="auto"/>
            </w:tcBorders>
          </w:tcPr>
          <w:p>
            <w:pPr>
              <w:jc w:val="right"/>
              <w:ind w:right="328"/>
              <w:spacing w:after="0"/>
              <w:rPr>
                <w:sz w:val="20"/>
                <w:szCs w:val="20"/>
                <w:color w:val="auto"/>
              </w:rPr>
            </w:pPr>
            <w:r>
              <w:rPr>
                <w:rFonts w:ascii="Arial" w:cs="Arial" w:eastAsia="Arial" w:hAnsi="Arial"/>
                <w:sz w:val="14"/>
                <w:szCs w:val="14"/>
                <w:color w:val="auto"/>
              </w:rPr>
              <w:t>-</w:t>
            </w:r>
          </w:p>
        </w:tc>
        <w:tc>
          <w:tcPr>
            <w:tcW w:w="780" w:type="dxa"/>
            <w:vAlign w:val="bottom"/>
            <w:tcBorders>
              <w:right w:val="single" w:sz="8" w:color="auto"/>
            </w:tcBorders>
          </w:tcPr>
          <w:p>
            <w:pPr>
              <w:jc w:val="center"/>
              <w:spacing w:after="0"/>
              <w:rPr>
                <w:sz w:val="20"/>
                <w:szCs w:val="20"/>
                <w:color w:val="auto"/>
              </w:rPr>
            </w:pPr>
            <w:r>
              <w:rPr>
                <w:rFonts w:ascii="Arial" w:cs="Arial" w:eastAsia="Arial" w:hAnsi="Arial"/>
                <w:sz w:val="14"/>
                <w:szCs w:val="14"/>
                <w:color w:val="auto"/>
                <w:w w:val="84"/>
              </w:rPr>
              <w:t>-</w:t>
            </w:r>
          </w:p>
        </w:tc>
        <w:tc>
          <w:tcPr>
            <w:tcW w:w="1000" w:type="dxa"/>
            <w:vAlign w:val="bottom"/>
            <w:tcBorders>
              <w:right w:val="single" w:sz="8" w:color="auto"/>
            </w:tcBorders>
          </w:tcPr>
          <w:p>
            <w:pPr>
              <w:jc w:val="center"/>
              <w:ind w:left="8"/>
              <w:spacing w:after="0"/>
              <w:rPr>
                <w:sz w:val="20"/>
                <w:szCs w:val="20"/>
                <w:color w:val="auto"/>
              </w:rPr>
            </w:pPr>
            <w:r>
              <w:rPr>
                <w:rFonts w:ascii="Arial" w:cs="Arial" w:eastAsia="Arial" w:hAnsi="Arial"/>
                <w:sz w:val="14"/>
                <w:szCs w:val="14"/>
                <w:color w:val="auto"/>
                <w:w w:val="84"/>
              </w:rPr>
              <w:t>-</w:t>
            </w:r>
          </w:p>
        </w:tc>
        <w:tc>
          <w:tcPr>
            <w:tcW w:w="1240" w:type="dxa"/>
            <w:vAlign w:val="bottom"/>
            <w:tcBorders>
              <w:right w:val="single" w:sz="8" w:color="auto"/>
            </w:tcBorders>
          </w:tcPr>
          <w:p>
            <w:pPr>
              <w:jc w:val="center"/>
              <w:ind w:left="8"/>
              <w:spacing w:after="0"/>
              <w:rPr>
                <w:sz w:val="20"/>
                <w:szCs w:val="20"/>
                <w:color w:val="auto"/>
              </w:rPr>
            </w:pPr>
            <w:r>
              <w:rPr>
                <w:rFonts w:ascii="Arial" w:cs="Arial" w:eastAsia="Arial" w:hAnsi="Arial"/>
                <w:sz w:val="14"/>
                <w:szCs w:val="14"/>
                <w:color w:val="auto"/>
                <w:w w:val="84"/>
              </w:rPr>
              <w:t>-</w:t>
            </w:r>
          </w:p>
        </w:tc>
        <w:tc>
          <w:tcPr>
            <w:tcW w:w="1360" w:type="dxa"/>
            <w:vAlign w:val="bottom"/>
            <w:tcBorders>
              <w:right w:val="single" w:sz="8" w:color="auto"/>
            </w:tcBorders>
          </w:tcPr>
          <w:p>
            <w:pPr>
              <w:jc w:val="center"/>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34"/>
        </w:trPr>
        <w:tc>
          <w:tcPr>
            <w:tcW w:w="1720" w:type="dxa"/>
            <w:vAlign w:val="bottom"/>
            <w:tcBorders>
              <w:left w:val="single" w:sz="8" w:color="auto"/>
              <w:bottom w:val="single" w:sz="8" w:color="auto"/>
              <w:right w:val="single" w:sz="8" w:color="auto"/>
            </w:tcBorders>
          </w:tcPr>
          <w:p>
            <w:pPr>
              <w:spacing w:after="0"/>
              <w:rPr>
                <w:sz w:val="11"/>
                <w:szCs w:val="11"/>
                <w:color w:val="auto"/>
              </w:rPr>
            </w:pPr>
          </w:p>
        </w:tc>
        <w:tc>
          <w:tcPr>
            <w:tcW w:w="900" w:type="dxa"/>
            <w:vAlign w:val="bottom"/>
            <w:tcBorders>
              <w:bottom w:val="single" w:sz="8" w:color="auto"/>
              <w:right w:val="single" w:sz="8" w:color="auto"/>
            </w:tcBorders>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820" w:type="dxa"/>
            <w:vAlign w:val="bottom"/>
            <w:tcBorders>
              <w:bottom w:val="single" w:sz="8" w:color="auto"/>
              <w:right w:val="single" w:sz="8" w:color="auto"/>
            </w:tcBorders>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920" w:type="dxa"/>
            <w:vAlign w:val="bottom"/>
            <w:tcBorders>
              <w:bottom w:val="single" w:sz="8" w:color="auto"/>
              <w:right w:val="single" w:sz="8" w:color="auto"/>
            </w:tcBorders>
          </w:tcPr>
          <w:p>
            <w:pPr>
              <w:spacing w:after="0"/>
              <w:rPr>
                <w:sz w:val="11"/>
                <w:szCs w:val="11"/>
                <w:color w:val="auto"/>
              </w:rPr>
            </w:pPr>
          </w:p>
        </w:tc>
        <w:tc>
          <w:tcPr>
            <w:tcW w:w="700" w:type="dxa"/>
            <w:vAlign w:val="bottom"/>
            <w:tcBorders>
              <w:bottom w:val="single" w:sz="8" w:color="auto"/>
              <w:right w:val="single" w:sz="8" w:color="auto"/>
            </w:tcBorders>
          </w:tcPr>
          <w:p>
            <w:pPr>
              <w:spacing w:after="0"/>
              <w:rPr>
                <w:sz w:val="11"/>
                <w:szCs w:val="11"/>
                <w:color w:val="auto"/>
              </w:rPr>
            </w:pPr>
          </w:p>
        </w:tc>
        <w:tc>
          <w:tcPr>
            <w:tcW w:w="900" w:type="dxa"/>
            <w:vAlign w:val="bottom"/>
            <w:tcBorders>
              <w:bottom w:val="single" w:sz="8" w:color="auto"/>
              <w:right w:val="single" w:sz="8" w:color="auto"/>
            </w:tcBorders>
          </w:tcPr>
          <w:p>
            <w:pPr>
              <w:spacing w:after="0"/>
              <w:rPr>
                <w:sz w:val="11"/>
                <w:szCs w:val="11"/>
                <w:color w:val="auto"/>
              </w:rPr>
            </w:pPr>
          </w:p>
        </w:tc>
        <w:tc>
          <w:tcPr>
            <w:tcW w:w="920" w:type="dxa"/>
            <w:vAlign w:val="bottom"/>
            <w:tcBorders>
              <w:bottom w:val="single" w:sz="8" w:color="auto"/>
              <w:right w:val="single" w:sz="8" w:color="auto"/>
            </w:tcBorders>
          </w:tcPr>
          <w:p>
            <w:pPr>
              <w:spacing w:after="0"/>
              <w:rPr>
                <w:sz w:val="11"/>
                <w:szCs w:val="11"/>
                <w:color w:val="auto"/>
              </w:rPr>
            </w:pPr>
          </w:p>
        </w:tc>
        <w:tc>
          <w:tcPr>
            <w:tcW w:w="780" w:type="dxa"/>
            <w:vAlign w:val="bottom"/>
            <w:tcBorders>
              <w:bottom w:val="single" w:sz="8" w:color="auto"/>
              <w:right w:val="single" w:sz="8" w:color="auto"/>
            </w:tcBorders>
          </w:tcPr>
          <w:p>
            <w:pPr>
              <w:spacing w:after="0"/>
              <w:rPr>
                <w:sz w:val="11"/>
                <w:szCs w:val="11"/>
                <w:color w:val="auto"/>
              </w:rPr>
            </w:pPr>
          </w:p>
        </w:tc>
        <w:tc>
          <w:tcPr>
            <w:tcW w:w="1000" w:type="dxa"/>
            <w:vAlign w:val="bottom"/>
            <w:tcBorders>
              <w:bottom w:val="single" w:sz="8" w:color="auto"/>
              <w:right w:val="single" w:sz="8" w:color="auto"/>
            </w:tcBorders>
          </w:tcPr>
          <w:p>
            <w:pPr>
              <w:spacing w:after="0"/>
              <w:rPr>
                <w:sz w:val="11"/>
                <w:szCs w:val="11"/>
                <w:color w:val="auto"/>
              </w:rPr>
            </w:pPr>
          </w:p>
        </w:tc>
        <w:tc>
          <w:tcPr>
            <w:tcW w:w="1240" w:type="dxa"/>
            <w:vAlign w:val="bottom"/>
            <w:tcBorders>
              <w:bottom w:val="single" w:sz="8" w:color="auto"/>
              <w:right w:val="single" w:sz="8" w:color="auto"/>
            </w:tcBorders>
          </w:tcPr>
          <w:p>
            <w:pPr>
              <w:spacing w:after="0"/>
              <w:rPr>
                <w:sz w:val="11"/>
                <w:szCs w:val="11"/>
                <w:color w:val="auto"/>
              </w:rPr>
            </w:pPr>
          </w:p>
        </w:tc>
        <w:tc>
          <w:tcPr>
            <w:tcW w:w="136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bl>
    <w:p>
      <w:pPr>
        <w:spacing w:after="0" w:line="278" w:lineRule="exact"/>
        <w:rPr>
          <w:sz w:val="20"/>
          <w:szCs w:val="20"/>
          <w:color w:val="auto"/>
        </w:rPr>
      </w:pPr>
    </w:p>
    <w:p>
      <w:pPr>
        <w:ind w:left="340" w:hanging="332"/>
        <w:spacing w:after="0"/>
        <w:tabs>
          <w:tab w:leader="none" w:pos="340" w:val="left"/>
        </w:tabs>
        <w:numPr>
          <w:ilvl w:val="0"/>
          <w:numId w:val="32"/>
        </w:numPr>
        <w:rPr>
          <w:rFonts w:ascii="Arial" w:cs="Arial" w:eastAsia="Arial" w:hAnsi="Arial"/>
          <w:sz w:val="14"/>
          <w:szCs w:val="14"/>
          <w:color w:val="auto"/>
        </w:rPr>
      </w:pPr>
      <w:r>
        <w:rPr>
          <w:rFonts w:ascii="Arial" w:cs="Arial" w:eastAsia="Arial" w:hAnsi="Arial"/>
          <w:sz w:val="14"/>
          <w:szCs w:val="14"/>
          <w:color w:val="auto"/>
        </w:rPr>
        <w:t>All option awards shown are Timken nonqualified stock options that vest 25 percent per year over the four-year period from the date of grant.</w:t>
      </w:r>
    </w:p>
    <w:p>
      <w:pPr>
        <w:spacing w:after="0" w:line="109" w:lineRule="exact"/>
        <w:rPr>
          <w:rFonts w:ascii="Arial" w:cs="Arial" w:eastAsia="Arial" w:hAnsi="Arial"/>
          <w:sz w:val="14"/>
          <w:szCs w:val="14"/>
          <w:color w:val="auto"/>
        </w:rPr>
      </w:pPr>
    </w:p>
    <w:p>
      <w:pPr>
        <w:ind w:left="340" w:right="140" w:hanging="332"/>
        <w:spacing w:after="0" w:line="256" w:lineRule="auto"/>
        <w:tabs>
          <w:tab w:leader="none" w:pos="340" w:val="left"/>
        </w:tabs>
        <w:numPr>
          <w:ilvl w:val="0"/>
          <w:numId w:val="32"/>
        </w:numPr>
        <w:rPr>
          <w:rFonts w:ascii="Arial" w:cs="Arial" w:eastAsia="Arial" w:hAnsi="Arial"/>
          <w:sz w:val="13"/>
          <w:szCs w:val="13"/>
          <w:color w:val="auto"/>
        </w:rPr>
      </w:pPr>
      <w:r>
        <w:rPr>
          <w:rFonts w:ascii="Arial" w:cs="Arial" w:eastAsia="Arial" w:hAnsi="Arial"/>
          <w:sz w:val="13"/>
          <w:szCs w:val="13"/>
          <w:color w:val="auto"/>
        </w:rPr>
        <w:t>Timken stock awards shown include performance shares, restricted shares, deferred shares, performance-based restricted and stock units that have time-based vesting as well as performance-based restricted stock units that vest based on meeting performance requirements. Performance and restricted shares vest 25% per year over the four-year period from the date of grant, unless cancelled. Performance-based restricted stock units vest on the third anniversary of the grant, contingent upon the achievement of performance requirements. The market value of all shares shown in these columns was determined based upon the closing price of Timken common shares on December 31, 2013, which was $55.07.</w:t>
      </w:r>
    </w:p>
    <w:p>
      <w:pPr>
        <w:spacing w:after="0" w:line="77" w:lineRule="exact"/>
        <w:rPr>
          <w:rFonts w:ascii="Arial" w:cs="Arial" w:eastAsia="Arial" w:hAnsi="Arial"/>
          <w:sz w:val="13"/>
          <w:szCs w:val="13"/>
          <w:color w:val="auto"/>
        </w:rPr>
      </w:pPr>
    </w:p>
    <w:p>
      <w:pPr>
        <w:ind w:left="340" w:hanging="332"/>
        <w:spacing w:after="0"/>
        <w:tabs>
          <w:tab w:leader="none" w:pos="340" w:val="left"/>
        </w:tabs>
        <w:numPr>
          <w:ilvl w:val="0"/>
          <w:numId w:val="32"/>
        </w:numPr>
        <w:rPr>
          <w:rFonts w:ascii="Arial" w:cs="Arial" w:eastAsia="Arial" w:hAnsi="Arial"/>
          <w:sz w:val="14"/>
          <w:szCs w:val="14"/>
          <w:color w:val="auto"/>
        </w:rPr>
      </w:pPr>
      <w:r>
        <w:rPr>
          <w:rFonts w:ascii="Arial" w:cs="Arial" w:eastAsia="Arial" w:hAnsi="Arial"/>
          <w:sz w:val="14"/>
          <w:szCs w:val="14"/>
          <w:color w:val="auto"/>
        </w:rPr>
        <w:t>Mr. DiPiero was not employed by Timken in 2013 and therefore no historical information is available for him.</w:t>
      </w:r>
    </w:p>
    <w:p>
      <w:pPr>
        <w:spacing w:after="0" w:line="200" w:lineRule="exact"/>
        <w:rPr>
          <w:sz w:val="20"/>
          <w:szCs w:val="20"/>
          <w:color w:val="auto"/>
        </w:rPr>
      </w:pPr>
    </w:p>
    <w:p>
      <w:pPr>
        <w:spacing w:after="0" w:line="220"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2013 Option Exercises and Stock Vested Table</w:t>
      </w:r>
    </w:p>
    <w:p>
      <w:pPr>
        <w:spacing w:after="0" w:line="256" w:lineRule="exact"/>
        <w:rPr>
          <w:sz w:val="20"/>
          <w:szCs w:val="20"/>
          <w:color w:val="auto"/>
        </w:rPr>
      </w:pPr>
    </w:p>
    <w:p>
      <w:pPr>
        <w:ind w:right="100" w:firstLine="913"/>
        <w:spacing w:after="0" w:line="277" w:lineRule="auto"/>
        <w:rPr>
          <w:sz w:val="20"/>
          <w:szCs w:val="20"/>
          <w:color w:val="auto"/>
        </w:rPr>
      </w:pPr>
      <w:r>
        <w:rPr>
          <w:rFonts w:ascii="Arial" w:cs="Arial" w:eastAsia="Arial" w:hAnsi="Arial"/>
          <w:sz w:val="18"/>
          <w:szCs w:val="18"/>
          <w:color w:val="auto"/>
        </w:rPr>
        <w:t>The following table sets forth information with respect to the exercise of Timken stock options by and vesting of Timken stock-based awards for our NEOs during 2013:</w:t>
      </w:r>
    </w:p>
    <w:p>
      <w:pPr>
        <w:spacing w:after="0" w:line="202" w:lineRule="exact"/>
        <w:rPr>
          <w:sz w:val="20"/>
          <w:szCs w:val="20"/>
          <w:color w:val="auto"/>
        </w:rPr>
      </w:pPr>
    </w:p>
    <w:tbl>
      <w:tblPr>
        <w:tblLayout w:type="fixed"/>
        <w:tblInd w:w="0" w:type="dxa"/>
        <w:tblCellMar>
          <w:top w:w="0" w:type="dxa"/>
          <w:left w:w="0" w:type="dxa"/>
          <w:bottom w:w="0" w:type="dxa"/>
          <w:right w:w="0" w:type="dxa"/>
        </w:tblCellMar>
      </w:tblPr>
      <w:tr>
        <w:trPr>
          <w:trHeight w:val="209"/>
        </w:trPr>
        <w:tc>
          <w:tcPr>
            <w:tcW w:w="2940" w:type="dxa"/>
            <w:vAlign w:val="bottom"/>
          </w:tcPr>
          <w:p>
            <w:pPr>
              <w:spacing w:after="0"/>
              <w:rPr>
                <w:sz w:val="18"/>
                <w:szCs w:val="18"/>
                <w:color w:val="auto"/>
              </w:rPr>
            </w:pPr>
          </w:p>
        </w:tc>
        <w:tc>
          <w:tcPr>
            <w:tcW w:w="4340" w:type="dxa"/>
            <w:vAlign w:val="bottom"/>
            <w:tcBorders>
              <w:bottom w:val="single" w:sz="8" w:color="auto"/>
            </w:tcBorders>
            <w:gridSpan w:val="2"/>
          </w:tcPr>
          <w:p>
            <w:pPr>
              <w:jc w:val="right"/>
              <w:ind w:right="1499"/>
              <w:spacing w:after="0"/>
              <w:rPr>
                <w:sz w:val="20"/>
                <w:szCs w:val="20"/>
                <w:color w:val="auto"/>
              </w:rPr>
            </w:pPr>
            <w:r>
              <w:rPr>
                <w:rFonts w:ascii="Arial" w:cs="Arial" w:eastAsia="Arial" w:hAnsi="Arial"/>
                <w:sz w:val="16"/>
                <w:szCs w:val="16"/>
                <w:color w:val="auto"/>
              </w:rPr>
              <w:t>Option Awards</w:t>
            </w:r>
          </w:p>
        </w:tc>
        <w:tc>
          <w:tcPr>
            <w:tcW w:w="4140" w:type="dxa"/>
            <w:vAlign w:val="bottom"/>
            <w:tcBorders>
              <w:bottom w:val="single" w:sz="8" w:color="auto"/>
            </w:tcBorders>
            <w:gridSpan w:val="2"/>
          </w:tcPr>
          <w:p>
            <w:pPr>
              <w:jc w:val="right"/>
              <w:ind w:right="1439"/>
              <w:spacing w:after="0"/>
              <w:rPr>
                <w:sz w:val="20"/>
                <w:szCs w:val="20"/>
                <w:color w:val="auto"/>
              </w:rPr>
            </w:pPr>
            <w:r>
              <w:rPr>
                <w:rFonts w:ascii="Arial" w:cs="Arial" w:eastAsia="Arial" w:hAnsi="Arial"/>
                <w:sz w:val="16"/>
                <w:szCs w:val="16"/>
                <w:color w:val="auto"/>
              </w:rPr>
              <w:t>Stock Awards</w:t>
            </w:r>
          </w:p>
        </w:tc>
      </w:tr>
      <w:tr>
        <w:trPr>
          <w:trHeight w:val="270"/>
        </w:trPr>
        <w:tc>
          <w:tcPr>
            <w:tcW w:w="2940" w:type="dxa"/>
            <w:vAlign w:val="bottom"/>
          </w:tcPr>
          <w:p>
            <w:pPr>
              <w:spacing w:after="0"/>
              <w:rPr>
                <w:sz w:val="23"/>
                <w:szCs w:val="23"/>
                <w:color w:val="auto"/>
              </w:rPr>
            </w:pPr>
          </w:p>
        </w:tc>
        <w:tc>
          <w:tcPr>
            <w:tcW w:w="2340" w:type="dxa"/>
            <w:vAlign w:val="bottom"/>
          </w:tcPr>
          <w:p>
            <w:pPr>
              <w:jc w:val="right"/>
              <w:ind w:right="479"/>
              <w:spacing w:after="0"/>
              <w:rPr>
                <w:sz w:val="20"/>
                <w:szCs w:val="20"/>
                <w:color w:val="auto"/>
              </w:rPr>
            </w:pPr>
            <w:r>
              <w:rPr>
                <w:rFonts w:ascii="Arial" w:cs="Arial" w:eastAsia="Arial" w:hAnsi="Arial"/>
                <w:sz w:val="16"/>
                <w:szCs w:val="16"/>
                <w:color w:val="auto"/>
              </w:rPr>
              <w:t>Number of Shares</w:t>
            </w:r>
          </w:p>
        </w:tc>
        <w:tc>
          <w:tcPr>
            <w:tcW w:w="2000" w:type="dxa"/>
            <w:vAlign w:val="bottom"/>
          </w:tcPr>
          <w:p>
            <w:pPr>
              <w:jc w:val="right"/>
              <w:ind w:right="459"/>
              <w:spacing w:after="0"/>
              <w:rPr>
                <w:sz w:val="20"/>
                <w:szCs w:val="20"/>
                <w:color w:val="auto"/>
              </w:rPr>
            </w:pPr>
            <w:r>
              <w:rPr>
                <w:rFonts w:ascii="Arial" w:cs="Arial" w:eastAsia="Arial" w:hAnsi="Arial"/>
                <w:sz w:val="16"/>
                <w:szCs w:val="16"/>
                <w:color w:val="auto"/>
              </w:rPr>
              <w:t>Value Realized on</w:t>
            </w:r>
          </w:p>
        </w:tc>
        <w:tc>
          <w:tcPr>
            <w:tcW w:w="2060" w:type="dxa"/>
            <w:vAlign w:val="bottom"/>
          </w:tcPr>
          <w:p>
            <w:pPr>
              <w:jc w:val="right"/>
              <w:ind w:right="439"/>
              <w:spacing w:after="0"/>
              <w:rPr>
                <w:sz w:val="20"/>
                <w:szCs w:val="20"/>
                <w:color w:val="auto"/>
              </w:rPr>
            </w:pPr>
            <w:r>
              <w:rPr>
                <w:rFonts w:ascii="Arial" w:cs="Arial" w:eastAsia="Arial" w:hAnsi="Arial"/>
                <w:sz w:val="16"/>
                <w:szCs w:val="16"/>
                <w:color w:val="auto"/>
              </w:rPr>
              <w:t>Number of Shares</w:t>
            </w:r>
          </w:p>
        </w:tc>
        <w:tc>
          <w:tcPr>
            <w:tcW w:w="2080" w:type="dxa"/>
            <w:vAlign w:val="bottom"/>
          </w:tcPr>
          <w:p>
            <w:pPr>
              <w:jc w:val="right"/>
              <w:spacing w:after="0"/>
              <w:rPr>
                <w:sz w:val="20"/>
                <w:szCs w:val="20"/>
                <w:color w:val="auto"/>
              </w:rPr>
            </w:pPr>
            <w:r>
              <w:rPr>
                <w:rFonts w:ascii="Arial" w:cs="Arial" w:eastAsia="Arial" w:hAnsi="Arial"/>
                <w:sz w:val="16"/>
                <w:szCs w:val="16"/>
                <w:color w:val="auto"/>
              </w:rPr>
              <w:t>Value Realized on Vesting</w:t>
            </w:r>
          </w:p>
        </w:tc>
      </w:tr>
      <w:tr>
        <w:trPr>
          <w:trHeight w:val="223"/>
        </w:trPr>
        <w:tc>
          <w:tcPr>
            <w:tcW w:w="2940" w:type="dxa"/>
            <w:vAlign w:val="bottom"/>
            <w:tcBorders>
              <w:bottom w:val="single" w:sz="8" w:color="auto"/>
            </w:tcBorders>
          </w:tcPr>
          <w:p>
            <w:pPr>
              <w:ind w:left="860"/>
              <w:spacing w:after="0"/>
              <w:rPr>
                <w:sz w:val="20"/>
                <w:szCs w:val="20"/>
                <w:color w:val="auto"/>
              </w:rPr>
            </w:pPr>
            <w:r>
              <w:rPr>
                <w:rFonts w:ascii="Arial" w:cs="Arial" w:eastAsia="Arial" w:hAnsi="Arial"/>
                <w:sz w:val="16"/>
                <w:szCs w:val="16"/>
                <w:color w:val="auto"/>
              </w:rPr>
              <w:t>Name</w:t>
            </w:r>
          </w:p>
        </w:tc>
        <w:tc>
          <w:tcPr>
            <w:tcW w:w="2340" w:type="dxa"/>
            <w:vAlign w:val="bottom"/>
            <w:tcBorders>
              <w:bottom w:val="single" w:sz="8" w:color="auto"/>
            </w:tcBorders>
          </w:tcPr>
          <w:p>
            <w:pPr>
              <w:jc w:val="right"/>
              <w:ind w:right="379"/>
              <w:spacing w:after="0"/>
              <w:rPr>
                <w:sz w:val="20"/>
                <w:szCs w:val="20"/>
                <w:color w:val="auto"/>
              </w:rPr>
            </w:pPr>
            <w:r>
              <w:rPr>
                <w:rFonts w:ascii="Arial" w:cs="Arial" w:eastAsia="Arial" w:hAnsi="Arial"/>
                <w:sz w:val="16"/>
                <w:szCs w:val="16"/>
                <w:color w:val="auto"/>
              </w:rPr>
              <w:t>Acquired on Exercise</w:t>
            </w:r>
          </w:p>
        </w:tc>
        <w:tc>
          <w:tcPr>
            <w:tcW w:w="2000" w:type="dxa"/>
            <w:vAlign w:val="bottom"/>
            <w:tcBorders>
              <w:bottom w:val="single" w:sz="8" w:color="auto"/>
            </w:tcBorders>
          </w:tcPr>
          <w:p>
            <w:pPr>
              <w:jc w:val="right"/>
              <w:ind w:right="659"/>
              <w:spacing w:after="0"/>
              <w:rPr>
                <w:sz w:val="20"/>
                <w:szCs w:val="20"/>
                <w:color w:val="auto"/>
              </w:rPr>
            </w:pPr>
            <w:r>
              <w:rPr>
                <w:rFonts w:ascii="Arial" w:cs="Arial" w:eastAsia="Arial" w:hAnsi="Arial"/>
                <w:sz w:val="16"/>
                <w:szCs w:val="16"/>
                <w:color w:val="auto"/>
              </w:rPr>
              <w:t>Exercise (1)</w:t>
            </w:r>
          </w:p>
        </w:tc>
        <w:tc>
          <w:tcPr>
            <w:tcW w:w="2060" w:type="dxa"/>
            <w:vAlign w:val="bottom"/>
            <w:tcBorders>
              <w:bottom w:val="single" w:sz="8" w:color="auto"/>
            </w:tcBorders>
          </w:tcPr>
          <w:p>
            <w:pPr>
              <w:jc w:val="right"/>
              <w:ind w:right="359"/>
              <w:spacing w:after="0"/>
              <w:rPr>
                <w:sz w:val="20"/>
                <w:szCs w:val="20"/>
                <w:color w:val="auto"/>
              </w:rPr>
            </w:pPr>
            <w:r>
              <w:rPr>
                <w:rFonts w:ascii="Arial" w:cs="Arial" w:eastAsia="Arial" w:hAnsi="Arial"/>
                <w:sz w:val="16"/>
                <w:szCs w:val="16"/>
                <w:color w:val="auto"/>
              </w:rPr>
              <w:t>Acquired on Vesting</w:t>
            </w:r>
          </w:p>
        </w:tc>
        <w:tc>
          <w:tcPr>
            <w:tcW w:w="2080" w:type="dxa"/>
            <w:vAlign w:val="bottom"/>
            <w:tcBorders>
              <w:bottom w:val="single" w:sz="8" w:color="auto"/>
            </w:tcBorders>
          </w:tcPr>
          <w:p>
            <w:pPr>
              <w:jc w:val="right"/>
              <w:ind w:right="759"/>
              <w:spacing w:after="0"/>
              <w:rPr>
                <w:sz w:val="20"/>
                <w:szCs w:val="20"/>
                <w:color w:val="auto"/>
              </w:rPr>
            </w:pPr>
            <w:r>
              <w:rPr>
                <w:rFonts w:ascii="Arial" w:cs="Arial" w:eastAsia="Arial" w:hAnsi="Arial"/>
                <w:sz w:val="16"/>
                <w:szCs w:val="16"/>
                <w:color w:val="auto"/>
              </w:rPr>
              <w:t>(2)</w:t>
            </w:r>
          </w:p>
        </w:tc>
      </w:tr>
      <w:tr>
        <w:trPr>
          <w:trHeight w:val="199"/>
        </w:trPr>
        <w:tc>
          <w:tcPr>
            <w:tcW w:w="2940" w:type="dxa"/>
            <w:vAlign w:val="bottom"/>
            <w:shd w:val="clear" w:color="auto" w:fill="CCEEFF"/>
          </w:tcPr>
          <w:p>
            <w:pPr>
              <w:spacing w:after="0"/>
              <w:rPr>
                <w:sz w:val="20"/>
                <w:szCs w:val="20"/>
                <w:color w:val="auto"/>
              </w:rPr>
            </w:pPr>
            <w:r>
              <w:rPr>
                <w:rFonts w:ascii="Arial" w:cs="Arial" w:eastAsia="Arial" w:hAnsi="Arial"/>
                <w:sz w:val="16"/>
                <w:szCs w:val="16"/>
                <w:color w:val="auto"/>
              </w:rPr>
              <w:t>Ward J. Timken, Jr.</w:t>
            </w:r>
          </w:p>
        </w:tc>
        <w:tc>
          <w:tcPr>
            <w:tcW w:w="2340" w:type="dxa"/>
            <w:vAlign w:val="bottom"/>
            <w:shd w:val="clear" w:color="auto" w:fill="CCEEFF"/>
          </w:tcPr>
          <w:p>
            <w:pPr>
              <w:jc w:val="right"/>
              <w:ind w:right="199"/>
              <w:spacing w:after="0"/>
              <w:rPr>
                <w:sz w:val="20"/>
                <w:szCs w:val="20"/>
                <w:color w:val="auto"/>
              </w:rPr>
            </w:pPr>
            <w:r>
              <w:rPr>
                <w:rFonts w:ascii="Arial" w:cs="Arial" w:eastAsia="Arial" w:hAnsi="Arial"/>
                <w:sz w:val="16"/>
                <w:szCs w:val="16"/>
                <w:color w:val="auto"/>
              </w:rPr>
              <w:t>144,800</w:t>
            </w:r>
          </w:p>
        </w:tc>
        <w:tc>
          <w:tcPr>
            <w:tcW w:w="2000" w:type="dxa"/>
            <w:vAlign w:val="bottom"/>
            <w:shd w:val="clear" w:color="auto" w:fill="CCEEFF"/>
          </w:tcPr>
          <w:p>
            <w:pPr>
              <w:jc w:val="right"/>
              <w:ind w:right="199"/>
              <w:spacing w:after="0"/>
              <w:rPr>
                <w:sz w:val="20"/>
                <w:szCs w:val="20"/>
                <w:color w:val="auto"/>
              </w:rPr>
            </w:pPr>
            <w:r>
              <w:rPr>
                <w:rFonts w:ascii="Arial" w:cs="Arial" w:eastAsia="Arial" w:hAnsi="Arial"/>
                <w:sz w:val="16"/>
                <w:szCs w:val="16"/>
                <w:color w:val="auto"/>
              </w:rPr>
              <w:t>$5,690,231</w:t>
            </w:r>
          </w:p>
        </w:tc>
        <w:tc>
          <w:tcPr>
            <w:tcW w:w="2060" w:type="dxa"/>
            <w:vAlign w:val="bottom"/>
            <w:shd w:val="clear" w:color="auto" w:fill="CCEEFF"/>
          </w:tcPr>
          <w:p>
            <w:pPr>
              <w:jc w:val="right"/>
              <w:ind w:right="199"/>
              <w:spacing w:after="0"/>
              <w:rPr>
                <w:sz w:val="20"/>
                <w:szCs w:val="20"/>
                <w:color w:val="auto"/>
              </w:rPr>
            </w:pPr>
            <w:r>
              <w:rPr>
                <w:rFonts w:ascii="Arial" w:cs="Arial" w:eastAsia="Arial" w:hAnsi="Arial"/>
                <w:sz w:val="16"/>
                <w:szCs w:val="16"/>
                <w:color w:val="auto"/>
              </w:rPr>
              <w:t>11,450</w:t>
            </w:r>
          </w:p>
        </w:tc>
        <w:tc>
          <w:tcPr>
            <w:tcW w:w="20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$636,391</w:t>
            </w:r>
          </w:p>
        </w:tc>
      </w:tr>
      <w:tr>
        <w:trPr>
          <w:trHeight w:val="203"/>
        </w:trPr>
        <w:tc>
          <w:tcPr>
            <w:tcW w:w="2940" w:type="dxa"/>
            <w:vAlign w:val="bottom"/>
          </w:tcPr>
          <w:p>
            <w:pPr>
              <w:spacing w:after="0"/>
              <w:rPr>
                <w:sz w:val="20"/>
                <w:szCs w:val="20"/>
                <w:color w:val="auto"/>
              </w:rPr>
            </w:pPr>
            <w:r>
              <w:rPr>
                <w:rFonts w:ascii="Arial" w:cs="Arial" w:eastAsia="Arial" w:hAnsi="Arial"/>
                <w:sz w:val="16"/>
                <w:szCs w:val="16"/>
                <w:color w:val="auto"/>
              </w:rPr>
              <w:t>Christopher J. Holding</w:t>
            </w:r>
          </w:p>
        </w:tc>
        <w:tc>
          <w:tcPr>
            <w:tcW w:w="2340" w:type="dxa"/>
            <w:vAlign w:val="bottom"/>
          </w:tcPr>
          <w:p>
            <w:pPr>
              <w:jc w:val="right"/>
              <w:ind w:right="199"/>
              <w:spacing w:after="0"/>
              <w:rPr>
                <w:sz w:val="20"/>
                <w:szCs w:val="20"/>
                <w:color w:val="auto"/>
              </w:rPr>
            </w:pPr>
            <w:r>
              <w:rPr>
                <w:rFonts w:ascii="Arial" w:cs="Arial" w:eastAsia="Arial" w:hAnsi="Arial"/>
                <w:sz w:val="16"/>
                <w:szCs w:val="16"/>
                <w:color w:val="auto"/>
              </w:rPr>
              <w:t>1,250</w:t>
            </w:r>
          </w:p>
        </w:tc>
        <w:tc>
          <w:tcPr>
            <w:tcW w:w="2000" w:type="dxa"/>
            <w:vAlign w:val="bottom"/>
          </w:tcPr>
          <w:p>
            <w:pPr>
              <w:jc w:val="right"/>
              <w:ind w:right="199"/>
              <w:spacing w:after="0"/>
              <w:rPr>
                <w:sz w:val="20"/>
                <w:szCs w:val="20"/>
                <w:color w:val="auto"/>
              </w:rPr>
            </w:pPr>
            <w:r>
              <w:rPr>
                <w:rFonts w:ascii="Arial" w:cs="Arial" w:eastAsia="Arial" w:hAnsi="Arial"/>
                <w:sz w:val="16"/>
                <w:szCs w:val="16"/>
                <w:color w:val="auto"/>
              </w:rPr>
              <w:t>$52,938</w:t>
            </w:r>
          </w:p>
        </w:tc>
        <w:tc>
          <w:tcPr>
            <w:tcW w:w="2060" w:type="dxa"/>
            <w:vAlign w:val="bottom"/>
          </w:tcPr>
          <w:p>
            <w:pPr>
              <w:jc w:val="right"/>
              <w:ind w:right="199"/>
              <w:spacing w:after="0"/>
              <w:rPr>
                <w:sz w:val="20"/>
                <w:szCs w:val="20"/>
                <w:color w:val="auto"/>
              </w:rPr>
            </w:pPr>
            <w:r>
              <w:rPr>
                <w:rFonts w:ascii="Arial" w:cs="Arial" w:eastAsia="Arial" w:hAnsi="Arial"/>
                <w:sz w:val="16"/>
                <w:szCs w:val="16"/>
                <w:color w:val="auto"/>
              </w:rPr>
              <w:t>725</w:t>
            </w:r>
          </w:p>
        </w:tc>
        <w:tc>
          <w:tcPr>
            <w:tcW w:w="2080" w:type="dxa"/>
            <w:vAlign w:val="bottom"/>
          </w:tcPr>
          <w:p>
            <w:pPr>
              <w:jc w:val="right"/>
              <w:spacing w:after="0"/>
              <w:rPr>
                <w:sz w:val="20"/>
                <w:szCs w:val="20"/>
                <w:color w:val="auto"/>
              </w:rPr>
            </w:pPr>
            <w:r>
              <w:rPr>
                <w:rFonts w:ascii="Arial" w:cs="Arial" w:eastAsia="Arial" w:hAnsi="Arial"/>
                <w:sz w:val="16"/>
                <w:szCs w:val="16"/>
                <w:color w:val="auto"/>
              </w:rPr>
              <w:t>$39,894</w:t>
            </w:r>
          </w:p>
        </w:tc>
      </w:tr>
      <w:tr>
        <w:trPr>
          <w:trHeight w:val="203"/>
        </w:trPr>
        <w:tc>
          <w:tcPr>
            <w:tcW w:w="2940" w:type="dxa"/>
            <w:vAlign w:val="bottom"/>
            <w:shd w:val="clear" w:color="auto" w:fill="CCEEFF"/>
          </w:tcPr>
          <w:p>
            <w:pPr>
              <w:spacing w:after="0"/>
              <w:rPr>
                <w:sz w:val="20"/>
                <w:szCs w:val="20"/>
                <w:color w:val="auto"/>
              </w:rPr>
            </w:pPr>
            <w:r>
              <w:rPr>
                <w:rFonts w:ascii="Arial" w:cs="Arial" w:eastAsia="Arial" w:hAnsi="Arial"/>
                <w:sz w:val="16"/>
                <w:szCs w:val="16"/>
                <w:color w:val="auto"/>
              </w:rPr>
              <w:t>Donald L. Walker</w:t>
            </w:r>
          </w:p>
        </w:tc>
        <w:tc>
          <w:tcPr>
            <w:tcW w:w="2340" w:type="dxa"/>
            <w:vAlign w:val="bottom"/>
            <w:shd w:val="clear" w:color="auto" w:fill="CCEEFF"/>
          </w:tcPr>
          <w:p>
            <w:pPr>
              <w:jc w:val="right"/>
              <w:ind w:right="199"/>
              <w:spacing w:after="0"/>
              <w:rPr>
                <w:sz w:val="20"/>
                <w:szCs w:val="20"/>
                <w:color w:val="auto"/>
              </w:rPr>
            </w:pPr>
            <w:r>
              <w:rPr>
                <w:rFonts w:ascii="Arial" w:cs="Arial" w:eastAsia="Arial" w:hAnsi="Arial"/>
                <w:sz w:val="16"/>
                <w:szCs w:val="16"/>
                <w:color w:val="auto"/>
              </w:rPr>
              <w:t>7,150</w:t>
            </w:r>
          </w:p>
        </w:tc>
        <w:tc>
          <w:tcPr>
            <w:tcW w:w="2000" w:type="dxa"/>
            <w:vAlign w:val="bottom"/>
            <w:shd w:val="clear" w:color="auto" w:fill="CCEEFF"/>
          </w:tcPr>
          <w:p>
            <w:pPr>
              <w:jc w:val="right"/>
              <w:ind w:right="199"/>
              <w:spacing w:after="0"/>
              <w:rPr>
                <w:sz w:val="20"/>
                <w:szCs w:val="20"/>
                <w:color w:val="auto"/>
              </w:rPr>
            </w:pPr>
            <w:r>
              <w:rPr>
                <w:rFonts w:ascii="Arial" w:cs="Arial" w:eastAsia="Arial" w:hAnsi="Arial"/>
                <w:sz w:val="16"/>
                <w:szCs w:val="16"/>
                <w:color w:val="auto"/>
              </w:rPr>
              <w:t>$269,499</w:t>
            </w:r>
          </w:p>
        </w:tc>
        <w:tc>
          <w:tcPr>
            <w:tcW w:w="2060" w:type="dxa"/>
            <w:vAlign w:val="bottom"/>
            <w:shd w:val="clear" w:color="auto" w:fill="CCEEFF"/>
          </w:tcPr>
          <w:p>
            <w:pPr>
              <w:jc w:val="right"/>
              <w:ind w:right="199"/>
              <w:spacing w:after="0"/>
              <w:rPr>
                <w:sz w:val="20"/>
                <w:szCs w:val="20"/>
                <w:color w:val="auto"/>
              </w:rPr>
            </w:pPr>
            <w:r>
              <w:rPr>
                <w:rFonts w:ascii="Arial" w:cs="Arial" w:eastAsia="Arial" w:hAnsi="Arial"/>
                <w:sz w:val="16"/>
                <w:szCs w:val="16"/>
                <w:color w:val="auto"/>
              </w:rPr>
              <w:t>1,375</w:t>
            </w:r>
          </w:p>
        </w:tc>
        <w:tc>
          <w:tcPr>
            <w:tcW w:w="20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$76,423</w:t>
            </w:r>
          </w:p>
        </w:tc>
      </w:tr>
      <w:tr>
        <w:trPr>
          <w:trHeight w:val="359"/>
        </w:trPr>
        <w:tc>
          <w:tcPr>
            <w:tcW w:w="2940" w:type="dxa"/>
            <w:vAlign w:val="bottom"/>
          </w:tcPr>
          <w:p>
            <w:pPr>
              <w:spacing w:after="0"/>
              <w:rPr>
                <w:sz w:val="20"/>
                <w:szCs w:val="20"/>
                <w:color w:val="auto"/>
              </w:rPr>
            </w:pPr>
            <w:r>
              <w:rPr>
                <w:rFonts w:ascii="Arial" w:cs="Arial" w:eastAsia="Arial" w:hAnsi="Arial"/>
                <w:sz w:val="16"/>
                <w:szCs w:val="16"/>
                <w:color w:val="auto"/>
              </w:rPr>
              <w:t xml:space="preserve">Frank A. DiPiero </w:t>
            </w:r>
            <w:r>
              <w:rPr>
                <w:rFonts w:ascii="Arial" w:cs="Arial" w:eastAsia="Arial" w:hAnsi="Arial"/>
                <w:sz w:val="27"/>
                <w:szCs w:val="27"/>
                <w:color w:val="auto"/>
                <w:vertAlign w:val="superscript"/>
              </w:rPr>
              <w:t>(3)</w:t>
            </w:r>
          </w:p>
        </w:tc>
        <w:tc>
          <w:tcPr>
            <w:tcW w:w="2340" w:type="dxa"/>
            <w:vAlign w:val="bottom"/>
          </w:tcPr>
          <w:p>
            <w:pPr>
              <w:jc w:val="right"/>
              <w:ind w:right="199"/>
              <w:spacing w:after="0"/>
              <w:rPr>
                <w:sz w:val="20"/>
                <w:szCs w:val="20"/>
                <w:color w:val="auto"/>
              </w:rPr>
            </w:pPr>
            <w:r>
              <w:rPr>
                <w:rFonts w:ascii="Arial" w:cs="Arial" w:eastAsia="Arial" w:hAnsi="Arial"/>
                <w:sz w:val="16"/>
                <w:szCs w:val="16"/>
                <w:color w:val="auto"/>
              </w:rPr>
              <w:t>—</w:t>
            </w:r>
          </w:p>
        </w:tc>
        <w:tc>
          <w:tcPr>
            <w:tcW w:w="2000" w:type="dxa"/>
            <w:vAlign w:val="bottom"/>
          </w:tcPr>
          <w:p>
            <w:pPr>
              <w:jc w:val="right"/>
              <w:ind w:right="199"/>
              <w:spacing w:after="0"/>
              <w:rPr>
                <w:sz w:val="20"/>
                <w:szCs w:val="20"/>
                <w:color w:val="auto"/>
              </w:rPr>
            </w:pPr>
            <w:r>
              <w:rPr>
                <w:rFonts w:ascii="Arial" w:cs="Arial" w:eastAsia="Arial" w:hAnsi="Arial"/>
                <w:sz w:val="16"/>
                <w:szCs w:val="16"/>
                <w:color w:val="auto"/>
              </w:rPr>
              <w:t>—</w:t>
            </w:r>
          </w:p>
        </w:tc>
        <w:tc>
          <w:tcPr>
            <w:tcW w:w="2060" w:type="dxa"/>
            <w:vAlign w:val="bottom"/>
          </w:tcPr>
          <w:p>
            <w:pPr>
              <w:jc w:val="right"/>
              <w:ind w:right="199"/>
              <w:spacing w:after="0"/>
              <w:rPr>
                <w:sz w:val="20"/>
                <w:szCs w:val="20"/>
                <w:color w:val="auto"/>
              </w:rPr>
            </w:pPr>
            <w:r>
              <w:rPr>
                <w:rFonts w:ascii="Arial" w:cs="Arial" w:eastAsia="Arial" w:hAnsi="Arial"/>
                <w:sz w:val="16"/>
                <w:szCs w:val="16"/>
                <w:color w:val="auto"/>
              </w:rPr>
              <w:t>—</w:t>
            </w:r>
          </w:p>
        </w:tc>
        <w:tc>
          <w:tcPr>
            <w:tcW w:w="2080" w:type="dxa"/>
            <w:vAlign w:val="bottom"/>
          </w:tcPr>
          <w:p>
            <w:pPr>
              <w:jc w:val="right"/>
              <w:spacing w:after="0"/>
              <w:rPr>
                <w:sz w:val="20"/>
                <w:szCs w:val="20"/>
                <w:color w:val="auto"/>
              </w:rPr>
            </w:pPr>
            <w:r>
              <w:rPr>
                <w:rFonts w:ascii="Arial" w:cs="Arial" w:eastAsia="Arial" w:hAnsi="Arial"/>
                <w:sz w:val="16"/>
                <w:szCs w:val="16"/>
                <w:color w:val="auto"/>
              </w:rPr>
              <w:t>—</w:t>
            </w:r>
          </w:p>
        </w:tc>
      </w:tr>
    </w:tbl>
    <w:p>
      <w:pPr>
        <w:spacing w:after="0" w:line="72" w:lineRule="exact"/>
        <w:rPr>
          <w:sz w:val="20"/>
          <w:szCs w:val="20"/>
          <w:color w:val="auto"/>
        </w:rPr>
      </w:pPr>
    </w:p>
    <w:p>
      <w:pPr>
        <w:ind w:left="920" w:right="120" w:hanging="912"/>
        <w:spacing w:after="0" w:line="308" w:lineRule="auto"/>
        <w:tabs>
          <w:tab w:leader="none" w:pos="920" w:val="left"/>
        </w:tabs>
        <w:numPr>
          <w:ilvl w:val="0"/>
          <w:numId w:val="33"/>
        </w:numPr>
        <w:rPr>
          <w:rFonts w:ascii="Arial" w:cs="Arial" w:eastAsia="Arial" w:hAnsi="Arial"/>
          <w:sz w:val="17"/>
          <w:szCs w:val="17"/>
          <w:color w:val="auto"/>
        </w:rPr>
      </w:pPr>
      <w:r>
        <w:rPr>
          <w:rFonts w:ascii="Arial" w:cs="Arial" w:eastAsia="Arial" w:hAnsi="Arial"/>
          <w:sz w:val="17"/>
          <w:szCs w:val="17"/>
          <w:color w:val="auto"/>
        </w:rPr>
        <w:t>The value realized on the exercise of options is the difference between the exercise price and the fair market value of Timken common shares on the date of exercise. Fair market value is determined by a real-time trading quote from the NYSE at the time of exercise.</w:t>
      </w:r>
    </w:p>
    <w:p>
      <w:pPr>
        <w:spacing w:after="0" w:line="79"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77</w:t>
      </w:r>
    </w:p>
    <w:p>
      <w:pPr>
        <w:sectPr>
          <w:pgSz w:w="11900" w:h="16838" w:orient="portrait"/>
          <w:cols w:equalWidth="0" w:num="1">
            <w:col w:w="11440"/>
          </w:cols>
          <w:pgMar w:left="240" w:top="459" w:right="219" w:bottom="1440" w:gutter="0" w:footer="0" w:header="0"/>
        </w:sectPr>
      </w:pPr>
    </w:p>
    <w:bookmarkStart w:id="89" w:name="page90"/>
    <w:bookmarkEnd w:id="8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4">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920" w:right="40" w:hanging="912"/>
        <w:spacing w:after="0" w:line="342" w:lineRule="auto"/>
        <w:tabs>
          <w:tab w:leader="none" w:pos="920" w:val="left"/>
        </w:tabs>
        <w:numPr>
          <w:ilvl w:val="0"/>
          <w:numId w:val="34"/>
        </w:numPr>
        <w:rPr>
          <w:rFonts w:ascii="Arial" w:cs="Arial" w:eastAsia="Arial" w:hAnsi="Arial"/>
          <w:sz w:val="16"/>
          <w:szCs w:val="16"/>
          <w:color w:val="auto"/>
        </w:rPr>
      </w:pPr>
      <w:r>
        <w:rPr>
          <w:rFonts w:ascii="Arial" w:cs="Arial" w:eastAsia="Arial" w:hAnsi="Arial"/>
          <w:sz w:val="16"/>
          <w:szCs w:val="16"/>
          <w:color w:val="auto"/>
        </w:rPr>
        <w:t>The value shown in the table for stock awards is the number of shares multiplied by the fair market value of Timken common shares on the date of vesting. Fair market value is determined by the average of the high and low price of a Timken common share on the date of vesting.</w:t>
      </w:r>
    </w:p>
    <w:p>
      <w:pPr>
        <w:spacing w:after="0" w:line="123" w:lineRule="exact"/>
        <w:rPr>
          <w:rFonts w:ascii="Arial" w:cs="Arial" w:eastAsia="Arial" w:hAnsi="Arial"/>
          <w:sz w:val="16"/>
          <w:szCs w:val="16"/>
          <w:color w:val="auto"/>
        </w:rPr>
      </w:pPr>
    </w:p>
    <w:p>
      <w:pPr>
        <w:ind w:left="920" w:hanging="912"/>
        <w:spacing w:after="0"/>
        <w:tabs>
          <w:tab w:leader="none" w:pos="920" w:val="left"/>
        </w:tabs>
        <w:numPr>
          <w:ilvl w:val="0"/>
          <w:numId w:val="34"/>
        </w:numPr>
        <w:rPr>
          <w:rFonts w:ascii="Arial" w:cs="Arial" w:eastAsia="Arial" w:hAnsi="Arial"/>
          <w:sz w:val="18"/>
          <w:szCs w:val="18"/>
          <w:color w:val="auto"/>
        </w:rPr>
      </w:pPr>
      <w:r>
        <w:rPr>
          <w:rFonts w:ascii="Arial" w:cs="Arial" w:eastAsia="Arial" w:hAnsi="Arial"/>
          <w:sz w:val="18"/>
          <w:szCs w:val="18"/>
          <w:color w:val="auto"/>
        </w:rPr>
        <w:t>Mr. DiPiero was not employed by Timken in 2013 and therefore no historical information is available for him.</w:t>
      </w:r>
    </w:p>
    <w:p>
      <w:pPr>
        <w:spacing w:after="0" w:line="262" w:lineRule="exact"/>
        <w:rPr>
          <w:sz w:val="20"/>
          <w:szCs w:val="20"/>
          <w:color w:val="auto"/>
        </w:rPr>
      </w:pPr>
    </w:p>
    <w:p>
      <w:pPr>
        <w:jc w:val="center"/>
        <w:ind w:right="-119"/>
        <w:spacing w:after="0"/>
        <w:rPr>
          <w:sz w:val="20"/>
          <w:szCs w:val="20"/>
          <w:color w:val="auto"/>
        </w:rPr>
      </w:pPr>
      <w:r>
        <w:rPr>
          <w:rFonts w:ascii="Arial" w:cs="Arial" w:eastAsia="Arial" w:hAnsi="Arial"/>
          <w:sz w:val="18"/>
          <w:szCs w:val="18"/>
          <w:b w:val="1"/>
          <w:bCs w:val="1"/>
          <w:color w:val="auto"/>
        </w:rPr>
        <w:t>Pension Benefits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Qualified Plan</w:t>
      </w:r>
    </w:p>
    <w:p>
      <w:pPr>
        <w:spacing w:after="0" w:line="229" w:lineRule="exact"/>
        <w:rPr>
          <w:sz w:val="20"/>
          <w:szCs w:val="20"/>
          <w:color w:val="auto"/>
        </w:rPr>
      </w:pPr>
    </w:p>
    <w:p>
      <w:pPr>
        <w:ind w:firstLine="913"/>
        <w:spacing w:after="0" w:line="255" w:lineRule="auto"/>
        <w:rPr>
          <w:sz w:val="20"/>
          <w:szCs w:val="20"/>
          <w:color w:val="auto"/>
        </w:rPr>
      </w:pPr>
      <w:r>
        <w:rPr>
          <w:rFonts w:ascii="Arial" w:cs="Arial" w:eastAsia="Arial" w:hAnsi="Arial"/>
          <w:sz w:val="18"/>
          <w:szCs w:val="18"/>
          <w:color w:val="auto"/>
        </w:rPr>
        <w:t>During 2003, Timken moved from a defined benefit retirement program, or the Qualified Plan, to a core defined contribution retirement income program for all new salaried employees hired on or after January 1, 2004, as well as for current salaried employees whose age plus years of service with Timken equaled less than 50 as of December 31, 2003. Salaried employees whose age plus years of service equaled or exceeded 50 as of December 31, 2003 participate in a defined benefit plan with a formula of 0.75% per year of service times average earnings, including base salary and cash annual incentive compensation, for the highest five non-consecutive years of the ten years preceding retirement. or Final Average Earnings. For all employees in a defined benefit plan as of December 31, 2003, the formula in effect at the time of service, using Final Average Earnings at retirement, would be applied to such service.</w:t>
      </w:r>
    </w:p>
    <w:p>
      <w:pPr>
        <w:spacing w:after="0" w:line="189" w:lineRule="exact"/>
        <w:rPr>
          <w:sz w:val="20"/>
          <w:szCs w:val="20"/>
          <w:color w:val="auto"/>
        </w:rPr>
      </w:pPr>
    </w:p>
    <w:p>
      <w:pPr>
        <w:ind w:right="40" w:firstLine="913"/>
        <w:spacing w:after="0" w:line="277" w:lineRule="auto"/>
        <w:rPr>
          <w:sz w:val="20"/>
          <w:szCs w:val="20"/>
          <w:color w:val="auto"/>
        </w:rPr>
      </w:pPr>
      <w:r>
        <w:rPr>
          <w:rFonts w:ascii="Arial" w:cs="Arial" w:eastAsia="Arial" w:hAnsi="Arial"/>
          <w:sz w:val="18"/>
          <w:szCs w:val="18"/>
          <w:color w:val="auto"/>
        </w:rPr>
        <w:t>The benefit is generally payable beginning at age 65 for the lifetime of the employee, with alternative forms of payment available with actuarial adjustments. Participants may retire early from the Qualified Plan if they meet any of the following eligibility requirements:</w:t>
      </w:r>
    </w:p>
    <w:p>
      <w:pPr>
        <w:spacing w:after="0" w:line="170" w:lineRule="exact"/>
        <w:rPr>
          <w:sz w:val="20"/>
          <w:szCs w:val="20"/>
          <w:color w:val="auto"/>
        </w:rPr>
      </w:pPr>
    </w:p>
    <w:p>
      <w:pPr>
        <w:ind w:left="920"/>
        <w:spacing w:after="0"/>
        <w:rPr>
          <w:sz w:val="20"/>
          <w:szCs w:val="20"/>
          <w:color w:val="auto"/>
        </w:rPr>
      </w:pPr>
      <w:r>
        <w:rPr>
          <w:rFonts w:ascii="Arial" w:cs="Arial" w:eastAsia="Arial" w:hAnsi="Arial"/>
          <w:sz w:val="18"/>
          <w:szCs w:val="18"/>
          <w:color w:val="auto"/>
        </w:rPr>
        <w:t>Age 62 and 15 years of service;</w:t>
      </w:r>
    </w:p>
    <w:p>
      <w:pPr>
        <w:spacing w:after="0" w:line="117" w:lineRule="exact"/>
        <w:rPr>
          <w:sz w:val="20"/>
          <w:szCs w:val="20"/>
          <w:color w:val="auto"/>
        </w:rPr>
      </w:pPr>
    </w:p>
    <w:p>
      <w:pPr>
        <w:ind w:left="920"/>
        <w:spacing w:after="0"/>
        <w:rPr>
          <w:sz w:val="20"/>
          <w:szCs w:val="20"/>
          <w:color w:val="auto"/>
        </w:rPr>
      </w:pPr>
      <w:r>
        <w:rPr>
          <w:rFonts w:ascii="Arial" w:cs="Arial" w:eastAsia="Arial" w:hAnsi="Arial"/>
          <w:sz w:val="18"/>
          <w:szCs w:val="18"/>
          <w:color w:val="auto"/>
        </w:rPr>
        <w:t>Age 60 and 25 years of service; or</w:t>
      </w:r>
    </w:p>
    <w:p>
      <w:pPr>
        <w:spacing w:after="0" w:line="117" w:lineRule="exact"/>
        <w:rPr>
          <w:sz w:val="20"/>
          <w:szCs w:val="20"/>
          <w:color w:val="auto"/>
        </w:rPr>
      </w:pPr>
    </w:p>
    <w:p>
      <w:pPr>
        <w:ind w:left="920"/>
        <w:spacing w:after="0"/>
        <w:rPr>
          <w:sz w:val="20"/>
          <w:szCs w:val="20"/>
          <w:color w:val="auto"/>
        </w:rPr>
      </w:pPr>
      <w:r>
        <w:rPr>
          <w:rFonts w:ascii="Arial" w:cs="Arial" w:eastAsia="Arial" w:hAnsi="Arial"/>
          <w:sz w:val="18"/>
          <w:szCs w:val="18"/>
          <w:color w:val="auto"/>
        </w:rPr>
        <w:t>Any age and 30 years of service.</w:t>
      </w:r>
    </w:p>
    <w:p>
      <w:pPr>
        <w:spacing w:after="0" w:line="266" w:lineRule="exact"/>
        <w:rPr>
          <w:sz w:val="20"/>
          <w:szCs w:val="20"/>
          <w:color w:val="auto"/>
        </w:rPr>
      </w:pPr>
    </w:p>
    <w:p>
      <w:pPr>
        <w:ind w:right="120" w:firstLine="913"/>
        <w:spacing w:after="0" w:line="277" w:lineRule="auto"/>
        <w:rPr>
          <w:sz w:val="20"/>
          <w:szCs w:val="20"/>
          <w:color w:val="auto"/>
        </w:rPr>
      </w:pPr>
      <w:r>
        <w:rPr>
          <w:rFonts w:ascii="Arial" w:cs="Arial" w:eastAsia="Arial" w:hAnsi="Arial"/>
          <w:sz w:val="18"/>
          <w:szCs w:val="18"/>
          <w:color w:val="auto"/>
        </w:rPr>
        <w:t>In addition, participants age 55 with at least 15 years of service may retire and receive the portion of their Qualified Plan benefit attributable to service earned after 2003. As of December 31, 2013, only Mr. Walker was eligible for early retirement.</w:t>
      </w:r>
    </w:p>
    <w:p>
      <w:pPr>
        <w:spacing w:after="0" w:line="197" w:lineRule="exact"/>
        <w:rPr>
          <w:sz w:val="20"/>
          <w:szCs w:val="20"/>
          <w:color w:val="auto"/>
        </w:rPr>
      </w:pPr>
    </w:p>
    <w:p>
      <w:pPr>
        <w:ind w:right="40" w:firstLine="913"/>
        <w:spacing w:after="0" w:line="264" w:lineRule="auto"/>
        <w:rPr>
          <w:sz w:val="20"/>
          <w:szCs w:val="20"/>
          <w:color w:val="auto"/>
        </w:rPr>
      </w:pPr>
      <w:r>
        <w:rPr>
          <w:rFonts w:ascii="Arial" w:cs="Arial" w:eastAsia="Arial" w:hAnsi="Arial"/>
          <w:sz w:val="18"/>
          <w:szCs w:val="18"/>
          <w:color w:val="auto"/>
        </w:rPr>
        <w:t>Benefits for service after December 31, 1991 are reduced for early commencement at a rate of 3% per year before age 60 for the portion of the benefit attributable to service earned between 1992 and 2003, and 4% per year before age 62 for the portion of the benefit attributable to service earned after 2003.</w:t>
      </w:r>
    </w:p>
    <w:p>
      <w:pPr>
        <w:spacing w:after="0" w:line="181" w:lineRule="exact"/>
        <w:rPr>
          <w:sz w:val="20"/>
          <w:szCs w:val="20"/>
          <w:color w:val="auto"/>
        </w:rPr>
      </w:pPr>
    </w:p>
    <w:p>
      <w:pPr>
        <w:ind w:right="80" w:firstLine="913"/>
        <w:spacing w:after="0" w:line="277" w:lineRule="auto"/>
        <w:rPr>
          <w:sz w:val="20"/>
          <w:szCs w:val="20"/>
          <w:color w:val="auto"/>
        </w:rPr>
      </w:pPr>
      <w:r>
        <w:rPr>
          <w:rFonts w:ascii="Arial" w:cs="Arial" w:eastAsia="Arial" w:hAnsi="Arial"/>
          <w:sz w:val="18"/>
          <w:szCs w:val="18"/>
          <w:color w:val="auto"/>
        </w:rPr>
        <w:t>In connection with the spinoff, we have adopted or will adopt a tax-qualified defined benefit retirement plan that will be substantially similar to the Qualified Plan.</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Supplemental Pension Plan</w:t>
      </w:r>
    </w:p>
    <w:p>
      <w:pPr>
        <w:spacing w:after="0" w:line="229" w:lineRule="exact"/>
        <w:rPr>
          <w:sz w:val="20"/>
          <w:szCs w:val="20"/>
          <w:color w:val="auto"/>
        </w:rPr>
      </w:pPr>
    </w:p>
    <w:p>
      <w:pPr>
        <w:ind w:right="20" w:firstLine="913"/>
        <w:spacing w:after="0" w:line="272" w:lineRule="auto"/>
        <w:rPr>
          <w:sz w:val="20"/>
          <w:szCs w:val="20"/>
          <w:color w:val="auto"/>
        </w:rPr>
      </w:pPr>
      <w:r>
        <w:rPr>
          <w:rFonts w:ascii="Arial" w:cs="Arial" w:eastAsia="Arial" w:hAnsi="Arial"/>
          <w:sz w:val="17"/>
          <w:szCs w:val="17"/>
          <w:color w:val="auto"/>
        </w:rPr>
        <w:t>Consistent with the retirement income program changes Timken implemented for its salaried employees generally, Timken also reviewed and modified its SERP, effective January 1, 2004. Supplemental retirement income benefits under the SERP will be calculated using a target benefit of 60% of Final Average Earnings, offset by any defined benefit plan payments provided by Timken and the aggregate earnings opportunity provided by any Timken contributions under the core defined contribution program, the SIP Plan and the Post-Tax Savings Plan. An officer must have at least 10 years of Timken service to receive 100% of the supplemental benefit. The supplemental benefit will vest after 5 years of service as an officer of Timken, with normal retirement being considered as of age 62. Early retirement at age 55 with at least 15 years of Timken service will be available, but if benefits are commenced early, they will be reduced by 4% per year for each year of early commencement prior to age 62.</w:t>
      </w:r>
    </w:p>
    <w:p>
      <w:pPr>
        <w:spacing w:after="0" w:line="178" w:lineRule="exact"/>
        <w:rPr>
          <w:sz w:val="20"/>
          <w:szCs w:val="20"/>
          <w:color w:val="auto"/>
        </w:rPr>
      </w:pPr>
    </w:p>
    <w:p>
      <w:pPr>
        <w:ind w:left="920"/>
        <w:spacing w:after="0"/>
        <w:rPr>
          <w:sz w:val="20"/>
          <w:szCs w:val="20"/>
          <w:color w:val="auto"/>
        </w:rPr>
      </w:pPr>
      <w:r>
        <w:rPr>
          <w:rFonts w:ascii="Arial" w:cs="Arial" w:eastAsia="Arial" w:hAnsi="Arial"/>
          <w:sz w:val="18"/>
          <w:szCs w:val="18"/>
          <w:color w:val="auto"/>
        </w:rPr>
        <w:t>In connection with the spinoff, we will adopt a supplemental pension plan that will be substantially similar to the SERP.</w:t>
      </w:r>
    </w:p>
    <w:p>
      <w:pPr>
        <w:spacing w:after="0" w:line="225" w:lineRule="exact"/>
        <w:rPr>
          <w:sz w:val="20"/>
          <w:szCs w:val="20"/>
          <w:color w:val="auto"/>
        </w:rPr>
      </w:pPr>
    </w:p>
    <w:p>
      <w:pPr>
        <w:ind w:right="660" w:firstLine="913"/>
        <w:spacing w:after="0" w:line="277" w:lineRule="auto"/>
        <w:rPr>
          <w:sz w:val="20"/>
          <w:szCs w:val="20"/>
          <w:color w:val="auto"/>
        </w:rPr>
      </w:pPr>
      <w:r>
        <w:rPr>
          <w:rFonts w:ascii="Arial" w:cs="Arial" w:eastAsia="Arial" w:hAnsi="Arial"/>
          <w:sz w:val="18"/>
          <w:szCs w:val="18"/>
          <w:color w:val="auto"/>
        </w:rPr>
        <w:t>For both the Qualified Plan and the SERP, only actual years of service are counted in calculating pension benefits, except in the case of involuntary termination without cause, in which case up to two additional years of service will be credited.</w:t>
      </w:r>
    </w:p>
    <w:p>
      <w:pPr>
        <w:spacing w:after="0" w:line="103"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78</w:t>
      </w:r>
    </w:p>
    <w:p>
      <w:pPr>
        <w:sectPr>
          <w:pgSz w:w="11900" w:h="16838" w:orient="portrait"/>
          <w:cols w:equalWidth="0" w:num="1">
            <w:col w:w="11320"/>
          </w:cols>
          <w:pgMar w:left="240" w:top="459" w:right="339" w:bottom="1440" w:gutter="0" w:footer="0" w:header="0"/>
        </w:sectPr>
      </w:pPr>
    </w:p>
    <w:bookmarkStart w:id="90" w:name="page91"/>
    <w:bookmarkEnd w:id="9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5">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2013 Pension Benefits Table</w:t>
      </w:r>
    </w:p>
    <w:p>
      <w:pPr>
        <w:spacing w:after="0" w:line="229" w:lineRule="exact"/>
        <w:rPr>
          <w:sz w:val="20"/>
          <w:szCs w:val="20"/>
          <w:color w:val="auto"/>
        </w:rPr>
      </w:pPr>
    </w:p>
    <w:p>
      <w:pPr>
        <w:ind w:right="140" w:firstLine="456"/>
        <w:spacing w:after="0" w:line="277" w:lineRule="auto"/>
        <w:rPr>
          <w:sz w:val="20"/>
          <w:szCs w:val="20"/>
          <w:color w:val="auto"/>
        </w:rPr>
      </w:pPr>
      <w:r>
        <w:rPr>
          <w:rFonts w:ascii="Arial" w:cs="Arial" w:eastAsia="Arial" w:hAnsi="Arial"/>
          <w:sz w:val="18"/>
          <w:szCs w:val="18"/>
          <w:color w:val="auto"/>
        </w:rPr>
        <w:t>The following table sets forth the number of years of credited service and actuarial value of the Timken defined benefit pension plans for our NEOs as of December 31, 2013:</w:t>
      </w:r>
    </w:p>
    <w:p>
      <w:pPr>
        <w:spacing w:after="0" w:line="200" w:lineRule="exact"/>
        <w:rPr>
          <w:sz w:val="20"/>
          <w:szCs w:val="20"/>
          <w:color w:val="auto"/>
        </w:rPr>
      </w:pPr>
    </w:p>
    <w:p>
      <w:pPr>
        <w:spacing w:after="0" w:line="277"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2660" w:type="dxa"/>
            <w:vAlign w:val="bottom"/>
          </w:tcPr>
          <w:p>
            <w:pPr>
              <w:spacing w:after="0"/>
              <w:rPr>
                <w:sz w:val="18"/>
                <w:szCs w:val="18"/>
                <w:color w:val="auto"/>
              </w:rPr>
            </w:pPr>
          </w:p>
        </w:tc>
        <w:tc>
          <w:tcPr>
            <w:tcW w:w="3280" w:type="dxa"/>
            <w:vAlign w:val="bottom"/>
          </w:tcPr>
          <w:p>
            <w:pPr>
              <w:spacing w:after="0"/>
              <w:rPr>
                <w:sz w:val="18"/>
                <w:szCs w:val="18"/>
                <w:color w:val="auto"/>
              </w:rPr>
            </w:pPr>
          </w:p>
        </w:tc>
        <w:tc>
          <w:tcPr>
            <w:tcW w:w="2960" w:type="dxa"/>
            <w:vAlign w:val="bottom"/>
          </w:tcPr>
          <w:p>
            <w:pPr>
              <w:jc w:val="center"/>
              <w:ind w:left="170"/>
              <w:spacing w:after="0"/>
              <w:rPr>
                <w:sz w:val="20"/>
                <w:szCs w:val="20"/>
                <w:color w:val="auto"/>
              </w:rPr>
            </w:pPr>
            <w:r>
              <w:rPr>
                <w:rFonts w:ascii="Arial" w:cs="Arial" w:eastAsia="Arial" w:hAnsi="Arial"/>
                <w:sz w:val="18"/>
                <w:szCs w:val="18"/>
                <w:b w:val="1"/>
                <w:bCs w:val="1"/>
                <w:color w:val="auto"/>
                <w:w w:val="90"/>
              </w:rPr>
              <w:t>Number of Years of</w:t>
            </w:r>
          </w:p>
        </w:tc>
        <w:tc>
          <w:tcPr>
            <w:tcW w:w="2520" w:type="dxa"/>
            <w:vAlign w:val="bottom"/>
          </w:tcPr>
          <w:p>
            <w:pPr>
              <w:jc w:val="right"/>
              <w:ind w:right="490"/>
              <w:spacing w:after="0"/>
              <w:rPr>
                <w:sz w:val="20"/>
                <w:szCs w:val="20"/>
                <w:color w:val="auto"/>
              </w:rPr>
            </w:pPr>
            <w:r>
              <w:rPr>
                <w:rFonts w:ascii="Arial" w:cs="Arial" w:eastAsia="Arial" w:hAnsi="Arial"/>
                <w:sz w:val="18"/>
                <w:szCs w:val="18"/>
                <w:b w:val="1"/>
                <w:bCs w:val="1"/>
                <w:color w:val="auto"/>
              </w:rPr>
              <w:t>Present Value of</w:t>
            </w:r>
          </w:p>
        </w:tc>
      </w:tr>
      <w:tr>
        <w:trPr>
          <w:trHeight w:val="248"/>
        </w:trPr>
        <w:tc>
          <w:tcPr>
            <w:tcW w:w="2660" w:type="dxa"/>
            <w:vAlign w:val="bottom"/>
            <w:tcBorders>
              <w:bottom w:val="single" w:sz="8" w:color="auto"/>
            </w:tcBorders>
          </w:tcPr>
          <w:p>
            <w:pPr>
              <w:ind w:left="1120"/>
              <w:spacing w:after="0"/>
              <w:rPr>
                <w:sz w:val="20"/>
                <w:szCs w:val="20"/>
                <w:color w:val="auto"/>
              </w:rPr>
            </w:pPr>
            <w:r>
              <w:rPr>
                <w:rFonts w:ascii="Arial" w:cs="Arial" w:eastAsia="Arial" w:hAnsi="Arial"/>
                <w:sz w:val="18"/>
                <w:szCs w:val="18"/>
                <w:b w:val="1"/>
                <w:bCs w:val="1"/>
                <w:color w:val="auto"/>
              </w:rPr>
              <w:t>Name</w:t>
            </w:r>
          </w:p>
        </w:tc>
        <w:tc>
          <w:tcPr>
            <w:tcW w:w="3280" w:type="dxa"/>
            <w:vAlign w:val="bottom"/>
            <w:tcBorders>
              <w:bottom w:val="single" w:sz="8" w:color="auto"/>
            </w:tcBorders>
          </w:tcPr>
          <w:p>
            <w:pPr>
              <w:jc w:val="center"/>
              <w:ind w:left="550"/>
              <w:spacing w:after="0"/>
              <w:rPr>
                <w:sz w:val="20"/>
                <w:szCs w:val="20"/>
                <w:color w:val="auto"/>
              </w:rPr>
            </w:pPr>
            <w:r>
              <w:rPr>
                <w:rFonts w:ascii="Arial" w:cs="Arial" w:eastAsia="Arial" w:hAnsi="Arial"/>
                <w:sz w:val="18"/>
                <w:szCs w:val="18"/>
                <w:b w:val="1"/>
                <w:bCs w:val="1"/>
                <w:color w:val="auto"/>
                <w:w w:val="91"/>
              </w:rPr>
              <w:t>Plan Name</w:t>
            </w:r>
          </w:p>
        </w:tc>
        <w:tc>
          <w:tcPr>
            <w:tcW w:w="2960" w:type="dxa"/>
            <w:vAlign w:val="bottom"/>
            <w:tcBorders>
              <w:bottom w:val="single" w:sz="8" w:color="auto"/>
            </w:tcBorders>
          </w:tcPr>
          <w:p>
            <w:pPr>
              <w:jc w:val="center"/>
              <w:ind w:left="170"/>
              <w:spacing w:after="0"/>
              <w:rPr>
                <w:sz w:val="20"/>
                <w:szCs w:val="20"/>
                <w:color w:val="auto"/>
              </w:rPr>
            </w:pPr>
            <w:r>
              <w:rPr>
                <w:rFonts w:ascii="Arial" w:cs="Arial" w:eastAsia="Arial" w:hAnsi="Arial"/>
                <w:sz w:val="18"/>
                <w:szCs w:val="18"/>
                <w:b w:val="1"/>
                <w:bCs w:val="1"/>
                <w:color w:val="auto"/>
                <w:w w:val="92"/>
              </w:rPr>
              <w:t>Timken Credited Service</w:t>
            </w:r>
          </w:p>
        </w:tc>
        <w:tc>
          <w:tcPr>
            <w:tcW w:w="2520" w:type="dxa"/>
            <w:vAlign w:val="bottom"/>
            <w:tcBorders>
              <w:bottom w:val="single" w:sz="8" w:color="auto"/>
            </w:tcBorders>
          </w:tcPr>
          <w:p>
            <w:pPr>
              <w:jc w:val="right"/>
              <w:ind w:right="190"/>
              <w:spacing w:after="0"/>
              <w:rPr>
                <w:sz w:val="20"/>
                <w:szCs w:val="20"/>
                <w:color w:val="auto"/>
              </w:rPr>
            </w:pPr>
            <w:r>
              <w:rPr>
                <w:rFonts w:ascii="Arial" w:cs="Arial" w:eastAsia="Arial" w:hAnsi="Arial"/>
                <w:sz w:val="18"/>
                <w:szCs w:val="18"/>
                <w:b w:val="1"/>
                <w:bCs w:val="1"/>
                <w:color w:val="auto"/>
              </w:rPr>
              <w:t xml:space="preserve">Accumulated Benefit </w:t>
            </w:r>
            <w:r>
              <w:rPr>
                <w:rFonts w:ascii="Arial" w:cs="Arial" w:eastAsia="Arial" w:hAnsi="Arial"/>
                <w:sz w:val="15"/>
                <w:szCs w:val="15"/>
                <w:b w:val="1"/>
                <w:bCs w:val="1"/>
                <w:color w:val="auto"/>
              </w:rPr>
              <w:t>(1)</w:t>
            </w:r>
          </w:p>
        </w:tc>
      </w:tr>
      <w:tr>
        <w:trPr>
          <w:trHeight w:val="195"/>
        </w:trPr>
        <w:tc>
          <w:tcPr>
            <w:tcW w:w="2660" w:type="dxa"/>
            <w:vAlign w:val="bottom"/>
            <w:shd w:val="clear" w:color="auto" w:fill="CCEEFF"/>
          </w:tcPr>
          <w:p>
            <w:pPr>
              <w:spacing w:after="0"/>
              <w:rPr>
                <w:sz w:val="16"/>
                <w:szCs w:val="16"/>
                <w:color w:val="auto"/>
              </w:rPr>
            </w:pPr>
          </w:p>
        </w:tc>
        <w:tc>
          <w:tcPr>
            <w:tcW w:w="3280" w:type="dxa"/>
            <w:vAlign w:val="bottom"/>
            <w:shd w:val="clear" w:color="auto" w:fill="CCEEFF"/>
          </w:tcPr>
          <w:p>
            <w:pPr>
              <w:jc w:val="center"/>
              <w:ind w:left="550"/>
              <w:spacing w:after="0" w:line="195" w:lineRule="exact"/>
              <w:rPr>
                <w:sz w:val="20"/>
                <w:szCs w:val="20"/>
                <w:color w:val="auto"/>
              </w:rPr>
            </w:pPr>
            <w:r>
              <w:rPr>
                <w:rFonts w:ascii="Arial" w:cs="Arial" w:eastAsia="Arial" w:hAnsi="Arial"/>
                <w:sz w:val="18"/>
                <w:szCs w:val="18"/>
                <w:color w:val="auto"/>
                <w:w w:val="89"/>
              </w:rPr>
              <w:t>Supplemental Plan</w:t>
            </w:r>
          </w:p>
        </w:tc>
        <w:tc>
          <w:tcPr>
            <w:tcW w:w="2960" w:type="dxa"/>
            <w:vAlign w:val="bottom"/>
            <w:shd w:val="clear" w:color="auto" w:fill="CCEEFF"/>
          </w:tcPr>
          <w:p>
            <w:pPr>
              <w:jc w:val="center"/>
              <w:ind w:left="170"/>
              <w:spacing w:after="0" w:line="195" w:lineRule="exact"/>
              <w:rPr>
                <w:sz w:val="20"/>
                <w:szCs w:val="20"/>
                <w:color w:val="auto"/>
              </w:rPr>
            </w:pPr>
            <w:r>
              <w:rPr>
                <w:rFonts w:ascii="Arial" w:cs="Arial" w:eastAsia="Arial" w:hAnsi="Arial"/>
                <w:sz w:val="18"/>
                <w:szCs w:val="18"/>
                <w:color w:val="auto"/>
                <w:w w:val="93"/>
              </w:rPr>
              <w:t>21.60</w:t>
            </w:r>
          </w:p>
        </w:tc>
        <w:tc>
          <w:tcPr>
            <w:tcW w:w="2520" w:type="dxa"/>
            <w:vAlign w:val="bottom"/>
            <w:shd w:val="clear" w:color="auto" w:fill="CCEEFF"/>
          </w:tcPr>
          <w:p>
            <w:pPr>
              <w:jc w:val="right"/>
              <w:ind w:right="10"/>
              <w:spacing w:after="0" w:line="195" w:lineRule="exact"/>
              <w:rPr>
                <w:sz w:val="20"/>
                <w:szCs w:val="20"/>
                <w:color w:val="auto"/>
              </w:rPr>
            </w:pPr>
            <w:r>
              <w:rPr>
                <w:rFonts w:ascii="Arial" w:cs="Arial" w:eastAsia="Arial" w:hAnsi="Arial"/>
                <w:sz w:val="18"/>
                <w:szCs w:val="18"/>
                <w:color w:val="auto"/>
              </w:rPr>
              <w:t>$4,978,000</w:t>
            </w:r>
          </w:p>
        </w:tc>
      </w:tr>
      <w:tr>
        <w:trPr>
          <w:trHeight w:val="230"/>
        </w:trPr>
        <w:tc>
          <w:tcPr>
            <w:tcW w:w="2660" w:type="dxa"/>
            <w:vAlign w:val="bottom"/>
            <w:shd w:val="clear" w:color="auto" w:fill="CCEEFF"/>
          </w:tcPr>
          <w:p>
            <w:pPr>
              <w:spacing w:after="0"/>
              <w:rPr>
                <w:sz w:val="20"/>
                <w:szCs w:val="20"/>
                <w:color w:val="auto"/>
              </w:rPr>
            </w:pPr>
            <w:r>
              <w:rPr>
                <w:rFonts w:ascii="Arial" w:cs="Arial" w:eastAsia="Arial" w:hAnsi="Arial"/>
                <w:sz w:val="18"/>
                <w:szCs w:val="18"/>
                <w:color w:val="auto"/>
              </w:rPr>
              <w:t xml:space="preserve">Ward J. Timken, Jr. </w:t>
            </w:r>
            <w:r>
              <w:rPr>
                <w:rFonts w:ascii="Arial" w:cs="Arial" w:eastAsia="Arial" w:hAnsi="Arial"/>
                <w:sz w:val="15"/>
                <w:szCs w:val="15"/>
                <w:color w:val="auto"/>
              </w:rPr>
              <w:t>(2)</w:t>
            </w:r>
          </w:p>
        </w:tc>
        <w:tc>
          <w:tcPr>
            <w:tcW w:w="3280" w:type="dxa"/>
            <w:vAlign w:val="bottom"/>
            <w:shd w:val="clear" w:color="auto" w:fill="CCEEFF"/>
          </w:tcPr>
          <w:p>
            <w:pPr>
              <w:jc w:val="center"/>
              <w:ind w:left="550"/>
              <w:spacing w:after="0"/>
              <w:rPr>
                <w:sz w:val="20"/>
                <w:szCs w:val="20"/>
                <w:color w:val="auto"/>
              </w:rPr>
            </w:pPr>
            <w:r>
              <w:rPr>
                <w:rFonts w:ascii="Arial" w:cs="Arial" w:eastAsia="Arial" w:hAnsi="Arial"/>
                <w:sz w:val="18"/>
                <w:szCs w:val="18"/>
                <w:color w:val="auto"/>
                <w:w w:val="92"/>
              </w:rPr>
              <w:t>Qualified Plan</w:t>
            </w:r>
          </w:p>
        </w:tc>
        <w:tc>
          <w:tcPr>
            <w:tcW w:w="2960" w:type="dxa"/>
            <w:vAlign w:val="bottom"/>
            <w:shd w:val="clear" w:color="auto" w:fill="CCEEFF"/>
          </w:tcPr>
          <w:p>
            <w:pPr>
              <w:jc w:val="center"/>
              <w:ind w:left="170"/>
              <w:spacing w:after="0"/>
              <w:rPr>
                <w:sz w:val="20"/>
                <w:szCs w:val="20"/>
                <w:color w:val="auto"/>
              </w:rPr>
            </w:pPr>
            <w:r>
              <w:rPr>
                <w:rFonts w:ascii="Arial" w:cs="Arial" w:eastAsia="Arial" w:hAnsi="Arial"/>
                <w:sz w:val="18"/>
                <w:szCs w:val="18"/>
                <w:color w:val="auto"/>
                <w:w w:val="84"/>
              </w:rPr>
              <w:t>11.60</w:t>
            </w:r>
          </w:p>
        </w:tc>
        <w:tc>
          <w:tcPr>
            <w:tcW w:w="252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$177,000</w:t>
            </w:r>
          </w:p>
        </w:tc>
      </w:tr>
      <w:tr>
        <w:trPr>
          <w:trHeight w:val="202"/>
        </w:trPr>
        <w:tc>
          <w:tcPr>
            <w:tcW w:w="2660" w:type="dxa"/>
            <w:vAlign w:val="bottom"/>
          </w:tcPr>
          <w:p>
            <w:pPr>
              <w:spacing w:after="0"/>
              <w:rPr>
                <w:sz w:val="17"/>
                <w:szCs w:val="17"/>
                <w:color w:val="auto"/>
              </w:rPr>
            </w:pPr>
          </w:p>
        </w:tc>
        <w:tc>
          <w:tcPr>
            <w:tcW w:w="3280" w:type="dxa"/>
            <w:vAlign w:val="bottom"/>
          </w:tcPr>
          <w:p>
            <w:pPr>
              <w:jc w:val="center"/>
              <w:ind w:left="550"/>
              <w:spacing w:after="0" w:line="201" w:lineRule="exact"/>
              <w:rPr>
                <w:sz w:val="20"/>
                <w:szCs w:val="20"/>
                <w:color w:val="auto"/>
              </w:rPr>
            </w:pPr>
            <w:r>
              <w:rPr>
                <w:rFonts w:ascii="Arial" w:cs="Arial" w:eastAsia="Arial" w:hAnsi="Arial"/>
                <w:sz w:val="18"/>
                <w:szCs w:val="18"/>
                <w:color w:val="auto"/>
                <w:w w:val="89"/>
              </w:rPr>
              <w:t>Supplemental Plan</w:t>
            </w:r>
          </w:p>
        </w:tc>
        <w:tc>
          <w:tcPr>
            <w:tcW w:w="2960" w:type="dxa"/>
            <w:vAlign w:val="bottom"/>
          </w:tcPr>
          <w:p>
            <w:pPr>
              <w:jc w:val="center"/>
              <w:ind w:left="170"/>
              <w:spacing w:after="0" w:line="201" w:lineRule="exact"/>
              <w:rPr>
                <w:sz w:val="20"/>
                <w:szCs w:val="20"/>
                <w:color w:val="auto"/>
              </w:rPr>
            </w:pPr>
            <w:r>
              <w:rPr>
                <w:rFonts w:ascii="Arial" w:cs="Arial" w:eastAsia="Arial" w:hAnsi="Arial"/>
                <w:sz w:val="18"/>
                <w:szCs w:val="18"/>
                <w:color w:val="auto"/>
                <w:w w:val="99"/>
              </w:rPr>
              <w:t>—</w:t>
            </w:r>
          </w:p>
        </w:tc>
        <w:tc>
          <w:tcPr>
            <w:tcW w:w="2520" w:type="dxa"/>
            <w:vAlign w:val="bottom"/>
          </w:tcPr>
          <w:p>
            <w:pPr>
              <w:jc w:val="right"/>
              <w:ind w:right="10"/>
              <w:spacing w:after="0" w:line="201" w:lineRule="exact"/>
              <w:rPr>
                <w:sz w:val="20"/>
                <w:szCs w:val="20"/>
                <w:color w:val="auto"/>
              </w:rPr>
            </w:pPr>
            <w:r>
              <w:rPr>
                <w:rFonts w:ascii="Arial" w:cs="Arial" w:eastAsia="Arial" w:hAnsi="Arial"/>
                <w:sz w:val="18"/>
                <w:szCs w:val="18"/>
                <w:color w:val="auto"/>
              </w:rPr>
              <w:t>—</w:t>
            </w:r>
          </w:p>
        </w:tc>
      </w:tr>
      <w:tr>
        <w:trPr>
          <w:trHeight w:val="230"/>
        </w:trPr>
        <w:tc>
          <w:tcPr>
            <w:tcW w:w="2660" w:type="dxa"/>
            <w:vAlign w:val="bottom"/>
          </w:tcPr>
          <w:p>
            <w:pPr>
              <w:spacing w:after="0"/>
              <w:rPr>
                <w:sz w:val="20"/>
                <w:szCs w:val="20"/>
                <w:color w:val="auto"/>
              </w:rPr>
            </w:pPr>
            <w:r>
              <w:rPr>
                <w:rFonts w:ascii="Arial" w:cs="Arial" w:eastAsia="Arial" w:hAnsi="Arial"/>
                <w:sz w:val="18"/>
                <w:szCs w:val="18"/>
                <w:color w:val="auto"/>
              </w:rPr>
              <w:t xml:space="preserve">Christopher J. Holding </w:t>
            </w:r>
            <w:r>
              <w:rPr>
                <w:rFonts w:ascii="Arial" w:cs="Arial" w:eastAsia="Arial" w:hAnsi="Arial"/>
                <w:sz w:val="15"/>
                <w:szCs w:val="15"/>
                <w:color w:val="auto"/>
              </w:rPr>
              <w:t>(2)</w:t>
            </w:r>
          </w:p>
        </w:tc>
        <w:tc>
          <w:tcPr>
            <w:tcW w:w="3280" w:type="dxa"/>
            <w:vAlign w:val="bottom"/>
          </w:tcPr>
          <w:p>
            <w:pPr>
              <w:jc w:val="center"/>
              <w:ind w:left="550"/>
              <w:spacing w:after="0"/>
              <w:rPr>
                <w:sz w:val="20"/>
                <w:szCs w:val="20"/>
                <w:color w:val="auto"/>
              </w:rPr>
            </w:pPr>
            <w:r>
              <w:rPr>
                <w:rFonts w:ascii="Arial" w:cs="Arial" w:eastAsia="Arial" w:hAnsi="Arial"/>
                <w:sz w:val="18"/>
                <w:szCs w:val="18"/>
                <w:color w:val="auto"/>
                <w:w w:val="92"/>
              </w:rPr>
              <w:t>Qualified Plan</w:t>
            </w:r>
          </w:p>
        </w:tc>
        <w:tc>
          <w:tcPr>
            <w:tcW w:w="2960" w:type="dxa"/>
            <w:vAlign w:val="bottom"/>
          </w:tcPr>
          <w:p>
            <w:pPr>
              <w:jc w:val="center"/>
              <w:ind w:left="170"/>
              <w:spacing w:after="0"/>
              <w:rPr>
                <w:sz w:val="20"/>
                <w:szCs w:val="20"/>
                <w:color w:val="auto"/>
              </w:rPr>
            </w:pPr>
            <w:r>
              <w:rPr>
                <w:rFonts w:ascii="Arial" w:cs="Arial" w:eastAsia="Arial" w:hAnsi="Arial"/>
                <w:sz w:val="18"/>
                <w:szCs w:val="18"/>
                <w:color w:val="auto"/>
                <w:w w:val="99"/>
              </w:rPr>
              <w:t>—</w:t>
            </w:r>
          </w:p>
        </w:tc>
        <w:tc>
          <w:tcPr>
            <w:tcW w:w="2520" w:type="dxa"/>
            <w:vAlign w:val="bottom"/>
          </w:tcPr>
          <w:p>
            <w:pPr>
              <w:jc w:val="right"/>
              <w:ind w:right="10"/>
              <w:spacing w:after="0"/>
              <w:rPr>
                <w:sz w:val="20"/>
                <w:szCs w:val="20"/>
                <w:color w:val="auto"/>
              </w:rPr>
            </w:pPr>
            <w:r>
              <w:rPr>
                <w:rFonts w:ascii="Arial" w:cs="Arial" w:eastAsia="Arial" w:hAnsi="Arial"/>
                <w:sz w:val="18"/>
                <w:szCs w:val="18"/>
                <w:color w:val="auto"/>
              </w:rPr>
              <w:t>—</w:t>
            </w:r>
          </w:p>
        </w:tc>
      </w:tr>
      <w:tr>
        <w:trPr>
          <w:trHeight w:val="216"/>
        </w:trPr>
        <w:tc>
          <w:tcPr>
            <w:tcW w:w="2660" w:type="dxa"/>
            <w:vAlign w:val="bottom"/>
            <w:shd w:val="clear" w:color="auto" w:fill="CCEEFF"/>
          </w:tcPr>
          <w:p>
            <w:pPr>
              <w:spacing w:after="0"/>
              <w:rPr>
                <w:sz w:val="18"/>
                <w:szCs w:val="18"/>
                <w:color w:val="auto"/>
              </w:rPr>
            </w:pPr>
          </w:p>
        </w:tc>
        <w:tc>
          <w:tcPr>
            <w:tcW w:w="3280" w:type="dxa"/>
            <w:vAlign w:val="bottom"/>
            <w:shd w:val="clear" w:color="auto" w:fill="CCEEFF"/>
          </w:tcPr>
          <w:p>
            <w:pPr>
              <w:jc w:val="center"/>
              <w:ind w:left="550"/>
              <w:spacing w:after="0"/>
              <w:rPr>
                <w:sz w:val="20"/>
                <w:szCs w:val="20"/>
                <w:color w:val="auto"/>
              </w:rPr>
            </w:pPr>
            <w:r>
              <w:rPr>
                <w:rFonts w:ascii="Arial" w:cs="Arial" w:eastAsia="Arial" w:hAnsi="Arial"/>
                <w:sz w:val="18"/>
                <w:szCs w:val="18"/>
                <w:color w:val="auto"/>
                <w:w w:val="89"/>
              </w:rPr>
              <w:t>Supplemental Plan</w:t>
            </w:r>
          </w:p>
        </w:tc>
        <w:tc>
          <w:tcPr>
            <w:tcW w:w="2960" w:type="dxa"/>
            <w:vAlign w:val="bottom"/>
            <w:shd w:val="clear" w:color="auto" w:fill="CCEEFF"/>
          </w:tcPr>
          <w:p>
            <w:pPr>
              <w:jc w:val="center"/>
              <w:ind w:left="170"/>
              <w:spacing w:after="0"/>
              <w:rPr>
                <w:sz w:val="20"/>
                <w:szCs w:val="20"/>
                <w:color w:val="auto"/>
              </w:rPr>
            </w:pPr>
            <w:r>
              <w:rPr>
                <w:rFonts w:ascii="Arial" w:cs="Arial" w:eastAsia="Arial" w:hAnsi="Arial"/>
                <w:sz w:val="18"/>
                <w:szCs w:val="18"/>
                <w:color w:val="auto"/>
                <w:w w:val="93"/>
              </w:rPr>
              <w:t>34.80</w:t>
            </w:r>
          </w:p>
        </w:tc>
        <w:tc>
          <w:tcPr>
            <w:tcW w:w="252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$2,088,000</w:t>
            </w:r>
          </w:p>
        </w:tc>
      </w:tr>
      <w:tr>
        <w:trPr>
          <w:trHeight w:val="216"/>
        </w:trPr>
        <w:tc>
          <w:tcPr>
            <w:tcW w:w="2660" w:type="dxa"/>
            <w:vAlign w:val="bottom"/>
            <w:shd w:val="clear" w:color="auto" w:fill="CCEEFF"/>
          </w:tcPr>
          <w:p>
            <w:pPr>
              <w:spacing w:after="0"/>
              <w:rPr>
                <w:sz w:val="20"/>
                <w:szCs w:val="20"/>
                <w:color w:val="auto"/>
              </w:rPr>
            </w:pPr>
            <w:r>
              <w:rPr>
                <w:rFonts w:ascii="Arial" w:cs="Arial" w:eastAsia="Arial" w:hAnsi="Arial"/>
                <w:sz w:val="18"/>
                <w:szCs w:val="18"/>
                <w:color w:val="auto"/>
              </w:rPr>
              <w:t>Donald L. Walker</w:t>
            </w:r>
          </w:p>
        </w:tc>
        <w:tc>
          <w:tcPr>
            <w:tcW w:w="3280" w:type="dxa"/>
            <w:vAlign w:val="bottom"/>
            <w:shd w:val="clear" w:color="auto" w:fill="CCEEFF"/>
          </w:tcPr>
          <w:p>
            <w:pPr>
              <w:jc w:val="center"/>
              <w:ind w:left="550"/>
              <w:spacing w:after="0"/>
              <w:rPr>
                <w:sz w:val="20"/>
                <w:szCs w:val="20"/>
                <w:color w:val="auto"/>
              </w:rPr>
            </w:pPr>
            <w:r>
              <w:rPr>
                <w:rFonts w:ascii="Arial" w:cs="Arial" w:eastAsia="Arial" w:hAnsi="Arial"/>
                <w:sz w:val="18"/>
                <w:szCs w:val="18"/>
                <w:color w:val="auto"/>
                <w:w w:val="92"/>
              </w:rPr>
              <w:t>Qualified Plan</w:t>
            </w:r>
          </w:p>
        </w:tc>
        <w:tc>
          <w:tcPr>
            <w:tcW w:w="2960" w:type="dxa"/>
            <w:vAlign w:val="bottom"/>
            <w:shd w:val="clear" w:color="auto" w:fill="CCEEFF"/>
          </w:tcPr>
          <w:p>
            <w:pPr>
              <w:jc w:val="center"/>
              <w:ind w:left="170"/>
              <w:spacing w:after="0"/>
              <w:rPr>
                <w:sz w:val="20"/>
                <w:szCs w:val="20"/>
                <w:color w:val="auto"/>
              </w:rPr>
            </w:pPr>
            <w:r>
              <w:rPr>
                <w:rFonts w:ascii="Arial" w:cs="Arial" w:eastAsia="Arial" w:hAnsi="Arial"/>
                <w:sz w:val="18"/>
                <w:szCs w:val="18"/>
                <w:color w:val="auto"/>
                <w:w w:val="93"/>
              </w:rPr>
              <w:t>34.80</w:t>
            </w:r>
          </w:p>
        </w:tc>
        <w:tc>
          <w:tcPr>
            <w:tcW w:w="252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$818,000</w:t>
            </w:r>
          </w:p>
        </w:tc>
      </w:tr>
      <w:tr>
        <w:trPr>
          <w:trHeight w:val="230"/>
        </w:trPr>
        <w:tc>
          <w:tcPr>
            <w:tcW w:w="2660" w:type="dxa"/>
            <w:vAlign w:val="bottom"/>
          </w:tcPr>
          <w:p>
            <w:pPr>
              <w:spacing w:after="0"/>
              <w:rPr>
                <w:sz w:val="20"/>
                <w:szCs w:val="20"/>
                <w:color w:val="auto"/>
              </w:rPr>
            </w:pPr>
            <w:r>
              <w:rPr>
                <w:rFonts w:ascii="Arial" w:cs="Arial" w:eastAsia="Arial" w:hAnsi="Arial"/>
                <w:sz w:val="18"/>
                <w:szCs w:val="18"/>
                <w:color w:val="auto"/>
              </w:rPr>
              <w:t xml:space="preserve">Frank A. DiPiero </w:t>
            </w:r>
            <w:r>
              <w:rPr>
                <w:rFonts w:ascii="Arial" w:cs="Arial" w:eastAsia="Arial" w:hAnsi="Arial"/>
                <w:sz w:val="15"/>
                <w:szCs w:val="15"/>
                <w:color w:val="auto"/>
              </w:rPr>
              <w:t>(3)</w:t>
            </w:r>
          </w:p>
        </w:tc>
        <w:tc>
          <w:tcPr>
            <w:tcW w:w="3280" w:type="dxa"/>
            <w:vAlign w:val="bottom"/>
          </w:tcPr>
          <w:p>
            <w:pPr>
              <w:jc w:val="center"/>
              <w:ind w:left="570"/>
              <w:spacing w:after="0"/>
              <w:rPr>
                <w:sz w:val="20"/>
                <w:szCs w:val="20"/>
                <w:color w:val="auto"/>
              </w:rPr>
            </w:pPr>
            <w:r>
              <w:rPr>
                <w:rFonts w:ascii="Arial" w:cs="Arial" w:eastAsia="Arial" w:hAnsi="Arial"/>
                <w:sz w:val="18"/>
                <w:szCs w:val="18"/>
                <w:color w:val="auto"/>
                <w:w w:val="99"/>
              </w:rPr>
              <w:t>—</w:t>
            </w:r>
          </w:p>
        </w:tc>
        <w:tc>
          <w:tcPr>
            <w:tcW w:w="2960" w:type="dxa"/>
            <w:vAlign w:val="bottom"/>
          </w:tcPr>
          <w:p>
            <w:pPr>
              <w:jc w:val="center"/>
              <w:ind w:left="170"/>
              <w:spacing w:after="0"/>
              <w:rPr>
                <w:sz w:val="20"/>
                <w:szCs w:val="20"/>
                <w:color w:val="auto"/>
              </w:rPr>
            </w:pPr>
            <w:r>
              <w:rPr>
                <w:rFonts w:ascii="Arial" w:cs="Arial" w:eastAsia="Arial" w:hAnsi="Arial"/>
                <w:sz w:val="18"/>
                <w:szCs w:val="18"/>
                <w:color w:val="auto"/>
                <w:w w:val="99"/>
              </w:rPr>
              <w:t>—</w:t>
            </w:r>
          </w:p>
        </w:tc>
        <w:tc>
          <w:tcPr>
            <w:tcW w:w="2520" w:type="dxa"/>
            <w:vAlign w:val="bottom"/>
          </w:tcPr>
          <w:p>
            <w:pPr>
              <w:jc w:val="right"/>
              <w:ind w:right="10"/>
              <w:spacing w:after="0"/>
              <w:rPr>
                <w:sz w:val="20"/>
                <w:szCs w:val="20"/>
                <w:color w:val="auto"/>
              </w:rPr>
            </w:pPr>
            <w:r>
              <w:rPr>
                <w:rFonts w:ascii="Arial" w:cs="Arial" w:eastAsia="Arial" w:hAnsi="Arial"/>
                <w:sz w:val="18"/>
                <w:szCs w:val="18"/>
                <w:color w:val="auto"/>
              </w:rPr>
              <w:t>—</w:t>
            </w:r>
          </w:p>
        </w:tc>
      </w:tr>
    </w:tbl>
    <w:p>
      <w:pPr>
        <w:spacing w:after="0" w:line="309" w:lineRule="exact"/>
        <w:rPr>
          <w:sz w:val="20"/>
          <w:szCs w:val="20"/>
          <w:color w:val="auto"/>
        </w:rPr>
      </w:pPr>
    </w:p>
    <w:p>
      <w:pPr>
        <w:ind w:left="660" w:right="100" w:hanging="436"/>
        <w:spacing w:after="0" w:line="257" w:lineRule="auto"/>
        <w:tabs>
          <w:tab w:leader="none" w:pos="660" w:val="left"/>
        </w:tabs>
        <w:numPr>
          <w:ilvl w:val="0"/>
          <w:numId w:val="35"/>
        </w:numPr>
        <w:rPr>
          <w:rFonts w:ascii="Arial" w:cs="Arial" w:eastAsia="Arial" w:hAnsi="Arial"/>
          <w:sz w:val="18"/>
          <w:szCs w:val="18"/>
          <w:color w:val="auto"/>
        </w:rPr>
      </w:pPr>
      <w:r>
        <w:rPr>
          <w:rFonts w:ascii="Arial" w:cs="Arial" w:eastAsia="Arial" w:hAnsi="Arial"/>
          <w:sz w:val="18"/>
          <w:szCs w:val="18"/>
          <w:color w:val="auto"/>
        </w:rPr>
        <w:t>The “Present Value of Accumulated Benefit” is the present value as of December 31, 2013 of the pension benefits earned as of such date that would be payable under that plan for the life of the executive, beginning at age 62. Age 62 is the earliest age an unreduced benefit is payable from the plans. The assumptions used to determine the present value include a 5.02% discount rate and mortality according to the RP-2000 Mortality Table. Benefits were determined assuming no probability of termination, retirement, death, or disability before age 62. For 2013, the Code pay limit was $255,000 and the maximum benefit was $205,000.</w:t>
      </w:r>
    </w:p>
    <w:p>
      <w:pPr>
        <w:spacing w:after="0" w:line="93" w:lineRule="exact"/>
        <w:rPr>
          <w:rFonts w:ascii="Arial" w:cs="Arial" w:eastAsia="Arial" w:hAnsi="Arial"/>
          <w:sz w:val="18"/>
          <w:szCs w:val="18"/>
          <w:color w:val="auto"/>
        </w:rPr>
      </w:pPr>
    </w:p>
    <w:p>
      <w:pPr>
        <w:ind w:left="660" w:right="120" w:hanging="436"/>
        <w:spacing w:after="0" w:line="259" w:lineRule="auto"/>
        <w:tabs>
          <w:tab w:leader="none" w:pos="660" w:val="left"/>
        </w:tabs>
        <w:numPr>
          <w:ilvl w:val="0"/>
          <w:numId w:val="35"/>
        </w:numPr>
        <w:rPr>
          <w:rFonts w:ascii="Arial" w:cs="Arial" w:eastAsia="Arial" w:hAnsi="Arial"/>
          <w:sz w:val="18"/>
          <w:szCs w:val="18"/>
          <w:color w:val="auto"/>
        </w:rPr>
      </w:pPr>
      <w:r>
        <w:rPr>
          <w:rFonts w:ascii="Arial" w:cs="Arial" w:eastAsia="Arial" w:hAnsi="Arial"/>
          <w:sz w:val="18"/>
          <w:szCs w:val="18"/>
          <w:color w:val="auto"/>
        </w:rPr>
        <w:t>Because Mr. Timken did not have a combination of age and service with Timken that equaled or exceeded 50 as of December 31, 2003, he does not accumulate any service under the Qualified Plan after December 31, 2003. Because Mr. Holding was hired after January 1, 2004, he is not a participant in the defined benefit pension plan and did not accumulate any service under the Qualified Plan. In addition, Mr. Holding in not a participant in the SERP.</w:t>
      </w:r>
    </w:p>
    <w:p>
      <w:pPr>
        <w:spacing w:after="0" w:line="92" w:lineRule="exact"/>
        <w:rPr>
          <w:rFonts w:ascii="Arial" w:cs="Arial" w:eastAsia="Arial" w:hAnsi="Arial"/>
          <w:sz w:val="18"/>
          <w:szCs w:val="18"/>
          <w:color w:val="auto"/>
        </w:rPr>
      </w:pPr>
    </w:p>
    <w:p>
      <w:pPr>
        <w:ind w:left="660" w:hanging="436"/>
        <w:spacing w:after="0"/>
        <w:tabs>
          <w:tab w:leader="none" w:pos="660" w:val="left"/>
        </w:tabs>
        <w:numPr>
          <w:ilvl w:val="0"/>
          <w:numId w:val="35"/>
        </w:numPr>
        <w:rPr>
          <w:rFonts w:ascii="Arial" w:cs="Arial" w:eastAsia="Arial" w:hAnsi="Arial"/>
          <w:sz w:val="18"/>
          <w:szCs w:val="18"/>
          <w:color w:val="auto"/>
        </w:rPr>
      </w:pPr>
      <w:r>
        <w:rPr>
          <w:rFonts w:ascii="Arial" w:cs="Arial" w:eastAsia="Arial" w:hAnsi="Arial"/>
          <w:sz w:val="18"/>
          <w:szCs w:val="18"/>
          <w:color w:val="auto"/>
        </w:rPr>
        <w:t>Mr. DiPiero was not employed by Timken in 2013 and therefore no historical information is available for him.</w:t>
      </w:r>
    </w:p>
    <w:p>
      <w:pPr>
        <w:spacing w:after="0" w:line="30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2013 Nonqualified Deferred Compensation Table</w:t>
      </w:r>
    </w:p>
    <w:p>
      <w:pPr>
        <w:spacing w:after="0" w:line="297" w:lineRule="exact"/>
        <w:rPr>
          <w:sz w:val="20"/>
          <w:szCs w:val="20"/>
          <w:color w:val="auto"/>
        </w:rPr>
      </w:pPr>
    </w:p>
    <w:p>
      <w:pPr>
        <w:ind w:right="300" w:firstLine="456"/>
        <w:spacing w:after="0" w:line="277" w:lineRule="auto"/>
        <w:rPr>
          <w:sz w:val="20"/>
          <w:szCs w:val="20"/>
          <w:color w:val="auto"/>
        </w:rPr>
      </w:pPr>
      <w:r>
        <w:rPr>
          <w:rFonts w:ascii="Arial" w:cs="Arial" w:eastAsia="Arial" w:hAnsi="Arial"/>
          <w:sz w:val="18"/>
          <w:szCs w:val="18"/>
          <w:color w:val="auto"/>
        </w:rPr>
        <w:t>The table below sets forth information regarding Timken Deferred Compensation Plan contributions, earnings and withdrawals during 2013 and the account balances as of December 31, 2013 for our NEOs:</w:t>
      </w:r>
    </w:p>
    <w:p>
      <w:pPr>
        <w:spacing w:after="0" w:line="288"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3200" w:type="dxa"/>
            <w:vAlign w:val="bottom"/>
          </w:tcPr>
          <w:p>
            <w:pPr>
              <w:spacing w:after="0"/>
              <w:rPr>
                <w:sz w:val="18"/>
                <w:szCs w:val="18"/>
                <w:color w:val="auto"/>
              </w:rPr>
            </w:pPr>
          </w:p>
        </w:tc>
        <w:tc>
          <w:tcPr>
            <w:tcW w:w="232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1720" w:type="dxa"/>
            <w:vAlign w:val="bottom"/>
          </w:tcPr>
          <w:p>
            <w:pPr>
              <w:spacing w:after="0"/>
              <w:rPr>
                <w:sz w:val="18"/>
                <w:szCs w:val="18"/>
                <w:color w:val="auto"/>
              </w:rPr>
            </w:pPr>
          </w:p>
        </w:tc>
        <w:tc>
          <w:tcPr>
            <w:tcW w:w="1480" w:type="dxa"/>
            <w:vAlign w:val="bottom"/>
          </w:tcPr>
          <w:p>
            <w:pPr>
              <w:jc w:val="center"/>
              <w:ind w:right="10"/>
              <w:spacing w:after="0"/>
              <w:rPr>
                <w:sz w:val="20"/>
                <w:szCs w:val="20"/>
                <w:color w:val="auto"/>
              </w:rPr>
            </w:pPr>
            <w:r>
              <w:rPr>
                <w:rFonts w:ascii="Arial" w:cs="Arial" w:eastAsia="Arial" w:hAnsi="Arial"/>
                <w:sz w:val="18"/>
                <w:szCs w:val="18"/>
                <w:b w:val="1"/>
                <w:bCs w:val="1"/>
                <w:color w:val="auto"/>
                <w:w w:val="87"/>
              </w:rPr>
              <w:t>Aggregate</w:t>
            </w:r>
          </w:p>
        </w:tc>
        <w:tc>
          <w:tcPr>
            <w:tcW w:w="1340" w:type="dxa"/>
            <w:vAlign w:val="bottom"/>
          </w:tcPr>
          <w:p>
            <w:pPr>
              <w:jc w:val="center"/>
              <w:spacing w:after="0"/>
              <w:rPr>
                <w:sz w:val="20"/>
                <w:szCs w:val="20"/>
                <w:color w:val="auto"/>
              </w:rPr>
            </w:pPr>
            <w:r>
              <w:rPr>
                <w:rFonts w:ascii="Arial" w:cs="Arial" w:eastAsia="Arial" w:hAnsi="Arial"/>
                <w:sz w:val="18"/>
                <w:szCs w:val="18"/>
                <w:b w:val="1"/>
                <w:bCs w:val="1"/>
                <w:color w:val="auto"/>
                <w:w w:val="87"/>
              </w:rPr>
              <w:t>Aggregate</w:t>
            </w:r>
          </w:p>
        </w:tc>
      </w:tr>
      <w:tr>
        <w:trPr>
          <w:trHeight w:val="216"/>
        </w:trPr>
        <w:tc>
          <w:tcPr>
            <w:tcW w:w="3200" w:type="dxa"/>
            <w:vAlign w:val="bottom"/>
          </w:tcPr>
          <w:p>
            <w:pPr>
              <w:spacing w:after="0"/>
              <w:rPr>
                <w:sz w:val="18"/>
                <w:szCs w:val="18"/>
                <w:color w:val="auto"/>
              </w:rPr>
            </w:pPr>
          </w:p>
        </w:tc>
        <w:tc>
          <w:tcPr>
            <w:tcW w:w="2320" w:type="dxa"/>
            <w:vAlign w:val="bottom"/>
          </w:tcPr>
          <w:p>
            <w:pPr>
              <w:jc w:val="center"/>
              <w:ind w:left="950"/>
              <w:spacing w:after="0"/>
              <w:rPr>
                <w:sz w:val="20"/>
                <w:szCs w:val="20"/>
                <w:color w:val="auto"/>
              </w:rPr>
            </w:pPr>
            <w:r>
              <w:rPr>
                <w:rFonts w:ascii="Arial" w:cs="Arial" w:eastAsia="Arial" w:hAnsi="Arial"/>
                <w:sz w:val="18"/>
                <w:szCs w:val="18"/>
                <w:b w:val="1"/>
                <w:bCs w:val="1"/>
                <w:color w:val="auto"/>
                <w:w w:val="90"/>
              </w:rPr>
              <w:t>Executive</w:t>
            </w:r>
          </w:p>
        </w:tc>
        <w:tc>
          <w:tcPr>
            <w:tcW w:w="1360" w:type="dxa"/>
            <w:vAlign w:val="bottom"/>
          </w:tcPr>
          <w:p>
            <w:pPr>
              <w:jc w:val="center"/>
              <w:spacing w:after="0"/>
              <w:rPr>
                <w:sz w:val="20"/>
                <w:szCs w:val="20"/>
                <w:color w:val="auto"/>
              </w:rPr>
            </w:pPr>
            <w:r>
              <w:rPr>
                <w:rFonts w:ascii="Arial" w:cs="Arial" w:eastAsia="Arial" w:hAnsi="Arial"/>
                <w:sz w:val="18"/>
                <w:szCs w:val="18"/>
                <w:b w:val="1"/>
                <w:bCs w:val="1"/>
                <w:color w:val="auto"/>
                <w:w w:val="95"/>
              </w:rPr>
              <w:t>Timken</w:t>
            </w:r>
          </w:p>
        </w:tc>
        <w:tc>
          <w:tcPr>
            <w:tcW w:w="1720" w:type="dxa"/>
            <w:vAlign w:val="bottom"/>
          </w:tcPr>
          <w:p>
            <w:pPr>
              <w:spacing w:after="0"/>
              <w:rPr>
                <w:sz w:val="18"/>
                <w:szCs w:val="18"/>
                <w:color w:val="auto"/>
              </w:rPr>
            </w:pPr>
          </w:p>
        </w:tc>
        <w:tc>
          <w:tcPr>
            <w:tcW w:w="1480" w:type="dxa"/>
            <w:vAlign w:val="bottom"/>
          </w:tcPr>
          <w:p>
            <w:pPr>
              <w:jc w:val="center"/>
              <w:ind w:right="10"/>
              <w:spacing w:after="0"/>
              <w:rPr>
                <w:sz w:val="20"/>
                <w:szCs w:val="20"/>
                <w:color w:val="auto"/>
              </w:rPr>
            </w:pPr>
            <w:r>
              <w:rPr>
                <w:rFonts w:ascii="Arial" w:cs="Arial" w:eastAsia="Arial" w:hAnsi="Arial"/>
                <w:sz w:val="18"/>
                <w:szCs w:val="18"/>
                <w:b w:val="1"/>
                <w:bCs w:val="1"/>
                <w:color w:val="auto"/>
                <w:w w:val="94"/>
              </w:rPr>
              <w:t>Withdrawals /</w:t>
            </w:r>
          </w:p>
        </w:tc>
        <w:tc>
          <w:tcPr>
            <w:tcW w:w="1340" w:type="dxa"/>
            <w:vAlign w:val="bottom"/>
          </w:tcPr>
          <w:p>
            <w:pPr>
              <w:jc w:val="center"/>
              <w:ind w:right="10"/>
              <w:spacing w:after="0"/>
              <w:rPr>
                <w:sz w:val="20"/>
                <w:szCs w:val="20"/>
                <w:color w:val="auto"/>
              </w:rPr>
            </w:pPr>
            <w:r>
              <w:rPr>
                <w:rFonts w:ascii="Arial" w:cs="Arial" w:eastAsia="Arial" w:hAnsi="Arial"/>
                <w:sz w:val="18"/>
                <w:szCs w:val="18"/>
                <w:b w:val="1"/>
                <w:bCs w:val="1"/>
                <w:color w:val="auto"/>
                <w:w w:val="88"/>
              </w:rPr>
              <w:t>Balance at</w:t>
            </w:r>
          </w:p>
        </w:tc>
      </w:tr>
      <w:tr>
        <w:trPr>
          <w:trHeight w:val="216"/>
        </w:trPr>
        <w:tc>
          <w:tcPr>
            <w:tcW w:w="3200" w:type="dxa"/>
            <w:vAlign w:val="bottom"/>
          </w:tcPr>
          <w:p>
            <w:pPr>
              <w:spacing w:after="0"/>
              <w:rPr>
                <w:sz w:val="18"/>
                <w:szCs w:val="18"/>
                <w:color w:val="auto"/>
              </w:rPr>
            </w:pPr>
          </w:p>
        </w:tc>
        <w:tc>
          <w:tcPr>
            <w:tcW w:w="2320" w:type="dxa"/>
            <w:vAlign w:val="bottom"/>
          </w:tcPr>
          <w:p>
            <w:pPr>
              <w:jc w:val="center"/>
              <w:ind w:left="950"/>
              <w:spacing w:after="0"/>
              <w:rPr>
                <w:sz w:val="20"/>
                <w:szCs w:val="20"/>
                <w:color w:val="auto"/>
              </w:rPr>
            </w:pPr>
            <w:r>
              <w:rPr>
                <w:rFonts w:ascii="Arial" w:cs="Arial" w:eastAsia="Arial" w:hAnsi="Arial"/>
                <w:sz w:val="18"/>
                <w:szCs w:val="18"/>
                <w:b w:val="1"/>
                <w:bCs w:val="1"/>
                <w:color w:val="auto"/>
                <w:w w:val="91"/>
              </w:rPr>
              <w:t>Contributions</w:t>
            </w:r>
          </w:p>
        </w:tc>
        <w:tc>
          <w:tcPr>
            <w:tcW w:w="1360" w:type="dxa"/>
            <w:vAlign w:val="bottom"/>
          </w:tcPr>
          <w:p>
            <w:pPr>
              <w:jc w:val="center"/>
              <w:spacing w:after="0"/>
              <w:rPr>
                <w:sz w:val="20"/>
                <w:szCs w:val="20"/>
                <w:color w:val="auto"/>
              </w:rPr>
            </w:pPr>
            <w:r>
              <w:rPr>
                <w:rFonts w:ascii="Arial" w:cs="Arial" w:eastAsia="Arial" w:hAnsi="Arial"/>
                <w:sz w:val="18"/>
                <w:szCs w:val="18"/>
                <w:b w:val="1"/>
                <w:bCs w:val="1"/>
                <w:color w:val="auto"/>
                <w:w w:val="91"/>
              </w:rPr>
              <w:t>Contributions</w:t>
            </w:r>
          </w:p>
        </w:tc>
        <w:tc>
          <w:tcPr>
            <w:tcW w:w="1720" w:type="dxa"/>
            <w:vAlign w:val="bottom"/>
          </w:tcPr>
          <w:p>
            <w:pPr>
              <w:jc w:val="right"/>
              <w:ind w:right="370"/>
              <w:spacing w:after="0"/>
              <w:rPr>
                <w:sz w:val="20"/>
                <w:szCs w:val="20"/>
                <w:color w:val="auto"/>
              </w:rPr>
            </w:pPr>
            <w:r>
              <w:rPr>
                <w:rFonts w:ascii="Arial" w:cs="Arial" w:eastAsia="Arial" w:hAnsi="Arial"/>
                <w:sz w:val="18"/>
                <w:szCs w:val="18"/>
                <w:b w:val="1"/>
                <w:bCs w:val="1"/>
                <w:color w:val="auto"/>
              </w:rPr>
              <w:t>Aggregate</w:t>
            </w:r>
          </w:p>
        </w:tc>
        <w:tc>
          <w:tcPr>
            <w:tcW w:w="1480" w:type="dxa"/>
            <w:vAlign w:val="bottom"/>
          </w:tcPr>
          <w:p>
            <w:pPr>
              <w:jc w:val="center"/>
              <w:spacing w:after="0"/>
              <w:rPr>
                <w:sz w:val="20"/>
                <w:szCs w:val="20"/>
                <w:color w:val="auto"/>
              </w:rPr>
            </w:pPr>
            <w:r>
              <w:rPr>
                <w:rFonts w:ascii="Arial" w:cs="Arial" w:eastAsia="Arial" w:hAnsi="Arial"/>
                <w:sz w:val="18"/>
                <w:szCs w:val="18"/>
                <w:b w:val="1"/>
                <w:bCs w:val="1"/>
                <w:color w:val="auto"/>
                <w:w w:val="90"/>
              </w:rPr>
              <w:t>Distributions in</w:t>
            </w:r>
          </w:p>
        </w:tc>
        <w:tc>
          <w:tcPr>
            <w:tcW w:w="1340" w:type="dxa"/>
            <w:vAlign w:val="bottom"/>
          </w:tcPr>
          <w:p>
            <w:pPr>
              <w:jc w:val="center"/>
              <w:ind w:right="10"/>
              <w:spacing w:after="0"/>
              <w:rPr>
                <w:sz w:val="20"/>
                <w:szCs w:val="20"/>
                <w:color w:val="auto"/>
              </w:rPr>
            </w:pPr>
            <w:r>
              <w:rPr>
                <w:rFonts w:ascii="Arial" w:cs="Arial" w:eastAsia="Arial" w:hAnsi="Arial"/>
                <w:sz w:val="18"/>
                <w:szCs w:val="18"/>
                <w:b w:val="1"/>
                <w:bCs w:val="1"/>
                <w:color w:val="auto"/>
                <w:w w:val="88"/>
              </w:rPr>
              <w:t>December 31,</w:t>
            </w:r>
          </w:p>
        </w:tc>
      </w:tr>
      <w:tr>
        <w:trPr>
          <w:trHeight w:val="248"/>
        </w:trPr>
        <w:tc>
          <w:tcPr>
            <w:tcW w:w="3200" w:type="dxa"/>
            <w:vAlign w:val="bottom"/>
            <w:tcBorders>
              <w:bottom w:val="single" w:sz="8" w:color="auto"/>
            </w:tcBorders>
          </w:tcPr>
          <w:p>
            <w:pPr>
              <w:ind w:left="1620"/>
              <w:spacing w:after="0"/>
              <w:rPr>
                <w:sz w:val="20"/>
                <w:szCs w:val="20"/>
                <w:color w:val="auto"/>
              </w:rPr>
            </w:pPr>
            <w:r>
              <w:rPr>
                <w:rFonts w:ascii="Arial" w:cs="Arial" w:eastAsia="Arial" w:hAnsi="Arial"/>
                <w:sz w:val="18"/>
                <w:szCs w:val="18"/>
                <w:b w:val="1"/>
                <w:bCs w:val="1"/>
                <w:color w:val="auto"/>
              </w:rPr>
              <w:t>Name</w:t>
            </w:r>
          </w:p>
        </w:tc>
        <w:tc>
          <w:tcPr>
            <w:tcW w:w="2320" w:type="dxa"/>
            <w:vAlign w:val="bottom"/>
            <w:tcBorders>
              <w:bottom w:val="single" w:sz="8" w:color="auto"/>
            </w:tcBorders>
          </w:tcPr>
          <w:p>
            <w:pPr>
              <w:jc w:val="center"/>
              <w:ind w:left="970"/>
              <w:spacing w:after="0"/>
              <w:rPr>
                <w:sz w:val="20"/>
                <w:szCs w:val="20"/>
                <w:color w:val="auto"/>
              </w:rPr>
            </w:pPr>
            <w:r>
              <w:rPr>
                <w:rFonts w:ascii="Arial" w:cs="Arial" w:eastAsia="Arial" w:hAnsi="Arial"/>
                <w:sz w:val="18"/>
                <w:szCs w:val="18"/>
                <w:b w:val="1"/>
                <w:bCs w:val="1"/>
                <w:color w:val="auto"/>
                <w:w w:val="92"/>
              </w:rPr>
              <w:t xml:space="preserve">in 2013 </w:t>
            </w:r>
            <w:r>
              <w:rPr>
                <w:rFonts w:ascii="Arial" w:cs="Arial" w:eastAsia="Arial" w:hAnsi="Arial"/>
                <w:sz w:val="15"/>
                <w:szCs w:val="15"/>
                <w:b w:val="1"/>
                <w:bCs w:val="1"/>
                <w:color w:val="auto"/>
                <w:w w:val="92"/>
              </w:rPr>
              <w:t>(1)</w:t>
            </w:r>
          </w:p>
        </w:tc>
        <w:tc>
          <w:tcPr>
            <w:tcW w:w="1360" w:type="dxa"/>
            <w:vAlign w:val="bottom"/>
            <w:tcBorders>
              <w:bottom w:val="single" w:sz="8" w:color="auto"/>
            </w:tcBorders>
          </w:tcPr>
          <w:p>
            <w:pPr>
              <w:jc w:val="center"/>
              <w:ind w:right="10"/>
              <w:spacing w:after="0"/>
              <w:rPr>
                <w:sz w:val="20"/>
                <w:szCs w:val="20"/>
                <w:color w:val="auto"/>
              </w:rPr>
            </w:pPr>
            <w:r>
              <w:rPr>
                <w:rFonts w:ascii="Arial" w:cs="Arial" w:eastAsia="Arial" w:hAnsi="Arial"/>
                <w:sz w:val="18"/>
                <w:szCs w:val="18"/>
                <w:b w:val="1"/>
                <w:bCs w:val="1"/>
                <w:color w:val="auto"/>
                <w:w w:val="92"/>
              </w:rPr>
              <w:t xml:space="preserve">in 2013 </w:t>
            </w:r>
            <w:r>
              <w:rPr>
                <w:rFonts w:ascii="Arial" w:cs="Arial" w:eastAsia="Arial" w:hAnsi="Arial"/>
                <w:sz w:val="15"/>
                <w:szCs w:val="15"/>
                <w:b w:val="1"/>
                <w:bCs w:val="1"/>
                <w:color w:val="auto"/>
                <w:w w:val="92"/>
              </w:rPr>
              <w:t>(1)</w:t>
            </w:r>
          </w:p>
        </w:tc>
        <w:tc>
          <w:tcPr>
            <w:tcW w:w="172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b w:val="1"/>
                <w:bCs w:val="1"/>
                <w:color w:val="auto"/>
                <w:w w:val="96"/>
              </w:rPr>
              <w:t xml:space="preserve">Earnings in 2013 </w:t>
            </w:r>
            <w:r>
              <w:rPr>
                <w:rFonts w:ascii="Arial" w:cs="Arial" w:eastAsia="Arial" w:hAnsi="Arial"/>
                <w:sz w:val="15"/>
                <w:szCs w:val="15"/>
                <w:b w:val="1"/>
                <w:bCs w:val="1"/>
                <w:color w:val="auto"/>
                <w:w w:val="96"/>
              </w:rPr>
              <w:t>(2)</w:t>
            </w:r>
          </w:p>
        </w:tc>
        <w:tc>
          <w:tcPr>
            <w:tcW w:w="148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89"/>
              </w:rPr>
              <w:t>2013</w:t>
            </w:r>
          </w:p>
        </w:tc>
        <w:tc>
          <w:tcPr>
            <w:tcW w:w="134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91"/>
              </w:rPr>
              <w:t xml:space="preserve">2013 </w:t>
            </w:r>
            <w:r>
              <w:rPr>
                <w:rFonts w:ascii="Arial" w:cs="Arial" w:eastAsia="Arial" w:hAnsi="Arial"/>
                <w:sz w:val="15"/>
                <w:szCs w:val="15"/>
                <w:b w:val="1"/>
                <w:bCs w:val="1"/>
                <w:color w:val="auto"/>
                <w:w w:val="91"/>
              </w:rPr>
              <w:t>(3)</w:t>
            </w:r>
          </w:p>
        </w:tc>
      </w:tr>
      <w:tr>
        <w:trPr>
          <w:trHeight w:val="210"/>
        </w:trPr>
        <w:tc>
          <w:tcPr>
            <w:tcW w:w="3200" w:type="dxa"/>
            <w:vAlign w:val="bottom"/>
            <w:shd w:val="clear" w:color="auto" w:fill="CCEEFF"/>
          </w:tcPr>
          <w:p>
            <w:pPr>
              <w:spacing w:after="0"/>
              <w:rPr>
                <w:sz w:val="20"/>
                <w:szCs w:val="20"/>
                <w:color w:val="auto"/>
              </w:rPr>
            </w:pPr>
            <w:r>
              <w:rPr>
                <w:rFonts w:ascii="Arial" w:cs="Arial" w:eastAsia="Arial" w:hAnsi="Arial"/>
                <w:sz w:val="18"/>
                <w:szCs w:val="18"/>
                <w:color w:val="auto"/>
              </w:rPr>
              <w:t>Ward J. Timken, Jr.</w:t>
            </w:r>
          </w:p>
        </w:tc>
        <w:tc>
          <w:tcPr>
            <w:tcW w:w="232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$112,191</w:t>
            </w:r>
          </w:p>
        </w:tc>
        <w:tc>
          <w:tcPr>
            <w:tcW w:w="136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$157,855</w:t>
            </w:r>
          </w:p>
        </w:tc>
        <w:tc>
          <w:tcPr>
            <w:tcW w:w="172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$43,213</w:t>
            </w:r>
          </w:p>
        </w:tc>
        <w:tc>
          <w:tcPr>
            <w:tcW w:w="1480" w:type="dxa"/>
            <w:vAlign w:val="bottom"/>
            <w:shd w:val="clear" w:color="auto" w:fill="CCEEFF"/>
          </w:tcPr>
          <w:p>
            <w:pPr>
              <w:ind w:left="1200"/>
              <w:spacing w:after="0"/>
              <w:rPr>
                <w:sz w:val="20"/>
                <w:szCs w:val="20"/>
                <w:color w:val="auto"/>
              </w:rPr>
            </w:pPr>
            <w:r>
              <w:rPr>
                <w:rFonts w:ascii="Arial" w:cs="Arial" w:eastAsia="Arial" w:hAnsi="Arial"/>
                <w:sz w:val="18"/>
                <w:szCs w:val="18"/>
                <w:color w:val="auto"/>
              </w:rPr>
              <w:t>—</w:t>
            </w:r>
          </w:p>
        </w:tc>
        <w:tc>
          <w:tcPr>
            <w:tcW w:w="134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$1,238,592</w:t>
            </w:r>
          </w:p>
        </w:tc>
      </w:tr>
      <w:tr>
        <w:trPr>
          <w:trHeight w:val="216"/>
        </w:trPr>
        <w:tc>
          <w:tcPr>
            <w:tcW w:w="3200" w:type="dxa"/>
            <w:vAlign w:val="bottom"/>
          </w:tcPr>
          <w:p>
            <w:pPr>
              <w:spacing w:after="0"/>
              <w:rPr>
                <w:sz w:val="20"/>
                <w:szCs w:val="20"/>
                <w:color w:val="auto"/>
              </w:rPr>
            </w:pPr>
            <w:r>
              <w:rPr>
                <w:rFonts w:ascii="Arial" w:cs="Arial" w:eastAsia="Arial" w:hAnsi="Arial"/>
                <w:sz w:val="18"/>
                <w:szCs w:val="18"/>
                <w:color w:val="auto"/>
              </w:rPr>
              <w:t>Christopher J. Holding</w:t>
            </w:r>
          </w:p>
        </w:tc>
        <w:tc>
          <w:tcPr>
            <w:tcW w:w="2320" w:type="dxa"/>
            <w:vAlign w:val="bottom"/>
          </w:tcPr>
          <w:p>
            <w:pPr>
              <w:jc w:val="right"/>
              <w:ind w:right="10"/>
              <w:spacing w:after="0"/>
              <w:rPr>
                <w:sz w:val="20"/>
                <w:szCs w:val="20"/>
                <w:color w:val="auto"/>
              </w:rPr>
            </w:pPr>
            <w:r>
              <w:rPr>
                <w:rFonts w:ascii="Arial" w:cs="Arial" w:eastAsia="Arial" w:hAnsi="Arial"/>
                <w:sz w:val="18"/>
                <w:szCs w:val="18"/>
                <w:color w:val="auto"/>
              </w:rPr>
              <w:t>$23,215</w:t>
            </w:r>
          </w:p>
        </w:tc>
        <w:tc>
          <w:tcPr>
            <w:tcW w:w="1360" w:type="dxa"/>
            <w:vAlign w:val="bottom"/>
          </w:tcPr>
          <w:p>
            <w:pPr>
              <w:jc w:val="right"/>
              <w:ind w:right="10"/>
              <w:spacing w:after="0"/>
              <w:rPr>
                <w:sz w:val="20"/>
                <w:szCs w:val="20"/>
                <w:color w:val="auto"/>
              </w:rPr>
            </w:pPr>
            <w:r>
              <w:rPr>
                <w:rFonts w:ascii="Arial" w:cs="Arial" w:eastAsia="Arial" w:hAnsi="Arial"/>
                <w:sz w:val="18"/>
                <w:szCs w:val="18"/>
                <w:color w:val="auto"/>
              </w:rPr>
              <w:t>$2,738</w:t>
            </w:r>
          </w:p>
        </w:tc>
        <w:tc>
          <w:tcPr>
            <w:tcW w:w="1720" w:type="dxa"/>
            <w:vAlign w:val="bottom"/>
          </w:tcPr>
          <w:p>
            <w:pPr>
              <w:jc w:val="right"/>
              <w:ind w:right="10"/>
              <w:spacing w:after="0"/>
              <w:rPr>
                <w:sz w:val="20"/>
                <w:szCs w:val="20"/>
                <w:color w:val="auto"/>
              </w:rPr>
            </w:pPr>
            <w:r>
              <w:rPr>
                <w:rFonts w:ascii="Arial" w:cs="Arial" w:eastAsia="Arial" w:hAnsi="Arial"/>
                <w:sz w:val="18"/>
                <w:szCs w:val="18"/>
                <w:color w:val="auto"/>
              </w:rPr>
              <w:t>$2,413</w:t>
            </w:r>
          </w:p>
        </w:tc>
        <w:tc>
          <w:tcPr>
            <w:tcW w:w="1480" w:type="dxa"/>
            <w:vAlign w:val="bottom"/>
          </w:tcPr>
          <w:p>
            <w:pPr>
              <w:ind w:left="1200"/>
              <w:spacing w:after="0"/>
              <w:rPr>
                <w:sz w:val="20"/>
                <w:szCs w:val="20"/>
                <w:color w:val="auto"/>
              </w:rPr>
            </w:pPr>
            <w:r>
              <w:rPr>
                <w:rFonts w:ascii="Arial" w:cs="Arial" w:eastAsia="Arial" w:hAnsi="Arial"/>
                <w:sz w:val="18"/>
                <w:szCs w:val="18"/>
                <w:color w:val="auto"/>
              </w:rPr>
              <w:t>—</w:t>
            </w: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$82,395</w:t>
            </w:r>
          </w:p>
        </w:tc>
      </w:tr>
      <w:tr>
        <w:trPr>
          <w:trHeight w:val="216"/>
        </w:trPr>
        <w:tc>
          <w:tcPr>
            <w:tcW w:w="3200" w:type="dxa"/>
            <w:vAlign w:val="bottom"/>
            <w:shd w:val="clear" w:color="auto" w:fill="CCEEFF"/>
          </w:tcPr>
          <w:p>
            <w:pPr>
              <w:spacing w:after="0"/>
              <w:rPr>
                <w:sz w:val="20"/>
                <w:szCs w:val="20"/>
                <w:color w:val="auto"/>
              </w:rPr>
            </w:pPr>
            <w:r>
              <w:rPr>
                <w:rFonts w:ascii="Arial" w:cs="Arial" w:eastAsia="Arial" w:hAnsi="Arial"/>
                <w:sz w:val="18"/>
                <w:szCs w:val="18"/>
                <w:color w:val="auto"/>
              </w:rPr>
              <w:t>Donald L. Walker</w:t>
            </w:r>
          </w:p>
        </w:tc>
        <w:tc>
          <w:tcPr>
            <w:tcW w:w="232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$87,029</w:t>
            </w:r>
          </w:p>
        </w:tc>
        <w:tc>
          <w:tcPr>
            <w:tcW w:w="136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$15,890</w:t>
            </w:r>
          </w:p>
        </w:tc>
        <w:tc>
          <w:tcPr>
            <w:tcW w:w="172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$27,811</w:t>
            </w:r>
          </w:p>
        </w:tc>
        <w:tc>
          <w:tcPr>
            <w:tcW w:w="1480" w:type="dxa"/>
            <w:vAlign w:val="bottom"/>
            <w:shd w:val="clear" w:color="auto" w:fill="CCEEFF"/>
          </w:tcPr>
          <w:p>
            <w:pPr>
              <w:ind w:left="1200"/>
              <w:spacing w:after="0"/>
              <w:rPr>
                <w:sz w:val="20"/>
                <w:szCs w:val="20"/>
                <w:color w:val="auto"/>
              </w:rPr>
            </w:pPr>
            <w:r>
              <w:rPr>
                <w:rFonts w:ascii="Arial" w:cs="Arial" w:eastAsia="Arial" w:hAnsi="Arial"/>
                <w:sz w:val="18"/>
                <w:szCs w:val="18"/>
                <w:color w:val="auto"/>
              </w:rPr>
              <w:t>—</w:t>
            </w:r>
          </w:p>
        </w:tc>
        <w:tc>
          <w:tcPr>
            <w:tcW w:w="134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$765,756</w:t>
            </w:r>
          </w:p>
        </w:tc>
      </w:tr>
      <w:tr>
        <w:trPr>
          <w:trHeight w:val="230"/>
        </w:trPr>
        <w:tc>
          <w:tcPr>
            <w:tcW w:w="3200" w:type="dxa"/>
            <w:vAlign w:val="bottom"/>
          </w:tcPr>
          <w:p>
            <w:pPr>
              <w:spacing w:after="0"/>
              <w:rPr>
                <w:sz w:val="20"/>
                <w:szCs w:val="20"/>
                <w:color w:val="auto"/>
              </w:rPr>
            </w:pPr>
            <w:r>
              <w:rPr>
                <w:rFonts w:ascii="Arial" w:cs="Arial" w:eastAsia="Arial" w:hAnsi="Arial"/>
                <w:sz w:val="18"/>
                <w:szCs w:val="18"/>
                <w:color w:val="auto"/>
              </w:rPr>
              <w:t xml:space="preserve">Frank A. DiPiero </w:t>
            </w:r>
            <w:r>
              <w:rPr>
                <w:rFonts w:ascii="Arial" w:cs="Arial" w:eastAsia="Arial" w:hAnsi="Arial"/>
                <w:sz w:val="15"/>
                <w:szCs w:val="15"/>
                <w:color w:val="auto"/>
              </w:rPr>
              <w:t>(4)</w:t>
            </w:r>
          </w:p>
        </w:tc>
        <w:tc>
          <w:tcPr>
            <w:tcW w:w="232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136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172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1480" w:type="dxa"/>
            <w:vAlign w:val="bottom"/>
          </w:tcPr>
          <w:p>
            <w:pPr>
              <w:ind w:left="1200"/>
              <w:spacing w:after="0"/>
              <w:rPr>
                <w:sz w:val="20"/>
                <w:szCs w:val="20"/>
                <w:color w:val="auto"/>
              </w:rPr>
            </w:pPr>
            <w:r>
              <w:rPr>
                <w:rFonts w:ascii="Arial" w:cs="Arial" w:eastAsia="Arial" w:hAnsi="Arial"/>
                <w:sz w:val="18"/>
                <w:szCs w:val="18"/>
                <w:color w:val="auto"/>
              </w:rPr>
              <w:t>—</w:t>
            </w: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w:t>
            </w:r>
          </w:p>
        </w:tc>
      </w:tr>
    </w:tbl>
    <w:p>
      <w:pPr>
        <w:spacing w:after="0" w:line="309" w:lineRule="exact"/>
        <w:rPr>
          <w:sz w:val="20"/>
          <w:szCs w:val="20"/>
          <w:color w:val="auto"/>
        </w:rPr>
      </w:pPr>
    </w:p>
    <w:p>
      <w:pPr>
        <w:ind w:left="340" w:hanging="332"/>
        <w:spacing w:after="0"/>
        <w:tabs>
          <w:tab w:leader="none" w:pos="340" w:val="left"/>
        </w:tabs>
        <w:numPr>
          <w:ilvl w:val="0"/>
          <w:numId w:val="36"/>
        </w:numPr>
        <w:rPr>
          <w:rFonts w:ascii="Arial" w:cs="Arial" w:eastAsia="Arial" w:hAnsi="Arial"/>
          <w:sz w:val="18"/>
          <w:szCs w:val="18"/>
          <w:color w:val="auto"/>
        </w:rPr>
      </w:pPr>
      <w:r>
        <w:rPr>
          <w:rFonts w:ascii="Arial" w:cs="Arial" w:eastAsia="Arial" w:hAnsi="Arial"/>
          <w:sz w:val="18"/>
          <w:szCs w:val="18"/>
          <w:color w:val="auto"/>
        </w:rPr>
        <w:t>Amounts shown as executive contributions or Timken contributions in 2013 will be reported in the 2013 Summary Compensation Table.</w:t>
      </w:r>
    </w:p>
    <w:p>
      <w:pPr>
        <w:spacing w:after="0" w:line="130" w:lineRule="exact"/>
        <w:rPr>
          <w:rFonts w:ascii="Arial" w:cs="Arial" w:eastAsia="Arial" w:hAnsi="Arial"/>
          <w:sz w:val="18"/>
          <w:szCs w:val="18"/>
          <w:color w:val="auto"/>
        </w:rPr>
      </w:pPr>
    </w:p>
    <w:p>
      <w:pPr>
        <w:ind w:left="340" w:right="200" w:hanging="332"/>
        <w:spacing w:after="0" w:line="286" w:lineRule="auto"/>
        <w:tabs>
          <w:tab w:leader="none" w:pos="340" w:val="left"/>
        </w:tabs>
        <w:numPr>
          <w:ilvl w:val="0"/>
          <w:numId w:val="36"/>
        </w:numPr>
        <w:rPr>
          <w:rFonts w:ascii="Arial" w:cs="Arial" w:eastAsia="Arial" w:hAnsi="Arial"/>
          <w:sz w:val="17"/>
          <w:szCs w:val="17"/>
          <w:color w:val="auto"/>
        </w:rPr>
      </w:pPr>
      <w:r>
        <w:rPr>
          <w:rFonts w:ascii="Arial" w:cs="Arial" w:eastAsia="Arial" w:hAnsi="Arial"/>
          <w:sz w:val="17"/>
          <w:szCs w:val="17"/>
          <w:color w:val="auto"/>
        </w:rPr>
        <w:t>This column includes interest earned from cash deferrals, dividend equivalents earned from restricted share deferrals, interest earned on those dividend equivalents and appreciation or depreciation in value for restricted share deferrals. The earnings during this year and previous years were not above market or preferential; therefore these amounts will not be included in the 2013 Summary Compensation Table.</w:t>
      </w:r>
    </w:p>
    <w:p>
      <w:pPr>
        <w:spacing w:after="0" w:line="9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79</w:t>
      </w:r>
    </w:p>
    <w:p>
      <w:pPr>
        <w:sectPr>
          <w:pgSz w:w="11900" w:h="16838" w:orient="portrait"/>
          <w:cols w:equalWidth="0" w:num="1">
            <w:col w:w="11420"/>
          </w:cols>
          <w:pgMar w:left="240" w:top="459" w:right="239" w:bottom="1440" w:gutter="0" w:footer="0" w:header="0"/>
        </w:sectPr>
      </w:pPr>
    </w:p>
    <w:bookmarkStart w:id="91" w:name="page92"/>
    <w:bookmarkEnd w:id="9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6">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340" w:right="100" w:hanging="332"/>
        <w:spacing w:after="0" w:line="264" w:lineRule="auto"/>
        <w:tabs>
          <w:tab w:leader="none" w:pos="340" w:val="left"/>
        </w:tabs>
        <w:numPr>
          <w:ilvl w:val="0"/>
          <w:numId w:val="37"/>
        </w:numPr>
        <w:rPr>
          <w:rFonts w:ascii="Arial" w:cs="Arial" w:eastAsia="Arial" w:hAnsi="Arial"/>
          <w:sz w:val="18"/>
          <w:szCs w:val="18"/>
          <w:color w:val="auto"/>
        </w:rPr>
      </w:pPr>
      <w:r>
        <w:rPr>
          <w:rFonts w:ascii="Arial" w:cs="Arial" w:eastAsia="Arial" w:hAnsi="Arial"/>
          <w:sz w:val="18"/>
          <w:szCs w:val="18"/>
          <w:color w:val="auto"/>
        </w:rPr>
        <w:t>Amounts included in the aggregate balances that previously were reported as compensation in the Timken Summary Compensation Table for previous years (or would have been had the recipient been identified as a NEO for such years) are as follows: Mr. Timken - $878,423; and Holding - $52,676 and Mr. Walker - $454,284.</w:t>
      </w:r>
    </w:p>
    <w:p>
      <w:pPr>
        <w:spacing w:after="0" w:line="86" w:lineRule="exact"/>
        <w:rPr>
          <w:rFonts w:ascii="Arial" w:cs="Arial" w:eastAsia="Arial" w:hAnsi="Arial"/>
          <w:sz w:val="18"/>
          <w:szCs w:val="18"/>
          <w:color w:val="auto"/>
        </w:rPr>
      </w:pPr>
    </w:p>
    <w:p>
      <w:pPr>
        <w:ind w:left="340" w:hanging="332"/>
        <w:spacing w:after="0"/>
        <w:tabs>
          <w:tab w:leader="none" w:pos="340" w:val="left"/>
        </w:tabs>
        <w:numPr>
          <w:ilvl w:val="0"/>
          <w:numId w:val="37"/>
        </w:numPr>
        <w:rPr>
          <w:rFonts w:ascii="Arial" w:cs="Arial" w:eastAsia="Arial" w:hAnsi="Arial"/>
          <w:sz w:val="18"/>
          <w:szCs w:val="18"/>
          <w:color w:val="auto"/>
        </w:rPr>
      </w:pPr>
      <w:r>
        <w:rPr>
          <w:rFonts w:ascii="Arial" w:cs="Arial" w:eastAsia="Arial" w:hAnsi="Arial"/>
          <w:sz w:val="18"/>
          <w:szCs w:val="18"/>
          <w:color w:val="auto"/>
        </w:rPr>
        <w:t>Mr. DiPiero was not employed by Timken in 2013 and therefore no historical information is available for him.</w:t>
      </w:r>
    </w:p>
    <w:p>
      <w:pPr>
        <w:spacing w:after="0" w:line="266" w:lineRule="exact"/>
        <w:rPr>
          <w:sz w:val="20"/>
          <w:szCs w:val="20"/>
          <w:color w:val="auto"/>
        </w:rPr>
      </w:pPr>
    </w:p>
    <w:p>
      <w:pPr>
        <w:ind w:right="20" w:firstLine="913"/>
        <w:spacing w:after="0" w:line="271" w:lineRule="auto"/>
        <w:rPr>
          <w:sz w:val="20"/>
          <w:szCs w:val="20"/>
          <w:color w:val="auto"/>
        </w:rPr>
      </w:pPr>
      <w:r>
        <w:rPr>
          <w:rFonts w:ascii="Arial" w:cs="Arial" w:eastAsia="Arial" w:hAnsi="Arial"/>
          <w:sz w:val="17"/>
          <w:szCs w:val="17"/>
          <w:color w:val="auto"/>
        </w:rPr>
        <w:t>Timken maintains a Deferred Compensation Plan that allows certain employees, including our NEOs, to defer receipt of all or a portion of their salary, employee contributions and Timken matching contributions that would otherwise be directed to the Post-Tax Savings Plan and/or incentive compensation payable in cash or Timken common shares until a future time they have specified. Cash deferrals earn interest quarterly at a rate equal to the prime rate plus 1%. Restricted share deferrals, which were previously allowed under the plan, earn dividend equivalents (cash equivalent to the value of dividends that would be paid on restricted shares) and interest on those dividend equivalents at the aforementioned rate. The Deferred Compensation Plan is not funded by Timken and participants have an unsecured contractual commitment by Timken to pay the amounts due under the plan. When such payments are due, they will be distributed from Timken’s general assets. In the event of a change in control in Timken, as defined in the plan, participants are entitled to receive deferred amounts immediately.</w:t>
      </w:r>
    </w:p>
    <w:p>
      <w:pPr>
        <w:spacing w:after="0" w:line="21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Potential Payments Upon Termination or Change In Control</w:t>
      </w:r>
    </w:p>
    <w:p>
      <w:pPr>
        <w:spacing w:after="0" w:line="256" w:lineRule="exact"/>
        <w:rPr>
          <w:sz w:val="20"/>
          <w:szCs w:val="20"/>
          <w:color w:val="auto"/>
        </w:rPr>
      </w:pPr>
    </w:p>
    <w:p>
      <w:pPr>
        <w:ind w:right="80" w:firstLine="913"/>
        <w:spacing w:after="0" w:line="293" w:lineRule="auto"/>
        <w:rPr>
          <w:sz w:val="20"/>
          <w:szCs w:val="20"/>
          <w:color w:val="auto"/>
        </w:rPr>
      </w:pPr>
      <w:r>
        <w:rPr>
          <w:rFonts w:ascii="Arial" w:cs="Arial" w:eastAsia="Arial" w:hAnsi="Arial"/>
          <w:sz w:val="16"/>
          <w:szCs w:val="16"/>
          <w:color w:val="auto"/>
        </w:rPr>
        <w:t>Timken has entered into severance agreements with each of our NEOs, or the Severance Agreements, that provide for compensation in the event of termination of employment under certain circumstances. In addition, our NEOs are entitled to post-termination payments or benefits under agreements entered into under the Long-Term Incentive Plan and under Timken’s retirement and benefit plans under certain circumstances. The following circumstances would have triggered post-termination payments to the NEOs had they occurred on December 31, 2013: change in control followed by certain events described below, involuntary termination without cause, retirement, permanent disability and death. All scenarios are assumed to have a December 31, 2013 effective date. We expect to enter into severance agreements or other similar arrangements with our NEOs in connection with the spinoff.</w:t>
      </w:r>
    </w:p>
    <w:p>
      <w:pPr>
        <w:spacing w:after="0" w:line="20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Change In Control</w:t>
      </w:r>
    </w:p>
    <w:p>
      <w:pPr>
        <w:spacing w:after="0" w:line="270" w:lineRule="exact"/>
        <w:rPr>
          <w:sz w:val="20"/>
          <w:szCs w:val="20"/>
          <w:color w:val="auto"/>
        </w:rPr>
      </w:pPr>
    </w:p>
    <w:p>
      <w:pPr>
        <w:ind w:firstLine="913"/>
        <w:spacing w:after="0" w:line="254" w:lineRule="auto"/>
        <w:rPr>
          <w:sz w:val="20"/>
          <w:szCs w:val="20"/>
          <w:color w:val="auto"/>
        </w:rPr>
      </w:pPr>
      <w:r>
        <w:rPr>
          <w:rFonts w:ascii="Arial" w:cs="Arial" w:eastAsia="Arial" w:hAnsi="Arial"/>
          <w:sz w:val="18"/>
          <w:szCs w:val="18"/>
          <w:color w:val="auto"/>
        </w:rPr>
        <w:t>Under the Severance Agreements with the NEOs, when certain events occur, such as a material reduction in the officer’s responsibilities or termination of the officer’s employment without cause following a change in control of Timken (as provided in the Severance Agreements), the officer will be entitled to receive payment in an amount, grossed-up for any excise taxes payable by the individual, equal to a multiple of (1) three times (in the case of Messrs. Timken or Walker) or (2) one and one-half times (in the case of Mr. Holding), the sum of: (a) the greater of (i) the officer’s annual base salary in effect prior to the termination or (ii) the officer’s annual base salary in effect prior to the change in control and (b) the greater of (i) the officer’s target annual amount of incentive compensation for the year in which the officer terminates employment or (ii) the officer’s target annual amount of incentive compensation for the year in which the change in control occurs. In addition, the officer would receive a lump sum amount representing the SERP benefit, if applicable.</w:t>
      </w:r>
    </w:p>
    <w:p>
      <w:pPr>
        <w:spacing w:after="0" w:line="219" w:lineRule="exact"/>
        <w:rPr>
          <w:sz w:val="20"/>
          <w:szCs w:val="20"/>
          <w:color w:val="auto"/>
        </w:rPr>
      </w:pPr>
    </w:p>
    <w:p>
      <w:pPr>
        <w:ind w:right="80" w:firstLine="913"/>
        <w:spacing w:after="0" w:line="259" w:lineRule="auto"/>
        <w:rPr>
          <w:sz w:val="20"/>
          <w:szCs w:val="20"/>
          <w:color w:val="auto"/>
        </w:rPr>
      </w:pPr>
      <w:r>
        <w:rPr>
          <w:rFonts w:ascii="Arial" w:cs="Arial" w:eastAsia="Arial" w:hAnsi="Arial"/>
          <w:sz w:val="18"/>
          <w:szCs w:val="18"/>
          <w:color w:val="auto"/>
        </w:rPr>
        <w:t>The lump sum amount is determined by calculating the benefit under the Qualified Plan and the SERP assuming the officer continued to earn service for three additional years with annual earnings during those three years equal to the compensation described above. The lump sum amount is reduced by the lump sum equivalent of the benefit payable from the Qualified Plan. This lump sum is determined based on mortality table and interest rate promulgated by the IRS under Section 417(e)(3) of the Code.</w:t>
      </w:r>
    </w:p>
    <w:p>
      <w:pPr>
        <w:spacing w:after="0" w:line="227" w:lineRule="exact"/>
        <w:rPr>
          <w:sz w:val="20"/>
          <w:szCs w:val="20"/>
          <w:color w:val="auto"/>
        </w:rPr>
      </w:pPr>
    </w:p>
    <w:p>
      <w:pPr>
        <w:jc w:val="both"/>
        <w:ind w:right="20" w:firstLine="913"/>
        <w:spacing w:after="0" w:line="312" w:lineRule="auto"/>
        <w:rPr>
          <w:sz w:val="20"/>
          <w:szCs w:val="20"/>
          <w:color w:val="auto"/>
        </w:rPr>
      </w:pPr>
      <w:r>
        <w:rPr>
          <w:rFonts w:ascii="Arial" w:cs="Arial" w:eastAsia="Arial" w:hAnsi="Arial"/>
          <w:sz w:val="16"/>
          <w:szCs w:val="16"/>
          <w:color w:val="auto"/>
        </w:rPr>
        <w:t>The officer would also receive certain benefits based on contributions that would have been made to the SIP Plan and the Post-Tax Savings Plan during the three-year period. Any unvested equity-based grants would vest and become nonforfeitable. The officer has five years to exercise all stock options. In the event of a change in control, the amounts payable under the Severance Agreements become secured by a trust arrangement.</w:t>
      </w:r>
    </w:p>
    <w:p>
      <w:pPr>
        <w:spacing w:after="0" w:line="7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80</w:t>
      </w:r>
    </w:p>
    <w:p>
      <w:pPr>
        <w:sectPr>
          <w:pgSz w:w="11900" w:h="16838" w:orient="portrait"/>
          <w:cols w:equalWidth="0" w:num="1">
            <w:col w:w="11400"/>
          </w:cols>
          <w:pgMar w:left="240" w:top="459" w:right="259" w:bottom="1440" w:gutter="0" w:footer="0" w:header="0"/>
        </w:sectPr>
      </w:pPr>
    </w:p>
    <w:bookmarkStart w:id="92" w:name="page93"/>
    <w:bookmarkEnd w:id="9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7">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200" w:firstLine="913"/>
        <w:spacing w:after="0" w:line="288" w:lineRule="auto"/>
        <w:rPr>
          <w:sz w:val="20"/>
          <w:szCs w:val="20"/>
          <w:color w:val="auto"/>
        </w:rPr>
      </w:pPr>
      <w:r>
        <w:rPr>
          <w:rFonts w:ascii="Arial" w:cs="Arial" w:eastAsia="Arial" w:hAnsi="Arial"/>
          <w:sz w:val="16"/>
          <w:szCs w:val="16"/>
          <w:color w:val="auto"/>
        </w:rPr>
        <w:t>At its meeting on December 9, 2010, the Timken Compensation Committee approved a new form of Severance Agreement that eliminates the excise tax gross-up provision for new participants or existing participants moving into higher-level positions. This new form agreement provides that the participant can choose the “best net” benefit of either: (1) paying all excise taxes incurred by a change-in-control benefit, without a gross-up by Timken; or</w:t>
      </w:r>
    </w:p>
    <w:p>
      <w:pPr>
        <w:ind w:right="580" w:firstLine="8"/>
        <w:spacing w:after="0" w:line="261" w:lineRule="auto"/>
        <w:tabs>
          <w:tab w:leader="none" w:pos="255" w:val="left"/>
        </w:tabs>
        <w:numPr>
          <w:ilvl w:val="0"/>
          <w:numId w:val="38"/>
        </w:numPr>
        <w:rPr>
          <w:rFonts w:ascii="Arial" w:cs="Arial" w:eastAsia="Arial" w:hAnsi="Arial"/>
          <w:sz w:val="18"/>
          <w:szCs w:val="18"/>
          <w:color w:val="auto"/>
        </w:rPr>
      </w:pPr>
      <w:r>
        <w:rPr>
          <w:rFonts w:ascii="Arial" w:cs="Arial" w:eastAsia="Arial" w:hAnsi="Arial"/>
          <w:sz w:val="18"/>
          <w:szCs w:val="18"/>
          <w:color w:val="auto"/>
        </w:rPr>
        <w:t>accepting a change-in-control benefit that is no greater than the excise tax threshold. It is expected that each of our NEOs will enter into severance agreements that are substantially similar to this new form of Severance Agreement as of the distribution date.</w:t>
      </w:r>
    </w:p>
    <w:p>
      <w:pPr>
        <w:spacing w:after="0" w:line="22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Voluntary Termination</w:t>
      </w:r>
    </w:p>
    <w:p>
      <w:pPr>
        <w:spacing w:after="0" w:line="270" w:lineRule="exact"/>
        <w:rPr>
          <w:sz w:val="20"/>
          <w:szCs w:val="20"/>
          <w:color w:val="auto"/>
        </w:rPr>
      </w:pPr>
    </w:p>
    <w:p>
      <w:pPr>
        <w:ind w:left="920"/>
        <w:spacing w:after="0"/>
        <w:rPr>
          <w:sz w:val="20"/>
          <w:szCs w:val="20"/>
          <w:color w:val="auto"/>
        </w:rPr>
      </w:pPr>
      <w:r>
        <w:rPr>
          <w:rFonts w:ascii="Arial" w:cs="Arial" w:eastAsia="Arial" w:hAnsi="Arial"/>
          <w:sz w:val="18"/>
          <w:szCs w:val="18"/>
          <w:color w:val="auto"/>
        </w:rPr>
        <w:t>Timken pays no severance, benefits, perquisites or vesting of any equity-based grants in the case of a voluntary termination.</w:t>
      </w:r>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Involuntary Termination With Cause</w:t>
      </w:r>
    </w:p>
    <w:p>
      <w:pPr>
        <w:spacing w:after="0" w:line="270" w:lineRule="exact"/>
        <w:rPr>
          <w:sz w:val="20"/>
          <w:szCs w:val="20"/>
          <w:color w:val="auto"/>
        </w:rPr>
      </w:pPr>
    </w:p>
    <w:p>
      <w:pPr>
        <w:ind w:firstLine="913"/>
        <w:spacing w:after="0" w:line="257" w:lineRule="auto"/>
        <w:rPr>
          <w:sz w:val="20"/>
          <w:szCs w:val="20"/>
          <w:color w:val="auto"/>
        </w:rPr>
      </w:pPr>
      <w:r>
        <w:rPr>
          <w:rFonts w:ascii="Arial" w:cs="Arial" w:eastAsia="Arial" w:hAnsi="Arial"/>
          <w:sz w:val="18"/>
          <w:szCs w:val="18"/>
          <w:color w:val="auto"/>
        </w:rPr>
        <w:t>Timken provides no severance, benefits, perquisites or vesting of any equity-based grants where an officer is terminated by Timken with cause. As provided in the Severance Agreements, termination with cause can occur only in the event that the officer has done any of the following: an intentional act of fraud, embezzlement or theft in connection with his duties with Timken; intentional wrongful disclosure of secret processes or confidential information of Timken or Timken subsidiary; or intentional wrongful engagement in any Competitive Activity (as defined in the Severance Agreements), which would constitute a material breach of the officer’s duty of loyalty to Timken.</w:t>
      </w:r>
    </w:p>
    <w:p>
      <w:pPr>
        <w:spacing w:after="0" w:line="229" w:lineRule="exact"/>
        <w:rPr>
          <w:sz w:val="20"/>
          <w:szCs w:val="20"/>
          <w:color w:val="auto"/>
        </w:rPr>
      </w:pPr>
    </w:p>
    <w:p>
      <w:pPr>
        <w:ind w:left="920"/>
        <w:spacing w:after="0"/>
        <w:rPr>
          <w:sz w:val="20"/>
          <w:szCs w:val="20"/>
          <w:color w:val="auto"/>
        </w:rPr>
      </w:pPr>
      <w:r>
        <w:rPr>
          <w:rFonts w:ascii="Arial" w:cs="Arial" w:eastAsia="Arial" w:hAnsi="Arial"/>
          <w:sz w:val="18"/>
          <w:szCs w:val="18"/>
          <w:color w:val="auto"/>
        </w:rPr>
        <w:t>If Timken terminates an officer’s employment for cause, no benefit is payable from any of the nonqualified pension plans.</w:t>
      </w:r>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Involuntary Termination Without Cause</w:t>
      </w:r>
    </w:p>
    <w:p>
      <w:pPr>
        <w:spacing w:after="0" w:line="270" w:lineRule="exact"/>
        <w:rPr>
          <w:sz w:val="20"/>
          <w:szCs w:val="20"/>
          <w:color w:val="auto"/>
        </w:rPr>
      </w:pPr>
    </w:p>
    <w:p>
      <w:pPr>
        <w:ind w:right="40" w:firstLine="913"/>
        <w:spacing w:after="0" w:line="255" w:lineRule="auto"/>
        <w:rPr>
          <w:sz w:val="20"/>
          <w:szCs w:val="20"/>
          <w:color w:val="auto"/>
        </w:rPr>
      </w:pPr>
      <w:r>
        <w:rPr>
          <w:rFonts w:ascii="Arial" w:cs="Arial" w:eastAsia="Arial" w:hAnsi="Arial"/>
          <w:sz w:val="18"/>
          <w:szCs w:val="18"/>
          <w:color w:val="auto"/>
        </w:rPr>
        <w:t>In the case of an involuntary termination without cause: (1) Mr. Timken is entitled to severance equal to two times the sum of (a) his base salary and (b) an amount equal to the highest annual incentive payout percentage during the preceding five years (not to exceed 100%), multiplied by the target amount of incentive pay for the year in which he was terminated; (2) Mr. Walker is entitled to severance equal to one and one-half times the sum of (a) his base salary and (b) an amount equal to the highest annual incentive payout percentage during the preceding five years (not to exceed 100%) multiplied by the target amount of incentive pay for the year in which he was terminated; and (3) Mr. Holding is entitled to severance equal to one times his base salary. In consideration for providing severance benefits, Timken receives confidentiality and non-compete covenants from our NEOs, as well as a release of liability for all claims against Timken.</w:t>
      </w:r>
    </w:p>
    <w:p>
      <w:pPr>
        <w:spacing w:after="0" w:line="230" w:lineRule="exact"/>
        <w:rPr>
          <w:sz w:val="20"/>
          <w:szCs w:val="20"/>
          <w:color w:val="auto"/>
        </w:rPr>
      </w:pPr>
    </w:p>
    <w:p>
      <w:pPr>
        <w:jc w:val="both"/>
        <w:ind w:right="20" w:firstLine="913"/>
        <w:spacing w:after="0" w:line="264" w:lineRule="auto"/>
        <w:rPr>
          <w:sz w:val="20"/>
          <w:szCs w:val="20"/>
          <w:color w:val="auto"/>
        </w:rPr>
      </w:pPr>
      <w:r>
        <w:rPr>
          <w:rFonts w:ascii="Arial" w:cs="Arial" w:eastAsia="Arial" w:hAnsi="Arial"/>
          <w:sz w:val="18"/>
          <w:szCs w:val="18"/>
          <w:color w:val="auto"/>
        </w:rPr>
        <w:t>The values shown on the table below for the retirement benefits are payable in the same form and manner as discussed in the narrative following the Pension Benefits Table. For purposes of involuntary termination without cause, the benefit is determined and payable as described in the Pension Benefits discussion above, but with two additional years of service credit.</w:t>
      </w:r>
    </w:p>
    <w:p>
      <w:pPr>
        <w:spacing w:after="0" w:line="20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Retirement</w:t>
      </w:r>
    </w:p>
    <w:p>
      <w:pPr>
        <w:spacing w:after="0" w:line="270" w:lineRule="exact"/>
        <w:rPr>
          <w:sz w:val="20"/>
          <w:szCs w:val="20"/>
          <w:color w:val="auto"/>
        </w:rPr>
      </w:pPr>
    </w:p>
    <w:p>
      <w:pPr>
        <w:ind w:right="960" w:firstLine="913"/>
        <w:spacing w:after="0" w:line="342" w:lineRule="auto"/>
        <w:rPr>
          <w:sz w:val="20"/>
          <w:szCs w:val="20"/>
          <w:color w:val="auto"/>
        </w:rPr>
      </w:pPr>
      <w:r>
        <w:rPr>
          <w:rFonts w:ascii="Arial" w:cs="Arial" w:eastAsia="Arial" w:hAnsi="Arial"/>
          <w:sz w:val="16"/>
          <w:szCs w:val="16"/>
          <w:color w:val="auto"/>
        </w:rPr>
        <w:t>“Retirement” infers retirement with Timken’s consent, which means either: (1) retirement of the NEO prior to age 62, if the Timken Compensation Committee determines that such retirement is for the convenience of Timken; or (2) retirement of the NEO on or after age 62.</w:t>
      </w:r>
    </w:p>
    <w:p>
      <w:pPr>
        <w:spacing w:after="0" w:line="164" w:lineRule="exact"/>
        <w:rPr>
          <w:sz w:val="20"/>
          <w:szCs w:val="20"/>
          <w:color w:val="auto"/>
        </w:rPr>
      </w:pPr>
    </w:p>
    <w:p>
      <w:pPr>
        <w:ind w:right="40" w:firstLine="913"/>
        <w:spacing w:after="0" w:line="259" w:lineRule="auto"/>
        <w:rPr>
          <w:sz w:val="20"/>
          <w:szCs w:val="20"/>
          <w:color w:val="auto"/>
        </w:rPr>
      </w:pPr>
      <w:r>
        <w:rPr>
          <w:rFonts w:ascii="Arial" w:cs="Arial" w:eastAsia="Arial" w:hAnsi="Arial"/>
          <w:sz w:val="18"/>
          <w:szCs w:val="18"/>
          <w:color w:val="auto"/>
        </w:rPr>
        <w:t>In addition to retirement benefits shown in the 2013 Pension Benefits Table (which are not shown in the following table of Termination Scenarios), benefits for NEOs who retire with Timken’s consent include: prorated payouts of performance units, continued normal vesting of Long-Term Incentive Plan awards as if the officer had remained in the continuous employ of Timken, and SERP adjustments to retirement benefits if retiring prior to age 62.</w:t>
      </w:r>
    </w:p>
    <w:p>
      <w:pPr>
        <w:spacing w:after="0" w:line="11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81</w:t>
      </w:r>
    </w:p>
    <w:p>
      <w:pPr>
        <w:sectPr>
          <w:pgSz w:w="11900" w:h="16838" w:orient="portrait"/>
          <w:cols w:equalWidth="0" w:num="1">
            <w:col w:w="11380"/>
          </w:cols>
          <w:pgMar w:left="240" w:top="459" w:right="279" w:bottom="1440" w:gutter="0" w:footer="0" w:header="0"/>
        </w:sectPr>
      </w:pPr>
    </w:p>
    <w:bookmarkStart w:id="93" w:name="page94"/>
    <w:bookmarkEnd w:id="9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8">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Death or Permanent Disability</w:t>
      </w:r>
    </w:p>
    <w:p>
      <w:pPr>
        <w:spacing w:after="0" w:line="270" w:lineRule="exact"/>
        <w:rPr>
          <w:sz w:val="20"/>
          <w:szCs w:val="20"/>
          <w:color w:val="auto"/>
        </w:rPr>
      </w:pPr>
    </w:p>
    <w:p>
      <w:pPr>
        <w:ind w:right="120" w:firstLine="913"/>
        <w:spacing w:after="0" w:line="277" w:lineRule="auto"/>
        <w:rPr>
          <w:sz w:val="20"/>
          <w:szCs w:val="20"/>
          <w:color w:val="auto"/>
        </w:rPr>
      </w:pPr>
      <w:r>
        <w:rPr>
          <w:rFonts w:ascii="Arial" w:cs="Arial" w:eastAsia="Arial" w:hAnsi="Arial"/>
          <w:sz w:val="18"/>
          <w:szCs w:val="18"/>
          <w:color w:val="auto"/>
        </w:rPr>
        <w:t>“Permanent Disability” occurs if one of our NEOs qualifies for permanent disability benefits under a disability plan or program of Timken or, in the absence of a disability plan or program of Timken, under a government-sponsored disability program.</w:t>
      </w:r>
    </w:p>
    <w:p>
      <w:pPr>
        <w:spacing w:after="0" w:line="211" w:lineRule="exact"/>
        <w:rPr>
          <w:sz w:val="20"/>
          <w:szCs w:val="20"/>
          <w:color w:val="auto"/>
        </w:rPr>
      </w:pPr>
    </w:p>
    <w:p>
      <w:pPr>
        <w:ind w:right="140" w:firstLine="913"/>
        <w:spacing w:after="0" w:line="276" w:lineRule="auto"/>
        <w:rPr>
          <w:sz w:val="20"/>
          <w:szCs w:val="20"/>
          <w:color w:val="auto"/>
        </w:rPr>
      </w:pPr>
      <w:r>
        <w:rPr>
          <w:rFonts w:ascii="Arial" w:cs="Arial" w:eastAsia="Arial" w:hAnsi="Arial"/>
          <w:sz w:val="17"/>
          <w:szCs w:val="17"/>
          <w:color w:val="auto"/>
        </w:rPr>
        <w:t>Benefits for officers who die while actively employed are payable to the surviving spouse from the defined benefit pension plans at the officer’s normal retirement date (or on a reduced basis at an early retirement date) if the officer had at least five years of service. The benefit is equal to 50% of the benefit payable if the officer had terminated employment on the date of his death, survived to the payment date (as elected by spouse), elected the 50% joint and survivor form of payment and died the next day. If the executive has at least 15 years of service at time of death, the benefit is equal to 50% of the accrued benefit at time of death payable immediately, but with any applicable early commencement reduction.</w:t>
      </w:r>
    </w:p>
    <w:p>
      <w:pPr>
        <w:spacing w:after="0" w:line="200" w:lineRule="exact"/>
        <w:rPr>
          <w:sz w:val="20"/>
          <w:szCs w:val="20"/>
          <w:color w:val="auto"/>
        </w:rPr>
      </w:pPr>
    </w:p>
    <w:p>
      <w:pPr>
        <w:ind w:right="240" w:firstLine="913"/>
        <w:spacing w:after="0" w:line="342" w:lineRule="auto"/>
        <w:rPr>
          <w:sz w:val="20"/>
          <w:szCs w:val="20"/>
          <w:color w:val="auto"/>
        </w:rPr>
      </w:pPr>
      <w:r>
        <w:rPr>
          <w:rFonts w:ascii="Arial" w:cs="Arial" w:eastAsia="Arial" w:hAnsi="Arial"/>
          <w:sz w:val="16"/>
          <w:szCs w:val="16"/>
          <w:color w:val="auto"/>
        </w:rPr>
        <w:t>All equity-based Long-Term Incentive Plan grants immediately vest in the event of death or permanent disability. In the case of disability, the employee has up to five years to exercise stock options. There is a one-year expiration period in the case of death for the survivor to exercise stock options.</w:t>
      </w:r>
    </w:p>
    <w:p>
      <w:pPr>
        <w:spacing w:after="0" w:line="33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Termination Scenarios</w:t>
      </w:r>
    </w:p>
    <w:p>
      <w:pPr>
        <w:spacing w:after="0" w:line="310" w:lineRule="exact"/>
        <w:rPr>
          <w:sz w:val="20"/>
          <w:szCs w:val="20"/>
          <w:color w:val="auto"/>
        </w:rPr>
      </w:pPr>
    </w:p>
    <w:p>
      <w:pPr>
        <w:ind w:right="160" w:firstLine="913"/>
        <w:spacing w:after="0" w:line="264" w:lineRule="auto"/>
        <w:rPr>
          <w:sz w:val="20"/>
          <w:szCs w:val="20"/>
          <w:color w:val="auto"/>
        </w:rPr>
      </w:pPr>
      <w:r>
        <w:rPr>
          <w:rFonts w:ascii="Arial" w:cs="Arial" w:eastAsia="Arial" w:hAnsi="Arial"/>
          <w:sz w:val="18"/>
          <w:szCs w:val="18"/>
          <w:color w:val="auto"/>
        </w:rPr>
        <w:t>The following table describes the compensation to which each of the following individuals would have been entitled in the event of termination of such executive’s employment with Timken on December 31, 2013, including termination following a change in control. The potential payments were determined under the terms of Timken’s plans and arrangements in effect on December 31, 2013.</w:t>
      </w:r>
    </w:p>
    <w:p>
      <w:pPr>
        <w:spacing w:after="0" w:line="119" w:lineRule="exact"/>
        <w:rPr>
          <w:sz w:val="20"/>
          <w:szCs w:val="20"/>
          <w:color w:val="auto"/>
        </w:rPr>
      </w:pPr>
    </w:p>
    <w:p>
      <w:pPr>
        <w:jc w:val="center"/>
        <w:ind w:right="80"/>
        <w:spacing w:after="0"/>
        <w:rPr>
          <w:sz w:val="20"/>
          <w:szCs w:val="20"/>
          <w:color w:val="auto"/>
        </w:rPr>
      </w:pPr>
      <w:r>
        <w:rPr>
          <w:rFonts w:ascii="Arial" w:cs="Arial" w:eastAsia="Arial" w:hAnsi="Arial"/>
          <w:sz w:val="14"/>
          <w:szCs w:val="14"/>
          <w:b w:val="1"/>
          <w:bCs w:val="1"/>
          <w:color w:val="auto"/>
        </w:rPr>
        <w:t>Mr. Timken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-95885</wp:posOffset>
            </wp:positionV>
            <wp:extent cx="7246620" cy="889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tbl>
      <w:tblPr>
        <w:tblLayout w:type="fixed"/>
        <w:tblInd w:w="0" w:type="dxa"/>
        <w:tblCellMar>
          <w:top w:w="0" w:type="dxa"/>
          <w:left w:w="0" w:type="dxa"/>
          <w:bottom w:w="0" w:type="dxa"/>
          <w:right w:w="0" w:type="dxa"/>
        </w:tblCellMar>
      </w:tblPr>
      <w:tr>
        <w:trPr>
          <w:trHeight w:val="129"/>
        </w:trPr>
        <w:tc>
          <w:tcPr>
            <w:tcW w:w="3020" w:type="dxa"/>
            <w:vAlign w:val="bottom"/>
            <w:tcBorders>
              <w:top w:val="single" w:sz="8" w:color="auto"/>
            </w:tcBorders>
          </w:tcPr>
          <w:p>
            <w:pPr>
              <w:spacing w:after="0"/>
              <w:rPr>
                <w:sz w:val="11"/>
                <w:szCs w:val="11"/>
                <w:color w:val="auto"/>
              </w:rPr>
            </w:pPr>
          </w:p>
        </w:tc>
        <w:tc>
          <w:tcPr>
            <w:tcW w:w="1120" w:type="dxa"/>
            <w:vAlign w:val="bottom"/>
            <w:tcBorders>
              <w:top w:val="single" w:sz="8" w:color="auto"/>
            </w:tcBorders>
          </w:tcPr>
          <w:p>
            <w:pPr>
              <w:jc w:val="center"/>
              <w:ind w:left="308"/>
              <w:spacing w:after="0" w:line="129" w:lineRule="exact"/>
              <w:rPr>
                <w:sz w:val="20"/>
                <w:szCs w:val="20"/>
                <w:color w:val="auto"/>
              </w:rPr>
            </w:pPr>
            <w:r>
              <w:rPr>
                <w:rFonts w:ascii="Arial" w:cs="Arial" w:eastAsia="Arial" w:hAnsi="Arial"/>
                <w:sz w:val="14"/>
                <w:szCs w:val="14"/>
                <w:b w:val="1"/>
                <w:bCs w:val="1"/>
                <w:color w:val="auto"/>
                <w:w w:val="95"/>
              </w:rPr>
              <w:t>Voluntary</w:t>
            </w:r>
          </w:p>
        </w:tc>
        <w:tc>
          <w:tcPr>
            <w:tcW w:w="380" w:type="dxa"/>
            <w:vAlign w:val="bottom"/>
            <w:tcBorders>
              <w:top w:val="single" w:sz="8" w:color="auto"/>
            </w:tcBorders>
          </w:tcPr>
          <w:p>
            <w:pPr>
              <w:spacing w:after="0"/>
              <w:rPr>
                <w:sz w:val="11"/>
                <w:szCs w:val="11"/>
                <w:color w:val="auto"/>
              </w:rPr>
            </w:pPr>
          </w:p>
        </w:tc>
        <w:tc>
          <w:tcPr>
            <w:tcW w:w="1400" w:type="dxa"/>
            <w:vAlign w:val="bottom"/>
            <w:tcBorders>
              <w:top w:val="single" w:sz="8" w:color="auto"/>
            </w:tcBorders>
          </w:tcPr>
          <w:p>
            <w:pPr>
              <w:ind w:left="240"/>
              <w:spacing w:after="0" w:line="129" w:lineRule="exact"/>
              <w:rPr>
                <w:sz w:val="20"/>
                <w:szCs w:val="20"/>
                <w:color w:val="auto"/>
              </w:rPr>
            </w:pPr>
            <w:r>
              <w:rPr>
                <w:rFonts w:ascii="Arial" w:cs="Arial" w:eastAsia="Arial" w:hAnsi="Arial"/>
                <w:sz w:val="14"/>
                <w:szCs w:val="14"/>
                <w:b w:val="1"/>
                <w:bCs w:val="1"/>
                <w:color w:val="auto"/>
              </w:rPr>
              <w:t>Termination</w:t>
            </w:r>
          </w:p>
        </w:tc>
        <w:tc>
          <w:tcPr>
            <w:tcW w:w="1400" w:type="dxa"/>
            <w:vAlign w:val="bottom"/>
            <w:tcBorders>
              <w:top w:val="single" w:sz="8" w:color="auto"/>
            </w:tcBorders>
            <w:vMerge w:val="restart"/>
          </w:tcPr>
          <w:p>
            <w:pPr>
              <w:ind w:left="240"/>
              <w:spacing w:after="0"/>
              <w:rPr>
                <w:sz w:val="20"/>
                <w:szCs w:val="20"/>
                <w:color w:val="auto"/>
              </w:rPr>
            </w:pPr>
            <w:r>
              <w:rPr>
                <w:rFonts w:ascii="Arial" w:cs="Arial" w:eastAsia="Arial" w:hAnsi="Arial"/>
                <w:sz w:val="14"/>
                <w:szCs w:val="14"/>
                <w:b w:val="1"/>
                <w:bCs w:val="1"/>
                <w:color w:val="auto"/>
              </w:rPr>
              <w:t>Retirement (6)</w:t>
            </w:r>
          </w:p>
        </w:tc>
        <w:tc>
          <w:tcPr>
            <w:tcW w:w="1320" w:type="dxa"/>
            <w:vAlign w:val="bottom"/>
            <w:tcBorders>
              <w:top w:val="single" w:sz="8" w:color="auto"/>
            </w:tcBorders>
          </w:tcPr>
          <w:p>
            <w:pPr>
              <w:jc w:val="right"/>
              <w:ind w:right="408"/>
              <w:spacing w:after="0" w:line="129" w:lineRule="exact"/>
              <w:rPr>
                <w:sz w:val="20"/>
                <w:szCs w:val="20"/>
                <w:color w:val="auto"/>
              </w:rPr>
            </w:pPr>
            <w:r>
              <w:rPr>
                <w:rFonts w:ascii="Arial" w:cs="Arial" w:eastAsia="Arial" w:hAnsi="Arial"/>
                <w:sz w:val="14"/>
                <w:szCs w:val="14"/>
                <w:b w:val="1"/>
                <w:bCs w:val="1"/>
                <w:color w:val="auto"/>
              </w:rPr>
              <w:t>Death &amp;</w:t>
            </w:r>
          </w:p>
        </w:tc>
        <w:tc>
          <w:tcPr>
            <w:tcW w:w="1540" w:type="dxa"/>
            <w:vAlign w:val="bottom"/>
            <w:tcBorders>
              <w:top w:val="single" w:sz="8" w:color="auto"/>
            </w:tcBorders>
          </w:tcPr>
          <w:p>
            <w:pPr>
              <w:jc w:val="right"/>
              <w:ind w:right="388"/>
              <w:spacing w:after="0" w:line="129" w:lineRule="exact"/>
              <w:rPr>
                <w:sz w:val="20"/>
                <w:szCs w:val="20"/>
                <w:color w:val="auto"/>
              </w:rPr>
            </w:pPr>
            <w:r>
              <w:rPr>
                <w:rFonts w:ascii="Arial" w:cs="Arial" w:eastAsia="Arial" w:hAnsi="Arial"/>
                <w:sz w:val="14"/>
                <w:szCs w:val="14"/>
                <w:b w:val="1"/>
                <w:bCs w:val="1"/>
                <w:color w:val="auto"/>
              </w:rPr>
              <w:t>Termination</w:t>
            </w:r>
          </w:p>
        </w:tc>
        <w:tc>
          <w:tcPr>
            <w:tcW w:w="1240" w:type="dxa"/>
            <w:vAlign w:val="bottom"/>
            <w:tcBorders>
              <w:top w:val="single" w:sz="8" w:color="auto"/>
            </w:tcBorders>
          </w:tcPr>
          <w:p>
            <w:pPr>
              <w:jc w:val="right"/>
              <w:ind w:right="308"/>
              <w:spacing w:after="0" w:line="129" w:lineRule="exact"/>
              <w:rPr>
                <w:sz w:val="20"/>
                <w:szCs w:val="20"/>
                <w:color w:val="auto"/>
              </w:rPr>
            </w:pPr>
            <w:r>
              <w:rPr>
                <w:rFonts w:ascii="Arial" w:cs="Arial" w:eastAsia="Arial" w:hAnsi="Arial"/>
                <w:sz w:val="14"/>
                <w:szCs w:val="14"/>
                <w:b w:val="1"/>
                <w:bCs w:val="1"/>
                <w:color w:val="auto"/>
              </w:rPr>
              <w:t>Change in</w:t>
            </w:r>
          </w:p>
        </w:tc>
        <w:tc>
          <w:tcPr>
            <w:tcW w:w="0" w:type="dxa"/>
            <w:vAlign w:val="bottom"/>
          </w:tcPr>
          <w:p>
            <w:pPr>
              <w:spacing w:after="0"/>
              <w:rPr>
                <w:sz w:val="1"/>
                <w:szCs w:val="1"/>
                <w:color w:val="auto"/>
              </w:rPr>
            </w:pPr>
          </w:p>
        </w:tc>
      </w:tr>
      <w:tr>
        <w:trPr>
          <w:trHeight w:val="176"/>
        </w:trPr>
        <w:tc>
          <w:tcPr>
            <w:tcW w:w="3020" w:type="dxa"/>
            <w:vAlign w:val="bottom"/>
            <w:tcBorders>
              <w:bottom w:val="single" w:sz="8" w:color="auto"/>
            </w:tcBorders>
          </w:tcPr>
          <w:p>
            <w:pPr>
              <w:spacing w:after="0"/>
              <w:rPr>
                <w:sz w:val="15"/>
                <w:szCs w:val="15"/>
                <w:color w:val="auto"/>
              </w:rPr>
            </w:pPr>
          </w:p>
        </w:tc>
        <w:tc>
          <w:tcPr>
            <w:tcW w:w="1120" w:type="dxa"/>
            <w:vAlign w:val="bottom"/>
            <w:tcBorders>
              <w:bottom w:val="single" w:sz="8" w:color="auto"/>
            </w:tcBorders>
          </w:tcPr>
          <w:p>
            <w:pPr>
              <w:jc w:val="center"/>
              <w:ind w:left="328"/>
              <w:spacing w:after="0"/>
              <w:rPr>
                <w:sz w:val="20"/>
                <w:szCs w:val="20"/>
                <w:color w:val="auto"/>
              </w:rPr>
            </w:pPr>
            <w:r>
              <w:rPr>
                <w:rFonts w:ascii="Arial" w:cs="Arial" w:eastAsia="Arial" w:hAnsi="Arial"/>
                <w:sz w:val="14"/>
                <w:szCs w:val="14"/>
                <w:b w:val="1"/>
                <w:bCs w:val="1"/>
                <w:color w:val="auto"/>
                <w:w w:val="89"/>
              </w:rPr>
              <w:t>Resignation</w:t>
            </w:r>
          </w:p>
        </w:tc>
        <w:tc>
          <w:tcPr>
            <w:tcW w:w="380" w:type="dxa"/>
            <w:vAlign w:val="bottom"/>
            <w:tcBorders>
              <w:bottom w:val="single" w:sz="8" w:color="auto"/>
            </w:tcBorders>
          </w:tcPr>
          <w:p>
            <w:pPr>
              <w:spacing w:after="0"/>
              <w:rPr>
                <w:sz w:val="15"/>
                <w:szCs w:val="15"/>
                <w:color w:val="auto"/>
              </w:rPr>
            </w:pPr>
          </w:p>
        </w:tc>
        <w:tc>
          <w:tcPr>
            <w:tcW w:w="1400" w:type="dxa"/>
            <w:vAlign w:val="bottom"/>
            <w:tcBorders>
              <w:bottom w:val="single" w:sz="8" w:color="auto"/>
            </w:tcBorders>
          </w:tcPr>
          <w:p>
            <w:pPr>
              <w:ind w:left="260"/>
              <w:spacing w:after="0"/>
              <w:rPr>
                <w:sz w:val="20"/>
                <w:szCs w:val="20"/>
                <w:color w:val="auto"/>
              </w:rPr>
            </w:pPr>
            <w:r>
              <w:rPr>
                <w:rFonts w:ascii="Arial" w:cs="Arial" w:eastAsia="Arial" w:hAnsi="Arial"/>
                <w:sz w:val="14"/>
                <w:szCs w:val="14"/>
                <w:b w:val="1"/>
                <w:bCs w:val="1"/>
                <w:color w:val="auto"/>
              </w:rPr>
              <w:t>With Cause</w:t>
            </w:r>
          </w:p>
        </w:tc>
        <w:tc>
          <w:tcPr>
            <w:tcW w:w="1400" w:type="dxa"/>
            <w:vAlign w:val="bottom"/>
            <w:tcBorders>
              <w:bottom w:val="single" w:sz="8" w:color="auto"/>
            </w:tcBorders>
            <w:vMerge w:val="continue"/>
          </w:tcPr>
          <w:p>
            <w:pPr>
              <w:spacing w:after="0"/>
              <w:rPr>
                <w:sz w:val="15"/>
                <w:szCs w:val="15"/>
                <w:color w:val="auto"/>
              </w:rPr>
            </w:pPr>
          </w:p>
        </w:tc>
        <w:tc>
          <w:tcPr>
            <w:tcW w:w="1320" w:type="dxa"/>
            <w:vAlign w:val="bottom"/>
            <w:tcBorders>
              <w:bottom w:val="single" w:sz="8" w:color="auto"/>
            </w:tcBorders>
          </w:tcPr>
          <w:p>
            <w:pPr>
              <w:jc w:val="right"/>
              <w:ind w:right="368"/>
              <w:spacing w:after="0"/>
              <w:rPr>
                <w:sz w:val="20"/>
                <w:szCs w:val="20"/>
                <w:color w:val="auto"/>
              </w:rPr>
            </w:pPr>
            <w:r>
              <w:rPr>
                <w:rFonts w:ascii="Arial" w:cs="Arial" w:eastAsia="Arial" w:hAnsi="Arial"/>
                <w:sz w:val="14"/>
                <w:szCs w:val="14"/>
                <w:b w:val="1"/>
                <w:bCs w:val="1"/>
                <w:color w:val="auto"/>
              </w:rPr>
              <w:t>Disability</w:t>
            </w:r>
          </w:p>
        </w:tc>
        <w:tc>
          <w:tcPr>
            <w:tcW w:w="1540" w:type="dxa"/>
            <w:vAlign w:val="bottom"/>
            <w:tcBorders>
              <w:bottom w:val="single" w:sz="8" w:color="auto"/>
            </w:tcBorders>
          </w:tcPr>
          <w:p>
            <w:pPr>
              <w:jc w:val="right"/>
              <w:ind w:right="308"/>
              <w:spacing w:after="0"/>
              <w:rPr>
                <w:sz w:val="20"/>
                <w:szCs w:val="20"/>
                <w:color w:val="auto"/>
              </w:rPr>
            </w:pPr>
            <w:r>
              <w:rPr>
                <w:rFonts w:ascii="Arial" w:cs="Arial" w:eastAsia="Arial" w:hAnsi="Arial"/>
                <w:sz w:val="14"/>
                <w:szCs w:val="14"/>
                <w:b w:val="1"/>
                <w:bCs w:val="1"/>
                <w:color w:val="auto"/>
              </w:rPr>
              <w:t>Without Cause</w:t>
            </w:r>
          </w:p>
        </w:tc>
        <w:tc>
          <w:tcPr>
            <w:tcW w:w="1240" w:type="dxa"/>
            <w:vAlign w:val="bottom"/>
            <w:tcBorders>
              <w:bottom w:val="single" w:sz="8" w:color="auto"/>
            </w:tcBorders>
          </w:tcPr>
          <w:p>
            <w:pPr>
              <w:jc w:val="right"/>
              <w:ind w:right="368"/>
              <w:spacing w:after="0"/>
              <w:rPr>
                <w:sz w:val="20"/>
                <w:szCs w:val="20"/>
                <w:color w:val="auto"/>
              </w:rPr>
            </w:pPr>
            <w:r>
              <w:rPr>
                <w:rFonts w:ascii="Arial" w:cs="Arial" w:eastAsia="Arial" w:hAnsi="Arial"/>
                <w:sz w:val="14"/>
                <w:szCs w:val="14"/>
                <w:b w:val="1"/>
                <w:bCs w:val="1"/>
                <w:color w:val="auto"/>
              </w:rPr>
              <w:t>Control</w:t>
            </w:r>
          </w:p>
        </w:tc>
        <w:tc>
          <w:tcPr>
            <w:tcW w:w="0" w:type="dxa"/>
            <w:vAlign w:val="bottom"/>
          </w:tcPr>
          <w:p>
            <w:pPr>
              <w:spacing w:after="0"/>
              <w:rPr>
                <w:sz w:val="1"/>
                <w:szCs w:val="1"/>
                <w:color w:val="auto"/>
              </w:rPr>
            </w:pPr>
          </w:p>
        </w:tc>
      </w:tr>
      <w:tr>
        <w:trPr>
          <w:trHeight w:val="142"/>
        </w:trPr>
        <w:tc>
          <w:tcPr>
            <w:tcW w:w="4140" w:type="dxa"/>
            <w:vAlign w:val="bottom"/>
            <w:gridSpan w:val="2"/>
            <w:shd w:val="clear" w:color="auto" w:fill="CCEEFF"/>
          </w:tcPr>
          <w:p>
            <w:pPr>
              <w:spacing w:after="0" w:line="142" w:lineRule="exact"/>
              <w:rPr>
                <w:sz w:val="20"/>
                <w:szCs w:val="20"/>
                <w:color w:val="auto"/>
              </w:rPr>
            </w:pPr>
            <w:r>
              <w:rPr>
                <w:rFonts w:ascii="Arial" w:cs="Arial" w:eastAsia="Arial" w:hAnsi="Arial"/>
                <w:sz w:val="14"/>
                <w:szCs w:val="14"/>
                <w:color w:val="auto"/>
              </w:rPr>
              <w:t>Cash Severance (1)</w:t>
            </w:r>
          </w:p>
        </w:tc>
        <w:tc>
          <w:tcPr>
            <w:tcW w:w="380" w:type="dxa"/>
            <w:vAlign w:val="bottom"/>
            <w:shd w:val="clear" w:color="auto" w:fill="CCEEFF"/>
          </w:tcPr>
          <w:p>
            <w:pPr>
              <w:spacing w:after="0" w:line="142" w:lineRule="exact"/>
              <w:rPr>
                <w:sz w:val="20"/>
                <w:szCs w:val="20"/>
                <w:color w:val="auto"/>
              </w:rPr>
            </w:pPr>
            <w:r>
              <w:rPr>
                <w:rFonts w:ascii="Arial" w:cs="Arial" w:eastAsia="Arial" w:hAnsi="Arial"/>
                <w:sz w:val="14"/>
                <w:szCs w:val="14"/>
                <w:color w:val="auto"/>
              </w:rPr>
              <w:t>—</w:t>
            </w:r>
          </w:p>
        </w:tc>
        <w:tc>
          <w:tcPr>
            <w:tcW w:w="1400" w:type="dxa"/>
            <w:vAlign w:val="bottom"/>
            <w:shd w:val="clear" w:color="auto" w:fill="CCEEFF"/>
          </w:tcPr>
          <w:p>
            <w:pPr>
              <w:ind w:left="1020"/>
              <w:spacing w:after="0" w:line="142" w:lineRule="exact"/>
              <w:rPr>
                <w:sz w:val="20"/>
                <w:szCs w:val="20"/>
                <w:color w:val="auto"/>
              </w:rPr>
            </w:pPr>
            <w:r>
              <w:rPr>
                <w:rFonts w:ascii="Arial" w:cs="Arial" w:eastAsia="Arial" w:hAnsi="Arial"/>
                <w:sz w:val="14"/>
                <w:szCs w:val="14"/>
                <w:color w:val="auto"/>
              </w:rPr>
              <w:t>—</w:t>
            </w:r>
          </w:p>
        </w:tc>
        <w:tc>
          <w:tcPr>
            <w:tcW w:w="1400" w:type="dxa"/>
            <w:vAlign w:val="bottom"/>
            <w:shd w:val="clear" w:color="auto" w:fill="CCEEFF"/>
          </w:tcPr>
          <w:p>
            <w:pPr>
              <w:spacing w:after="0"/>
              <w:rPr>
                <w:sz w:val="12"/>
                <w:szCs w:val="12"/>
                <w:color w:val="auto"/>
              </w:rPr>
            </w:pPr>
          </w:p>
        </w:tc>
        <w:tc>
          <w:tcPr>
            <w:tcW w:w="1320" w:type="dxa"/>
            <w:vAlign w:val="bottom"/>
            <w:shd w:val="clear" w:color="auto" w:fill="CCEEFF"/>
          </w:tcPr>
          <w:p>
            <w:pPr>
              <w:jc w:val="right"/>
              <w:ind w:right="168"/>
              <w:spacing w:after="0" w:line="142" w:lineRule="exact"/>
              <w:rPr>
                <w:sz w:val="20"/>
                <w:szCs w:val="20"/>
                <w:color w:val="auto"/>
              </w:rPr>
            </w:pPr>
            <w:r>
              <w:rPr>
                <w:rFonts w:ascii="Arial" w:cs="Arial" w:eastAsia="Arial" w:hAnsi="Arial"/>
                <w:sz w:val="14"/>
                <w:szCs w:val="14"/>
                <w:color w:val="auto"/>
              </w:rPr>
              <w:t>—</w:t>
            </w:r>
          </w:p>
        </w:tc>
        <w:tc>
          <w:tcPr>
            <w:tcW w:w="1540" w:type="dxa"/>
            <w:vAlign w:val="bottom"/>
            <w:shd w:val="clear" w:color="auto" w:fill="CCEEFF"/>
          </w:tcPr>
          <w:p>
            <w:pPr>
              <w:jc w:val="right"/>
              <w:ind w:right="168"/>
              <w:spacing w:after="0" w:line="142" w:lineRule="exact"/>
              <w:rPr>
                <w:sz w:val="20"/>
                <w:szCs w:val="20"/>
                <w:color w:val="auto"/>
              </w:rPr>
            </w:pPr>
            <w:r>
              <w:rPr>
                <w:rFonts w:ascii="Arial" w:cs="Arial" w:eastAsia="Arial" w:hAnsi="Arial"/>
                <w:sz w:val="14"/>
                <w:szCs w:val="14"/>
                <w:color w:val="auto"/>
              </w:rPr>
              <w:t>$3,806,880</w:t>
            </w:r>
          </w:p>
        </w:tc>
        <w:tc>
          <w:tcPr>
            <w:tcW w:w="1240" w:type="dxa"/>
            <w:vAlign w:val="bottom"/>
            <w:shd w:val="clear" w:color="auto" w:fill="CCEEFF"/>
          </w:tcPr>
          <w:p>
            <w:pPr>
              <w:jc w:val="right"/>
              <w:ind w:right="8"/>
              <w:spacing w:after="0" w:line="142" w:lineRule="exact"/>
              <w:rPr>
                <w:sz w:val="20"/>
                <w:szCs w:val="20"/>
                <w:color w:val="auto"/>
              </w:rPr>
            </w:pPr>
            <w:r>
              <w:rPr>
                <w:rFonts w:ascii="Arial" w:cs="Arial" w:eastAsia="Arial" w:hAnsi="Arial"/>
                <w:sz w:val="14"/>
                <w:szCs w:val="14"/>
                <w:color w:val="auto"/>
              </w:rPr>
              <w:t>$5,710,320</w:t>
            </w:r>
          </w:p>
        </w:tc>
        <w:tc>
          <w:tcPr>
            <w:tcW w:w="0" w:type="dxa"/>
            <w:vAlign w:val="bottom"/>
          </w:tcPr>
          <w:p>
            <w:pPr>
              <w:spacing w:after="0"/>
              <w:rPr>
                <w:sz w:val="1"/>
                <w:szCs w:val="1"/>
                <w:color w:val="auto"/>
              </w:rPr>
            </w:pPr>
          </w:p>
        </w:tc>
      </w:tr>
      <w:tr>
        <w:trPr>
          <w:trHeight w:val="149"/>
        </w:trPr>
        <w:tc>
          <w:tcPr>
            <w:tcW w:w="4140" w:type="dxa"/>
            <w:vAlign w:val="bottom"/>
            <w:gridSpan w:val="2"/>
          </w:tcPr>
          <w:p>
            <w:pPr>
              <w:spacing w:after="0" w:line="149" w:lineRule="exact"/>
              <w:rPr>
                <w:sz w:val="20"/>
                <w:szCs w:val="20"/>
                <w:color w:val="auto"/>
              </w:rPr>
            </w:pPr>
            <w:r>
              <w:rPr>
                <w:rFonts w:ascii="Arial" w:cs="Arial" w:eastAsia="Arial" w:hAnsi="Arial"/>
                <w:sz w:val="14"/>
                <w:szCs w:val="14"/>
                <w:color w:val="auto"/>
              </w:rPr>
              <w:t>Cash LTIP Award (2)</w:t>
            </w:r>
          </w:p>
        </w:tc>
        <w:tc>
          <w:tcPr>
            <w:tcW w:w="380" w:type="dxa"/>
            <w:vAlign w:val="bottom"/>
          </w:tcPr>
          <w:p>
            <w:pPr>
              <w:spacing w:after="0" w:line="149" w:lineRule="exact"/>
              <w:rPr>
                <w:sz w:val="20"/>
                <w:szCs w:val="20"/>
                <w:color w:val="auto"/>
              </w:rPr>
            </w:pPr>
            <w:r>
              <w:rPr>
                <w:rFonts w:ascii="Arial" w:cs="Arial" w:eastAsia="Arial" w:hAnsi="Arial"/>
                <w:sz w:val="14"/>
                <w:szCs w:val="14"/>
                <w:color w:val="auto"/>
              </w:rPr>
              <w:t>—</w:t>
            </w:r>
          </w:p>
        </w:tc>
        <w:tc>
          <w:tcPr>
            <w:tcW w:w="1400" w:type="dxa"/>
            <w:vAlign w:val="bottom"/>
          </w:tcPr>
          <w:p>
            <w:pPr>
              <w:ind w:left="1020"/>
              <w:spacing w:after="0" w:line="149" w:lineRule="exact"/>
              <w:rPr>
                <w:sz w:val="20"/>
                <w:szCs w:val="20"/>
                <w:color w:val="auto"/>
              </w:rPr>
            </w:pPr>
            <w:r>
              <w:rPr>
                <w:rFonts w:ascii="Arial" w:cs="Arial" w:eastAsia="Arial" w:hAnsi="Arial"/>
                <w:sz w:val="14"/>
                <w:szCs w:val="14"/>
                <w:color w:val="auto"/>
              </w:rPr>
              <w:t>—</w:t>
            </w:r>
          </w:p>
        </w:tc>
        <w:tc>
          <w:tcPr>
            <w:tcW w:w="1400" w:type="dxa"/>
            <w:vAlign w:val="bottom"/>
          </w:tcPr>
          <w:p>
            <w:pPr>
              <w:spacing w:after="0"/>
              <w:rPr>
                <w:sz w:val="12"/>
                <w:szCs w:val="12"/>
                <w:color w:val="auto"/>
              </w:rPr>
            </w:pPr>
          </w:p>
        </w:tc>
        <w:tc>
          <w:tcPr>
            <w:tcW w:w="1320" w:type="dxa"/>
            <w:vAlign w:val="bottom"/>
          </w:tcPr>
          <w:p>
            <w:pPr>
              <w:jc w:val="right"/>
              <w:ind w:right="168"/>
              <w:spacing w:after="0" w:line="149" w:lineRule="exact"/>
              <w:rPr>
                <w:sz w:val="20"/>
                <w:szCs w:val="20"/>
                <w:color w:val="auto"/>
              </w:rPr>
            </w:pPr>
            <w:r>
              <w:rPr>
                <w:rFonts w:ascii="Arial" w:cs="Arial" w:eastAsia="Arial" w:hAnsi="Arial"/>
                <w:sz w:val="14"/>
                <w:szCs w:val="14"/>
                <w:color w:val="auto"/>
              </w:rPr>
              <w:t>$5,336,843</w:t>
            </w:r>
          </w:p>
        </w:tc>
        <w:tc>
          <w:tcPr>
            <w:tcW w:w="1540" w:type="dxa"/>
            <w:vAlign w:val="bottom"/>
          </w:tcPr>
          <w:p>
            <w:pPr>
              <w:jc w:val="right"/>
              <w:ind w:right="168"/>
              <w:spacing w:after="0" w:line="149" w:lineRule="exact"/>
              <w:rPr>
                <w:sz w:val="20"/>
                <w:szCs w:val="20"/>
                <w:color w:val="auto"/>
              </w:rPr>
            </w:pPr>
            <w:r>
              <w:rPr>
                <w:rFonts w:ascii="Arial" w:cs="Arial" w:eastAsia="Arial" w:hAnsi="Arial"/>
                <w:sz w:val="14"/>
                <w:szCs w:val="14"/>
                <w:color w:val="auto"/>
              </w:rPr>
              <w:t>$5,184,884</w:t>
            </w:r>
          </w:p>
        </w:tc>
        <w:tc>
          <w:tcPr>
            <w:tcW w:w="1240" w:type="dxa"/>
            <w:vAlign w:val="bottom"/>
          </w:tcPr>
          <w:p>
            <w:pPr>
              <w:jc w:val="right"/>
              <w:ind w:right="8"/>
              <w:spacing w:after="0" w:line="149" w:lineRule="exact"/>
              <w:rPr>
                <w:sz w:val="20"/>
                <w:szCs w:val="20"/>
                <w:color w:val="auto"/>
              </w:rPr>
            </w:pPr>
            <w:r>
              <w:rPr>
                <w:rFonts w:ascii="Arial" w:cs="Arial" w:eastAsia="Arial" w:hAnsi="Arial"/>
                <w:sz w:val="14"/>
                <w:szCs w:val="14"/>
                <w:color w:val="auto"/>
              </w:rPr>
              <w:t>$5,336,843</w:t>
            </w:r>
          </w:p>
        </w:tc>
        <w:tc>
          <w:tcPr>
            <w:tcW w:w="0" w:type="dxa"/>
            <w:vAlign w:val="bottom"/>
          </w:tcPr>
          <w:p>
            <w:pPr>
              <w:spacing w:after="0"/>
              <w:rPr>
                <w:sz w:val="1"/>
                <w:szCs w:val="1"/>
                <w:color w:val="auto"/>
              </w:rPr>
            </w:pPr>
          </w:p>
        </w:tc>
      </w:tr>
      <w:tr>
        <w:trPr>
          <w:trHeight w:val="149"/>
        </w:trPr>
        <w:tc>
          <w:tcPr>
            <w:tcW w:w="414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Retirement Benefits (3)</w:t>
            </w:r>
          </w:p>
        </w:tc>
        <w:tc>
          <w:tcPr>
            <w:tcW w:w="3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w:t>
            </w:r>
          </w:p>
        </w:tc>
        <w:tc>
          <w:tcPr>
            <w:tcW w:w="1400" w:type="dxa"/>
            <w:vAlign w:val="bottom"/>
            <w:shd w:val="clear" w:color="auto" w:fill="CCEEFF"/>
          </w:tcPr>
          <w:p>
            <w:pPr>
              <w:ind w:left="1020"/>
              <w:spacing w:after="0" w:line="149" w:lineRule="exact"/>
              <w:rPr>
                <w:sz w:val="20"/>
                <w:szCs w:val="20"/>
                <w:color w:val="auto"/>
              </w:rPr>
            </w:pPr>
            <w:r>
              <w:rPr>
                <w:rFonts w:ascii="Arial" w:cs="Arial" w:eastAsia="Arial" w:hAnsi="Arial"/>
                <w:sz w:val="14"/>
                <w:szCs w:val="14"/>
                <w:color w:val="auto"/>
              </w:rPr>
              <w:t>—</w:t>
            </w:r>
          </w:p>
        </w:tc>
        <w:tc>
          <w:tcPr>
            <w:tcW w:w="1400" w:type="dxa"/>
            <w:vAlign w:val="bottom"/>
            <w:shd w:val="clear" w:color="auto" w:fill="CCEEFF"/>
          </w:tcPr>
          <w:p>
            <w:pPr>
              <w:spacing w:after="0"/>
              <w:rPr>
                <w:sz w:val="12"/>
                <w:szCs w:val="12"/>
                <w:color w:val="auto"/>
              </w:rPr>
            </w:pPr>
          </w:p>
        </w:tc>
        <w:tc>
          <w:tcPr>
            <w:tcW w:w="1320" w:type="dxa"/>
            <w:vAlign w:val="bottom"/>
            <w:shd w:val="clear" w:color="auto" w:fill="CCEEFF"/>
          </w:tcPr>
          <w:p>
            <w:pPr>
              <w:jc w:val="right"/>
              <w:ind w:right="168"/>
              <w:spacing w:after="0" w:line="149" w:lineRule="exact"/>
              <w:rPr>
                <w:sz w:val="20"/>
                <w:szCs w:val="20"/>
                <w:color w:val="auto"/>
              </w:rPr>
            </w:pPr>
            <w:r>
              <w:rPr>
                <w:rFonts w:ascii="Arial" w:cs="Arial" w:eastAsia="Arial" w:hAnsi="Arial"/>
                <w:sz w:val="14"/>
                <w:szCs w:val="14"/>
                <w:color w:val="auto"/>
              </w:rPr>
              <w:t>—</w:t>
            </w:r>
          </w:p>
        </w:tc>
        <w:tc>
          <w:tcPr>
            <w:tcW w:w="1540" w:type="dxa"/>
            <w:vAlign w:val="bottom"/>
            <w:shd w:val="clear" w:color="auto" w:fill="CCEEFF"/>
          </w:tcPr>
          <w:p>
            <w:pPr>
              <w:jc w:val="right"/>
              <w:ind w:right="168"/>
              <w:spacing w:after="0" w:line="149" w:lineRule="exact"/>
              <w:rPr>
                <w:sz w:val="20"/>
                <w:szCs w:val="20"/>
                <w:color w:val="auto"/>
              </w:rPr>
            </w:pPr>
            <w:r>
              <w:rPr>
                <w:rFonts w:ascii="Arial" w:cs="Arial" w:eastAsia="Arial" w:hAnsi="Arial"/>
                <w:sz w:val="14"/>
                <w:szCs w:val="14"/>
                <w:color w:val="auto"/>
              </w:rPr>
              <w:t>—</w:t>
            </w:r>
          </w:p>
        </w:tc>
        <w:tc>
          <w:tcPr>
            <w:tcW w:w="1240" w:type="dxa"/>
            <w:vAlign w:val="bottom"/>
            <w:shd w:val="clear" w:color="auto" w:fill="CCEEFF"/>
          </w:tcPr>
          <w:p>
            <w:pPr>
              <w:jc w:val="right"/>
              <w:ind w:right="8"/>
              <w:spacing w:after="0" w:line="149" w:lineRule="exact"/>
              <w:rPr>
                <w:sz w:val="20"/>
                <w:szCs w:val="20"/>
                <w:color w:val="auto"/>
              </w:rPr>
            </w:pPr>
            <w:r>
              <w:rPr>
                <w:rFonts w:ascii="Arial" w:cs="Arial" w:eastAsia="Arial" w:hAnsi="Arial"/>
                <w:sz w:val="14"/>
                <w:szCs w:val="14"/>
                <w:color w:val="auto"/>
              </w:rPr>
              <w:t>642,000</w:t>
            </w:r>
          </w:p>
        </w:tc>
        <w:tc>
          <w:tcPr>
            <w:tcW w:w="0" w:type="dxa"/>
            <w:vAlign w:val="bottom"/>
          </w:tcPr>
          <w:p>
            <w:pPr>
              <w:spacing w:after="0"/>
              <w:rPr>
                <w:sz w:val="1"/>
                <w:szCs w:val="1"/>
                <w:color w:val="auto"/>
              </w:rPr>
            </w:pPr>
          </w:p>
        </w:tc>
      </w:tr>
      <w:tr>
        <w:trPr>
          <w:trHeight w:val="149"/>
        </w:trPr>
        <w:tc>
          <w:tcPr>
            <w:tcW w:w="4140" w:type="dxa"/>
            <w:vAlign w:val="bottom"/>
            <w:gridSpan w:val="2"/>
          </w:tcPr>
          <w:p>
            <w:pPr>
              <w:spacing w:after="0" w:line="149" w:lineRule="exact"/>
              <w:rPr>
                <w:sz w:val="20"/>
                <w:szCs w:val="20"/>
                <w:color w:val="auto"/>
              </w:rPr>
            </w:pPr>
            <w:r>
              <w:rPr>
                <w:rFonts w:ascii="Arial" w:cs="Arial" w:eastAsia="Arial" w:hAnsi="Arial"/>
                <w:sz w:val="14"/>
                <w:szCs w:val="14"/>
                <w:color w:val="auto"/>
              </w:rPr>
              <w:t>Other Benefits (4)</w:t>
            </w:r>
          </w:p>
        </w:tc>
        <w:tc>
          <w:tcPr>
            <w:tcW w:w="380" w:type="dxa"/>
            <w:vAlign w:val="bottom"/>
          </w:tcPr>
          <w:p>
            <w:pPr>
              <w:spacing w:after="0" w:line="149" w:lineRule="exact"/>
              <w:rPr>
                <w:sz w:val="20"/>
                <w:szCs w:val="20"/>
                <w:color w:val="auto"/>
              </w:rPr>
            </w:pPr>
            <w:r>
              <w:rPr>
                <w:rFonts w:ascii="Arial" w:cs="Arial" w:eastAsia="Arial" w:hAnsi="Arial"/>
                <w:sz w:val="14"/>
                <w:szCs w:val="14"/>
                <w:color w:val="auto"/>
              </w:rPr>
              <w:t>—</w:t>
            </w:r>
          </w:p>
        </w:tc>
        <w:tc>
          <w:tcPr>
            <w:tcW w:w="1400" w:type="dxa"/>
            <w:vAlign w:val="bottom"/>
          </w:tcPr>
          <w:p>
            <w:pPr>
              <w:ind w:left="1020"/>
              <w:spacing w:after="0" w:line="149" w:lineRule="exact"/>
              <w:rPr>
                <w:sz w:val="20"/>
                <w:szCs w:val="20"/>
                <w:color w:val="auto"/>
              </w:rPr>
            </w:pPr>
            <w:r>
              <w:rPr>
                <w:rFonts w:ascii="Arial" w:cs="Arial" w:eastAsia="Arial" w:hAnsi="Arial"/>
                <w:sz w:val="14"/>
                <w:szCs w:val="14"/>
                <w:color w:val="auto"/>
              </w:rPr>
              <w:t>—</w:t>
            </w:r>
          </w:p>
        </w:tc>
        <w:tc>
          <w:tcPr>
            <w:tcW w:w="1400" w:type="dxa"/>
            <w:vAlign w:val="bottom"/>
          </w:tcPr>
          <w:p>
            <w:pPr>
              <w:spacing w:after="0"/>
              <w:rPr>
                <w:sz w:val="12"/>
                <w:szCs w:val="12"/>
                <w:color w:val="auto"/>
              </w:rPr>
            </w:pPr>
          </w:p>
        </w:tc>
        <w:tc>
          <w:tcPr>
            <w:tcW w:w="1320" w:type="dxa"/>
            <w:vAlign w:val="bottom"/>
          </w:tcPr>
          <w:p>
            <w:pPr>
              <w:jc w:val="right"/>
              <w:ind w:right="168"/>
              <w:spacing w:after="0" w:line="149" w:lineRule="exact"/>
              <w:rPr>
                <w:sz w:val="20"/>
                <w:szCs w:val="20"/>
                <w:color w:val="auto"/>
              </w:rPr>
            </w:pPr>
            <w:r>
              <w:rPr>
                <w:rFonts w:ascii="Arial" w:cs="Arial" w:eastAsia="Arial" w:hAnsi="Arial"/>
                <w:sz w:val="14"/>
                <w:szCs w:val="14"/>
                <w:color w:val="auto"/>
              </w:rPr>
              <w:t>$600,000</w:t>
            </w:r>
          </w:p>
        </w:tc>
        <w:tc>
          <w:tcPr>
            <w:tcW w:w="1540" w:type="dxa"/>
            <w:vAlign w:val="bottom"/>
          </w:tcPr>
          <w:p>
            <w:pPr>
              <w:jc w:val="right"/>
              <w:ind w:right="168"/>
              <w:spacing w:after="0" w:line="149" w:lineRule="exact"/>
              <w:rPr>
                <w:sz w:val="20"/>
                <w:szCs w:val="20"/>
                <w:color w:val="auto"/>
              </w:rPr>
            </w:pPr>
            <w:r>
              <w:rPr>
                <w:rFonts w:ascii="Arial" w:cs="Arial" w:eastAsia="Arial" w:hAnsi="Arial"/>
                <w:sz w:val="14"/>
                <w:szCs w:val="14"/>
                <w:color w:val="auto"/>
              </w:rPr>
              <w:t>$40,000</w:t>
            </w:r>
          </w:p>
        </w:tc>
        <w:tc>
          <w:tcPr>
            <w:tcW w:w="1240" w:type="dxa"/>
            <w:vAlign w:val="bottom"/>
          </w:tcPr>
          <w:p>
            <w:pPr>
              <w:jc w:val="right"/>
              <w:ind w:right="8"/>
              <w:spacing w:after="0" w:line="149" w:lineRule="exact"/>
              <w:rPr>
                <w:sz w:val="20"/>
                <w:szCs w:val="20"/>
                <w:color w:val="auto"/>
              </w:rPr>
            </w:pPr>
            <w:r>
              <w:rPr>
                <w:rFonts w:ascii="Arial" w:cs="Arial" w:eastAsia="Arial" w:hAnsi="Arial"/>
                <w:sz w:val="14"/>
                <w:szCs w:val="14"/>
                <w:color w:val="auto"/>
              </w:rPr>
              <w:t>$50,000</w:t>
            </w:r>
          </w:p>
        </w:tc>
        <w:tc>
          <w:tcPr>
            <w:tcW w:w="0" w:type="dxa"/>
            <w:vAlign w:val="bottom"/>
          </w:tcPr>
          <w:p>
            <w:pPr>
              <w:spacing w:after="0"/>
              <w:rPr>
                <w:sz w:val="1"/>
                <w:szCs w:val="1"/>
                <w:color w:val="auto"/>
              </w:rPr>
            </w:pPr>
          </w:p>
        </w:tc>
      </w:tr>
      <w:tr>
        <w:trPr>
          <w:trHeight w:val="149"/>
        </w:trPr>
        <w:tc>
          <w:tcPr>
            <w:tcW w:w="414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Excise Tax Gross-Up (5)</w:t>
            </w:r>
          </w:p>
        </w:tc>
        <w:tc>
          <w:tcPr>
            <w:tcW w:w="3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w:t>
            </w:r>
          </w:p>
        </w:tc>
        <w:tc>
          <w:tcPr>
            <w:tcW w:w="1400" w:type="dxa"/>
            <w:vAlign w:val="bottom"/>
            <w:shd w:val="clear" w:color="auto" w:fill="CCEEFF"/>
          </w:tcPr>
          <w:p>
            <w:pPr>
              <w:ind w:left="1020"/>
              <w:spacing w:after="0" w:line="149" w:lineRule="exact"/>
              <w:rPr>
                <w:sz w:val="20"/>
                <w:szCs w:val="20"/>
                <w:color w:val="auto"/>
              </w:rPr>
            </w:pPr>
            <w:r>
              <w:rPr>
                <w:rFonts w:ascii="Arial" w:cs="Arial" w:eastAsia="Arial" w:hAnsi="Arial"/>
                <w:sz w:val="14"/>
                <w:szCs w:val="14"/>
                <w:color w:val="auto"/>
              </w:rPr>
              <w:t>—</w:t>
            </w:r>
          </w:p>
        </w:tc>
        <w:tc>
          <w:tcPr>
            <w:tcW w:w="1400" w:type="dxa"/>
            <w:vAlign w:val="bottom"/>
            <w:shd w:val="clear" w:color="auto" w:fill="CCEEFF"/>
          </w:tcPr>
          <w:p>
            <w:pPr>
              <w:spacing w:after="0"/>
              <w:rPr>
                <w:sz w:val="12"/>
                <w:szCs w:val="12"/>
                <w:color w:val="auto"/>
              </w:rPr>
            </w:pPr>
          </w:p>
        </w:tc>
        <w:tc>
          <w:tcPr>
            <w:tcW w:w="1320" w:type="dxa"/>
            <w:vAlign w:val="bottom"/>
            <w:shd w:val="clear" w:color="auto" w:fill="CCEEFF"/>
          </w:tcPr>
          <w:p>
            <w:pPr>
              <w:jc w:val="right"/>
              <w:ind w:right="168"/>
              <w:spacing w:after="0" w:line="149" w:lineRule="exact"/>
              <w:rPr>
                <w:sz w:val="20"/>
                <w:szCs w:val="20"/>
                <w:color w:val="auto"/>
              </w:rPr>
            </w:pPr>
            <w:r>
              <w:rPr>
                <w:rFonts w:ascii="Arial" w:cs="Arial" w:eastAsia="Arial" w:hAnsi="Arial"/>
                <w:sz w:val="14"/>
                <w:szCs w:val="14"/>
                <w:color w:val="auto"/>
              </w:rPr>
              <w:t>—</w:t>
            </w:r>
          </w:p>
        </w:tc>
        <w:tc>
          <w:tcPr>
            <w:tcW w:w="1540" w:type="dxa"/>
            <w:vAlign w:val="bottom"/>
            <w:shd w:val="clear" w:color="auto" w:fill="CCEEFF"/>
          </w:tcPr>
          <w:p>
            <w:pPr>
              <w:jc w:val="right"/>
              <w:ind w:right="168"/>
              <w:spacing w:after="0" w:line="149" w:lineRule="exact"/>
              <w:rPr>
                <w:sz w:val="20"/>
                <w:szCs w:val="20"/>
                <w:color w:val="auto"/>
              </w:rPr>
            </w:pPr>
            <w:r>
              <w:rPr>
                <w:rFonts w:ascii="Arial" w:cs="Arial" w:eastAsia="Arial" w:hAnsi="Arial"/>
                <w:sz w:val="14"/>
                <w:szCs w:val="14"/>
                <w:color w:val="auto"/>
              </w:rPr>
              <w:t>—</w:t>
            </w:r>
          </w:p>
        </w:tc>
        <w:tc>
          <w:tcPr>
            <w:tcW w:w="1240" w:type="dxa"/>
            <w:vAlign w:val="bottom"/>
            <w:shd w:val="clear" w:color="auto" w:fill="CCEEFF"/>
          </w:tcPr>
          <w:p>
            <w:pPr>
              <w:jc w:val="right"/>
              <w:ind w:right="8"/>
              <w:spacing w:after="0" w:line="149" w:lineRule="exact"/>
              <w:rPr>
                <w:sz w:val="20"/>
                <w:szCs w:val="20"/>
                <w:color w:val="auto"/>
              </w:rPr>
            </w:pPr>
            <w:r>
              <w:rPr>
                <w:rFonts w:ascii="Arial" w:cs="Arial" w:eastAsia="Arial" w:hAnsi="Arial"/>
                <w:sz w:val="14"/>
                <w:szCs w:val="14"/>
                <w:color w:val="auto"/>
              </w:rPr>
              <w:t>$0</w:t>
            </w:r>
          </w:p>
        </w:tc>
        <w:tc>
          <w:tcPr>
            <w:tcW w:w="0" w:type="dxa"/>
            <w:vAlign w:val="bottom"/>
          </w:tcPr>
          <w:p>
            <w:pPr>
              <w:spacing w:after="0"/>
              <w:rPr>
                <w:sz w:val="1"/>
                <w:szCs w:val="1"/>
                <w:color w:val="auto"/>
              </w:rPr>
            </w:pPr>
          </w:p>
        </w:tc>
      </w:tr>
      <w:tr>
        <w:trPr>
          <w:trHeight w:val="149"/>
        </w:trPr>
        <w:tc>
          <w:tcPr>
            <w:tcW w:w="3020" w:type="dxa"/>
            <w:vAlign w:val="bottom"/>
          </w:tcPr>
          <w:p>
            <w:pPr>
              <w:spacing w:after="0" w:line="149" w:lineRule="exact"/>
              <w:rPr>
                <w:sz w:val="20"/>
                <w:szCs w:val="20"/>
                <w:color w:val="auto"/>
              </w:rPr>
            </w:pPr>
            <w:r>
              <w:rPr>
                <w:rFonts w:ascii="Arial" w:cs="Arial" w:eastAsia="Arial" w:hAnsi="Arial"/>
                <w:sz w:val="14"/>
                <w:szCs w:val="14"/>
                <w:color w:val="auto"/>
              </w:rPr>
              <w:t>Total</w:t>
            </w:r>
          </w:p>
        </w:tc>
        <w:tc>
          <w:tcPr>
            <w:tcW w:w="1120" w:type="dxa"/>
            <w:vAlign w:val="bottom"/>
            <w:tcBorders>
              <w:top w:val="single" w:sz="8" w:color="auto"/>
            </w:tcBorders>
          </w:tcPr>
          <w:p>
            <w:pPr>
              <w:spacing w:after="0"/>
              <w:rPr>
                <w:sz w:val="12"/>
                <w:szCs w:val="12"/>
                <w:color w:val="auto"/>
              </w:rPr>
            </w:pPr>
          </w:p>
        </w:tc>
        <w:tc>
          <w:tcPr>
            <w:tcW w:w="380" w:type="dxa"/>
            <w:vAlign w:val="bottom"/>
            <w:tcBorders>
              <w:top w:val="single" w:sz="8" w:color="auto"/>
            </w:tcBorders>
          </w:tcPr>
          <w:p>
            <w:pPr>
              <w:spacing w:after="0" w:line="149" w:lineRule="exact"/>
              <w:rPr>
                <w:sz w:val="20"/>
                <w:szCs w:val="20"/>
                <w:color w:val="auto"/>
              </w:rPr>
            </w:pPr>
            <w:r>
              <w:rPr>
                <w:rFonts w:ascii="Arial" w:cs="Arial" w:eastAsia="Arial" w:hAnsi="Arial"/>
                <w:sz w:val="14"/>
                <w:szCs w:val="14"/>
                <w:color w:val="auto"/>
              </w:rPr>
              <w:t>—</w:t>
            </w:r>
          </w:p>
        </w:tc>
        <w:tc>
          <w:tcPr>
            <w:tcW w:w="1400" w:type="dxa"/>
            <w:vAlign w:val="bottom"/>
            <w:tcBorders>
              <w:top w:val="single" w:sz="8" w:color="auto"/>
            </w:tcBorders>
          </w:tcPr>
          <w:p>
            <w:pPr>
              <w:ind w:left="1020"/>
              <w:spacing w:after="0" w:line="149" w:lineRule="exact"/>
              <w:rPr>
                <w:sz w:val="20"/>
                <w:szCs w:val="20"/>
                <w:color w:val="auto"/>
              </w:rPr>
            </w:pPr>
            <w:r>
              <w:rPr>
                <w:rFonts w:ascii="Arial" w:cs="Arial" w:eastAsia="Arial" w:hAnsi="Arial"/>
                <w:sz w:val="14"/>
                <w:szCs w:val="14"/>
                <w:color w:val="auto"/>
              </w:rPr>
              <w:t>—</w:t>
            </w:r>
          </w:p>
        </w:tc>
        <w:tc>
          <w:tcPr>
            <w:tcW w:w="1400" w:type="dxa"/>
            <w:vAlign w:val="bottom"/>
            <w:tcBorders>
              <w:top w:val="single" w:sz="8" w:color="auto"/>
            </w:tcBorders>
          </w:tcPr>
          <w:p>
            <w:pPr>
              <w:spacing w:after="0"/>
              <w:rPr>
                <w:sz w:val="12"/>
                <w:szCs w:val="12"/>
                <w:color w:val="auto"/>
              </w:rPr>
            </w:pPr>
          </w:p>
        </w:tc>
        <w:tc>
          <w:tcPr>
            <w:tcW w:w="1320" w:type="dxa"/>
            <w:vAlign w:val="bottom"/>
            <w:tcBorders>
              <w:top w:val="single" w:sz="8" w:color="auto"/>
            </w:tcBorders>
          </w:tcPr>
          <w:p>
            <w:pPr>
              <w:jc w:val="right"/>
              <w:ind w:right="168"/>
              <w:spacing w:after="0" w:line="149" w:lineRule="exact"/>
              <w:rPr>
                <w:sz w:val="20"/>
                <w:szCs w:val="20"/>
                <w:color w:val="auto"/>
              </w:rPr>
            </w:pPr>
            <w:r>
              <w:rPr>
                <w:rFonts w:ascii="Arial" w:cs="Arial" w:eastAsia="Arial" w:hAnsi="Arial"/>
                <w:sz w:val="14"/>
                <w:szCs w:val="14"/>
                <w:color w:val="auto"/>
              </w:rPr>
              <w:t>$5,936,843</w:t>
            </w:r>
          </w:p>
        </w:tc>
        <w:tc>
          <w:tcPr>
            <w:tcW w:w="1540" w:type="dxa"/>
            <w:vAlign w:val="bottom"/>
            <w:tcBorders>
              <w:top w:val="single" w:sz="8" w:color="auto"/>
            </w:tcBorders>
          </w:tcPr>
          <w:p>
            <w:pPr>
              <w:jc w:val="right"/>
              <w:ind w:right="168"/>
              <w:spacing w:after="0" w:line="149" w:lineRule="exact"/>
              <w:rPr>
                <w:sz w:val="20"/>
                <w:szCs w:val="20"/>
                <w:color w:val="auto"/>
              </w:rPr>
            </w:pPr>
            <w:r>
              <w:rPr>
                <w:rFonts w:ascii="Arial" w:cs="Arial" w:eastAsia="Arial" w:hAnsi="Arial"/>
                <w:sz w:val="14"/>
                <w:szCs w:val="14"/>
                <w:color w:val="auto"/>
              </w:rPr>
              <w:t>$9,031,764</w:t>
            </w:r>
          </w:p>
        </w:tc>
        <w:tc>
          <w:tcPr>
            <w:tcW w:w="1240" w:type="dxa"/>
            <w:vAlign w:val="bottom"/>
            <w:tcBorders>
              <w:top w:val="single" w:sz="8" w:color="auto"/>
            </w:tcBorders>
          </w:tcPr>
          <w:p>
            <w:pPr>
              <w:jc w:val="right"/>
              <w:ind w:right="8"/>
              <w:spacing w:after="0" w:line="149" w:lineRule="exact"/>
              <w:rPr>
                <w:sz w:val="20"/>
                <w:szCs w:val="20"/>
                <w:color w:val="auto"/>
              </w:rPr>
            </w:pPr>
            <w:r>
              <w:rPr>
                <w:rFonts w:ascii="Arial" w:cs="Arial" w:eastAsia="Arial" w:hAnsi="Arial"/>
                <w:sz w:val="14"/>
                <w:szCs w:val="14"/>
                <w:color w:val="auto"/>
              </w:rPr>
              <w:t>$11,739,163</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-3810</wp:posOffset>
            </wp:positionV>
            <wp:extent cx="7246620" cy="10287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0">
                      <a:extLst>
                        <a:ext uri="{28A0092B-C50C-407E-A947-70E740481C1C}"/>
                      </a:extLst>
                    </a:blip>
                    <a:srcRect/>
                    <a:stretch>
                      <a:fillRect/>
                    </a:stretch>
                  </pic:blipFill>
                  <pic:spPr bwMode="auto">
                    <a:xfrm>
                      <a:off x="0" y="0"/>
                      <a:ext cx="7246620" cy="102870"/>
                    </a:xfrm>
                    <a:prstGeom prst="rect">
                      <a:avLst/>
                    </a:prstGeom>
                    <a:noFill/>
                  </pic:spPr>
                </pic:pic>
              </a:graphicData>
            </a:graphic>
          </wp:anchor>
        </w:drawing>
      </w:r>
    </w:p>
    <w:p>
      <w:pPr>
        <w:jc w:val="center"/>
        <w:ind w:right="80"/>
        <w:spacing w:after="0" w:line="231" w:lineRule="auto"/>
        <w:rPr>
          <w:sz w:val="20"/>
          <w:szCs w:val="20"/>
          <w:color w:val="auto"/>
        </w:rPr>
      </w:pPr>
      <w:r>
        <w:rPr>
          <w:rFonts w:ascii="Arial" w:cs="Arial" w:eastAsia="Arial" w:hAnsi="Arial"/>
          <w:sz w:val="14"/>
          <w:szCs w:val="14"/>
          <w:b w:val="1"/>
          <w:bCs w:val="1"/>
          <w:color w:val="auto"/>
        </w:rPr>
        <w:t>Mr. Holding</w:t>
      </w:r>
    </w:p>
    <w:tbl>
      <w:tblPr>
        <w:tblLayout w:type="fixed"/>
        <w:tblInd w:w="0" w:type="dxa"/>
        <w:tblCellMar>
          <w:top w:w="0" w:type="dxa"/>
          <w:left w:w="0" w:type="dxa"/>
          <w:bottom w:w="0" w:type="dxa"/>
          <w:right w:w="0" w:type="dxa"/>
        </w:tblCellMar>
      </w:tblPr>
      <w:tr>
        <w:trPr>
          <w:trHeight w:val="119"/>
        </w:trPr>
        <w:tc>
          <w:tcPr>
            <w:tcW w:w="3020" w:type="dxa"/>
            <w:vAlign w:val="bottom"/>
            <w:tcBorders>
              <w:top w:val="single" w:sz="8" w:color="auto"/>
            </w:tcBorders>
          </w:tcPr>
          <w:p>
            <w:pPr>
              <w:spacing w:after="0"/>
              <w:rPr>
                <w:sz w:val="10"/>
                <w:szCs w:val="10"/>
                <w:color w:val="auto"/>
              </w:rPr>
            </w:pPr>
          </w:p>
        </w:tc>
        <w:tc>
          <w:tcPr>
            <w:tcW w:w="1120" w:type="dxa"/>
            <w:vAlign w:val="bottom"/>
            <w:tcBorders>
              <w:top w:val="single" w:sz="8" w:color="auto"/>
            </w:tcBorders>
          </w:tcPr>
          <w:p>
            <w:pPr>
              <w:jc w:val="center"/>
              <w:ind w:left="311"/>
              <w:spacing w:after="0" w:line="119" w:lineRule="exact"/>
              <w:rPr>
                <w:sz w:val="20"/>
                <w:szCs w:val="20"/>
                <w:color w:val="auto"/>
              </w:rPr>
            </w:pPr>
            <w:r>
              <w:rPr>
                <w:rFonts w:ascii="Arial" w:cs="Arial" w:eastAsia="Arial" w:hAnsi="Arial"/>
                <w:sz w:val="13"/>
                <w:szCs w:val="13"/>
                <w:b w:val="1"/>
                <w:bCs w:val="1"/>
                <w:color w:val="auto"/>
              </w:rPr>
              <w:t>Voluntary</w:t>
            </w:r>
          </w:p>
        </w:tc>
        <w:tc>
          <w:tcPr>
            <w:tcW w:w="380" w:type="dxa"/>
            <w:vAlign w:val="bottom"/>
            <w:tcBorders>
              <w:top w:val="single" w:sz="8" w:color="auto"/>
            </w:tcBorders>
          </w:tcPr>
          <w:p>
            <w:pPr>
              <w:spacing w:after="0"/>
              <w:rPr>
                <w:sz w:val="10"/>
                <w:szCs w:val="10"/>
                <w:color w:val="auto"/>
              </w:rPr>
            </w:pPr>
          </w:p>
        </w:tc>
        <w:tc>
          <w:tcPr>
            <w:tcW w:w="1400" w:type="dxa"/>
            <w:vAlign w:val="bottom"/>
            <w:tcBorders>
              <w:top w:val="single" w:sz="8" w:color="auto"/>
            </w:tcBorders>
          </w:tcPr>
          <w:p>
            <w:pPr>
              <w:ind w:left="240"/>
              <w:spacing w:after="0" w:line="119" w:lineRule="exact"/>
              <w:rPr>
                <w:sz w:val="20"/>
                <w:szCs w:val="20"/>
                <w:color w:val="auto"/>
              </w:rPr>
            </w:pPr>
            <w:r>
              <w:rPr>
                <w:rFonts w:ascii="Arial" w:cs="Arial" w:eastAsia="Arial" w:hAnsi="Arial"/>
                <w:sz w:val="13"/>
                <w:szCs w:val="13"/>
                <w:b w:val="1"/>
                <w:bCs w:val="1"/>
                <w:color w:val="auto"/>
              </w:rPr>
              <w:t>Termination</w:t>
            </w:r>
          </w:p>
        </w:tc>
        <w:tc>
          <w:tcPr>
            <w:tcW w:w="1400" w:type="dxa"/>
            <w:vAlign w:val="bottom"/>
            <w:tcBorders>
              <w:top w:val="single" w:sz="8" w:color="auto"/>
            </w:tcBorders>
            <w:vMerge w:val="restart"/>
          </w:tcPr>
          <w:p>
            <w:pPr>
              <w:ind w:left="240"/>
              <w:spacing w:after="0"/>
              <w:rPr>
                <w:sz w:val="20"/>
                <w:szCs w:val="20"/>
                <w:color w:val="auto"/>
              </w:rPr>
            </w:pPr>
            <w:r>
              <w:rPr>
                <w:rFonts w:ascii="Arial" w:cs="Arial" w:eastAsia="Arial" w:hAnsi="Arial"/>
                <w:sz w:val="14"/>
                <w:szCs w:val="14"/>
                <w:b w:val="1"/>
                <w:bCs w:val="1"/>
                <w:color w:val="auto"/>
              </w:rPr>
              <w:t>Retirement (6)</w:t>
            </w:r>
          </w:p>
        </w:tc>
        <w:tc>
          <w:tcPr>
            <w:tcW w:w="1320" w:type="dxa"/>
            <w:vAlign w:val="bottom"/>
            <w:tcBorders>
              <w:top w:val="single" w:sz="8" w:color="auto"/>
            </w:tcBorders>
          </w:tcPr>
          <w:p>
            <w:pPr>
              <w:jc w:val="right"/>
              <w:ind w:right="409"/>
              <w:spacing w:after="0" w:line="119" w:lineRule="exact"/>
              <w:rPr>
                <w:sz w:val="20"/>
                <w:szCs w:val="20"/>
                <w:color w:val="auto"/>
              </w:rPr>
            </w:pPr>
            <w:r>
              <w:rPr>
                <w:rFonts w:ascii="Arial" w:cs="Arial" w:eastAsia="Arial" w:hAnsi="Arial"/>
                <w:sz w:val="13"/>
                <w:szCs w:val="13"/>
                <w:b w:val="1"/>
                <w:bCs w:val="1"/>
                <w:color w:val="auto"/>
              </w:rPr>
              <w:t>Death &amp;</w:t>
            </w:r>
          </w:p>
        </w:tc>
        <w:tc>
          <w:tcPr>
            <w:tcW w:w="1560" w:type="dxa"/>
            <w:vAlign w:val="bottom"/>
            <w:tcBorders>
              <w:top w:val="single" w:sz="8" w:color="auto"/>
            </w:tcBorders>
          </w:tcPr>
          <w:p>
            <w:pPr>
              <w:jc w:val="right"/>
              <w:ind w:right="409"/>
              <w:spacing w:after="0" w:line="119" w:lineRule="exact"/>
              <w:rPr>
                <w:sz w:val="20"/>
                <w:szCs w:val="20"/>
                <w:color w:val="auto"/>
              </w:rPr>
            </w:pPr>
            <w:r>
              <w:rPr>
                <w:rFonts w:ascii="Arial" w:cs="Arial" w:eastAsia="Arial" w:hAnsi="Arial"/>
                <w:sz w:val="13"/>
                <w:szCs w:val="13"/>
                <w:b w:val="1"/>
                <w:bCs w:val="1"/>
                <w:color w:val="auto"/>
              </w:rPr>
              <w:t>Termination</w:t>
            </w:r>
          </w:p>
        </w:tc>
        <w:tc>
          <w:tcPr>
            <w:tcW w:w="1220" w:type="dxa"/>
            <w:vAlign w:val="bottom"/>
            <w:tcBorders>
              <w:top w:val="single" w:sz="8" w:color="auto"/>
            </w:tcBorders>
          </w:tcPr>
          <w:p>
            <w:pPr>
              <w:jc w:val="right"/>
              <w:ind w:right="289"/>
              <w:spacing w:after="0" w:line="119" w:lineRule="exact"/>
              <w:rPr>
                <w:sz w:val="20"/>
                <w:szCs w:val="20"/>
                <w:color w:val="auto"/>
              </w:rPr>
            </w:pPr>
            <w:r>
              <w:rPr>
                <w:rFonts w:ascii="Arial" w:cs="Arial" w:eastAsia="Arial" w:hAnsi="Arial"/>
                <w:sz w:val="13"/>
                <w:szCs w:val="13"/>
                <w:b w:val="1"/>
                <w:bCs w:val="1"/>
                <w:color w:val="auto"/>
              </w:rPr>
              <w:t>Change in</w:t>
            </w:r>
          </w:p>
        </w:tc>
        <w:tc>
          <w:tcPr>
            <w:tcW w:w="0" w:type="dxa"/>
            <w:vAlign w:val="bottom"/>
          </w:tcPr>
          <w:p>
            <w:pPr>
              <w:spacing w:after="0"/>
              <w:rPr>
                <w:sz w:val="1"/>
                <w:szCs w:val="1"/>
                <w:color w:val="auto"/>
              </w:rPr>
            </w:pPr>
          </w:p>
        </w:tc>
      </w:tr>
      <w:tr>
        <w:trPr>
          <w:trHeight w:val="171"/>
        </w:trPr>
        <w:tc>
          <w:tcPr>
            <w:tcW w:w="3020" w:type="dxa"/>
            <w:vAlign w:val="bottom"/>
            <w:tcBorders>
              <w:bottom w:val="single" w:sz="8" w:color="CCEEFF"/>
            </w:tcBorders>
          </w:tcPr>
          <w:p>
            <w:pPr>
              <w:spacing w:after="0"/>
              <w:rPr>
                <w:sz w:val="14"/>
                <w:szCs w:val="14"/>
                <w:color w:val="auto"/>
              </w:rPr>
            </w:pPr>
          </w:p>
        </w:tc>
        <w:tc>
          <w:tcPr>
            <w:tcW w:w="1120" w:type="dxa"/>
            <w:vAlign w:val="bottom"/>
            <w:tcBorders>
              <w:bottom w:val="single" w:sz="8" w:color="auto"/>
            </w:tcBorders>
          </w:tcPr>
          <w:p>
            <w:pPr>
              <w:jc w:val="center"/>
              <w:ind w:left="331"/>
              <w:spacing w:after="0"/>
              <w:rPr>
                <w:sz w:val="20"/>
                <w:szCs w:val="20"/>
                <w:color w:val="auto"/>
              </w:rPr>
            </w:pPr>
            <w:r>
              <w:rPr>
                <w:rFonts w:ascii="Arial" w:cs="Arial" w:eastAsia="Arial" w:hAnsi="Arial"/>
                <w:sz w:val="14"/>
                <w:szCs w:val="14"/>
                <w:b w:val="1"/>
                <w:bCs w:val="1"/>
                <w:color w:val="auto"/>
                <w:w w:val="89"/>
              </w:rPr>
              <w:t>Resignation</w:t>
            </w:r>
          </w:p>
        </w:tc>
        <w:tc>
          <w:tcPr>
            <w:tcW w:w="380" w:type="dxa"/>
            <w:vAlign w:val="bottom"/>
            <w:tcBorders>
              <w:bottom w:val="single" w:sz="8" w:color="auto"/>
            </w:tcBorders>
          </w:tcPr>
          <w:p>
            <w:pPr>
              <w:spacing w:after="0"/>
              <w:rPr>
                <w:sz w:val="14"/>
                <w:szCs w:val="14"/>
                <w:color w:val="auto"/>
              </w:rPr>
            </w:pPr>
          </w:p>
        </w:tc>
        <w:tc>
          <w:tcPr>
            <w:tcW w:w="1400" w:type="dxa"/>
            <w:vAlign w:val="bottom"/>
            <w:tcBorders>
              <w:bottom w:val="single" w:sz="8" w:color="auto"/>
            </w:tcBorders>
          </w:tcPr>
          <w:p>
            <w:pPr>
              <w:ind w:left="260"/>
              <w:spacing w:after="0"/>
              <w:rPr>
                <w:sz w:val="20"/>
                <w:szCs w:val="20"/>
                <w:color w:val="auto"/>
              </w:rPr>
            </w:pPr>
            <w:r>
              <w:rPr>
                <w:rFonts w:ascii="Arial" w:cs="Arial" w:eastAsia="Arial" w:hAnsi="Arial"/>
                <w:sz w:val="14"/>
                <w:szCs w:val="14"/>
                <w:b w:val="1"/>
                <w:bCs w:val="1"/>
                <w:color w:val="auto"/>
              </w:rPr>
              <w:t>With Cause</w:t>
            </w:r>
          </w:p>
        </w:tc>
        <w:tc>
          <w:tcPr>
            <w:tcW w:w="1400" w:type="dxa"/>
            <w:vAlign w:val="bottom"/>
            <w:tcBorders>
              <w:bottom w:val="single" w:sz="8" w:color="auto"/>
            </w:tcBorders>
            <w:vMerge w:val="continue"/>
          </w:tcPr>
          <w:p>
            <w:pPr>
              <w:spacing w:after="0"/>
              <w:rPr>
                <w:sz w:val="14"/>
                <w:szCs w:val="14"/>
                <w:color w:val="auto"/>
              </w:rPr>
            </w:pPr>
          </w:p>
        </w:tc>
        <w:tc>
          <w:tcPr>
            <w:tcW w:w="1320" w:type="dxa"/>
            <w:vAlign w:val="bottom"/>
            <w:tcBorders>
              <w:bottom w:val="single" w:sz="8" w:color="auto"/>
            </w:tcBorders>
          </w:tcPr>
          <w:p>
            <w:pPr>
              <w:jc w:val="right"/>
              <w:ind w:right="369"/>
              <w:spacing w:after="0"/>
              <w:rPr>
                <w:sz w:val="20"/>
                <w:szCs w:val="20"/>
                <w:color w:val="auto"/>
              </w:rPr>
            </w:pPr>
            <w:r>
              <w:rPr>
                <w:rFonts w:ascii="Arial" w:cs="Arial" w:eastAsia="Arial" w:hAnsi="Arial"/>
                <w:sz w:val="14"/>
                <w:szCs w:val="14"/>
                <w:b w:val="1"/>
                <w:bCs w:val="1"/>
                <w:color w:val="auto"/>
              </w:rPr>
              <w:t>Disability</w:t>
            </w:r>
          </w:p>
        </w:tc>
        <w:tc>
          <w:tcPr>
            <w:tcW w:w="1560" w:type="dxa"/>
            <w:vAlign w:val="bottom"/>
            <w:tcBorders>
              <w:bottom w:val="single" w:sz="8" w:color="auto"/>
            </w:tcBorders>
          </w:tcPr>
          <w:p>
            <w:pPr>
              <w:jc w:val="right"/>
              <w:ind w:right="329"/>
              <w:spacing w:after="0"/>
              <w:rPr>
                <w:sz w:val="20"/>
                <w:szCs w:val="20"/>
                <w:color w:val="auto"/>
              </w:rPr>
            </w:pPr>
            <w:r>
              <w:rPr>
                <w:rFonts w:ascii="Arial" w:cs="Arial" w:eastAsia="Arial" w:hAnsi="Arial"/>
                <w:sz w:val="14"/>
                <w:szCs w:val="14"/>
                <w:b w:val="1"/>
                <w:bCs w:val="1"/>
                <w:color w:val="auto"/>
              </w:rPr>
              <w:t>Without Cause</w:t>
            </w:r>
          </w:p>
        </w:tc>
        <w:tc>
          <w:tcPr>
            <w:tcW w:w="1220" w:type="dxa"/>
            <w:vAlign w:val="bottom"/>
            <w:tcBorders>
              <w:bottom w:val="single" w:sz="8" w:color="auto"/>
            </w:tcBorders>
          </w:tcPr>
          <w:p>
            <w:pPr>
              <w:jc w:val="right"/>
              <w:ind w:right="349"/>
              <w:spacing w:after="0"/>
              <w:rPr>
                <w:sz w:val="20"/>
                <w:szCs w:val="20"/>
                <w:color w:val="auto"/>
              </w:rPr>
            </w:pPr>
            <w:r>
              <w:rPr>
                <w:rFonts w:ascii="Arial" w:cs="Arial" w:eastAsia="Arial" w:hAnsi="Arial"/>
                <w:sz w:val="14"/>
                <w:szCs w:val="14"/>
                <w:b w:val="1"/>
                <w:bCs w:val="1"/>
                <w:color w:val="auto"/>
              </w:rPr>
              <w:t>Control</w:t>
            </w:r>
          </w:p>
        </w:tc>
        <w:tc>
          <w:tcPr>
            <w:tcW w:w="0" w:type="dxa"/>
            <w:vAlign w:val="bottom"/>
          </w:tcPr>
          <w:p>
            <w:pPr>
              <w:spacing w:after="0"/>
              <w:rPr>
                <w:sz w:val="1"/>
                <w:szCs w:val="1"/>
                <w:color w:val="auto"/>
              </w:rPr>
            </w:pPr>
          </w:p>
        </w:tc>
      </w:tr>
      <w:tr>
        <w:trPr>
          <w:trHeight w:val="142"/>
        </w:trPr>
        <w:tc>
          <w:tcPr>
            <w:tcW w:w="3020" w:type="dxa"/>
            <w:vAlign w:val="bottom"/>
            <w:shd w:val="clear" w:color="auto" w:fill="CCEEFF"/>
          </w:tcPr>
          <w:p>
            <w:pPr>
              <w:spacing w:after="0" w:line="142" w:lineRule="exact"/>
              <w:rPr>
                <w:sz w:val="20"/>
                <w:szCs w:val="20"/>
                <w:color w:val="auto"/>
              </w:rPr>
            </w:pPr>
            <w:r>
              <w:rPr>
                <w:rFonts w:ascii="Arial" w:cs="Arial" w:eastAsia="Arial" w:hAnsi="Arial"/>
                <w:sz w:val="14"/>
                <w:szCs w:val="14"/>
                <w:color w:val="auto"/>
              </w:rPr>
              <w:t>Cash Severance (1)</w:t>
            </w:r>
          </w:p>
        </w:tc>
        <w:tc>
          <w:tcPr>
            <w:tcW w:w="1120" w:type="dxa"/>
            <w:vAlign w:val="bottom"/>
            <w:shd w:val="clear" w:color="auto" w:fill="CCEEFF"/>
          </w:tcPr>
          <w:p>
            <w:pPr>
              <w:spacing w:after="0"/>
              <w:rPr>
                <w:sz w:val="12"/>
                <w:szCs w:val="12"/>
                <w:color w:val="auto"/>
              </w:rPr>
            </w:pPr>
          </w:p>
        </w:tc>
        <w:tc>
          <w:tcPr>
            <w:tcW w:w="380" w:type="dxa"/>
            <w:vAlign w:val="bottom"/>
            <w:shd w:val="clear" w:color="auto" w:fill="CCEEFF"/>
          </w:tcPr>
          <w:p>
            <w:pPr>
              <w:spacing w:after="0" w:line="142" w:lineRule="exact"/>
              <w:rPr>
                <w:sz w:val="20"/>
                <w:szCs w:val="20"/>
                <w:color w:val="auto"/>
              </w:rPr>
            </w:pPr>
            <w:r>
              <w:rPr>
                <w:rFonts w:ascii="Arial" w:cs="Arial" w:eastAsia="Arial" w:hAnsi="Arial"/>
                <w:sz w:val="14"/>
                <w:szCs w:val="14"/>
                <w:color w:val="auto"/>
              </w:rPr>
              <w:t>—</w:t>
            </w:r>
          </w:p>
        </w:tc>
        <w:tc>
          <w:tcPr>
            <w:tcW w:w="1400" w:type="dxa"/>
            <w:vAlign w:val="bottom"/>
            <w:shd w:val="clear" w:color="auto" w:fill="CCEEFF"/>
          </w:tcPr>
          <w:p>
            <w:pPr>
              <w:ind w:left="1020"/>
              <w:spacing w:after="0" w:line="142" w:lineRule="exact"/>
              <w:rPr>
                <w:sz w:val="20"/>
                <w:szCs w:val="20"/>
                <w:color w:val="auto"/>
              </w:rPr>
            </w:pPr>
            <w:r>
              <w:rPr>
                <w:rFonts w:ascii="Arial" w:cs="Arial" w:eastAsia="Arial" w:hAnsi="Arial"/>
                <w:sz w:val="14"/>
                <w:szCs w:val="14"/>
                <w:color w:val="auto"/>
              </w:rPr>
              <w:t>—</w:t>
            </w:r>
          </w:p>
        </w:tc>
        <w:tc>
          <w:tcPr>
            <w:tcW w:w="1400" w:type="dxa"/>
            <w:vAlign w:val="bottom"/>
            <w:shd w:val="clear" w:color="auto" w:fill="CCEEFF"/>
          </w:tcPr>
          <w:p>
            <w:pPr>
              <w:spacing w:after="0"/>
              <w:rPr>
                <w:sz w:val="12"/>
                <w:szCs w:val="12"/>
                <w:color w:val="auto"/>
              </w:rPr>
            </w:pPr>
          </w:p>
        </w:tc>
        <w:tc>
          <w:tcPr>
            <w:tcW w:w="1320" w:type="dxa"/>
            <w:vAlign w:val="bottom"/>
            <w:shd w:val="clear" w:color="auto" w:fill="CCEEFF"/>
          </w:tcPr>
          <w:p>
            <w:pPr>
              <w:jc w:val="right"/>
              <w:ind w:right="169"/>
              <w:spacing w:after="0" w:line="142" w:lineRule="exact"/>
              <w:rPr>
                <w:sz w:val="20"/>
                <w:szCs w:val="20"/>
                <w:color w:val="auto"/>
              </w:rPr>
            </w:pPr>
            <w:r>
              <w:rPr>
                <w:rFonts w:ascii="Arial" w:cs="Arial" w:eastAsia="Arial" w:hAnsi="Arial"/>
                <w:sz w:val="14"/>
                <w:szCs w:val="14"/>
                <w:color w:val="auto"/>
              </w:rPr>
              <w:t>—</w:t>
            </w:r>
          </w:p>
        </w:tc>
        <w:tc>
          <w:tcPr>
            <w:tcW w:w="1560" w:type="dxa"/>
            <w:vAlign w:val="bottom"/>
            <w:shd w:val="clear" w:color="auto" w:fill="CCEEFF"/>
          </w:tcPr>
          <w:p>
            <w:pPr>
              <w:jc w:val="right"/>
              <w:ind w:right="189"/>
              <w:spacing w:after="0" w:line="142" w:lineRule="exact"/>
              <w:rPr>
                <w:sz w:val="20"/>
                <w:szCs w:val="20"/>
                <w:color w:val="auto"/>
              </w:rPr>
            </w:pPr>
            <w:r>
              <w:rPr>
                <w:rFonts w:ascii="Arial" w:cs="Arial" w:eastAsia="Arial" w:hAnsi="Arial"/>
                <w:sz w:val="14"/>
                <w:szCs w:val="14"/>
                <w:color w:val="auto"/>
              </w:rPr>
              <w:t>$214,284</w:t>
            </w:r>
          </w:p>
        </w:tc>
        <w:tc>
          <w:tcPr>
            <w:tcW w:w="1220" w:type="dxa"/>
            <w:vAlign w:val="bottom"/>
            <w:shd w:val="clear" w:color="auto" w:fill="CCEEFF"/>
          </w:tcPr>
          <w:p>
            <w:pPr>
              <w:jc w:val="right"/>
              <w:ind w:right="9"/>
              <w:spacing w:after="0" w:line="142" w:lineRule="exact"/>
              <w:rPr>
                <w:sz w:val="20"/>
                <w:szCs w:val="20"/>
                <w:color w:val="auto"/>
              </w:rPr>
            </w:pPr>
            <w:r>
              <w:rPr>
                <w:rFonts w:ascii="Arial" w:cs="Arial" w:eastAsia="Arial" w:hAnsi="Arial"/>
                <w:sz w:val="14"/>
                <w:szCs w:val="14"/>
                <w:color w:val="auto"/>
              </w:rPr>
              <w:t>$449,996</w:t>
            </w:r>
          </w:p>
        </w:tc>
        <w:tc>
          <w:tcPr>
            <w:tcW w:w="0" w:type="dxa"/>
            <w:vAlign w:val="bottom"/>
          </w:tcPr>
          <w:p>
            <w:pPr>
              <w:spacing w:after="0"/>
              <w:rPr>
                <w:sz w:val="1"/>
                <w:szCs w:val="1"/>
                <w:color w:val="auto"/>
              </w:rPr>
            </w:pPr>
          </w:p>
        </w:tc>
      </w:tr>
      <w:tr>
        <w:trPr>
          <w:trHeight w:val="149"/>
        </w:trPr>
        <w:tc>
          <w:tcPr>
            <w:tcW w:w="4140" w:type="dxa"/>
            <w:vAlign w:val="bottom"/>
            <w:gridSpan w:val="2"/>
          </w:tcPr>
          <w:p>
            <w:pPr>
              <w:spacing w:after="0" w:line="149" w:lineRule="exact"/>
              <w:rPr>
                <w:sz w:val="20"/>
                <w:szCs w:val="20"/>
                <w:color w:val="auto"/>
              </w:rPr>
            </w:pPr>
            <w:r>
              <w:rPr>
                <w:rFonts w:ascii="Arial" w:cs="Arial" w:eastAsia="Arial" w:hAnsi="Arial"/>
                <w:sz w:val="14"/>
                <w:szCs w:val="14"/>
                <w:color w:val="auto"/>
              </w:rPr>
              <w:t>Equity (2)</w:t>
            </w:r>
          </w:p>
        </w:tc>
        <w:tc>
          <w:tcPr>
            <w:tcW w:w="380" w:type="dxa"/>
            <w:vAlign w:val="bottom"/>
          </w:tcPr>
          <w:p>
            <w:pPr>
              <w:spacing w:after="0" w:line="149" w:lineRule="exact"/>
              <w:rPr>
                <w:sz w:val="20"/>
                <w:szCs w:val="20"/>
                <w:color w:val="auto"/>
              </w:rPr>
            </w:pPr>
            <w:r>
              <w:rPr>
                <w:rFonts w:ascii="Arial" w:cs="Arial" w:eastAsia="Arial" w:hAnsi="Arial"/>
                <w:sz w:val="14"/>
                <w:szCs w:val="14"/>
                <w:color w:val="auto"/>
              </w:rPr>
              <w:t>—</w:t>
            </w:r>
          </w:p>
        </w:tc>
        <w:tc>
          <w:tcPr>
            <w:tcW w:w="1400" w:type="dxa"/>
            <w:vAlign w:val="bottom"/>
          </w:tcPr>
          <w:p>
            <w:pPr>
              <w:ind w:left="1020"/>
              <w:spacing w:after="0" w:line="149" w:lineRule="exact"/>
              <w:rPr>
                <w:sz w:val="20"/>
                <w:szCs w:val="20"/>
                <w:color w:val="auto"/>
              </w:rPr>
            </w:pPr>
            <w:r>
              <w:rPr>
                <w:rFonts w:ascii="Arial" w:cs="Arial" w:eastAsia="Arial" w:hAnsi="Arial"/>
                <w:sz w:val="14"/>
                <w:szCs w:val="14"/>
                <w:color w:val="auto"/>
              </w:rPr>
              <w:t>—</w:t>
            </w:r>
          </w:p>
        </w:tc>
        <w:tc>
          <w:tcPr>
            <w:tcW w:w="1400" w:type="dxa"/>
            <w:vAlign w:val="bottom"/>
          </w:tcPr>
          <w:p>
            <w:pPr>
              <w:spacing w:after="0"/>
              <w:rPr>
                <w:sz w:val="12"/>
                <w:szCs w:val="12"/>
                <w:color w:val="auto"/>
              </w:rPr>
            </w:pPr>
          </w:p>
        </w:tc>
        <w:tc>
          <w:tcPr>
            <w:tcW w:w="1320" w:type="dxa"/>
            <w:vAlign w:val="bottom"/>
          </w:tcPr>
          <w:p>
            <w:pPr>
              <w:jc w:val="right"/>
              <w:ind w:right="169"/>
              <w:spacing w:after="0" w:line="149" w:lineRule="exact"/>
              <w:rPr>
                <w:sz w:val="20"/>
                <w:szCs w:val="20"/>
                <w:color w:val="auto"/>
              </w:rPr>
            </w:pPr>
            <w:r>
              <w:rPr>
                <w:rFonts w:ascii="Arial" w:cs="Arial" w:eastAsia="Arial" w:hAnsi="Arial"/>
                <w:sz w:val="14"/>
                <w:szCs w:val="14"/>
                <w:color w:val="auto"/>
              </w:rPr>
              <w:t>$303,130</w:t>
            </w:r>
          </w:p>
        </w:tc>
        <w:tc>
          <w:tcPr>
            <w:tcW w:w="1560" w:type="dxa"/>
            <w:vAlign w:val="bottom"/>
          </w:tcPr>
          <w:p>
            <w:pPr>
              <w:jc w:val="right"/>
              <w:ind w:right="189"/>
              <w:spacing w:after="0" w:line="149" w:lineRule="exact"/>
              <w:rPr>
                <w:sz w:val="20"/>
                <w:szCs w:val="20"/>
                <w:color w:val="auto"/>
              </w:rPr>
            </w:pPr>
            <w:r>
              <w:rPr>
                <w:rFonts w:ascii="Arial" w:cs="Arial" w:eastAsia="Arial" w:hAnsi="Arial"/>
                <w:sz w:val="14"/>
                <w:szCs w:val="14"/>
                <w:color w:val="auto"/>
              </w:rPr>
              <w:t>$266,603</w:t>
            </w:r>
          </w:p>
        </w:tc>
        <w:tc>
          <w:tcPr>
            <w:tcW w:w="1220" w:type="dxa"/>
            <w:vAlign w:val="bottom"/>
          </w:tcPr>
          <w:p>
            <w:pPr>
              <w:jc w:val="right"/>
              <w:ind w:right="9"/>
              <w:spacing w:after="0" w:line="149" w:lineRule="exact"/>
              <w:rPr>
                <w:sz w:val="20"/>
                <w:szCs w:val="20"/>
                <w:color w:val="auto"/>
              </w:rPr>
            </w:pPr>
            <w:r>
              <w:rPr>
                <w:rFonts w:ascii="Arial" w:cs="Arial" w:eastAsia="Arial" w:hAnsi="Arial"/>
                <w:sz w:val="14"/>
                <w:szCs w:val="14"/>
                <w:color w:val="auto"/>
              </w:rPr>
              <w:t>$303,130</w:t>
            </w:r>
          </w:p>
        </w:tc>
        <w:tc>
          <w:tcPr>
            <w:tcW w:w="0" w:type="dxa"/>
            <w:vAlign w:val="bottom"/>
          </w:tcPr>
          <w:p>
            <w:pPr>
              <w:spacing w:after="0"/>
              <w:rPr>
                <w:sz w:val="1"/>
                <w:szCs w:val="1"/>
                <w:color w:val="auto"/>
              </w:rPr>
            </w:pPr>
          </w:p>
        </w:tc>
      </w:tr>
      <w:tr>
        <w:trPr>
          <w:trHeight w:val="149"/>
        </w:trPr>
        <w:tc>
          <w:tcPr>
            <w:tcW w:w="414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Retirement Benefits (3)</w:t>
            </w:r>
          </w:p>
        </w:tc>
        <w:tc>
          <w:tcPr>
            <w:tcW w:w="3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w:t>
            </w:r>
          </w:p>
        </w:tc>
        <w:tc>
          <w:tcPr>
            <w:tcW w:w="1400" w:type="dxa"/>
            <w:vAlign w:val="bottom"/>
            <w:shd w:val="clear" w:color="auto" w:fill="CCEEFF"/>
          </w:tcPr>
          <w:p>
            <w:pPr>
              <w:ind w:left="1020"/>
              <w:spacing w:after="0" w:line="149" w:lineRule="exact"/>
              <w:rPr>
                <w:sz w:val="20"/>
                <w:szCs w:val="20"/>
                <w:color w:val="auto"/>
              </w:rPr>
            </w:pPr>
            <w:r>
              <w:rPr>
                <w:rFonts w:ascii="Arial" w:cs="Arial" w:eastAsia="Arial" w:hAnsi="Arial"/>
                <w:sz w:val="14"/>
                <w:szCs w:val="14"/>
                <w:color w:val="auto"/>
              </w:rPr>
              <w:t>—</w:t>
            </w:r>
          </w:p>
        </w:tc>
        <w:tc>
          <w:tcPr>
            <w:tcW w:w="1400" w:type="dxa"/>
            <w:vAlign w:val="bottom"/>
            <w:shd w:val="clear" w:color="auto" w:fill="CCEEFF"/>
          </w:tcPr>
          <w:p>
            <w:pPr>
              <w:spacing w:after="0"/>
              <w:rPr>
                <w:sz w:val="12"/>
                <w:szCs w:val="12"/>
                <w:color w:val="auto"/>
              </w:rPr>
            </w:pPr>
          </w:p>
        </w:tc>
        <w:tc>
          <w:tcPr>
            <w:tcW w:w="1320" w:type="dxa"/>
            <w:vAlign w:val="bottom"/>
            <w:shd w:val="clear" w:color="auto" w:fill="CCEEFF"/>
          </w:tcPr>
          <w:p>
            <w:pPr>
              <w:jc w:val="right"/>
              <w:ind w:right="169"/>
              <w:spacing w:after="0" w:line="149" w:lineRule="exact"/>
              <w:rPr>
                <w:sz w:val="20"/>
                <w:szCs w:val="20"/>
                <w:color w:val="auto"/>
              </w:rPr>
            </w:pPr>
            <w:r>
              <w:rPr>
                <w:rFonts w:ascii="Arial" w:cs="Arial" w:eastAsia="Arial" w:hAnsi="Arial"/>
                <w:sz w:val="14"/>
                <w:szCs w:val="14"/>
                <w:color w:val="auto"/>
              </w:rPr>
              <w:t>—</w:t>
            </w:r>
          </w:p>
        </w:tc>
        <w:tc>
          <w:tcPr>
            <w:tcW w:w="1560" w:type="dxa"/>
            <w:vAlign w:val="bottom"/>
            <w:shd w:val="clear" w:color="auto" w:fill="CCEEFF"/>
          </w:tcPr>
          <w:p>
            <w:pPr>
              <w:jc w:val="right"/>
              <w:ind w:right="189"/>
              <w:spacing w:after="0" w:line="149" w:lineRule="exact"/>
              <w:rPr>
                <w:sz w:val="20"/>
                <w:szCs w:val="20"/>
                <w:color w:val="auto"/>
              </w:rPr>
            </w:pPr>
            <w:r>
              <w:rPr>
                <w:rFonts w:ascii="Arial" w:cs="Arial" w:eastAsia="Arial" w:hAnsi="Arial"/>
                <w:sz w:val="14"/>
                <w:szCs w:val="14"/>
                <w:color w:val="auto"/>
              </w:rPr>
              <w:t>—</w:t>
            </w:r>
          </w:p>
        </w:tc>
        <w:tc>
          <w:tcPr>
            <w:tcW w:w="1220" w:type="dxa"/>
            <w:vAlign w:val="bottom"/>
            <w:shd w:val="clear" w:color="auto" w:fill="CCEEFF"/>
          </w:tcPr>
          <w:p>
            <w:pPr>
              <w:jc w:val="right"/>
              <w:ind w:right="9"/>
              <w:spacing w:after="0" w:line="149" w:lineRule="exact"/>
              <w:rPr>
                <w:sz w:val="20"/>
                <w:szCs w:val="20"/>
                <w:color w:val="auto"/>
              </w:rPr>
            </w:pPr>
            <w:r>
              <w:rPr>
                <w:rFonts w:ascii="Arial" w:cs="Arial" w:eastAsia="Arial" w:hAnsi="Arial"/>
                <w:sz w:val="14"/>
                <w:szCs w:val="14"/>
                <w:color w:val="auto"/>
              </w:rPr>
              <w:t>$76,000</w:t>
            </w:r>
          </w:p>
        </w:tc>
        <w:tc>
          <w:tcPr>
            <w:tcW w:w="0" w:type="dxa"/>
            <w:vAlign w:val="bottom"/>
          </w:tcPr>
          <w:p>
            <w:pPr>
              <w:spacing w:after="0"/>
              <w:rPr>
                <w:sz w:val="1"/>
                <w:szCs w:val="1"/>
                <w:color w:val="auto"/>
              </w:rPr>
            </w:pPr>
          </w:p>
        </w:tc>
      </w:tr>
      <w:tr>
        <w:trPr>
          <w:trHeight w:val="149"/>
        </w:trPr>
        <w:tc>
          <w:tcPr>
            <w:tcW w:w="4140" w:type="dxa"/>
            <w:vAlign w:val="bottom"/>
            <w:gridSpan w:val="2"/>
          </w:tcPr>
          <w:p>
            <w:pPr>
              <w:spacing w:after="0" w:line="149" w:lineRule="exact"/>
              <w:rPr>
                <w:sz w:val="20"/>
                <w:szCs w:val="20"/>
                <w:color w:val="auto"/>
              </w:rPr>
            </w:pPr>
            <w:r>
              <w:rPr>
                <w:rFonts w:ascii="Arial" w:cs="Arial" w:eastAsia="Arial" w:hAnsi="Arial"/>
                <w:sz w:val="14"/>
                <w:szCs w:val="14"/>
                <w:color w:val="auto"/>
              </w:rPr>
              <w:t>Other Benefits (4)</w:t>
            </w:r>
          </w:p>
        </w:tc>
        <w:tc>
          <w:tcPr>
            <w:tcW w:w="380" w:type="dxa"/>
            <w:vAlign w:val="bottom"/>
          </w:tcPr>
          <w:p>
            <w:pPr>
              <w:spacing w:after="0" w:line="149" w:lineRule="exact"/>
              <w:rPr>
                <w:sz w:val="20"/>
                <w:szCs w:val="20"/>
                <w:color w:val="auto"/>
              </w:rPr>
            </w:pPr>
            <w:r>
              <w:rPr>
                <w:rFonts w:ascii="Arial" w:cs="Arial" w:eastAsia="Arial" w:hAnsi="Arial"/>
                <w:sz w:val="14"/>
                <w:szCs w:val="14"/>
                <w:color w:val="auto"/>
              </w:rPr>
              <w:t>—</w:t>
            </w:r>
          </w:p>
        </w:tc>
        <w:tc>
          <w:tcPr>
            <w:tcW w:w="1400" w:type="dxa"/>
            <w:vAlign w:val="bottom"/>
          </w:tcPr>
          <w:p>
            <w:pPr>
              <w:ind w:left="1020"/>
              <w:spacing w:after="0" w:line="149" w:lineRule="exact"/>
              <w:rPr>
                <w:sz w:val="20"/>
                <w:szCs w:val="20"/>
                <w:color w:val="auto"/>
              </w:rPr>
            </w:pPr>
            <w:r>
              <w:rPr>
                <w:rFonts w:ascii="Arial" w:cs="Arial" w:eastAsia="Arial" w:hAnsi="Arial"/>
                <w:sz w:val="14"/>
                <w:szCs w:val="14"/>
                <w:color w:val="auto"/>
              </w:rPr>
              <w:t>—</w:t>
            </w:r>
          </w:p>
        </w:tc>
        <w:tc>
          <w:tcPr>
            <w:tcW w:w="1400" w:type="dxa"/>
            <w:vAlign w:val="bottom"/>
          </w:tcPr>
          <w:p>
            <w:pPr>
              <w:spacing w:after="0"/>
              <w:rPr>
                <w:sz w:val="12"/>
                <w:szCs w:val="12"/>
                <w:color w:val="auto"/>
              </w:rPr>
            </w:pPr>
          </w:p>
        </w:tc>
        <w:tc>
          <w:tcPr>
            <w:tcW w:w="1320" w:type="dxa"/>
            <w:vAlign w:val="bottom"/>
          </w:tcPr>
          <w:p>
            <w:pPr>
              <w:jc w:val="right"/>
              <w:ind w:right="169"/>
              <w:spacing w:after="0" w:line="149" w:lineRule="exact"/>
              <w:rPr>
                <w:sz w:val="20"/>
                <w:szCs w:val="20"/>
                <w:color w:val="auto"/>
              </w:rPr>
            </w:pPr>
            <w:r>
              <w:rPr>
                <w:rFonts w:ascii="Arial" w:cs="Arial" w:eastAsia="Arial" w:hAnsi="Arial"/>
                <w:sz w:val="14"/>
                <w:szCs w:val="14"/>
                <w:color w:val="auto"/>
              </w:rPr>
              <w:t>—</w:t>
            </w:r>
          </w:p>
        </w:tc>
        <w:tc>
          <w:tcPr>
            <w:tcW w:w="1560" w:type="dxa"/>
            <w:vAlign w:val="bottom"/>
          </w:tcPr>
          <w:p>
            <w:pPr>
              <w:jc w:val="right"/>
              <w:ind w:right="189"/>
              <w:spacing w:after="0" w:line="149" w:lineRule="exact"/>
              <w:rPr>
                <w:sz w:val="20"/>
                <w:szCs w:val="20"/>
                <w:color w:val="auto"/>
              </w:rPr>
            </w:pPr>
            <w:r>
              <w:rPr>
                <w:rFonts w:ascii="Arial" w:cs="Arial" w:eastAsia="Arial" w:hAnsi="Arial"/>
                <w:sz w:val="14"/>
                <w:szCs w:val="14"/>
                <w:color w:val="auto"/>
              </w:rPr>
              <w:t>$30,000</w:t>
            </w:r>
          </w:p>
        </w:tc>
        <w:tc>
          <w:tcPr>
            <w:tcW w:w="1220" w:type="dxa"/>
            <w:vAlign w:val="bottom"/>
          </w:tcPr>
          <w:p>
            <w:pPr>
              <w:jc w:val="right"/>
              <w:ind w:right="9"/>
              <w:spacing w:after="0" w:line="149" w:lineRule="exact"/>
              <w:rPr>
                <w:sz w:val="20"/>
                <w:szCs w:val="20"/>
                <w:color w:val="auto"/>
              </w:rPr>
            </w:pPr>
            <w:r>
              <w:rPr>
                <w:rFonts w:ascii="Arial" w:cs="Arial" w:eastAsia="Arial" w:hAnsi="Arial"/>
                <w:sz w:val="14"/>
                <w:szCs w:val="14"/>
                <w:color w:val="auto"/>
              </w:rPr>
              <w:t>$35,000</w:t>
            </w:r>
          </w:p>
        </w:tc>
        <w:tc>
          <w:tcPr>
            <w:tcW w:w="0" w:type="dxa"/>
            <w:vAlign w:val="bottom"/>
          </w:tcPr>
          <w:p>
            <w:pPr>
              <w:spacing w:after="0"/>
              <w:rPr>
                <w:sz w:val="1"/>
                <w:szCs w:val="1"/>
                <w:color w:val="auto"/>
              </w:rPr>
            </w:pPr>
          </w:p>
        </w:tc>
      </w:tr>
      <w:tr>
        <w:trPr>
          <w:trHeight w:val="149"/>
        </w:trPr>
        <w:tc>
          <w:tcPr>
            <w:tcW w:w="414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Excise Tax Gross-Up (5)</w:t>
            </w:r>
          </w:p>
        </w:tc>
        <w:tc>
          <w:tcPr>
            <w:tcW w:w="3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w:t>
            </w:r>
          </w:p>
        </w:tc>
        <w:tc>
          <w:tcPr>
            <w:tcW w:w="1400" w:type="dxa"/>
            <w:vAlign w:val="bottom"/>
            <w:shd w:val="clear" w:color="auto" w:fill="CCEEFF"/>
          </w:tcPr>
          <w:p>
            <w:pPr>
              <w:ind w:left="1020"/>
              <w:spacing w:after="0" w:line="149" w:lineRule="exact"/>
              <w:rPr>
                <w:sz w:val="20"/>
                <w:szCs w:val="20"/>
                <w:color w:val="auto"/>
              </w:rPr>
            </w:pPr>
            <w:r>
              <w:rPr>
                <w:rFonts w:ascii="Arial" w:cs="Arial" w:eastAsia="Arial" w:hAnsi="Arial"/>
                <w:sz w:val="14"/>
                <w:szCs w:val="14"/>
                <w:color w:val="auto"/>
              </w:rPr>
              <w:t>—</w:t>
            </w:r>
          </w:p>
        </w:tc>
        <w:tc>
          <w:tcPr>
            <w:tcW w:w="1400" w:type="dxa"/>
            <w:vAlign w:val="bottom"/>
            <w:shd w:val="clear" w:color="auto" w:fill="CCEEFF"/>
          </w:tcPr>
          <w:p>
            <w:pPr>
              <w:spacing w:after="0"/>
              <w:rPr>
                <w:sz w:val="12"/>
                <w:szCs w:val="12"/>
                <w:color w:val="auto"/>
              </w:rPr>
            </w:pPr>
          </w:p>
        </w:tc>
        <w:tc>
          <w:tcPr>
            <w:tcW w:w="1320" w:type="dxa"/>
            <w:vAlign w:val="bottom"/>
            <w:shd w:val="clear" w:color="auto" w:fill="CCEEFF"/>
          </w:tcPr>
          <w:p>
            <w:pPr>
              <w:jc w:val="right"/>
              <w:ind w:right="169"/>
              <w:spacing w:after="0" w:line="149" w:lineRule="exact"/>
              <w:rPr>
                <w:sz w:val="20"/>
                <w:szCs w:val="20"/>
                <w:color w:val="auto"/>
              </w:rPr>
            </w:pPr>
            <w:r>
              <w:rPr>
                <w:rFonts w:ascii="Arial" w:cs="Arial" w:eastAsia="Arial" w:hAnsi="Arial"/>
                <w:sz w:val="14"/>
                <w:szCs w:val="14"/>
                <w:color w:val="auto"/>
              </w:rPr>
              <w:t>—</w:t>
            </w:r>
          </w:p>
        </w:tc>
        <w:tc>
          <w:tcPr>
            <w:tcW w:w="1560" w:type="dxa"/>
            <w:vAlign w:val="bottom"/>
            <w:shd w:val="clear" w:color="auto" w:fill="CCEEFF"/>
          </w:tcPr>
          <w:p>
            <w:pPr>
              <w:jc w:val="right"/>
              <w:ind w:right="189"/>
              <w:spacing w:after="0" w:line="149" w:lineRule="exact"/>
              <w:rPr>
                <w:sz w:val="20"/>
                <w:szCs w:val="20"/>
                <w:color w:val="auto"/>
              </w:rPr>
            </w:pPr>
            <w:r>
              <w:rPr>
                <w:rFonts w:ascii="Arial" w:cs="Arial" w:eastAsia="Arial" w:hAnsi="Arial"/>
                <w:sz w:val="14"/>
                <w:szCs w:val="14"/>
                <w:color w:val="auto"/>
              </w:rPr>
              <w:t>—</w:t>
            </w:r>
          </w:p>
        </w:tc>
        <w:tc>
          <w:tcPr>
            <w:tcW w:w="1220" w:type="dxa"/>
            <w:vAlign w:val="bottom"/>
            <w:shd w:val="clear" w:color="auto" w:fill="CCEEFF"/>
          </w:tcPr>
          <w:p>
            <w:pPr>
              <w:jc w:val="right"/>
              <w:ind w:right="9"/>
              <w:spacing w:after="0" w:line="149" w:lineRule="exact"/>
              <w:rPr>
                <w:sz w:val="20"/>
                <w:szCs w:val="20"/>
                <w:color w:val="auto"/>
              </w:rPr>
            </w:pPr>
            <w:r>
              <w:rPr>
                <w:rFonts w:ascii="Arial" w:cs="Arial" w:eastAsia="Arial" w:hAnsi="Arial"/>
                <w:sz w:val="14"/>
                <w:szCs w:val="14"/>
                <w:color w:val="auto"/>
              </w:rPr>
              <w:t>$0</w:t>
            </w:r>
          </w:p>
        </w:tc>
        <w:tc>
          <w:tcPr>
            <w:tcW w:w="0" w:type="dxa"/>
            <w:vAlign w:val="bottom"/>
          </w:tcPr>
          <w:p>
            <w:pPr>
              <w:spacing w:after="0"/>
              <w:rPr>
                <w:sz w:val="1"/>
                <w:szCs w:val="1"/>
                <w:color w:val="auto"/>
              </w:rPr>
            </w:pPr>
          </w:p>
        </w:tc>
      </w:tr>
      <w:tr>
        <w:trPr>
          <w:trHeight w:val="149"/>
        </w:trPr>
        <w:tc>
          <w:tcPr>
            <w:tcW w:w="3020" w:type="dxa"/>
            <w:vAlign w:val="bottom"/>
          </w:tcPr>
          <w:p>
            <w:pPr>
              <w:spacing w:after="0" w:line="149" w:lineRule="exact"/>
              <w:rPr>
                <w:sz w:val="20"/>
                <w:szCs w:val="20"/>
                <w:color w:val="auto"/>
              </w:rPr>
            </w:pPr>
            <w:r>
              <w:rPr>
                <w:rFonts w:ascii="Arial" w:cs="Arial" w:eastAsia="Arial" w:hAnsi="Arial"/>
                <w:sz w:val="14"/>
                <w:szCs w:val="14"/>
                <w:color w:val="auto"/>
              </w:rPr>
              <w:t>Total</w:t>
            </w:r>
          </w:p>
        </w:tc>
        <w:tc>
          <w:tcPr>
            <w:tcW w:w="1120" w:type="dxa"/>
            <w:vAlign w:val="bottom"/>
            <w:tcBorders>
              <w:top w:val="single" w:sz="8" w:color="auto"/>
            </w:tcBorders>
          </w:tcPr>
          <w:p>
            <w:pPr>
              <w:spacing w:after="0"/>
              <w:rPr>
                <w:sz w:val="12"/>
                <w:szCs w:val="12"/>
                <w:color w:val="auto"/>
              </w:rPr>
            </w:pPr>
          </w:p>
        </w:tc>
        <w:tc>
          <w:tcPr>
            <w:tcW w:w="380" w:type="dxa"/>
            <w:vAlign w:val="bottom"/>
            <w:tcBorders>
              <w:top w:val="single" w:sz="8" w:color="auto"/>
            </w:tcBorders>
          </w:tcPr>
          <w:p>
            <w:pPr>
              <w:spacing w:after="0" w:line="149" w:lineRule="exact"/>
              <w:rPr>
                <w:sz w:val="20"/>
                <w:szCs w:val="20"/>
                <w:color w:val="auto"/>
              </w:rPr>
            </w:pPr>
            <w:r>
              <w:rPr>
                <w:rFonts w:ascii="Arial" w:cs="Arial" w:eastAsia="Arial" w:hAnsi="Arial"/>
                <w:sz w:val="14"/>
                <w:szCs w:val="14"/>
                <w:color w:val="auto"/>
              </w:rPr>
              <w:t>—</w:t>
            </w:r>
          </w:p>
        </w:tc>
        <w:tc>
          <w:tcPr>
            <w:tcW w:w="1400" w:type="dxa"/>
            <w:vAlign w:val="bottom"/>
            <w:tcBorders>
              <w:top w:val="single" w:sz="8" w:color="auto"/>
            </w:tcBorders>
          </w:tcPr>
          <w:p>
            <w:pPr>
              <w:ind w:left="1020"/>
              <w:spacing w:after="0" w:line="149" w:lineRule="exact"/>
              <w:rPr>
                <w:sz w:val="20"/>
                <w:szCs w:val="20"/>
                <w:color w:val="auto"/>
              </w:rPr>
            </w:pPr>
            <w:r>
              <w:rPr>
                <w:rFonts w:ascii="Arial" w:cs="Arial" w:eastAsia="Arial" w:hAnsi="Arial"/>
                <w:sz w:val="14"/>
                <w:szCs w:val="14"/>
                <w:color w:val="auto"/>
              </w:rPr>
              <w:t>—</w:t>
            </w:r>
          </w:p>
        </w:tc>
        <w:tc>
          <w:tcPr>
            <w:tcW w:w="1400" w:type="dxa"/>
            <w:vAlign w:val="bottom"/>
            <w:tcBorders>
              <w:top w:val="single" w:sz="8" w:color="auto"/>
            </w:tcBorders>
          </w:tcPr>
          <w:p>
            <w:pPr>
              <w:spacing w:after="0"/>
              <w:rPr>
                <w:sz w:val="12"/>
                <w:szCs w:val="12"/>
                <w:color w:val="auto"/>
              </w:rPr>
            </w:pPr>
          </w:p>
        </w:tc>
        <w:tc>
          <w:tcPr>
            <w:tcW w:w="1320" w:type="dxa"/>
            <w:vAlign w:val="bottom"/>
            <w:tcBorders>
              <w:top w:val="single" w:sz="8" w:color="auto"/>
            </w:tcBorders>
          </w:tcPr>
          <w:p>
            <w:pPr>
              <w:jc w:val="right"/>
              <w:ind w:right="169"/>
              <w:spacing w:after="0" w:line="149" w:lineRule="exact"/>
              <w:rPr>
                <w:sz w:val="20"/>
                <w:szCs w:val="20"/>
                <w:color w:val="auto"/>
              </w:rPr>
            </w:pPr>
            <w:r>
              <w:rPr>
                <w:rFonts w:ascii="Arial" w:cs="Arial" w:eastAsia="Arial" w:hAnsi="Arial"/>
                <w:sz w:val="14"/>
                <w:szCs w:val="14"/>
                <w:color w:val="auto"/>
              </w:rPr>
              <w:t>$303,130</w:t>
            </w:r>
          </w:p>
        </w:tc>
        <w:tc>
          <w:tcPr>
            <w:tcW w:w="1560" w:type="dxa"/>
            <w:vAlign w:val="bottom"/>
            <w:tcBorders>
              <w:top w:val="single" w:sz="8" w:color="auto"/>
            </w:tcBorders>
          </w:tcPr>
          <w:p>
            <w:pPr>
              <w:jc w:val="right"/>
              <w:ind w:right="189"/>
              <w:spacing w:after="0" w:line="149" w:lineRule="exact"/>
              <w:rPr>
                <w:sz w:val="20"/>
                <w:szCs w:val="20"/>
                <w:color w:val="auto"/>
              </w:rPr>
            </w:pPr>
            <w:r>
              <w:rPr>
                <w:rFonts w:ascii="Arial" w:cs="Arial" w:eastAsia="Arial" w:hAnsi="Arial"/>
                <w:sz w:val="14"/>
                <w:szCs w:val="14"/>
                <w:color w:val="auto"/>
              </w:rPr>
              <w:t>$510,887</w:t>
            </w:r>
          </w:p>
        </w:tc>
        <w:tc>
          <w:tcPr>
            <w:tcW w:w="1220" w:type="dxa"/>
            <w:vAlign w:val="bottom"/>
            <w:tcBorders>
              <w:top w:val="single" w:sz="8" w:color="auto"/>
            </w:tcBorders>
          </w:tcPr>
          <w:p>
            <w:pPr>
              <w:jc w:val="right"/>
              <w:ind w:right="9"/>
              <w:spacing w:after="0" w:line="149" w:lineRule="exact"/>
              <w:rPr>
                <w:sz w:val="20"/>
                <w:szCs w:val="20"/>
                <w:color w:val="auto"/>
              </w:rPr>
            </w:pPr>
            <w:r>
              <w:rPr>
                <w:rFonts w:ascii="Arial" w:cs="Arial" w:eastAsia="Arial" w:hAnsi="Arial"/>
                <w:sz w:val="14"/>
                <w:szCs w:val="14"/>
                <w:color w:val="auto"/>
              </w:rPr>
              <w:t>$864,126</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-3810</wp:posOffset>
            </wp:positionV>
            <wp:extent cx="7246620" cy="10287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1">
                      <a:extLst>
                        <a:ext uri="{28A0092B-C50C-407E-A947-70E740481C1C}"/>
                      </a:extLst>
                    </a:blip>
                    <a:srcRect/>
                    <a:stretch>
                      <a:fillRect/>
                    </a:stretch>
                  </pic:blipFill>
                  <pic:spPr bwMode="auto">
                    <a:xfrm>
                      <a:off x="0" y="0"/>
                      <a:ext cx="7246620" cy="102870"/>
                    </a:xfrm>
                    <a:prstGeom prst="rect">
                      <a:avLst/>
                    </a:prstGeom>
                    <a:noFill/>
                  </pic:spPr>
                </pic:pic>
              </a:graphicData>
            </a:graphic>
          </wp:anchor>
        </w:drawing>
      </w:r>
    </w:p>
    <w:p>
      <w:pPr>
        <w:jc w:val="center"/>
        <w:ind w:right="80"/>
        <w:spacing w:after="0" w:line="231" w:lineRule="auto"/>
        <w:rPr>
          <w:sz w:val="20"/>
          <w:szCs w:val="20"/>
          <w:color w:val="auto"/>
        </w:rPr>
      </w:pPr>
      <w:r>
        <w:rPr>
          <w:rFonts w:ascii="Arial" w:cs="Arial" w:eastAsia="Arial" w:hAnsi="Arial"/>
          <w:sz w:val="14"/>
          <w:szCs w:val="14"/>
          <w:b w:val="1"/>
          <w:bCs w:val="1"/>
          <w:color w:val="auto"/>
        </w:rPr>
        <w:t>Mr. Walker</w:t>
      </w:r>
    </w:p>
    <w:tbl>
      <w:tblPr>
        <w:tblLayout w:type="fixed"/>
        <w:tblInd w:w="0" w:type="dxa"/>
        <w:tblCellMar>
          <w:top w:w="0" w:type="dxa"/>
          <w:left w:w="0" w:type="dxa"/>
          <w:bottom w:w="0" w:type="dxa"/>
          <w:right w:w="0" w:type="dxa"/>
        </w:tblCellMar>
      </w:tblPr>
      <w:tr>
        <w:trPr>
          <w:trHeight w:val="119"/>
        </w:trPr>
        <w:tc>
          <w:tcPr>
            <w:tcW w:w="3020" w:type="dxa"/>
            <w:vAlign w:val="bottom"/>
            <w:tcBorders>
              <w:top w:val="single" w:sz="8" w:color="auto"/>
            </w:tcBorders>
          </w:tcPr>
          <w:p>
            <w:pPr>
              <w:spacing w:after="0"/>
              <w:rPr>
                <w:sz w:val="10"/>
                <w:szCs w:val="10"/>
                <w:color w:val="auto"/>
              </w:rPr>
            </w:pPr>
          </w:p>
        </w:tc>
        <w:tc>
          <w:tcPr>
            <w:tcW w:w="1120" w:type="dxa"/>
            <w:vAlign w:val="bottom"/>
            <w:tcBorders>
              <w:top w:val="single" w:sz="8" w:color="auto"/>
            </w:tcBorders>
          </w:tcPr>
          <w:p>
            <w:pPr>
              <w:jc w:val="center"/>
              <w:ind w:left="311"/>
              <w:spacing w:after="0" w:line="119" w:lineRule="exact"/>
              <w:rPr>
                <w:sz w:val="20"/>
                <w:szCs w:val="20"/>
                <w:color w:val="auto"/>
              </w:rPr>
            </w:pPr>
            <w:r>
              <w:rPr>
                <w:rFonts w:ascii="Arial" w:cs="Arial" w:eastAsia="Arial" w:hAnsi="Arial"/>
                <w:sz w:val="13"/>
                <w:szCs w:val="13"/>
                <w:b w:val="1"/>
                <w:bCs w:val="1"/>
                <w:color w:val="auto"/>
              </w:rPr>
              <w:t>Voluntary</w:t>
            </w:r>
          </w:p>
        </w:tc>
        <w:tc>
          <w:tcPr>
            <w:tcW w:w="1400" w:type="dxa"/>
            <w:vAlign w:val="bottom"/>
            <w:tcBorders>
              <w:top w:val="single" w:sz="8" w:color="auto"/>
            </w:tcBorders>
          </w:tcPr>
          <w:p>
            <w:pPr>
              <w:ind w:left="620"/>
              <w:spacing w:after="0" w:line="119" w:lineRule="exact"/>
              <w:rPr>
                <w:sz w:val="20"/>
                <w:szCs w:val="20"/>
                <w:color w:val="auto"/>
              </w:rPr>
            </w:pPr>
            <w:r>
              <w:rPr>
                <w:rFonts w:ascii="Arial" w:cs="Arial" w:eastAsia="Arial" w:hAnsi="Arial"/>
                <w:sz w:val="13"/>
                <w:szCs w:val="13"/>
                <w:b w:val="1"/>
                <w:bCs w:val="1"/>
                <w:color w:val="auto"/>
              </w:rPr>
              <w:t>Termination</w:t>
            </w:r>
          </w:p>
        </w:tc>
        <w:tc>
          <w:tcPr>
            <w:tcW w:w="380" w:type="dxa"/>
            <w:vAlign w:val="bottom"/>
            <w:tcBorders>
              <w:top w:val="single" w:sz="8" w:color="auto"/>
            </w:tcBorders>
          </w:tcPr>
          <w:p>
            <w:pPr>
              <w:spacing w:after="0"/>
              <w:rPr>
                <w:sz w:val="10"/>
                <w:szCs w:val="10"/>
                <w:color w:val="auto"/>
              </w:rPr>
            </w:pPr>
          </w:p>
        </w:tc>
        <w:tc>
          <w:tcPr>
            <w:tcW w:w="1440" w:type="dxa"/>
            <w:vAlign w:val="bottom"/>
            <w:tcBorders>
              <w:top w:val="single" w:sz="8" w:color="auto"/>
            </w:tcBorders>
            <w:vMerge w:val="restart"/>
          </w:tcPr>
          <w:p>
            <w:pPr>
              <w:jc w:val="right"/>
              <w:ind w:right="228"/>
              <w:spacing w:after="0"/>
              <w:rPr>
                <w:sz w:val="20"/>
                <w:szCs w:val="20"/>
                <w:color w:val="auto"/>
              </w:rPr>
            </w:pPr>
            <w:r>
              <w:rPr>
                <w:rFonts w:ascii="Arial" w:cs="Arial" w:eastAsia="Arial" w:hAnsi="Arial"/>
                <w:sz w:val="14"/>
                <w:szCs w:val="14"/>
                <w:b w:val="1"/>
                <w:bCs w:val="1"/>
                <w:color w:val="auto"/>
              </w:rPr>
              <w:t>Retirement (6)</w:t>
            </w:r>
          </w:p>
        </w:tc>
        <w:tc>
          <w:tcPr>
            <w:tcW w:w="1280" w:type="dxa"/>
            <w:vAlign w:val="bottom"/>
            <w:tcBorders>
              <w:top w:val="single" w:sz="8" w:color="auto"/>
            </w:tcBorders>
          </w:tcPr>
          <w:p>
            <w:pPr>
              <w:jc w:val="right"/>
              <w:ind w:right="409"/>
              <w:spacing w:after="0" w:line="119" w:lineRule="exact"/>
              <w:rPr>
                <w:sz w:val="20"/>
                <w:szCs w:val="20"/>
                <w:color w:val="auto"/>
              </w:rPr>
            </w:pPr>
            <w:r>
              <w:rPr>
                <w:rFonts w:ascii="Arial" w:cs="Arial" w:eastAsia="Arial" w:hAnsi="Arial"/>
                <w:sz w:val="13"/>
                <w:szCs w:val="13"/>
                <w:b w:val="1"/>
                <w:bCs w:val="1"/>
                <w:color w:val="auto"/>
              </w:rPr>
              <w:t>Death &amp;</w:t>
            </w:r>
          </w:p>
        </w:tc>
        <w:tc>
          <w:tcPr>
            <w:tcW w:w="1540" w:type="dxa"/>
            <w:vAlign w:val="bottom"/>
            <w:tcBorders>
              <w:top w:val="single" w:sz="8" w:color="auto"/>
            </w:tcBorders>
          </w:tcPr>
          <w:p>
            <w:pPr>
              <w:jc w:val="right"/>
              <w:ind w:right="389"/>
              <w:spacing w:after="0" w:line="119" w:lineRule="exact"/>
              <w:rPr>
                <w:sz w:val="20"/>
                <w:szCs w:val="20"/>
                <w:color w:val="auto"/>
              </w:rPr>
            </w:pPr>
            <w:r>
              <w:rPr>
                <w:rFonts w:ascii="Arial" w:cs="Arial" w:eastAsia="Arial" w:hAnsi="Arial"/>
                <w:sz w:val="13"/>
                <w:szCs w:val="13"/>
                <w:b w:val="1"/>
                <w:bCs w:val="1"/>
                <w:color w:val="auto"/>
              </w:rPr>
              <w:t>Termination</w:t>
            </w:r>
          </w:p>
        </w:tc>
        <w:tc>
          <w:tcPr>
            <w:tcW w:w="1240" w:type="dxa"/>
            <w:vAlign w:val="bottom"/>
            <w:tcBorders>
              <w:top w:val="single" w:sz="8" w:color="auto"/>
            </w:tcBorders>
          </w:tcPr>
          <w:p>
            <w:pPr>
              <w:jc w:val="right"/>
              <w:ind w:right="309"/>
              <w:spacing w:after="0" w:line="119" w:lineRule="exact"/>
              <w:rPr>
                <w:sz w:val="20"/>
                <w:szCs w:val="20"/>
                <w:color w:val="auto"/>
              </w:rPr>
            </w:pPr>
            <w:r>
              <w:rPr>
                <w:rFonts w:ascii="Arial" w:cs="Arial" w:eastAsia="Arial" w:hAnsi="Arial"/>
                <w:sz w:val="13"/>
                <w:szCs w:val="13"/>
                <w:b w:val="1"/>
                <w:bCs w:val="1"/>
                <w:color w:val="auto"/>
              </w:rPr>
              <w:t>Change in</w:t>
            </w:r>
          </w:p>
        </w:tc>
        <w:tc>
          <w:tcPr>
            <w:tcW w:w="0" w:type="dxa"/>
            <w:vAlign w:val="bottom"/>
          </w:tcPr>
          <w:p>
            <w:pPr>
              <w:spacing w:after="0"/>
              <w:rPr>
                <w:sz w:val="1"/>
                <w:szCs w:val="1"/>
                <w:color w:val="auto"/>
              </w:rPr>
            </w:pPr>
          </w:p>
        </w:tc>
      </w:tr>
      <w:tr>
        <w:trPr>
          <w:trHeight w:val="171"/>
        </w:trPr>
        <w:tc>
          <w:tcPr>
            <w:tcW w:w="3020" w:type="dxa"/>
            <w:vAlign w:val="bottom"/>
            <w:tcBorders>
              <w:bottom w:val="single" w:sz="8" w:color="auto"/>
            </w:tcBorders>
          </w:tcPr>
          <w:p>
            <w:pPr>
              <w:spacing w:after="0"/>
              <w:rPr>
                <w:sz w:val="14"/>
                <w:szCs w:val="14"/>
                <w:color w:val="auto"/>
              </w:rPr>
            </w:pPr>
          </w:p>
        </w:tc>
        <w:tc>
          <w:tcPr>
            <w:tcW w:w="1120" w:type="dxa"/>
            <w:vAlign w:val="bottom"/>
            <w:tcBorders>
              <w:bottom w:val="single" w:sz="8" w:color="auto"/>
            </w:tcBorders>
          </w:tcPr>
          <w:p>
            <w:pPr>
              <w:jc w:val="center"/>
              <w:ind w:left="331"/>
              <w:spacing w:after="0"/>
              <w:rPr>
                <w:sz w:val="20"/>
                <w:szCs w:val="20"/>
                <w:color w:val="auto"/>
              </w:rPr>
            </w:pPr>
            <w:r>
              <w:rPr>
                <w:rFonts w:ascii="Arial" w:cs="Arial" w:eastAsia="Arial" w:hAnsi="Arial"/>
                <w:sz w:val="14"/>
                <w:szCs w:val="14"/>
                <w:b w:val="1"/>
                <w:bCs w:val="1"/>
                <w:color w:val="auto"/>
                <w:w w:val="89"/>
              </w:rPr>
              <w:t>Resignation</w:t>
            </w:r>
          </w:p>
        </w:tc>
        <w:tc>
          <w:tcPr>
            <w:tcW w:w="1400" w:type="dxa"/>
            <w:vAlign w:val="bottom"/>
            <w:tcBorders>
              <w:bottom w:val="single" w:sz="8" w:color="auto"/>
            </w:tcBorders>
          </w:tcPr>
          <w:p>
            <w:pPr>
              <w:ind w:left="640"/>
              <w:spacing w:after="0"/>
              <w:rPr>
                <w:sz w:val="20"/>
                <w:szCs w:val="20"/>
                <w:color w:val="auto"/>
              </w:rPr>
            </w:pPr>
            <w:r>
              <w:rPr>
                <w:rFonts w:ascii="Arial" w:cs="Arial" w:eastAsia="Arial" w:hAnsi="Arial"/>
                <w:sz w:val="14"/>
                <w:szCs w:val="14"/>
                <w:b w:val="1"/>
                <w:bCs w:val="1"/>
                <w:color w:val="auto"/>
                <w:w w:val="97"/>
              </w:rPr>
              <w:t>With Cause</w:t>
            </w:r>
          </w:p>
        </w:tc>
        <w:tc>
          <w:tcPr>
            <w:tcW w:w="380" w:type="dxa"/>
            <w:vAlign w:val="bottom"/>
            <w:tcBorders>
              <w:bottom w:val="single" w:sz="8" w:color="auto"/>
            </w:tcBorders>
          </w:tcPr>
          <w:p>
            <w:pPr>
              <w:spacing w:after="0"/>
              <w:rPr>
                <w:sz w:val="14"/>
                <w:szCs w:val="14"/>
                <w:color w:val="auto"/>
              </w:rPr>
            </w:pPr>
          </w:p>
        </w:tc>
        <w:tc>
          <w:tcPr>
            <w:tcW w:w="1440" w:type="dxa"/>
            <w:vAlign w:val="bottom"/>
            <w:tcBorders>
              <w:bottom w:val="single" w:sz="8" w:color="auto"/>
            </w:tcBorders>
            <w:vMerge w:val="continue"/>
          </w:tcPr>
          <w:p>
            <w:pPr>
              <w:spacing w:after="0"/>
              <w:rPr>
                <w:sz w:val="14"/>
                <w:szCs w:val="14"/>
                <w:color w:val="auto"/>
              </w:rPr>
            </w:pPr>
          </w:p>
        </w:tc>
        <w:tc>
          <w:tcPr>
            <w:tcW w:w="1280" w:type="dxa"/>
            <w:vAlign w:val="bottom"/>
            <w:tcBorders>
              <w:bottom w:val="single" w:sz="8" w:color="auto"/>
            </w:tcBorders>
          </w:tcPr>
          <w:p>
            <w:pPr>
              <w:jc w:val="right"/>
              <w:ind w:right="369"/>
              <w:spacing w:after="0"/>
              <w:rPr>
                <w:sz w:val="20"/>
                <w:szCs w:val="20"/>
                <w:color w:val="auto"/>
              </w:rPr>
            </w:pPr>
            <w:r>
              <w:rPr>
                <w:rFonts w:ascii="Arial" w:cs="Arial" w:eastAsia="Arial" w:hAnsi="Arial"/>
                <w:sz w:val="14"/>
                <w:szCs w:val="14"/>
                <w:b w:val="1"/>
                <w:bCs w:val="1"/>
                <w:color w:val="auto"/>
              </w:rPr>
              <w:t>Disability</w:t>
            </w:r>
          </w:p>
        </w:tc>
        <w:tc>
          <w:tcPr>
            <w:tcW w:w="1540" w:type="dxa"/>
            <w:vAlign w:val="bottom"/>
            <w:tcBorders>
              <w:bottom w:val="single" w:sz="8" w:color="auto"/>
            </w:tcBorders>
          </w:tcPr>
          <w:p>
            <w:pPr>
              <w:jc w:val="right"/>
              <w:ind w:right="309"/>
              <w:spacing w:after="0"/>
              <w:rPr>
                <w:sz w:val="20"/>
                <w:szCs w:val="20"/>
                <w:color w:val="auto"/>
              </w:rPr>
            </w:pPr>
            <w:r>
              <w:rPr>
                <w:rFonts w:ascii="Arial" w:cs="Arial" w:eastAsia="Arial" w:hAnsi="Arial"/>
                <w:sz w:val="14"/>
                <w:szCs w:val="14"/>
                <w:b w:val="1"/>
                <w:bCs w:val="1"/>
                <w:color w:val="auto"/>
              </w:rPr>
              <w:t>Without Cause</w:t>
            </w:r>
          </w:p>
        </w:tc>
        <w:tc>
          <w:tcPr>
            <w:tcW w:w="1240" w:type="dxa"/>
            <w:vAlign w:val="bottom"/>
            <w:tcBorders>
              <w:bottom w:val="single" w:sz="8" w:color="auto"/>
            </w:tcBorders>
          </w:tcPr>
          <w:p>
            <w:pPr>
              <w:jc w:val="right"/>
              <w:ind w:right="369"/>
              <w:spacing w:after="0"/>
              <w:rPr>
                <w:sz w:val="20"/>
                <w:szCs w:val="20"/>
                <w:color w:val="auto"/>
              </w:rPr>
            </w:pPr>
            <w:r>
              <w:rPr>
                <w:rFonts w:ascii="Arial" w:cs="Arial" w:eastAsia="Arial" w:hAnsi="Arial"/>
                <w:sz w:val="14"/>
                <w:szCs w:val="14"/>
                <w:b w:val="1"/>
                <w:bCs w:val="1"/>
                <w:color w:val="auto"/>
              </w:rPr>
              <w:t>Control</w:t>
            </w:r>
          </w:p>
        </w:tc>
        <w:tc>
          <w:tcPr>
            <w:tcW w:w="0" w:type="dxa"/>
            <w:vAlign w:val="bottom"/>
          </w:tcPr>
          <w:p>
            <w:pPr>
              <w:spacing w:after="0"/>
              <w:rPr>
                <w:sz w:val="1"/>
                <w:szCs w:val="1"/>
                <w:color w:val="auto"/>
              </w:rPr>
            </w:pPr>
          </w:p>
        </w:tc>
      </w:tr>
      <w:tr>
        <w:trPr>
          <w:trHeight w:val="142"/>
        </w:trPr>
        <w:tc>
          <w:tcPr>
            <w:tcW w:w="4140" w:type="dxa"/>
            <w:vAlign w:val="bottom"/>
            <w:gridSpan w:val="2"/>
            <w:shd w:val="clear" w:color="auto" w:fill="CCEEFF"/>
          </w:tcPr>
          <w:p>
            <w:pPr>
              <w:spacing w:after="0" w:line="142" w:lineRule="exact"/>
              <w:rPr>
                <w:sz w:val="20"/>
                <w:szCs w:val="20"/>
                <w:color w:val="auto"/>
              </w:rPr>
            </w:pPr>
            <w:r>
              <w:rPr>
                <w:rFonts w:ascii="Arial" w:cs="Arial" w:eastAsia="Arial" w:hAnsi="Arial"/>
                <w:sz w:val="14"/>
                <w:szCs w:val="14"/>
                <w:color w:val="auto"/>
              </w:rPr>
              <w:t>Cash Severance (1)</w:t>
            </w:r>
          </w:p>
        </w:tc>
        <w:tc>
          <w:tcPr>
            <w:tcW w:w="1400" w:type="dxa"/>
            <w:vAlign w:val="bottom"/>
            <w:shd w:val="clear" w:color="auto" w:fill="CCEEFF"/>
          </w:tcPr>
          <w:p>
            <w:pPr>
              <w:spacing w:after="0" w:line="142" w:lineRule="exact"/>
              <w:rPr>
                <w:sz w:val="20"/>
                <w:szCs w:val="20"/>
                <w:color w:val="auto"/>
              </w:rPr>
            </w:pPr>
            <w:r>
              <w:rPr>
                <w:rFonts w:ascii="Arial" w:cs="Arial" w:eastAsia="Arial" w:hAnsi="Arial"/>
                <w:sz w:val="14"/>
                <w:szCs w:val="14"/>
                <w:color w:val="auto"/>
              </w:rPr>
              <w:t>—</w:t>
            </w:r>
          </w:p>
        </w:tc>
        <w:tc>
          <w:tcPr>
            <w:tcW w:w="380" w:type="dxa"/>
            <w:vAlign w:val="bottom"/>
            <w:shd w:val="clear" w:color="auto" w:fill="CCEEFF"/>
          </w:tcPr>
          <w:p>
            <w:pPr>
              <w:spacing w:after="0" w:line="142" w:lineRule="exact"/>
              <w:rPr>
                <w:sz w:val="20"/>
                <w:szCs w:val="20"/>
                <w:color w:val="auto"/>
              </w:rPr>
            </w:pPr>
            <w:r>
              <w:rPr>
                <w:rFonts w:ascii="Arial" w:cs="Arial" w:eastAsia="Arial" w:hAnsi="Arial"/>
                <w:sz w:val="14"/>
                <w:szCs w:val="14"/>
                <w:color w:val="auto"/>
              </w:rPr>
              <w:t>—</w:t>
            </w:r>
          </w:p>
        </w:tc>
        <w:tc>
          <w:tcPr>
            <w:tcW w:w="1440" w:type="dxa"/>
            <w:vAlign w:val="bottom"/>
            <w:shd w:val="clear" w:color="auto" w:fill="CCEEFF"/>
          </w:tcPr>
          <w:p>
            <w:pPr>
              <w:jc w:val="right"/>
              <w:ind w:right="168"/>
              <w:spacing w:after="0" w:line="142" w:lineRule="exact"/>
              <w:rPr>
                <w:sz w:val="20"/>
                <w:szCs w:val="20"/>
                <w:color w:val="auto"/>
              </w:rPr>
            </w:pPr>
            <w:r>
              <w:rPr>
                <w:rFonts w:ascii="Arial" w:cs="Arial" w:eastAsia="Arial" w:hAnsi="Arial"/>
                <w:sz w:val="14"/>
                <w:szCs w:val="14"/>
                <w:color w:val="auto"/>
              </w:rPr>
              <w:t>—</w:t>
            </w:r>
          </w:p>
        </w:tc>
        <w:tc>
          <w:tcPr>
            <w:tcW w:w="1280" w:type="dxa"/>
            <w:vAlign w:val="bottom"/>
            <w:shd w:val="clear" w:color="auto" w:fill="CCEEFF"/>
          </w:tcPr>
          <w:p>
            <w:pPr>
              <w:jc w:val="right"/>
              <w:ind w:right="169"/>
              <w:spacing w:after="0" w:line="142" w:lineRule="exact"/>
              <w:rPr>
                <w:sz w:val="20"/>
                <w:szCs w:val="20"/>
                <w:color w:val="auto"/>
              </w:rPr>
            </w:pPr>
            <w:r>
              <w:rPr>
                <w:rFonts w:ascii="Arial" w:cs="Arial" w:eastAsia="Arial" w:hAnsi="Arial"/>
                <w:sz w:val="14"/>
                <w:szCs w:val="14"/>
                <w:color w:val="auto"/>
              </w:rPr>
              <w:t>—</w:t>
            </w:r>
          </w:p>
        </w:tc>
        <w:tc>
          <w:tcPr>
            <w:tcW w:w="1540" w:type="dxa"/>
            <w:vAlign w:val="bottom"/>
            <w:shd w:val="clear" w:color="auto" w:fill="CCEEFF"/>
          </w:tcPr>
          <w:p>
            <w:pPr>
              <w:jc w:val="right"/>
              <w:ind w:right="169"/>
              <w:spacing w:after="0" w:line="142" w:lineRule="exact"/>
              <w:rPr>
                <w:sz w:val="20"/>
                <w:szCs w:val="20"/>
                <w:color w:val="auto"/>
              </w:rPr>
            </w:pPr>
            <w:r>
              <w:rPr>
                <w:rFonts w:ascii="Arial" w:cs="Arial" w:eastAsia="Arial" w:hAnsi="Arial"/>
                <w:sz w:val="14"/>
                <w:szCs w:val="14"/>
                <w:color w:val="auto"/>
              </w:rPr>
              <w:t>$870,480</w:t>
            </w:r>
          </w:p>
        </w:tc>
        <w:tc>
          <w:tcPr>
            <w:tcW w:w="1240" w:type="dxa"/>
            <w:vAlign w:val="bottom"/>
            <w:shd w:val="clear" w:color="auto" w:fill="CCEEFF"/>
          </w:tcPr>
          <w:p>
            <w:pPr>
              <w:jc w:val="right"/>
              <w:ind w:right="9"/>
              <w:spacing w:after="0" w:line="142" w:lineRule="exact"/>
              <w:rPr>
                <w:sz w:val="20"/>
                <w:szCs w:val="20"/>
                <w:color w:val="auto"/>
              </w:rPr>
            </w:pPr>
            <w:r>
              <w:rPr>
                <w:rFonts w:ascii="Arial" w:cs="Arial" w:eastAsia="Arial" w:hAnsi="Arial"/>
                <w:sz w:val="14"/>
                <w:szCs w:val="14"/>
                <w:color w:val="auto"/>
              </w:rPr>
              <w:t>$1,740,960</w:t>
            </w:r>
          </w:p>
        </w:tc>
        <w:tc>
          <w:tcPr>
            <w:tcW w:w="0" w:type="dxa"/>
            <w:vAlign w:val="bottom"/>
          </w:tcPr>
          <w:p>
            <w:pPr>
              <w:spacing w:after="0"/>
              <w:rPr>
                <w:sz w:val="1"/>
                <w:szCs w:val="1"/>
                <w:color w:val="auto"/>
              </w:rPr>
            </w:pPr>
          </w:p>
        </w:tc>
      </w:tr>
      <w:tr>
        <w:trPr>
          <w:trHeight w:val="149"/>
        </w:trPr>
        <w:tc>
          <w:tcPr>
            <w:tcW w:w="4140" w:type="dxa"/>
            <w:vAlign w:val="bottom"/>
            <w:gridSpan w:val="2"/>
          </w:tcPr>
          <w:p>
            <w:pPr>
              <w:spacing w:after="0" w:line="149" w:lineRule="exact"/>
              <w:rPr>
                <w:sz w:val="20"/>
                <w:szCs w:val="20"/>
                <w:color w:val="auto"/>
              </w:rPr>
            </w:pPr>
            <w:r>
              <w:rPr>
                <w:rFonts w:ascii="Arial" w:cs="Arial" w:eastAsia="Arial" w:hAnsi="Arial"/>
                <w:sz w:val="14"/>
                <w:szCs w:val="14"/>
                <w:color w:val="auto"/>
              </w:rPr>
              <w:t>Equity (2)</w:t>
            </w:r>
          </w:p>
        </w:tc>
        <w:tc>
          <w:tcPr>
            <w:tcW w:w="1400" w:type="dxa"/>
            <w:vAlign w:val="bottom"/>
          </w:tcPr>
          <w:p>
            <w:pPr>
              <w:spacing w:after="0" w:line="149" w:lineRule="exact"/>
              <w:rPr>
                <w:sz w:val="20"/>
                <w:szCs w:val="20"/>
                <w:color w:val="auto"/>
              </w:rPr>
            </w:pPr>
            <w:r>
              <w:rPr>
                <w:rFonts w:ascii="Arial" w:cs="Arial" w:eastAsia="Arial" w:hAnsi="Arial"/>
                <w:sz w:val="14"/>
                <w:szCs w:val="14"/>
                <w:color w:val="auto"/>
              </w:rPr>
              <w:t>—</w:t>
            </w:r>
          </w:p>
        </w:tc>
        <w:tc>
          <w:tcPr>
            <w:tcW w:w="380" w:type="dxa"/>
            <w:vAlign w:val="bottom"/>
          </w:tcPr>
          <w:p>
            <w:pPr>
              <w:spacing w:after="0" w:line="149" w:lineRule="exact"/>
              <w:rPr>
                <w:sz w:val="20"/>
                <w:szCs w:val="20"/>
                <w:color w:val="auto"/>
              </w:rPr>
            </w:pPr>
            <w:r>
              <w:rPr>
                <w:rFonts w:ascii="Arial" w:cs="Arial" w:eastAsia="Arial" w:hAnsi="Arial"/>
                <w:sz w:val="14"/>
                <w:szCs w:val="14"/>
                <w:color w:val="auto"/>
              </w:rPr>
              <w:t>—</w:t>
            </w:r>
          </w:p>
        </w:tc>
        <w:tc>
          <w:tcPr>
            <w:tcW w:w="1440" w:type="dxa"/>
            <w:vAlign w:val="bottom"/>
          </w:tcPr>
          <w:p>
            <w:pPr>
              <w:jc w:val="right"/>
              <w:ind w:right="168"/>
              <w:spacing w:after="0" w:line="149" w:lineRule="exact"/>
              <w:rPr>
                <w:sz w:val="20"/>
                <w:szCs w:val="20"/>
                <w:color w:val="auto"/>
              </w:rPr>
            </w:pPr>
            <w:r>
              <w:rPr>
                <w:rFonts w:ascii="Arial" w:cs="Arial" w:eastAsia="Arial" w:hAnsi="Arial"/>
                <w:sz w:val="14"/>
                <w:szCs w:val="14"/>
                <w:color w:val="auto"/>
              </w:rPr>
              <w:t>—</w:t>
            </w:r>
          </w:p>
        </w:tc>
        <w:tc>
          <w:tcPr>
            <w:tcW w:w="1280" w:type="dxa"/>
            <w:vAlign w:val="bottom"/>
          </w:tcPr>
          <w:p>
            <w:pPr>
              <w:jc w:val="right"/>
              <w:ind w:right="169"/>
              <w:spacing w:after="0" w:line="149" w:lineRule="exact"/>
              <w:rPr>
                <w:sz w:val="20"/>
                <w:szCs w:val="20"/>
                <w:color w:val="auto"/>
              </w:rPr>
            </w:pPr>
            <w:r>
              <w:rPr>
                <w:rFonts w:ascii="Arial" w:cs="Arial" w:eastAsia="Arial" w:hAnsi="Arial"/>
                <w:sz w:val="14"/>
                <w:szCs w:val="14"/>
                <w:color w:val="auto"/>
              </w:rPr>
              <w:t>$1,124,032</w:t>
            </w:r>
          </w:p>
        </w:tc>
        <w:tc>
          <w:tcPr>
            <w:tcW w:w="1540" w:type="dxa"/>
            <w:vAlign w:val="bottom"/>
          </w:tcPr>
          <w:p>
            <w:pPr>
              <w:jc w:val="right"/>
              <w:ind w:right="169"/>
              <w:spacing w:after="0" w:line="149" w:lineRule="exact"/>
              <w:rPr>
                <w:sz w:val="20"/>
                <w:szCs w:val="20"/>
                <w:color w:val="auto"/>
              </w:rPr>
            </w:pPr>
            <w:r>
              <w:rPr>
                <w:rFonts w:ascii="Arial" w:cs="Arial" w:eastAsia="Arial" w:hAnsi="Arial"/>
                <w:sz w:val="14"/>
                <w:szCs w:val="14"/>
                <w:color w:val="auto"/>
              </w:rPr>
              <w:t>$637,450</w:t>
            </w:r>
          </w:p>
        </w:tc>
        <w:tc>
          <w:tcPr>
            <w:tcW w:w="1240" w:type="dxa"/>
            <w:vAlign w:val="bottom"/>
          </w:tcPr>
          <w:p>
            <w:pPr>
              <w:jc w:val="right"/>
              <w:ind w:right="9"/>
              <w:spacing w:after="0" w:line="149" w:lineRule="exact"/>
              <w:rPr>
                <w:sz w:val="20"/>
                <w:szCs w:val="20"/>
                <w:color w:val="auto"/>
              </w:rPr>
            </w:pPr>
            <w:r>
              <w:rPr>
                <w:rFonts w:ascii="Arial" w:cs="Arial" w:eastAsia="Arial" w:hAnsi="Arial"/>
                <w:sz w:val="14"/>
                <w:szCs w:val="14"/>
                <w:color w:val="auto"/>
              </w:rPr>
              <w:t>$1,124,032</w:t>
            </w:r>
          </w:p>
        </w:tc>
        <w:tc>
          <w:tcPr>
            <w:tcW w:w="0" w:type="dxa"/>
            <w:vAlign w:val="bottom"/>
          </w:tcPr>
          <w:p>
            <w:pPr>
              <w:spacing w:after="0"/>
              <w:rPr>
                <w:sz w:val="1"/>
                <w:szCs w:val="1"/>
                <w:color w:val="auto"/>
              </w:rPr>
            </w:pPr>
          </w:p>
        </w:tc>
      </w:tr>
      <w:tr>
        <w:trPr>
          <w:trHeight w:val="149"/>
        </w:trPr>
        <w:tc>
          <w:tcPr>
            <w:tcW w:w="414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Retirement Benefits (3)</w:t>
            </w:r>
          </w:p>
        </w:tc>
        <w:tc>
          <w:tcPr>
            <w:tcW w:w="14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w:t>
            </w:r>
          </w:p>
        </w:tc>
        <w:tc>
          <w:tcPr>
            <w:tcW w:w="3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w:t>
            </w:r>
          </w:p>
        </w:tc>
        <w:tc>
          <w:tcPr>
            <w:tcW w:w="1440" w:type="dxa"/>
            <w:vAlign w:val="bottom"/>
            <w:shd w:val="clear" w:color="auto" w:fill="CCEEFF"/>
          </w:tcPr>
          <w:p>
            <w:pPr>
              <w:jc w:val="right"/>
              <w:ind w:right="168"/>
              <w:spacing w:after="0" w:line="149" w:lineRule="exact"/>
              <w:rPr>
                <w:sz w:val="20"/>
                <w:szCs w:val="20"/>
                <w:color w:val="auto"/>
              </w:rPr>
            </w:pPr>
            <w:r>
              <w:rPr>
                <w:rFonts w:ascii="Arial" w:cs="Arial" w:eastAsia="Arial" w:hAnsi="Arial"/>
                <w:sz w:val="14"/>
                <w:szCs w:val="14"/>
                <w:color w:val="auto"/>
              </w:rPr>
              <w:t>$504,000</w:t>
            </w:r>
          </w:p>
        </w:tc>
        <w:tc>
          <w:tcPr>
            <w:tcW w:w="1280" w:type="dxa"/>
            <w:vAlign w:val="bottom"/>
            <w:shd w:val="clear" w:color="auto" w:fill="CCEEFF"/>
          </w:tcPr>
          <w:p>
            <w:pPr>
              <w:jc w:val="right"/>
              <w:ind w:right="169"/>
              <w:spacing w:after="0" w:line="149" w:lineRule="exact"/>
              <w:rPr>
                <w:sz w:val="20"/>
                <w:szCs w:val="20"/>
                <w:color w:val="auto"/>
              </w:rPr>
            </w:pPr>
            <w:r>
              <w:rPr>
                <w:rFonts w:ascii="Arial" w:cs="Arial" w:eastAsia="Arial" w:hAnsi="Arial"/>
                <w:sz w:val="14"/>
                <w:szCs w:val="14"/>
                <w:color w:val="auto"/>
              </w:rPr>
              <w:t>—</w:t>
            </w:r>
          </w:p>
        </w:tc>
        <w:tc>
          <w:tcPr>
            <w:tcW w:w="1540" w:type="dxa"/>
            <w:vAlign w:val="bottom"/>
            <w:shd w:val="clear" w:color="auto" w:fill="CCEEFF"/>
          </w:tcPr>
          <w:p>
            <w:pPr>
              <w:jc w:val="right"/>
              <w:ind w:right="169"/>
              <w:spacing w:after="0" w:line="149" w:lineRule="exact"/>
              <w:rPr>
                <w:sz w:val="20"/>
                <w:szCs w:val="20"/>
                <w:color w:val="auto"/>
              </w:rPr>
            </w:pPr>
            <w:r>
              <w:rPr>
                <w:rFonts w:ascii="Arial" w:cs="Arial" w:eastAsia="Arial" w:hAnsi="Arial"/>
                <w:sz w:val="14"/>
                <w:szCs w:val="14"/>
                <w:color w:val="auto"/>
              </w:rPr>
              <w:t>—</w:t>
            </w:r>
          </w:p>
        </w:tc>
        <w:tc>
          <w:tcPr>
            <w:tcW w:w="1240" w:type="dxa"/>
            <w:vAlign w:val="bottom"/>
            <w:shd w:val="clear" w:color="auto" w:fill="CCEEFF"/>
          </w:tcPr>
          <w:p>
            <w:pPr>
              <w:jc w:val="right"/>
              <w:ind w:right="9"/>
              <w:spacing w:after="0" w:line="149" w:lineRule="exact"/>
              <w:rPr>
                <w:sz w:val="20"/>
                <w:szCs w:val="20"/>
                <w:color w:val="auto"/>
              </w:rPr>
            </w:pPr>
            <w:r>
              <w:rPr>
                <w:rFonts w:ascii="Arial" w:cs="Arial" w:eastAsia="Arial" w:hAnsi="Arial"/>
                <w:sz w:val="14"/>
                <w:szCs w:val="14"/>
                <w:color w:val="auto"/>
              </w:rPr>
              <w:t>$377,000</w:t>
            </w:r>
          </w:p>
        </w:tc>
        <w:tc>
          <w:tcPr>
            <w:tcW w:w="0" w:type="dxa"/>
            <w:vAlign w:val="bottom"/>
          </w:tcPr>
          <w:p>
            <w:pPr>
              <w:spacing w:after="0"/>
              <w:rPr>
                <w:sz w:val="1"/>
                <w:szCs w:val="1"/>
                <w:color w:val="auto"/>
              </w:rPr>
            </w:pPr>
          </w:p>
        </w:tc>
      </w:tr>
      <w:tr>
        <w:trPr>
          <w:trHeight w:val="149"/>
        </w:trPr>
        <w:tc>
          <w:tcPr>
            <w:tcW w:w="4140" w:type="dxa"/>
            <w:vAlign w:val="bottom"/>
            <w:gridSpan w:val="2"/>
          </w:tcPr>
          <w:p>
            <w:pPr>
              <w:spacing w:after="0" w:line="149" w:lineRule="exact"/>
              <w:rPr>
                <w:sz w:val="20"/>
                <w:szCs w:val="20"/>
                <w:color w:val="auto"/>
              </w:rPr>
            </w:pPr>
            <w:r>
              <w:rPr>
                <w:rFonts w:ascii="Arial" w:cs="Arial" w:eastAsia="Arial" w:hAnsi="Arial"/>
                <w:sz w:val="14"/>
                <w:szCs w:val="14"/>
                <w:color w:val="auto"/>
              </w:rPr>
              <w:t>Other Benefits (4)</w:t>
            </w:r>
          </w:p>
        </w:tc>
        <w:tc>
          <w:tcPr>
            <w:tcW w:w="1400" w:type="dxa"/>
            <w:vAlign w:val="bottom"/>
          </w:tcPr>
          <w:p>
            <w:pPr>
              <w:spacing w:after="0" w:line="149" w:lineRule="exact"/>
              <w:rPr>
                <w:sz w:val="20"/>
                <w:szCs w:val="20"/>
                <w:color w:val="auto"/>
              </w:rPr>
            </w:pPr>
            <w:r>
              <w:rPr>
                <w:rFonts w:ascii="Arial" w:cs="Arial" w:eastAsia="Arial" w:hAnsi="Arial"/>
                <w:sz w:val="14"/>
                <w:szCs w:val="14"/>
                <w:color w:val="auto"/>
              </w:rPr>
              <w:t>—</w:t>
            </w:r>
          </w:p>
        </w:tc>
        <w:tc>
          <w:tcPr>
            <w:tcW w:w="380" w:type="dxa"/>
            <w:vAlign w:val="bottom"/>
          </w:tcPr>
          <w:p>
            <w:pPr>
              <w:spacing w:after="0" w:line="149" w:lineRule="exact"/>
              <w:rPr>
                <w:sz w:val="20"/>
                <w:szCs w:val="20"/>
                <w:color w:val="auto"/>
              </w:rPr>
            </w:pPr>
            <w:r>
              <w:rPr>
                <w:rFonts w:ascii="Arial" w:cs="Arial" w:eastAsia="Arial" w:hAnsi="Arial"/>
                <w:sz w:val="14"/>
                <w:szCs w:val="14"/>
                <w:color w:val="auto"/>
              </w:rPr>
              <w:t>—</w:t>
            </w:r>
          </w:p>
        </w:tc>
        <w:tc>
          <w:tcPr>
            <w:tcW w:w="1440" w:type="dxa"/>
            <w:vAlign w:val="bottom"/>
          </w:tcPr>
          <w:p>
            <w:pPr>
              <w:jc w:val="right"/>
              <w:ind w:right="168"/>
              <w:spacing w:after="0" w:line="149" w:lineRule="exact"/>
              <w:rPr>
                <w:sz w:val="20"/>
                <w:szCs w:val="20"/>
                <w:color w:val="auto"/>
              </w:rPr>
            </w:pPr>
            <w:r>
              <w:rPr>
                <w:rFonts w:ascii="Arial" w:cs="Arial" w:eastAsia="Arial" w:hAnsi="Arial"/>
                <w:sz w:val="14"/>
                <w:szCs w:val="14"/>
                <w:color w:val="auto"/>
              </w:rPr>
              <w:t>—</w:t>
            </w:r>
          </w:p>
        </w:tc>
        <w:tc>
          <w:tcPr>
            <w:tcW w:w="1280" w:type="dxa"/>
            <w:vAlign w:val="bottom"/>
          </w:tcPr>
          <w:p>
            <w:pPr>
              <w:jc w:val="right"/>
              <w:ind w:right="169"/>
              <w:spacing w:after="0" w:line="149" w:lineRule="exact"/>
              <w:rPr>
                <w:sz w:val="20"/>
                <w:szCs w:val="20"/>
                <w:color w:val="auto"/>
              </w:rPr>
            </w:pPr>
            <w:r>
              <w:rPr>
                <w:rFonts w:ascii="Arial" w:cs="Arial" w:eastAsia="Arial" w:hAnsi="Arial"/>
                <w:sz w:val="14"/>
                <w:szCs w:val="14"/>
                <w:color w:val="auto"/>
              </w:rPr>
              <w:t>—</w:t>
            </w:r>
          </w:p>
        </w:tc>
        <w:tc>
          <w:tcPr>
            <w:tcW w:w="1540" w:type="dxa"/>
            <w:vAlign w:val="bottom"/>
          </w:tcPr>
          <w:p>
            <w:pPr>
              <w:jc w:val="right"/>
              <w:ind w:right="169"/>
              <w:spacing w:after="0" w:line="149" w:lineRule="exact"/>
              <w:rPr>
                <w:sz w:val="20"/>
                <w:szCs w:val="20"/>
                <w:color w:val="auto"/>
              </w:rPr>
            </w:pPr>
            <w:r>
              <w:rPr>
                <w:rFonts w:ascii="Arial" w:cs="Arial" w:eastAsia="Arial" w:hAnsi="Arial"/>
                <w:sz w:val="14"/>
                <w:szCs w:val="14"/>
                <w:color w:val="auto"/>
              </w:rPr>
              <w:t>$35,000</w:t>
            </w:r>
          </w:p>
        </w:tc>
        <w:tc>
          <w:tcPr>
            <w:tcW w:w="1240" w:type="dxa"/>
            <w:vAlign w:val="bottom"/>
          </w:tcPr>
          <w:p>
            <w:pPr>
              <w:jc w:val="right"/>
              <w:ind w:right="9"/>
              <w:spacing w:after="0" w:line="149" w:lineRule="exact"/>
              <w:rPr>
                <w:sz w:val="20"/>
                <w:szCs w:val="20"/>
                <w:color w:val="auto"/>
              </w:rPr>
            </w:pPr>
            <w:r>
              <w:rPr>
                <w:rFonts w:ascii="Arial" w:cs="Arial" w:eastAsia="Arial" w:hAnsi="Arial"/>
                <w:sz w:val="14"/>
                <w:szCs w:val="14"/>
                <w:color w:val="auto"/>
              </w:rPr>
              <w:t>$50,000</w:t>
            </w:r>
          </w:p>
        </w:tc>
        <w:tc>
          <w:tcPr>
            <w:tcW w:w="0" w:type="dxa"/>
            <w:vAlign w:val="bottom"/>
          </w:tcPr>
          <w:p>
            <w:pPr>
              <w:spacing w:after="0"/>
              <w:rPr>
                <w:sz w:val="1"/>
                <w:szCs w:val="1"/>
                <w:color w:val="auto"/>
              </w:rPr>
            </w:pPr>
          </w:p>
        </w:tc>
      </w:tr>
      <w:tr>
        <w:trPr>
          <w:trHeight w:val="149"/>
        </w:trPr>
        <w:tc>
          <w:tcPr>
            <w:tcW w:w="414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Excise Tax Gross-Up (5)</w:t>
            </w:r>
          </w:p>
        </w:tc>
        <w:tc>
          <w:tcPr>
            <w:tcW w:w="14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w:t>
            </w:r>
          </w:p>
        </w:tc>
        <w:tc>
          <w:tcPr>
            <w:tcW w:w="3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w:t>
            </w:r>
          </w:p>
        </w:tc>
        <w:tc>
          <w:tcPr>
            <w:tcW w:w="1440" w:type="dxa"/>
            <w:vAlign w:val="bottom"/>
            <w:shd w:val="clear" w:color="auto" w:fill="CCEEFF"/>
          </w:tcPr>
          <w:p>
            <w:pPr>
              <w:jc w:val="right"/>
              <w:ind w:right="168"/>
              <w:spacing w:after="0" w:line="149" w:lineRule="exact"/>
              <w:rPr>
                <w:sz w:val="20"/>
                <w:szCs w:val="20"/>
                <w:color w:val="auto"/>
              </w:rPr>
            </w:pPr>
            <w:r>
              <w:rPr>
                <w:rFonts w:ascii="Arial" w:cs="Arial" w:eastAsia="Arial" w:hAnsi="Arial"/>
                <w:sz w:val="14"/>
                <w:szCs w:val="14"/>
                <w:color w:val="auto"/>
              </w:rPr>
              <w:t>—</w:t>
            </w:r>
          </w:p>
        </w:tc>
        <w:tc>
          <w:tcPr>
            <w:tcW w:w="1280" w:type="dxa"/>
            <w:vAlign w:val="bottom"/>
            <w:shd w:val="clear" w:color="auto" w:fill="CCEEFF"/>
          </w:tcPr>
          <w:p>
            <w:pPr>
              <w:jc w:val="right"/>
              <w:ind w:right="169"/>
              <w:spacing w:after="0" w:line="149" w:lineRule="exact"/>
              <w:rPr>
                <w:sz w:val="20"/>
                <w:szCs w:val="20"/>
                <w:color w:val="auto"/>
              </w:rPr>
            </w:pPr>
            <w:r>
              <w:rPr>
                <w:rFonts w:ascii="Arial" w:cs="Arial" w:eastAsia="Arial" w:hAnsi="Arial"/>
                <w:sz w:val="14"/>
                <w:szCs w:val="14"/>
                <w:color w:val="auto"/>
              </w:rPr>
              <w:t>—</w:t>
            </w:r>
          </w:p>
        </w:tc>
        <w:tc>
          <w:tcPr>
            <w:tcW w:w="1540" w:type="dxa"/>
            <w:vAlign w:val="bottom"/>
            <w:shd w:val="clear" w:color="auto" w:fill="CCEEFF"/>
          </w:tcPr>
          <w:p>
            <w:pPr>
              <w:jc w:val="right"/>
              <w:ind w:right="169"/>
              <w:spacing w:after="0" w:line="149" w:lineRule="exact"/>
              <w:rPr>
                <w:sz w:val="20"/>
                <w:szCs w:val="20"/>
                <w:color w:val="auto"/>
              </w:rPr>
            </w:pPr>
            <w:r>
              <w:rPr>
                <w:rFonts w:ascii="Arial" w:cs="Arial" w:eastAsia="Arial" w:hAnsi="Arial"/>
                <w:sz w:val="14"/>
                <w:szCs w:val="14"/>
                <w:color w:val="auto"/>
              </w:rPr>
              <w:t>—</w:t>
            </w:r>
          </w:p>
        </w:tc>
        <w:tc>
          <w:tcPr>
            <w:tcW w:w="1240" w:type="dxa"/>
            <w:vAlign w:val="bottom"/>
            <w:shd w:val="clear" w:color="auto" w:fill="CCEEFF"/>
          </w:tcPr>
          <w:p>
            <w:pPr>
              <w:jc w:val="right"/>
              <w:ind w:right="9"/>
              <w:spacing w:after="0" w:line="149" w:lineRule="exact"/>
              <w:rPr>
                <w:sz w:val="20"/>
                <w:szCs w:val="20"/>
                <w:color w:val="auto"/>
              </w:rPr>
            </w:pPr>
            <w:r>
              <w:rPr>
                <w:rFonts w:ascii="Arial" w:cs="Arial" w:eastAsia="Arial" w:hAnsi="Arial"/>
                <w:sz w:val="14"/>
                <w:szCs w:val="14"/>
                <w:color w:val="auto"/>
              </w:rPr>
              <w:t>$0</w:t>
            </w:r>
          </w:p>
        </w:tc>
        <w:tc>
          <w:tcPr>
            <w:tcW w:w="0" w:type="dxa"/>
            <w:vAlign w:val="bottom"/>
          </w:tcPr>
          <w:p>
            <w:pPr>
              <w:spacing w:after="0"/>
              <w:rPr>
                <w:sz w:val="1"/>
                <w:szCs w:val="1"/>
                <w:color w:val="auto"/>
              </w:rPr>
            </w:pPr>
          </w:p>
        </w:tc>
      </w:tr>
      <w:tr>
        <w:trPr>
          <w:trHeight w:val="149"/>
        </w:trPr>
        <w:tc>
          <w:tcPr>
            <w:tcW w:w="3020" w:type="dxa"/>
            <w:vAlign w:val="bottom"/>
          </w:tcPr>
          <w:p>
            <w:pPr>
              <w:spacing w:after="0" w:line="149" w:lineRule="exact"/>
              <w:rPr>
                <w:sz w:val="20"/>
                <w:szCs w:val="20"/>
                <w:color w:val="auto"/>
              </w:rPr>
            </w:pPr>
            <w:r>
              <w:rPr>
                <w:rFonts w:ascii="Arial" w:cs="Arial" w:eastAsia="Arial" w:hAnsi="Arial"/>
                <w:sz w:val="14"/>
                <w:szCs w:val="14"/>
                <w:color w:val="auto"/>
              </w:rPr>
              <w:t>Total</w:t>
            </w:r>
          </w:p>
        </w:tc>
        <w:tc>
          <w:tcPr>
            <w:tcW w:w="1120" w:type="dxa"/>
            <w:vAlign w:val="bottom"/>
            <w:tcBorders>
              <w:top w:val="single" w:sz="8" w:color="auto"/>
            </w:tcBorders>
          </w:tcPr>
          <w:p>
            <w:pPr>
              <w:spacing w:after="0"/>
              <w:rPr>
                <w:sz w:val="12"/>
                <w:szCs w:val="12"/>
                <w:color w:val="auto"/>
              </w:rPr>
            </w:pPr>
          </w:p>
        </w:tc>
        <w:tc>
          <w:tcPr>
            <w:tcW w:w="1400" w:type="dxa"/>
            <w:vAlign w:val="bottom"/>
            <w:tcBorders>
              <w:top w:val="single" w:sz="8" w:color="auto"/>
            </w:tcBorders>
          </w:tcPr>
          <w:p>
            <w:pPr>
              <w:spacing w:after="0" w:line="149" w:lineRule="exact"/>
              <w:rPr>
                <w:sz w:val="20"/>
                <w:szCs w:val="20"/>
                <w:color w:val="auto"/>
              </w:rPr>
            </w:pPr>
            <w:r>
              <w:rPr>
                <w:rFonts w:ascii="Arial" w:cs="Arial" w:eastAsia="Arial" w:hAnsi="Arial"/>
                <w:sz w:val="14"/>
                <w:szCs w:val="14"/>
                <w:color w:val="auto"/>
              </w:rPr>
              <w:t>—</w:t>
            </w:r>
          </w:p>
        </w:tc>
        <w:tc>
          <w:tcPr>
            <w:tcW w:w="380" w:type="dxa"/>
            <w:vAlign w:val="bottom"/>
            <w:tcBorders>
              <w:top w:val="single" w:sz="8" w:color="auto"/>
            </w:tcBorders>
          </w:tcPr>
          <w:p>
            <w:pPr>
              <w:spacing w:after="0" w:line="149" w:lineRule="exact"/>
              <w:rPr>
                <w:sz w:val="20"/>
                <w:szCs w:val="20"/>
                <w:color w:val="auto"/>
              </w:rPr>
            </w:pPr>
            <w:r>
              <w:rPr>
                <w:rFonts w:ascii="Arial" w:cs="Arial" w:eastAsia="Arial" w:hAnsi="Arial"/>
                <w:sz w:val="14"/>
                <w:szCs w:val="14"/>
                <w:color w:val="auto"/>
              </w:rPr>
              <w:t>—</w:t>
            </w:r>
          </w:p>
        </w:tc>
        <w:tc>
          <w:tcPr>
            <w:tcW w:w="1440" w:type="dxa"/>
            <w:vAlign w:val="bottom"/>
            <w:tcBorders>
              <w:top w:val="single" w:sz="8" w:color="auto"/>
            </w:tcBorders>
          </w:tcPr>
          <w:p>
            <w:pPr>
              <w:jc w:val="right"/>
              <w:ind w:right="168"/>
              <w:spacing w:after="0" w:line="149" w:lineRule="exact"/>
              <w:rPr>
                <w:sz w:val="20"/>
                <w:szCs w:val="20"/>
                <w:color w:val="auto"/>
              </w:rPr>
            </w:pPr>
            <w:r>
              <w:rPr>
                <w:rFonts w:ascii="Arial" w:cs="Arial" w:eastAsia="Arial" w:hAnsi="Arial"/>
                <w:sz w:val="14"/>
                <w:szCs w:val="14"/>
                <w:color w:val="auto"/>
              </w:rPr>
              <w:t>$504,000</w:t>
            </w:r>
          </w:p>
        </w:tc>
        <w:tc>
          <w:tcPr>
            <w:tcW w:w="1280" w:type="dxa"/>
            <w:vAlign w:val="bottom"/>
            <w:tcBorders>
              <w:top w:val="single" w:sz="8" w:color="auto"/>
            </w:tcBorders>
          </w:tcPr>
          <w:p>
            <w:pPr>
              <w:jc w:val="right"/>
              <w:ind w:right="169"/>
              <w:spacing w:after="0" w:line="149" w:lineRule="exact"/>
              <w:rPr>
                <w:sz w:val="20"/>
                <w:szCs w:val="20"/>
                <w:color w:val="auto"/>
              </w:rPr>
            </w:pPr>
            <w:r>
              <w:rPr>
                <w:rFonts w:ascii="Arial" w:cs="Arial" w:eastAsia="Arial" w:hAnsi="Arial"/>
                <w:sz w:val="14"/>
                <w:szCs w:val="14"/>
                <w:color w:val="auto"/>
              </w:rPr>
              <w:t>$1,124,032</w:t>
            </w:r>
          </w:p>
        </w:tc>
        <w:tc>
          <w:tcPr>
            <w:tcW w:w="1540" w:type="dxa"/>
            <w:vAlign w:val="bottom"/>
            <w:tcBorders>
              <w:top w:val="single" w:sz="8" w:color="auto"/>
            </w:tcBorders>
          </w:tcPr>
          <w:p>
            <w:pPr>
              <w:jc w:val="right"/>
              <w:ind w:right="169"/>
              <w:spacing w:after="0" w:line="149" w:lineRule="exact"/>
              <w:rPr>
                <w:sz w:val="20"/>
                <w:szCs w:val="20"/>
                <w:color w:val="auto"/>
              </w:rPr>
            </w:pPr>
            <w:r>
              <w:rPr>
                <w:rFonts w:ascii="Arial" w:cs="Arial" w:eastAsia="Arial" w:hAnsi="Arial"/>
                <w:sz w:val="14"/>
                <w:szCs w:val="14"/>
                <w:color w:val="auto"/>
              </w:rPr>
              <w:t>$1,542,930</w:t>
            </w:r>
          </w:p>
        </w:tc>
        <w:tc>
          <w:tcPr>
            <w:tcW w:w="1240" w:type="dxa"/>
            <w:vAlign w:val="bottom"/>
            <w:tcBorders>
              <w:top w:val="single" w:sz="8" w:color="auto"/>
            </w:tcBorders>
          </w:tcPr>
          <w:p>
            <w:pPr>
              <w:jc w:val="right"/>
              <w:ind w:right="9"/>
              <w:spacing w:after="0" w:line="149" w:lineRule="exact"/>
              <w:rPr>
                <w:sz w:val="20"/>
                <w:szCs w:val="20"/>
                <w:color w:val="auto"/>
              </w:rPr>
            </w:pPr>
            <w:r>
              <w:rPr>
                <w:rFonts w:ascii="Arial" w:cs="Arial" w:eastAsia="Arial" w:hAnsi="Arial"/>
                <w:sz w:val="14"/>
                <w:szCs w:val="14"/>
                <w:color w:val="auto"/>
              </w:rPr>
              <w:t>$3,291,992</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-3810</wp:posOffset>
            </wp:positionV>
            <wp:extent cx="7246620" cy="10287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2">
                      <a:extLst>
                        <a:ext uri="{28A0092B-C50C-407E-A947-70E740481C1C}"/>
                      </a:extLst>
                    </a:blip>
                    <a:srcRect/>
                    <a:stretch>
                      <a:fillRect/>
                    </a:stretch>
                  </pic:blipFill>
                  <pic:spPr bwMode="auto">
                    <a:xfrm>
                      <a:off x="0" y="0"/>
                      <a:ext cx="7246620" cy="102870"/>
                    </a:xfrm>
                    <a:prstGeom prst="rect">
                      <a:avLst/>
                    </a:prstGeom>
                    <a:noFill/>
                  </pic:spPr>
                </pic:pic>
              </a:graphicData>
            </a:graphic>
          </wp:anchor>
        </w:drawing>
      </w:r>
    </w:p>
    <w:p>
      <w:pPr>
        <w:jc w:val="center"/>
        <w:ind w:right="80"/>
        <w:spacing w:after="0" w:line="231" w:lineRule="auto"/>
        <w:rPr>
          <w:sz w:val="20"/>
          <w:szCs w:val="20"/>
          <w:color w:val="auto"/>
        </w:rPr>
      </w:pPr>
      <w:r>
        <w:rPr>
          <w:rFonts w:ascii="Arial" w:cs="Arial" w:eastAsia="Arial" w:hAnsi="Arial"/>
          <w:sz w:val="14"/>
          <w:szCs w:val="14"/>
          <w:b w:val="1"/>
          <w:bCs w:val="1"/>
          <w:color w:val="auto"/>
        </w:rPr>
        <w:t>Mr. DiPiero (7)</w:t>
      </w:r>
    </w:p>
    <w:tbl>
      <w:tblPr>
        <w:tblLayout w:type="fixed"/>
        <w:tblInd w:w="0" w:type="dxa"/>
        <w:tblCellMar>
          <w:top w:w="0" w:type="dxa"/>
          <w:left w:w="0" w:type="dxa"/>
          <w:bottom w:w="0" w:type="dxa"/>
          <w:right w:w="0" w:type="dxa"/>
        </w:tblCellMar>
      </w:tblPr>
      <w:tr>
        <w:trPr>
          <w:trHeight w:val="119"/>
        </w:trPr>
        <w:tc>
          <w:tcPr>
            <w:tcW w:w="3020" w:type="dxa"/>
            <w:vAlign w:val="bottom"/>
            <w:tcBorders>
              <w:top w:val="single" w:sz="8" w:color="auto"/>
            </w:tcBorders>
          </w:tcPr>
          <w:p>
            <w:pPr>
              <w:spacing w:after="0"/>
              <w:rPr>
                <w:sz w:val="10"/>
                <w:szCs w:val="10"/>
                <w:color w:val="auto"/>
              </w:rPr>
            </w:pPr>
          </w:p>
        </w:tc>
        <w:tc>
          <w:tcPr>
            <w:tcW w:w="1120" w:type="dxa"/>
            <w:vAlign w:val="bottom"/>
            <w:tcBorders>
              <w:top w:val="single" w:sz="8" w:color="auto"/>
            </w:tcBorders>
          </w:tcPr>
          <w:p>
            <w:pPr>
              <w:jc w:val="center"/>
              <w:ind w:left="311"/>
              <w:spacing w:after="0" w:line="119" w:lineRule="exact"/>
              <w:rPr>
                <w:sz w:val="20"/>
                <w:szCs w:val="20"/>
                <w:color w:val="auto"/>
              </w:rPr>
            </w:pPr>
            <w:r>
              <w:rPr>
                <w:rFonts w:ascii="Arial" w:cs="Arial" w:eastAsia="Arial" w:hAnsi="Arial"/>
                <w:sz w:val="13"/>
                <w:szCs w:val="13"/>
                <w:b w:val="1"/>
                <w:bCs w:val="1"/>
                <w:color w:val="auto"/>
              </w:rPr>
              <w:t>Voluntary</w:t>
            </w:r>
          </w:p>
        </w:tc>
        <w:tc>
          <w:tcPr>
            <w:tcW w:w="380" w:type="dxa"/>
            <w:vAlign w:val="bottom"/>
            <w:tcBorders>
              <w:top w:val="single" w:sz="8" w:color="auto"/>
            </w:tcBorders>
          </w:tcPr>
          <w:p>
            <w:pPr>
              <w:spacing w:after="0"/>
              <w:rPr>
                <w:sz w:val="10"/>
                <w:szCs w:val="10"/>
                <w:color w:val="auto"/>
              </w:rPr>
            </w:pPr>
          </w:p>
        </w:tc>
        <w:tc>
          <w:tcPr>
            <w:tcW w:w="1400" w:type="dxa"/>
            <w:vAlign w:val="bottom"/>
            <w:tcBorders>
              <w:top w:val="single" w:sz="8" w:color="auto"/>
            </w:tcBorders>
          </w:tcPr>
          <w:p>
            <w:pPr>
              <w:ind w:left="240"/>
              <w:spacing w:after="0" w:line="119" w:lineRule="exact"/>
              <w:rPr>
                <w:sz w:val="20"/>
                <w:szCs w:val="20"/>
                <w:color w:val="auto"/>
              </w:rPr>
            </w:pPr>
            <w:r>
              <w:rPr>
                <w:rFonts w:ascii="Arial" w:cs="Arial" w:eastAsia="Arial" w:hAnsi="Arial"/>
                <w:sz w:val="13"/>
                <w:szCs w:val="13"/>
                <w:b w:val="1"/>
                <w:bCs w:val="1"/>
                <w:color w:val="auto"/>
              </w:rPr>
              <w:t>Termination</w:t>
            </w:r>
          </w:p>
        </w:tc>
        <w:tc>
          <w:tcPr>
            <w:tcW w:w="1440" w:type="dxa"/>
            <w:vAlign w:val="bottom"/>
            <w:tcBorders>
              <w:top w:val="single" w:sz="8" w:color="auto"/>
            </w:tcBorders>
            <w:vMerge w:val="restart"/>
          </w:tcPr>
          <w:p>
            <w:pPr>
              <w:ind w:left="240"/>
              <w:spacing w:after="0"/>
              <w:rPr>
                <w:sz w:val="20"/>
                <w:szCs w:val="20"/>
                <w:color w:val="auto"/>
              </w:rPr>
            </w:pPr>
            <w:r>
              <w:rPr>
                <w:rFonts w:ascii="Arial" w:cs="Arial" w:eastAsia="Arial" w:hAnsi="Arial"/>
                <w:sz w:val="14"/>
                <w:szCs w:val="14"/>
                <w:b w:val="1"/>
                <w:bCs w:val="1"/>
                <w:color w:val="auto"/>
              </w:rPr>
              <w:t>Retirement (6)</w:t>
            </w:r>
          </w:p>
        </w:tc>
        <w:tc>
          <w:tcPr>
            <w:tcW w:w="1280" w:type="dxa"/>
            <w:vAlign w:val="bottom"/>
            <w:tcBorders>
              <w:top w:val="single" w:sz="8" w:color="auto"/>
            </w:tcBorders>
          </w:tcPr>
          <w:p>
            <w:pPr>
              <w:ind w:left="280"/>
              <w:spacing w:after="0" w:line="119" w:lineRule="exact"/>
              <w:rPr>
                <w:sz w:val="20"/>
                <w:szCs w:val="20"/>
                <w:color w:val="auto"/>
              </w:rPr>
            </w:pPr>
            <w:r>
              <w:rPr>
                <w:rFonts w:ascii="Arial" w:cs="Arial" w:eastAsia="Arial" w:hAnsi="Arial"/>
                <w:sz w:val="13"/>
                <w:szCs w:val="13"/>
                <w:b w:val="1"/>
                <w:bCs w:val="1"/>
                <w:color w:val="auto"/>
              </w:rPr>
              <w:t>Death &amp;</w:t>
            </w:r>
          </w:p>
        </w:tc>
        <w:tc>
          <w:tcPr>
            <w:tcW w:w="1540" w:type="dxa"/>
            <w:vAlign w:val="bottom"/>
            <w:tcBorders>
              <w:top w:val="single" w:sz="8" w:color="auto"/>
            </w:tcBorders>
          </w:tcPr>
          <w:p>
            <w:pPr>
              <w:ind w:left="320"/>
              <w:spacing w:after="0" w:line="119" w:lineRule="exact"/>
              <w:rPr>
                <w:sz w:val="20"/>
                <w:szCs w:val="20"/>
                <w:color w:val="auto"/>
              </w:rPr>
            </w:pPr>
            <w:r>
              <w:rPr>
                <w:rFonts w:ascii="Arial" w:cs="Arial" w:eastAsia="Arial" w:hAnsi="Arial"/>
                <w:sz w:val="13"/>
                <w:szCs w:val="13"/>
                <w:b w:val="1"/>
                <w:bCs w:val="1"/>
                <w:color w:val="auto"/>
              </w:rPr>
              <w:t>Termination</w:t>
            </w:r>
          </w:p>
        </w:tc>
        <w:tc>
          <w:tcPr>
            <w:tcW w:w="1240" w:type="dxa"/>
            <w:vAlign w:val="bottom"/>
            <w:tcBorders>
              <w:top w:val="single" w:sz="8" w:color="auto"/>
            </w:tcBorders>
          </w:tcPr>
          <w:p>
            <w:pPr>
              <w:ind w:left="240"/>
              <w:spacing w:after="0" w:line="119" w:lineRule="exact"/>
              <w:rPr>
                <w:sz w:val="20"/>
                <w:szCs w:val="20"/>
                <w:color w:val="auto"/>
              </w:rPr>
            </w:pPr>
            <w:r>
              <w:rPr>
                <w:rFonts w:ascii="Arial" w:cs="Arial" w:eastAsia="Arial" w:hAnsi="Arial"/>
                <w:sz w:val="13"/>
                <w:szCs w:val="13"/>
                <w:b w:val="1"/>
                <w:bCs w:val="1"/>
                <w:color w:val="auto"/>
              </w:rPr>
              <w:t>Change in</w:t>
            </w:r>
          </w:p>
        </w:tc>
        <w:tc>
          <w:tcPr>
            <w:tcW w:w="0" w:type="dxa"/>
            <w:vAlign w:val="bottom"/>
          </w:tcPr>
          <w:p>
            <w:pPr>
              <w:spacing w:after="0"/>
              <w:rPr>
                <w:sz w:val="1"/>
                <w:szCs w:val="1"/>
                <w:color w:val="auto"/>
              </w:rPr>
            </w:pPr>
          </w:p>
        </w:tc>
      </w:tr>
      <w:tr>
        <w:trPr>
          <w:trHeight w:val="171"/>
        </w:trPr>
        <w:tc>
          <w:tcPr>
            <w:tcW w:w="3020" w:type="dxa"/>
            <w:vAlign w:val="bottom"/>
            <w:tcBorders>
              <w:bottom w:val="single" w:sz="8" w:color="auto"/>
            </w:tcBorders>
          </w:tcPr>
          <w:p>
            <w:pPr>
              <w:spacing w:after="0"/>
              <w:rPr>
                <w:sz w:val="14"/>
                <w:szCs w:val="14"/>
                <w:color w:val="auto"/>
              </w:rPr>
            </w:pPr>
          </w:p>
        </w:tc>
        <w:tc>
          <w:tcPr>
            <w:tcW w:w="1120" w:type="dxa"/>
            <w:vAlign w:val="bottom"/>
            <w:tcBorders>
              <w:bottom w:val="single" w:sz="8" w:color="auto"/>
            </w:tcBorders>
          </w:tcPr>
          <w:p>
            <w:pPr>
              <w:jc w:val="center"/>
              <w:ind w:left="331"/>
              <w:spacing w:after="0"/>
              <w:rPr>
                <w:sz w:val="20"/>
                <w:szCs w:val="20"/>
                <w:color w:val="auto"/>
              </w:rPr>
            </w:pPr>
            <w:r>
              <w:rPr>
                <w:rFonts w:ascii="Arial" w:cs="Arial" w:eastAsia="Arial" w:hAnsi="Arial"/>
                <w:sz w:val="14"/>
                <w:szCs w:val="14"/>
                <w:b w:val="1"/>
                <w:bCs w:val="1"/>
                <w:color w:val="auto"/>
                <w:w w:val="89"/>
              </w:rPr>
              <w:t>Resignation</w:t>
            </w:r>
          </w:p>
        </w:tc>
        <w:tc>
          <w:tcPr>
            <w:tcW w:w="380" w:type="dxa"/>
            <w:vAlign w:val="bottom"/>
            <w:tcBorders>
              <w:bottom w:val="single" w:sz="8" w:color="auto"/>
            </w:tcBorders>
          </w:tcPr>
          <w:p>
            <w:pPr>
              <w:spacing w:after="0"/>
              <w:rPr>
                <w:sz w:val="14"/>
                <w:szCs w:val="14"/>
                <w:color w:val="auto"/>
              </w:rPr>
            </w:pPr>
          </w:p>
        </w:tc>
        <w:tc>
          <w:tcPr>
            <w:tcW w:w="1400" w:type="dxa"/>
            <w:vAlign w:val="bottom"/>
            <w:tcBorders>
              <w:bottom w:val="single" w:sz="8" w:color="auto"/>
            </w:tcBorders>
          </w:tcPr>
          <w:p>
            <w:pPr>
              <w:ind w:left="260"/>
              <w:spacing w:after="0"/>
              <w:rPr>
                <w:sz w:val="20"/>
                <w:szCs w:val="20"/>
                <w:color w:val="auto"/>
              </w:rPr>
            </w:pPr>
            <w:r>
              <w:rPr>
                <w:rFonts w:ascii="Arial" w:cs="Arial" w:eastAsia="Arial" w:hAnsi="Arial"/>
                <w:sz w:val="14"/>
                <w:szCs w:val="14"/>
                <w:b w:val="1"/>
                <w:bCs w:val="1"/>
                <w:color w:val="auto"/>
              </w:rPr>
              <w:t>With Cause</w:t>
            </w:r>
          </w:p>
        </w:tc>
        <w:tc>
          <w:tcPr>
            <w:tcW w:w="1440" w:type="dxa"/>
            <w:vAlign w:val="bottom"/>
            <w:tcBorders>
              <w:bottom w:val="single" w:sz="8" w:color="auto"/>
            </w:tcBorders>
            <w:vMerge w:val="continue"/>
          </w:tcPr>
          <w:p>
            <w:pPr>
              <w:spacing w:after="0"/>
              <w:rPr>
                <w:sz w:val="14"/>
                <w:szCs w:val="14"/>
                <w:color w:val="auto"/>
              </w:rPr>
            </w:pPr>
          </w:p>
        </w:tc>
        <w:tc>
          <w:tcPr>
            <w:tcW w:w="1280" w:type="dxa"/>
            <w:vAlign w:val="bottom"/>
            <w:tcBorders>
              <w:bottom w:val="single" w:sz="8" w:color="auto"/>
            </w:tcBorders>
          </w:tcPr>
          <w:p>
            <w:pPr>
              <w:ind w:left="240"/>
              <w:spacing w:after="0"/>
              <w:rPr>
                <w:sz w:val="20"/>
                <w:szCs w:val="20"/>
                <w:color w:val="auto"/>
              </w:rPr>
            </w:pPr>
            <w:r>
              <w:rPr>
                <w:rFonts w:ascii="Arial" w:cs="Arial" w:eastAsia="Arial" w:hAnsi="Arial"/>
                <w:sz w:val="14"/>
                <w:szCs w:val="14"/>
                <w:b w:val="1"/>
                <w:bCs w:val="1"/>
                <w:color w:val="auto"/>
              </w:rPr>
              <w:t>Disability</w:t>
            </w:r>
          </w:p>
        </w:tc>
        <w:tc>
          <w:tcPr>
            <w:tcW w:w="1540" w:type="dxa"/>
            <w:vAlign w:val="bottom"/>
            <w:tcBorders>
              <w:bottom w:val="single" w:sz="8" w:color="auto"/>
            </w:tcBorders>
          </w:tcPr>
          <w:p>
            <w:pPr>
              <w:ind w:left="240"/>
              <w:spacing w:after="0"/>
              <w:rPr>
                <w:sz w:val="20"/>
                <w:szCs w:val="20"/>
                <w:color w:val="auto"/>
              </w:rPr>
            </w:pPr>
            <w:r>
              <w:rPr>
                <w:rFonts w:ascii="Arial" w:cs="Arial" w:eastAsia="Arial" w:hAnsi="Arial"/>
                <w:sz w:val="14"/>
                <w:szCs w:val="14"/>
                <w:b w:val="1"/>
                <w:bCs w:val="1"/>
                <w:color w:val="auto"/>
              </w:rPr>
              <w:t>Without Cause</w:t>
            </w:r>
          </w:p>
        </w:tc>
        <w:tc>
          <w:tcPr>
            <w:tcW w:w="1240" w:type="dxa"/>
            <w:vAlign w:val="bottom"/>
            <w:tcBorders>
              <w:bottom w:val="single" w:sz="8" w:color="auto"/>
            </w:tcBorders>
          </w:tcPr>
          <w:p>
            <w:pPr>
              <w:ind w:left="320"/>
              <w:spacing w:after="0"/>
              <w:rPr>
                <w:sz w:val="20"/>
                <w:szCs w:val="20"/>
                <w:color w:val="auto"/>
              </w:rPr>
            </w:pPr>
            <w:r>
              <w:rPr>
                <w:rFonts w:ascii="Arial" w:cs="Arial" w:eastAsia="Arial" w:hAnsi="Arial"/>
                <w:sz w:val="14"/>
                <w:szCs w:val="14"/>
                <w:b w:val="1"/>
                <w:bCs w:val="1"/>
                <w:color w:val="auto"/>
              </w:rPr>
              <w:t>Control</w:t>
            </w:r>
          </w:p>
        </w:tc>
        <w:tc>
          <w:tcPr>
            <w:tcW w:w="0" w:type="dxa"/>
            <w:vAlign w:val="bottom"/>
          </w:tcPr>
          <w:p>
            <w:pPr>
              <w:spacing w:after="0"/>
              <w:rPr>
                <w:sz w:val="1"/>
                <w:szCs w:val="1"/>
                <w:color w:val="auto"/>
              </w:rPr>
            </w:pPr>
          </w:p>
        </w:tc>
      </w:tr>
      <w:tr>
        <w:trPr>
          <w:trHeight w:val="142"/>
        </w:trPr>
        <w:tc>
          <w:tcPr>
            <w:tcW w:w="4140" w:type="dxa"/>
            <w:vAlign w:val="bottom"/>
            <w:gridSpan w:val="2"/>
            <w:shd w:val="clear" w:color="auto" w:fill="CCEEFF"/>
          </w:tcPr>
          <w:p>
            <w:pPr>
              <w:spacing w:after="0" w:line="142" w:lineRule="exact"/>
              <w:rPr>
                <w:sz w:val="20"/>
                <w:szCs w:val="20"/>
                <w:color w:val="auto"/>
              </w:rPr>
            </w:pPr>
            <w:r>
              <w:rPr>
                <w:rFonts w:ascii="Arial" w:cs="Arial" w:eastAsia="Arial" w:hAnsi="Arial"/>
                <w:sz w:val="14"/>
                <w:szCs w:val="14"/>
                <w:color w:val="auto"/>
              </w:rPr>
              <w:t>Cash Severance (1)</w:t>
            </w:r>
          </w:p>
        </w:tc>
        <w:tc>
          <w:tcPr>
            <w:tcW w:w="380" w:type="dxa"/>
            <w:vAlign w:val="bottom"/>
            <w:shd w:val="clear" w:color="auto" w:fill="CCEEFF"/>
          </w:tcPr>
          <w:p>
            <w:pPr>
              <w:spacing w:after="0" w:line="142" w:lineRule="exact"/>
              <w:rPr>
                <w:sz w:val="20"/>
                <w:szCs w:val="20"/>
                <w:color w:val="auto"/>
              </w:rPr>
            </w:pPr>
            <w:r>
              <w:rPr>
                <w:rFonts w:ascii="Arial" w:cs="Arial" w:eastAsia="Arial" w:hAnsi="Arial"/>
                <w:sz w:val="14"/>
                <w:szCs w:val="14"/>
                <w:color w:val="auto"/>
              </w:rPr>
              <w:t>—</w:t>
            </w:r>
          </w:p>
        </w:tc>
        <w:tc>
          <w:tcPr>
            <w:tcW w:w="1400" w:type="dxa"/>
            <w:vAlign w:val="bottom"/>
            <w:shd w:val="clear" w:color="auto" w:fill="CCEEFF"/>
          </w:tcPr>
          <w:p>
            <w:pPr>
              <w:ind w:left="1020"/>
              <w:spacing w:after="0" w:line="142" w:lineRule="exact"/>
              <w:rPr>
                <w:sz w:val="20"/>
                <w:szCs w:val="20"/>
                <w:color w:val="auto"/>
              </w:rPr>
            </w:pPr>
            <w:r>
              <w:rPr>
                <w:rFonts w:ascii="Arial" w:cs="Arial" w:eastAsia="Arial" w:hAnsi="Arial"/>
                <w:sz w:val="14"/>
                <w:szCs w:val="14"/>
                <w:color w:val="auto"/>
              </w:rPr>
              <w:t>—</w:t>
            </w:r>
          </w:p>
        </w:tc>
        <w:tc>
          <w:tcPr>
            <w:tcW w:w="1440" w:type="dxa"/>
            <w:vAlign w:val="bottom"/>
            <w:shd w:val="clear" w:color="auto" w:fill="CCEEFF"/>
          </w:tcPr>
          <w:p>
            <w:pPr>
              <w:ind w:left="1060"/>
              <w:spacing w:after="0" w:line="142" w:lineRule="exact"/>
              <w:rPr>
                <w:sz w:val="20"/>
                <w:szCs w:val="20"/>
                <w:color w:val="auto"/>
              </w:rPr>
            </w:pPr>
            <w:r>
              <w:rPr>
                <w:rFonts w:ascii="Arial" w:cs="Arial" w:eastAsia="Arial" w:hAnsi="Arial"/>
                <w:sz w:val="14"/>
                <w:szCs w:val="14"/>
                <w:color w:val="auto"/>
              </w:rPr>
              <w:t>—</w:t>
            </w:r>
          </w:p>
        </w:tc>
        <w:tc>
          <w:tcPr>
            <w:tcW w:w="1280" w:type="dxa"/>
            <w:vAlign w:val="bottom"/>
            <w:shd w:val="clear" w:color="auto" w:fill="CCEEFF"/>
          </w:tcPr>
          <w:p>
            <w:pPr>
              <w:ind w:left="900"/>
              <w:spacing w:after="0" w:line="142" w:lineRule="exact"/>
              <w:rPr>
                <w:sz w:val="20"/>
                <w:szCs w:val="20"/>
                <w:color w:val="auto"/>
              </w:rPr>
            </w:pPr>
            <w:r>
              <w:rPr>
                <w:rFonts w:ascii="Arial" w:cs="Arial" w:eastAsia="Arial" w:hAnsi="Arial"/>
                <w:sz w:val="14"/>
                <w:szCs w:val="14"/>
                <w:color w:val="auto"/>
              </w:rPr>
              <w:t>—</w:t>
            </w:r>
          </w:p>
        </w:tc>
        <w:tc>
          <w:tcPr>
            <w:tcW w:w="1540" w:type="dxa"/>
            <w:vAlign w:val="bottom"/>
            <w:shd w:val="clear" w:color="auto" w:fill="CCEEFF"/>
          </w:tcPr>
          <w:p>
            <w:pPr>
              <w:ind w:left="1160"/>
              <w:spacing w:after="0" w:line="142" w:lineRule="exact"/>
              <w:rPr>
                <w:sz w:val="20"/>
                <w:szCs w:val="20"/>
                <w:color w:val="auto"/>
              </w:rPr>
            </w:pPr>
            <w:r>
              <w:rPr>
                <w:rFonts w:ascii="Arial" w:cs="Arial" w:eastAsia="Arial" w:hAnsi="Arial"/>
                <w:sz w:val="14"/>
                <w:szCs w:val="14"/>
                <w:color w:val="auto"/>
              </w:rPr>
              <w:t>—</w:t>
            </w:r>
          </w:p>
        </w:tc>
        <w:tc>
          <w:tcPr>
            <w:tcW w:w="1240" w:type="dxa"/>
            <w:vAlign w:val="bottom"/>
            <w:shd w:val="clear" w:color="auto" w:fill="CCEEFF"/>
          </w:tcPr>
          <w:p>
            <w:pPr>
              <w:ind w:left="1020"/>
              <w:spacing w:after="0" w:line="142"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4140" w:type="dxa"/>
            <w:vAlign w:val="bottom"/>
            <w:gridSpan w:val="2"/>
          </w:tcPr>
          <w:p>
            <w:pPr>
              <w:spacing w:after="0" w:line="149" w:lineRule="exact"/>
              <w:rPr>
                <w:sz w:val="20"/>
                <w:szCs w:val="20"/>
                <w:color w:val="auto"/>
              </w:rPr>
            </w:pPr>
            <w:r>
              <w:rPr>
                <w:rFonts w:ascii="Arial" w:cs="Arial" w:eastAsia="Arial" w:hAnsi="Arial"/>
                <w:sz w:val="14"/>
                <w:szCs w:val="14"/>
                <w:color w:val="auto"/>
              </w:rPr>
              <w:t>Equity (2)</w:t>
            </w:r>
          </w:p>
        </w:tc>
        <w:tc>
          <w:tcPr>
            <w:tcW w:w="380" w:type="dxa"/>
            <w:vAlign w:val="bottom"/>
          </w:tcPr>
          <w:p>
            <w:pPr>
              <w:spacing w:after="0" w:line="149" w:lineRule="exact"/>
              <w:rPr>
                <w:sz w:val="20"/>
                <w:szCs w:val="20"/>
                <w:color w:val="auto"/>
              </w:rPr>
            </w:pPr>
            <w:r>
              <w:rPr>
                <w:rFonts w:ascii="Arial" w:cs="Arial" w:eastAsia="Arial" w:hAnsi="Arial"/>
                <w:sz w:val="14"/>
                <w:szCs w:val="14"/>
                <w:color w:val="auto"/>
              </w:rPr>
              <w:t>—</w:t>
            </w:r>
          </w:p>
        </w:tc>
        <w:tc>
          <w:tcPr>
            <w:tcW w:w="1400" w:type="dxa"/>
            <w:vAlign w:val="bottom"/>
          </w:tcPr>
          <w:p>
            <w:pPr>
              <w:ind w:left="1020"/>
              <w:spacing w:after="0" w:line="149" w:lineRule="exact"/>
              <w:rPr>
                <w:sz w:val="20"/>
                <w:szCs w:val="20"/>
                <w:color w:val="auto"/>
              </w:rPr>
            </w:pPr>
            <w:r>
              <w:rPr>
                <w:rFonts w:ascii="Arial" w:cs="Arial" w:eastAsia="Arial" w:hAnsi="Arial"/>
                <w:sz w:val="14"/>
                <w:szCs w:val="14"/>
                <w:color w:val="auto"/>
              </w:rPr>
              <w:t>—</w:t>
            </w:r>
          </w:p>
        </w:tc>
        <w:tc>
          <w:tcPr>
            <w:tcW w:w="1440" w:type="dxa"/>
            <w:vAlign w:val="bottom"/>
          </w:tcPr>
          <w:p>
            <w:pPr>
              <w:ind w:left="1060"/>
              <w:spacing w:after="0" w:line="149" w:lineRule="exact"/>
              <w:rPr>
                <w:sz w:val="20"/>
                <w:szCs w:val="20"/>
                <w:color w:val="auto"/>
              </w:rPr>
            </w:pPr>
            <w:r>
              <w:rPr>
                <w:rFonts w:ascii="Arial" w:cs="Arial" w:eastAsia="Arial" w:hAnsi="Arial"/>
                <w:sz w:val="14"/>
                <w:szCs w:val="14"/>
                <w:color w:val="auto"/>
              </w:rPr>
              <w:t>—</w:t>
            </w:r>
          </w:p>
        </w:tc>
        <w:tc>
          <w:tcPr>
            <w:tcW w:w="1280" w:type="dxa"/>
            <w:vAlign w:val="bottom"/>
          </w:tcPr>
          <w:p>
            <w:pPr>
              <w:ind w:left="900"/>
              <w:spacing w:after="0" w:line="149" w:lineRule="exact"/>
              <w:rPr>
                <w:sz w:val="20"/>
                <w:szCs w:val="20"/>
                <w:color w:val="auto"/>
              </w:rPr>
            </w:pPr>
            <w:r>
              <w:rPr>
                <w:rFonts w:ascii="Arial" w:cs="Arial" w:eastAsia="Arial" w:hAnsi="Arial"/>
                <w:sz w:val="14"/>
                <w:szCs w:val="14"/>
                <w:color w:val="auto"/>
              </w:rPr>
              <w:t>—</w:t>
            </w:r>
          </w:p>
        </w:tc>
        <w:tc>
          <w:tcPr>
            <w:tcW w:w="1540" w:type="dxa"/>
            <w:vAlign w:val="bottom"/>
          </w:tcPr>
          <w:p>
            <w:pPr>
              <w:ind w:left="1160"/>
              <w:spacing w:after="0" w:line="149" w:lineRule="exact"/>
              <w:rPr>
                <w:sz w:val="20"/>
                <w:szCs w:val="20"/>
                <w:color w:val="auto"/>
              </w:rPr>
            </w:pPr>
            <w:r>
              <w:rPr>
                <w:rFonts w:ascii="Arial" w:cs="Arial" w:eastAsia="Arial" w:hAnsi="Arial"/>
                <w:sz w:val="14"/>
                <w:szCs w:val="14"/>
                <w:color w:val="auto"/>
              </w:rPr>
              <w:t>—</w:t>
            </w:r>
          </w:p>
        </w:tc>
        <w:tc>
          <w:tcPr>
            <w:tcW w:w="1240" w:type="dxa"/>
            <w:vAlign w:val="bottom"/>
          </w:tcPr>
          <w:p>
            <w:pPr>
              <w:ind w:left="102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414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Retirement Benefits (3)</w:t>
            </w:r>
          </w:p>
        </w:tc>
        <w:tc>
          <w:tcPr>
            <w:tcW w:w="3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w:t>
            </w:r>
          </w:p>
        </w:tc>
        <w:tc>
          <w:tcPr>
            <w:tcW w:w="1400" w:type="dxa"/>
            <w:vAlign w:val="bottom"/>
            <w:shd w:val="clear" w:color="auto" w:fill="CCEEFF"/>
          </w:tcPr>
          <w:p>
            <w:pPr>
              <w:ind w:left="1020"/>
              <w:spacing w:after="0" w:line="149" w:lineRule="exact"/>
              <w:rPr>
                <w:sz w:val="20"/>
                <w:szCs w:val="20"/>
                <w:color w:val="auto"/>
              </w:rPr>
            </w:pPr>
            <w:r>
              <w:rPr>
                <w:rFonts w:ascii="Arial" w:cs="Arial" w:eastAsia="Arial" w:hAnsi="Arial"/>
                <w:sz w:val="14"/>
                <w:szCs w:val="14"/>
                <w:color w:val="auto"/>
              </w:rPr>
              <w:t>—</w:t>
            </w:r>
          </w:p>
        </w:tc>
        <w:tc>
          <w:tcPr>
            <w:tcW w:w="1440" w:type="dxa"/>
            <w:vAlign w:val="bottom"/>
            <w:shd w:val="clear" w:color="auto" w:fill="CCEEFF"/>
          </w:tcPr>
          <w:p>
            <w:pPr>
              <w:ind w:left="1060"/>
              <w:spacing w:after="0" w:line="149" w:lineRule="exact"/>
              <w:rPr>
                <w:sz w:val="20"/>
                <w:szCs w:val="20"/>
                <w:color w:val="auto"/>
              </w:rPr>
            </w:pPr>
            <w:r>
              <w:rPr>
                <w:rFonts w:ascii="Arial" w:cs="Arial" w:eastAsia="Arial" w:hAnsi="Arial"/>
                <w:sz w:val="14"/>
                <w:szCs w:val="14"/>
                <w:color w:val="auto"/>
              </w:rPr>
              <w:t>—</w:t>
            </w:r>
          </w:p>
        </w:tc>
        <w:tc>
          <w:tcPr>
            <w:tcW w:w="1280" w:type="dxa"/>
            <w:vAlign w:val="bottom"/>
            <w:shd w:val="clear" w:color="auto" w:fill="CCEEFF"/>
          </w:tcPr>
          <w:p>
            <w:pPr>
              <w:ind w:left="900"/>
              <w:spacing w:after="0" w:line="149" w:lineRule="exact"/>
              <w:rPr>
                <w:sz w:val="20"/>
                <w:szCs w:val="20"/>
                <w:color w:val="auto"/>
              </w:rPr>
            </w:pPr>
            <w:r>
              <w:rPr>
                <w:rFonts w:ascii="Arial" w:cs="Arial" w:eastAsia="Arial" w:hAnsi="Arial"/>
                <w:sz w:val="14"/>
                <w:szCs w:val="14"/>
                <w:color w:val="auto"/>
              </w:rPr>
              <w:t>—</w:t>
            </w:r>
          </w:p>
        </w:tc>
        <w:tc>
          <w:tcPr>
            <w:tcW w:w="1540" w:type="dxa"/>
            <w:vAlign w:val="bottom"/>
            <w:shd w:val="clear" w:color="auto" w:fill="CCEEFF"/>
          </w:tcPr>
          <w:p>
            <w:pPr>
              <w:ind w:left="1160"/>
              <w:spacing w:after="0" w:line="149" w:lineRule="exact"/>
              <w:rPr>
                <w:sz w:val="20"/>
                <w:szCs w:val="20"/>
                <w:color w:val="auto"/>
              </w:rPr>
            </w:pPr>
            <w:r>
              <w:rPr>
                <w:rFonts w:ascii="Arial" w:cs="Arial" w:eastAsia="Arial" w:hAnsi="Arial"/>
                <w:sz w:val="14"/>
                <w:szCs w:val="14"/>
                <w:color w:val="auto"/>
              </w:rPr>
              <w:t>—</w:t>
            </w:r>
          </w:p>
        </w:tc>
        <w:tc>
          <w:tcPr>
            <w:tcW w:w="1240" w:type="dxa"/>
            <w:vAlign w:val="bottom"/>
            <w:shd w:val="clear" w:color="auto" w:fill="CCEEFF"/>
          </w:tcPr>
          <w:p>
            <w:pPr>
              <w:ind w:left="102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4140" w:type="dxa"/>
            <w:vAlign w:val="bottom"/>
            <w:gridSpan w:val="2"/>
          </w:tcPr>
          <w:p>
            <w:pPr>
              <w:spacing w:after="0" w:line="149" w:lineRule="exact"/>
              <w:rPr>
                <w:sz w:val="20"/>
                <w:szCs w:val="20"/>
                <w:color w:val="auto"/>
              </w:rPr>
            </w:pPr>
            <w:r>
              <w:rPr>
                <w:rFonts w:ascii="Arial" w:cs="Arial" w:eastAsia="Arial" w:hAnsi="Arial"/>
                <w:sz w:val="14"/>
                <w:szCs w:val="14"/>
                <w:color w:val="auto"/>
              </w:rPr>
              <w:t>Other Benefits (4)</w:t>
            </w:r>
          </w:p>
        </w:tc>
        <w:tc>
          <w:tcPr>
            <w:tcW w:w="380" w:type="dxa"/>
            <w:vAlign w:val="bottom"/>
          </w:tcPr>
          <w:p>
            <w:pPr>
              <w:spacing w:after="0" w:line="149" w:lineRule="exact"/>
              <w:rPr>
                <w:sz w:val="20"/>
                <w:szCs w:val="20"/>
                <w:color w:val="auto"/>
              </w:rPr>
            </w:pPr>
            <w:r>
              <w:rPr>
                <w:rFonts w:ascii="Arial" w:cs="Arial" w:eastAsia="Arial" w:hAnsi="Arial"/>
                <w:sz w:val="14"/>
                <w:szCs w:val="14"/>
                <w:color w:val="auto"/>
              </w:rPr>
              <w:t>—</w:t>
            </w:r>
          </w:p>
        </w:tc>
        <w:tc>
          <w:tcPr>
            <w:tcW w:w="1400" w:type="dxa"/>
            <w:vAlign w:val="bottom"/>
          </w:tcPr>
          <w:p>
            <w:pPr>
              <w:ind w:left="1020"/>
              <w:spacing w:after="0" w:line="149" w:lineRule="exact"/>
              <w:rPr>
                <w:sz w:val="20"/>
                <w:szCs w:val="20"/>
                <w:color w:val="auto"/>
              </w:rPr>
            </w:pPr>
            <w:r>
              <w:rPr>
                <w:rFonts w:ascii="Arial" w:cs="Arial" w:eastAsia="Arial" w:hAnsi="Arial"/>
                <w:sz w:val="14"/>
                <w:szCs w:val="14"/>
                <w:color w:val="auto"/>
              </w:rPr>
              <w:t>—</w:t>
            </w:r>
          </w:p>
        </w:tc>
        <w:tc>
          <w:tcPr>
            <w:tcW w:w="1440" w:type="dxa"/>
            <w:vAlign w:val="bottom"/>
          </w:tcPr>
          <w:p>
            <w:pPr>
              <w:ind w:left="1060"/>
              <w:spacing w:after="0" w:line="149" w:lineRule="exact"/>
              <w:rPr>
                <w:sz w:val="20"/>
                <w:szCs w:val="20"/>
                <w:color w:val="auto"/>
              </w:rPr>
            </w:pPr>
            <w:r>
              <w:rPr>
                <w:rFonts w:ascii="Arial" w:cs="Arial" w:eastAsia="Arial" w:hAnsi="Arial"/>
                <w:sz w:val="14"/>
                <w:szCs w:val="14"/>
                <w:color w:val="auto"/>
              </w:rPr>
              <w:t>—</w:t>
            </w:r>
          </w:p>
        </w:tc>
        <w:tc>
          <w:tcPr>
            <w:tcW w:w="1280" w:type="dxa"/>
            <w:vAlign w:val="bottom"/>
          </w:tcPr>
          <w:p>
            <w:pPr>
              <w:ind w:left="900"/>
              <w:spacing w:after="0" w:line="149" w:lineRule="exact"/>
              <w:rPr>
                <w:sz w:val="20"/>
                <w:szCs w:val="20"/>
                <w:color w:val="auto"/>
              </w:rPr>
            </w:pPr>
            <w:r>
              <w:rPr>
                <w:rFonts w:ascii="Arial" w:cs="Arial" w:eastAsia="Arial" w:hAnsi="Arial"/>
                <w:sz w:val="14"/>
                <w:szCs w:val="14"/>
                <w:color w:val="auto"/>
              </w:rPr>
              <w:t>—</w:t>
            </w:r>
          </w:p>
        </w:tc>
        <w:tc>
          <w:tcPr>
            <w:tcW w:w="1540" w:type="dxa"/>
            <w:vAlign w:val="bottom"/>
          </w:tcPr>
          <w:p>
            <w:pPr>
              <w:ind w:left="1160"/>
              <w:spacing w:after="0" w:line="149" w:lineRule="exact"/>
              <w:rPr>
                <w:sz w:val="20"/>
                <w:szCs w:val="20"/>
                <w:color w:val="auto"/>
              </w:rPr>
            </w:pPr>
            <w:r>
              <w:rPr>
                <w:rFonts w:ascii="Arial" w:cs="Arial" w:eastAsia="Arial" w:hAnsi="Arial"/>
                <w:sz w:val="14"/>
                <w:szCs w:val="14"/>
                <w:color w:val="auto"/>
              </w:rPr>
              <w:t>—</w:t>
            </w:r>
          </w:p>
        </w:tc>
        <w:tc>
          <w:tcPr>
            <w:tcW w:w="1240" w:type="dxa"/>
            <w:vAlign w:val="bottom"/>
          </w:tcPr>
          <w:p>
            <w:pPr>
              <w:ind w:left="102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414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Excise Tax Gross-Up (5)</w:t>
            </w:r>
          </w:p>
        </w:tc>
        <w:tc>
          <w:tcPr>
            <w:tcW w:w="3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w:t>
            </w:r>
          </w:p>
        </w:tc>
        <w:tc>
          <w:tcPr>
            <w:tcW w:w="1400" w:type="dxa"/>
            <w:vAlign w:val="bottom"/>
            <w:shd w:val="clear" w:color="auto" w:fill="CCEEFF"/>
          </w:tcPr>
          <w:p>
            <w:pPr>
              <w:ind w:left="1020"/>
              <w:spacing w:after="0" w:line="149" w:lineRule="exact"/>
              <w:rPr>
                <w:sz w:val="20"/>
                <w:szCs w:val="20"/>
                <w:color w:val="auto"/>
              </w:rPr>
            </w:pPr>
            <w:r>
              <w:rPr>
                <w:rFonts w:ascii="Arial" w:cs="Arial" w:eastAsia="Arial" w:hAnsi="Arial"/>
                <w:sz w:val="14"/>
                <w:szCs w:val="14"/>
                <w:color w:val="auto"/>
              </w:rPr>
              <w:t>—</w:t>
            </w:r>
          </w:p>
        </w:tc>
        <w:tc>
          <w:tcPr>
            <w:tcW w:w="1440" w:type="dxa"/>
            <w:vAlign w:val="bottom"/>
            <w:shd w:val="clear" w:color="auto" w:fill="CCEEFF"/>
          </w:tcPr>
          <w:p>
            <w:pPr>
              <w:ind w:left="1060"/>
              <w:spacing w:after="0" w:line="149" w:lineRule="exact"/>
              <w:rPr>
                <w:sz w:val="20"/>
                <w:szCs w:val="20"/>
                <w:color w:val="auto"/>
              </w:rPr>
            </w:pPr>
            <w:r>
              <w:rPr>
                <w:rFonts w:ascii="Arial" w:cs="Arial" w:eastAsia="Arial" w:hAnsi="Arial"/>
                <w:sz w:val="14"/>
                <w:szCs w:val="14"/>
                <w:color w:val="auto"/>
              </w:rPr>
              <w:t>—</w:t>
            </w:r>
          </w:p>
        </w:tc>
        <w:tc>
          <w:tcPr>
            <w:tcW w:w="1280" w:type="dxa"/>
            <w:vAlign w:val="bottom"/>
            <w:shd w:val="clear" w:color="auto" w:fill="CCEEFF"/>
          </w:tcPr>
          <w:p>
            <w:pPr>
              <w:ind w:left="900"/>
              <w:spacing w:after="0" w:line="149" w:lineRule="exact"/>
              <w:rPr>
                <w:sz w:val="20"/>
                <w:szCs w:val="20"/>
                <w:color w:val="auto"/>
              </w:rPr>
            </w:pPr>
            <w:r>
              <w:rPr>
                <w:rFonts w:ascii="Arial" w:cs="Arial" w:eastAsia="Arial" w:hAnsi="Arial"/>
                <w:sz w:val="14"/>
                <w:szCs w:val="14"/>
                <w:color w:val="auto"/>
              </w:rPr>
              <w:t>—</w:t>
            </w:r>
          </w:p>
        </w:tc>
        <w:tc>
          <w:tcPr>
            <w:tcW w:w="1540" w:type="dxa"/>
            <w:vAlign w:val="bottom"/>
            <w:shd w:val="clear" w:color="auto" w:fill="CCEEFF"/>
          </w:tcPr>
          <w:p>
            <w:pPr>
              <w:ind w:left="1160"/>
              <w:spacing w:after="0" w:line="149" w:lineRule="exact"/>
              <w:rPr>
                <w:sz w:val="20"/>
                <w:szCs w:val="20"/>
                <w:color w:val="auto"/>
              </w:rPr>
            </w:pPr>
            <w:r>
              <w:rPr>
                <w:rFonts w:ascii="Arial" w:cs="Arial" w:eastAsia="Arial" w:hAnsi="Arial"/>
                <w:sz w:val="14"/>
                <w:szCs w:val="14"/>
                <w:color w:val="auto"/>
              </w:rPr>
              <w:t>—</w:t>
            </w:r>
          </w:p>
        </w:tc>
        <w:tc>
          <w:tcPr>
            <w:tcW w:w="1240" w:type="dxa"/>
            <w:vAlign w:val="bottom"/>
            <w:shd w:val="clear" w:color="auto" w:fill="CCEEFF"/>
          </w:tcPr>
          <w:p>
            <w:pPr>
              <w:ind w:left="102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2"/>
        </w:trPr>
        <w:tc>
          <w:tcPr>
            <w:tcW w:w="3020" w:type="dxa"/>
            <w:vAlign w:val="bottom"/>
            <w:tcBorders>
              <w:bottom w:val="single" w:sz="8" w:color="auto"/>
            </w:tcBorders>
          </w:tcPr>
          <w:p>
            <w:pPr>
              <w:spacing w:after="0" w:line="142" w:lineRule="exact"/>
              <w:rPr>
                <w:sz w:val="20"/>
                <w:szCs w:val="20"/>
                <w:color w:val="auto"/>
              </w:rPr>
            </w:pPr>
            <w:r>
              <w:rPr>
                <w:rFonts w:ascii="Arial" w:cs="Arial" w:eastAsia="Arial" w:hAnsi="Arial"/>
                <w:sz w:val="14"/>
                <w:szCs w:val="14"/>
                <w:color w:val="auto"/>
              </w:rPr>
              <w:t>Total</w:t>
            </w:r>
          </w:p>
        </w:tc>
        <w:tc>
          <w:tcPr>
            <w:tcW w:w="1120" w:type="dxa"/>
            <w:vAlign w:val="bottom"/>
            <w:tcBorders>
              <w:top w:val="single" w:sz="8" w:color="auto"/>
              <w:bottom w:val="single" w:sz="8" w:color="auto"/>
            </w:tcBorders>
          </w:tcPr>
          <w:p>
            <w:pPr>
              <w:spacing w:after="0"/>
              <w:rPr>
                <w:sz w:val="12"/>
                <w:szCs w:val="12"/>
                <w:color w:val="auto"/>
              </w:rPr>
            </w:pPr>
          </w:p>
        </w:tc>
        <w:tc>
          <w:tcPr>
            <w:tcW w:w="380" w:type="dxa"/>
            <w:vAlign w:val="bottom"/>
            <w:tcBorders>
              <w:top w:val="single" w:sz="8" w:color="auto"/>
              <w:bottom w:val="single" w:sz="8" w:color="auto"/>
            </w:tcBorders>
          </w:tcPr>
          <w:p>
            <w:pPr>
              <w:spacing w:after="0" w:line="142" w:lineRule="exact"/>
              <w:rPr>
                <w:sz w:val="20"/>
                <w:szCs w:val="20"/>
                <w:color w:val="auto"/>
              </w:rPr>
            </w:pPr>
            <w:r>
              <w:rPr>
                <w:rFonts w:ascii="Arial" w:cs="Arial" w:eastAsia="Arial" w:hAnsi="Arial"/>
                <w:sz w:val="14"/>
                <w:szCs w:val="14"/>
                <w:color w:val="auto"/>
              </w:rPr>
              <w:t>—</w:t>
            </w:r>
          </w:p>
        </w:tc>
        <w:tc>
          <w:tcPr>
            <w:tcW w:w="1400" w:type="dxa"/>
            <w:vAlign w:val="bottom"/>
            <w:tcBorders>
              <w:top w:val="single" w:sz="8" w:color="auto"/>
              <w:bottom w:val="single" w:sz="8" w:color="auto"/>
            </w:tcBorders>
          </w:tcPr>
          <w:p>
            <w:pPr>
              <w:ind w:left="1020"/>
              <w:spacing w:after="0" w:line="142" w:lineRule="exact"/>
              <w:rPr>
                <w:sz w:val="20"/>
                <w:szCs w:val="20"/>
                <w:color w:val="auto"/>
              </w:rPr>
            </w:pPr>
            <w:r>
              <w:rPr>
                <w:rFonts w:ascii="Arial" w:cs="Arial" w:eastAsia="Arial" w:hAnsi="Arial"/>
                <w:sz w:val="14"/>
                <w:szCs w:val="14"/>
                <w:color w:val="auto"/>
              </w:rPr>
              <w:t>—</w:t>
            </w:r>
          </w:p>
        </w:tc>
        <w:tc>
          <w:tcPr>
            <w:tcW w:w="1440" w:type="dxa"/>
            <w:vAlign w:val="bottom"/>
            <w:tcBorders>
              <w:top w:val="single" w:sz="8" w:color="auto"/>
              <w:bottom w:val="single" w:sz="8" w:color="auto"/>
            </w:tcBorders>
          </w:tcPr>
          <w:p>
            <w:pPr>
              <w:ind w:left="1060"/>
              <w:spacing w:after="0" w:line="142" w:lineRule="exact"/>
              <w:rPr>
                <w:sz w:val="20"/>
                <w:szCs w:val="20"/>
                <w:color w:val="auto"/>
              </w:rPr>
            </w:pPr>
            <w:r>
              <w:rPr>
                <w:rFonts w:ascii="Arial" w:cs="Arial" w:eastAsia="Arial" w:hAnsi="Arial"/>
                <w:sz w:val="14"/>
                <w:szCs w:val="14"/>
                <w:color w:val="auto"/>
              </w:rPr>
              <w:t>—</w:t>
            </w:r>
          </w:p>
        </w:tc>
        <w:tc>
          <w:tcPr>
            <w:tcW w:w="1280" w:type="dxa"/>
            <w:vAlign w:val="bottom"/>
            <w:tcBorders>
              <w:top w:val="single" w:sz="8" w:color="auto"/>
              <w:bottom w:val="single" w:sz="8" w:color="auto"/>
            </w:tcBorders>
          </w:tcPr>
          <w:p>
            <w:pPr>
              <w:ind w:left="900"/>
              <w:spacing w:after="0" w:line="142" w:lineRule="exact"/>
              <w:rPr>
                <w:sz w:val="20"/>
                <w:szCs w:val="20"/>
                <w:color w:val="auto"/>
              </w:rPr>
            </w:pPr>
            <w:r>
              <w:rPr>
                <w:rFonts w:ascii="Arial" w:cs="Arial" w:eastAsia="Arial" w:hAnsi="Arial"/>
                <w:sz w:val="14"/>
                <w:szCs w:val="14"/>
                <w:color w:val="auto"/>
              </w:rPr>
              <w:t>—</w:t>
            </w:r>
          </w:p>
        </w:tc>
        <w:tc>
          <w:tcPr>
            <w:tcW w:w="1540" w:type="dxa"/>
            <w:vAlign w:val="bottom"/>
            <w:tcBorders>
              <w:top w:val="single" w:sz="8" w:color="auto"/>
              <w:bottom w:val="single" w:sz="8" w:color="auto"/>
            </w:tcBorders>
          </w:tcPr>
          <w:p>
            <w:pPr>
              <w:ind w:left="1160"/>
              <w:spacing w:after="0" w:line="142" w:lineRule="exact"/>
              <w:rPr>
                <w:sz w:val="20"/>
                <w:szCs w:val="20"/>
                <w:color w:val="auto"/>
              </w:rPr>
            </w:pPr>
            <w:r>
              <w:rPr>
                <w:rFonts w:ascii="Arial" w:cs="Arial" w:eastAsia="Arial" w:hAnsi="Arial"/>
                <w:sz w:val="14"/>
                <w:szCs w:val="14"/>
                <w:color w:val="auto"/>
              </w:rPr>
              <w:t>—</w:t>
            </w:r>
          </w:p>
        </w:tc>
        <w:tc>
          <w:tcPr>
            <w:tcW w:w="1240" w:type="dxa"/>
            <w:vAlign w:val="bottom"/>
            <w:tcBorders>
              <w:top w:val="single" w:sz="8" w:color="auto"/>
              <w:bottom w:val="single" w:sz="8" w:color="auto"/>
            </w:tcBorders>
          </w:tcPr>
          <w:p>
            <w:pPr>
              <w:ind w:left="1020"/>
              <w:spacing w:after="0" w:line="142"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bl>
    <w:p>
      <w:pPr>
        <w:spacing w:after="0" w:line="283" w:lineRule="exact"/>
        <w:rPr>
          <w:sz w:val="20"/>
          <w:szCs w:val="20"/>
          <w:color w:val="auto"/>
        </w:rPr>
      </w:pPr>
    </w:p>
    <w:p>
      <w:pPr>
        <w:ind w:left="5620" w:right="3420" w:hanging="5612"/>
        <w:spacing w:after="0" w:line="449" w:lineRule="auto"/>
        <w:tabs>
          <w:tab w:leader="none" w:pos="571" w:val="left"/>
        </w:tabs>
        <w:numPr>
          <w:ilvl w:val="0"/>
          <w:numId w:val="39"/>
        </w:numPr>
        <w:rPr>
          <w:rFonts w:ascii="Arial" w:cs="Arial" w:eastAsia="Arial" w:hAnsi="Arial"/>
          <w:sz w:val="18"/>
          <w:szCs w:val="18"/>
          <w:color w:val="auto"/>
        </w:rPr>
      </w:pPr>
      <w:r>
        <w:rPr>
          <w:rFonts w:ascii="Arial" w:cs="Arial" w:eastAsia="Arial" w:hAnsi="Arial"/>
          <w:sz w:val="18"/>
          <w:szCs w:val="18"/>
          <w:color w:val="auto"/>
        </w:rPr>
        <w:t>“Cash Severance” amounts are defined by multiples of annual pay stated in the Severance Agreements. 82</w:t>
      </w:r>
    </w:p>
    <w:p>
      <w:pPr>
        <w:sectPr>
          <w:pgSz w:w="11900" w:h="16838" w:orient="portrait"/>
          <w:cols w:equalWidth="0" w:num="1">
            <w:col w:w="11420"/>
          </w:cols>
          <w:pgMar w:left="240" w:top="459" w:right="239" w:bottom="1440" w:gutter="0" w:footer="0" w:header="0"/>
        </w:sectPr>
      </w:pPr>
    </w:p>
    <w:bookmarkStart w:id="94" w:name="page95"/>
    <w:bookmarkEnd w:id="9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3">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580" w:hanging="572"/>
        <w:spacing w:after="0" w:line="291" w:lineRule="auto"/>
        <w:tabs>
          <w:tab w:leader="none" w:pos="580" w:val="left"/>
        </w:tabs>
        <w:numPr>
          <w:ilvl w:val="0"/>
          <w:numId w:val="40"/>
        </w:numPr>
        <w:rPr>
          <w:rFonts w:ascii="Arial" w:cs="Arial" w:eastAsia="Arial" w:hAnsi="Arial"/>
          <w:sz w:val="16"/>
          <w:szCs w:val="16"/>
          <w:color w:val="auto"/>
        </w:rPr>
      </w:pPr>
      <w:r>
        <w:rPr>
          <w:rFonts w:ascii="Arial" w:cs="Arial" w:eastAsia="Arial" w:hAnsi="Arial"/>
          <w:sz w:val="16"/>
          <w:szCs w:val="16"/>
          <w:color w:val="auto"/>
        </w:rPr>
        <w:t>“Equity” includes Timken restricted shares, performance shares, performance-based restricted stock units and stock option grants. Equity-based grants immediately vest in the event of a change in control (as defined in the Severance Agreements) followed by certain events previously described or at the time of death or permanent disability. Equity-based grants vest through the period of time represented by the cash severance multiple in the case of an involuntary termination. All full-share awards are valued at the closing price of Timken common shares on December 31, 2013, which was $55.07. All stock options are valued based on the difference between the above closing stock price and the exercise price (or zero if the difference is negative), times the number of unvested shares that would accelerate, as defined in the Severance Agreements. Beginning with the 2012 Long-Term Incentive Plan grant, Timken modified its equity grant agreements to require double-trigger vesting for awards in the event of a change in control.</w:t>
      </w:r>
    </w:p>
    <w:p>
      <w:pPr>
        <w:spacing w:after="0" w:line="167" w:lineRule="exact"/>
        <w:rPr>
          <w:rFonts w:ascii="Arial" w:cs="Arial" w:eastAsia="Arial" w:hAnsi="Arial"/>
          <w:sz w:val="16"/>
          <w:szCs w:val="16"/>
          <w:color w:val="auto"/>
        </w:rPr>
      </w:pPr>
    </w:p>
    <w:p>
      <w:pPr>
        <w:ind w:left="580" w:right="800" w:hanging="572"/>
        <w:spacing w:after="0" w:line="277" w:lineRule="auto"/>
        <w:tabs>
          <w:tab w:leader="none" w:pos="580" w:val="left"/>
        </w:tabs>
        <w:numPr>
          <w:ilvl w:val="0"/>
          <w:numId w:val="40"/>
        </w:numPr>
        <w:rPr>
          <w:rFonts w:ascii="Arial" w:cs="Arial" w:eastAsia="Arial" w:hAnsi="Arial"/>
          <w:sz w:val="18"/>
          <w:szCs w:val="18"/>
          <w:color w:val="auto"/>
        </w:rPr>
      </w:pPr>
      <w:r>
        <w:rPr>
          <w:rFonts w:ascii="Arial" w:cs="Arial" w:eastAsia="Arial" w:hAnsi="Arial"/>
          <w:sz w:val="18"/>
          <w:szCs w:val="18"/>
          <w:color w:val="auto"/>
        </w:rPr>
        <w:t>“Retirement Benefits” represent the value of additional benefits earned under the qualified and supplemental plans as a result of retirement, termination without cause, or a change in control.</w:t>
      </w:r>
    </w:p>
    <w:p>
      <w:pPr>
        <w:spacing w:after="0" w:line="170" w:lineRule="exact"/>
        <w:rPr>
          <w:rFonts w:ascii="Arial" w:cs="Arial" w:eastAsia="Arial" w:hAnsi="Arial"/>
          <w:sz w:val="18"/>
          <w:szCs w:val="18"/>
          <w:color w:val="auto"/>
        </w:rPr>
      </w:pPr>
    </w:p>
    <w:p>
      <w:pPr>
        <w:ind w:left="580" w:right="340" w:hanging="572"/>
        <w:spacing w:after="0" w:line="279" w:lineRule="auto"/>
        <w:tabs>
          <w:tab w:leader="none" w:pos="580" w:val="left"/>
        </w:tabs>
        <w:numPr>
          <w:ilvl w:val="0"/>
          <w:numId w:val="40"/>
        </w:numPr>
        <w:rPr>
          <w:rFonts w:ascii="Arial" w:cs="Arial" w:eastAsia="Arial" w:hAnsi="Arial"/>
          <w:sz w:val="17"/>
          <w:szCs w:val="17"/>
          <w:color w:val="auto"/>
        </w:rPr>
      </w:pPr>
      <w:r>
        <w:rPr>
          <w:rFonts w:ascii="Arial" w:cs="Arial" w:eastAsia="Arial" w:hAnsi="Arial"/>
          <w:sz w:val="17"/>
          <w:szCs w:val="17"/>
          <w:color w:val="auto"/>
        </w:rPr>
        <w:t>“Other Benefits” is continuation of health and welfare benefits through the severance period, with an estimated value of $10,000 per year, plus outplacement services with an estimated value of $20,000. Additionally, Timken entered into death benefit agreements with our NEOs who were executive officers in October 2003. The amounts shown under “Death and Disability” represent the value of the death benefit payable under these agreements, which was two times the officer’s base salary in effect as of December 31, 2003.</w:t>
      </w:r>
    </w:p>
    <w:p>
      <w:pPr>
        <w:spacing w:after="0" w:line="171" w:lineRule="exact"/>
        <w:rPr>
          <w:rFonts w:ascii="Arial" w:cs="Arial" w:eastAsia="Arial" w:hAnsi="Arial"/>
          <w:sz w:val="17"/>
          <w:szCs w:val="17"/>
          <w:color w:val="auto"/>
        </w:rPr>
      </w:pPr>
    </w:p>
    <w:p>
      <w:pPr>
        <w:ind w:left="580" w:right="160" w:hanging="572"/>
        <w:spacing w:after="0" w:line="257" w:lineRule="auto"/>
        <w:tabs>
          <w:tab w:leader="none" w:pos="580" w:val="left"/>
        </w:tabs>
        <w:numPr>
          <w:ilvl w:val="0"/>
          <w:numId w:val="40"/>
        </w:numPr>
        <w:rPr>
          <w:rFonts w:ascii="Arial" w:cs="Arial" w:eastAsia="Arial" w:hAnsi="Arial"/>
          <w:sz w:val="18"/>
          <w:szCs w:val="18"/>
          <w:color w:val="auto"/>
        </w:rPr>
      </w:pPr>
      <w:r>
        <w:rPr>
          <w:rFonts w:ascii="Arial" w:cs="Arial" w:eastAsia="Arial" w:hAnsi="Arial"/>
          <w:sz w:val="18"/>
          <w:szCs w:val="18"/>
          <w:color w:val="auto"/>
        </w:rPr>
        <w:t>“Excise Tax Gross-Up” represents the amount that Timken would pay to cover the excise tax of 20% above normal withholdings that would be imposed if a payment to an executive is over a calculated threshold as defined by the Code. The Severance Agreements provide for a “gross-up” payment that ensures that after the executive pays all taxes, his net benefit includes the money he would have lost as a result of the excise tax. Based on a hypothetical change in control as of December 31, 2013, no excise tax would be triggered for Messrs. Timken and Holding. Mr. Walker’s Severance Agreement does not contain the excise tax provision.</w:t>
      </w:r>
    </w:p>
    <w:p>
      <w:pPr>
        <w:spacing w:after="0" w:line="188" w:lineRule="exact"/>
        <w:rPr>
          <w:rFonts w:ascii="Arial" w:cs="Arial" w:eastAsia="Arial" w:hAnsi="Arial"/>
          <w:sz w:val="18"/>
          <w:szCs w:val="18"/>
          <w:color w:val="auto"/>
        </w:rPr>
      </w:pPr>
    </w:p>
    <w:p>
      <w:pPr>
        <w:ind w:left="580" w:right="120" w:hanging="572"/>
        <w:spacing w:after="0" w:line="277" w:lineRule="auto"/>
        <w:tabs>
          <w:tab w:leader="none" w:pos="580" w:val="left"/>
        </w:tabs>
        <w:numPr>
          <w:ilvl w:val="0"/>
          <w:numId w:val="40"/>
        </w:numPr>
        <w:rPr>
          <w:rFonts w:ascii="Arial" w:cs="Arial" w:eastAsia="Arial" w:hAnsi="Arial"/>
          <w:sz w:val="18"/>
          <w:szCs w:val="18"/>
          <w:color w:val="auto"/>
        </w:rPr>
      </w:pPr>
      <w:r>
        <w:rPr>
          <w:rFonts w:ascii="Arial" w:cs="Arial" w:eastAsia="Arial" w:hAnsi="Arial"/>
          <w:sz w:val="18"/>
          <w:szCs w:val="18"/>
          <w:color w:val="auto"/>
        </w:rPr>
        <w:t>Values are shown under the retirement scenario for only Mr. Walker, because he was eligible for normal retirement or early retirement with Timken’s consent as of December 31, 2013.</w:t>
      </w:r>
    </w:p>
    <w:p>
      <w:pPr>
        <w:spacing w:after="0" w:line="170" w:lineRule="exact"/>
        <w:rPr>
          <w:rFonts w:ascii="Arial" w:cs="Arial" w:eastAsia="Arial" w:hAnsi="Arial"/>
          <w:sz w:val="18"/>
          <w:szCs w:val="18"/>
          <w:color w:val="auto"/>
        </w:rPr>
      </w:pPr>
    </w:p>
    <w:p>
      <w:pPr>
        <w:ind w:left="580" w:hanging="572"/>
        <w:spacing w:after="0"/>
        <w:tabs>
          <w:tab w:leader="none" w:pos="580" w:val="left"/>
        </w:tabs>
        <w:numPr>
          <w:ilvl w:val="0"/>
          <w:numId w:val="40"/>
        </w:numPr>
        <w:rPr>
          <w:rFonts w:ascii="Arial" w:cs="Arial" w:eastAsia="Arial" w:hAnsi="Arial"/>
          <w:sz w:val="18"/>
          <w:szCs w:val="18"/>
          <w:color w:val="auto"/>
        </w:rPr>
      </w:pPr>
      <w:r>
        <w:rPr>
          <w:rFonts w:ascii="Arial" w:cs="Arial" w:eastAsia="Arial" w:hAnsi="Arial"/>
          <w:sz w:val="18"/>
          <w:szCs w:val="18"/>
          <w:color w:val="auto"/>
        </w:rPr>
        <w:t>Mr. DiPiero was not employed by Timken in 2013 and therefore no historical information is available for him.</w:t>
      </w:r>
    </w:p>
    <w:p>
      <w:pPr>
        <w:spacing w:after="0" w:line="15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83</w:t>
      </w:r>
    </w:p>
    <w:p>
      <w:pPr>
        <w:sectPr>
          <w:pgSz w:w="11900" w:h="16838" w:orient="portrait"/>
          <w:cols w:equalWidth="0" w:num="1">
            <w:col w:w="11420"/>
          </w:cols>
          <w:pgMar w:left="240" w:top="459" w:right="239" w:bottom="1440" w:gutter="0" w:footer="0" w:header="0"/>
        </w:sectPr>
      </w:pPr>
    </w:p>
    <w:bookmarkStart w:id="95" w:name="page96"/>
    <w:bookmarkEnd w:id="9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4">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SECURITY OWNERSHIP OF CERTAIN BENEFICIAL OWNERS AND MANAGEMENT</w:t>
      </w:r>
    </w:p>
    <w:p>
      <w:pPr>
        <w:spacing w:after="0" w:line="310" w:lineRule="exact"/>
        <w:rPr>
          <w:sz w:val="20"/>
          <w:szCs w:val="20"/>
          <w:color w:val="auto"/>
        </w:rPr>
      </w:pPr>
    </w:p>
    <w:p>
      <w:pPr>
        <w:ind w:left="920"/>
        <w:spacing w:after="0"/>
        <w:rPr>
          <w:sz w:val="20"/>
          <w:szCs w:val="20"/>
          <w:color w:val="auto"/>
        </w:rPr>
      </w:pPr>
      <w:r>
        <w:rPr>
          <w:rFonts w:ascii="Arial" w:cs="Arial" w:eastAsia="Arial" w:hAnsi="Arial"/>
          <w:sz w:val="18"/>
          <w:szCs w:val="18"/>
          <w:color w:val="auto"/>
        </w:rPr>
        <w:t>The following table sets forth information with respect to the anticipated beneficial ownership of our common shares by:</w:t>
      </w:r>
    </w:p>
    <w:p>
      <w:pPr>
        <w:spacing w:after="0" w:line="306" w:lineRule="exact"/>
        <w:rPr>
          <w:sz w:val="20"/>
          <w:szCs w:val="20"/>
          <w:color w:val="auto"/>
        </w:rPr>
      </w:pPr>
    </w:p>
    <w:p>
      <w:pPr>
        <w:ind w:left="1240" w:hanging="327"/>
        <w:spacing w:after="0"/>
        <w:tabs>
          <w:tab w:leader="none" w:pos="1240" w:val="left"/>
        </w:tabs>
        <w:numPr>
          <w:ilvl w:val="0"/>
          <w:numId w:val="41"/>
        </w:numPr>
        <w:rPr>
          <w:rFonts w:ascii="Arial" w:cs="Arial" w:eastAsia="Arial" w:hAnsi="Arial"/>
          <w:sz w:val="18"/>
          <w:szCs w:val="18"/>
          <w:color w:val="auto"/>
        </w:rPr>
      </w:pPr>
      <w:r>
        <w:rPr>
          <w:rFonts w:ascii="Arial" w:cs="Arial" w:eastAsia="Arial" w:hAnsi="Arial"/>
          <w:sz w:val="18"/>
          <w:szCs w:val="18"/>
          <w:color w:val="auto"/>
        </w:rPr>
        <w:t>each shareholder who is expected following the spinoff to beneficially own more than 5% of our common shares;</w:t>
      </w:r>
    </w:p>
    <w:p>
      <w:pPr>
        <w:spacing w:after="0" w:line="23" w:lineRule="exact"/>
        <w:rPr>
          <w:rFonts w:ascii="Arial" w:cs="Arial" w:eastAsia="Arial" w:hAnsi="Arial"/>
          <w:sz w:val="18"/>
          <w:szCs w:val="18"/>
          <w:color w:val="auto"/>
        </w:rPr>
      </w:pPr>
    </w:p>
    <w:p>
      <w:pPr>
        <w:ind w:left="1240" w:hanging="327"/>
        <w:spacing w:after="0"/>
        <w:tabs>
          <w:tab w:leader="none" w:pos="1240" w:val="left"/>
        </w:tabs>
        <w:numPr>
          <w:ilvl w:val="0"/>
          <w:numId w:val="41"/>
        </w:numPr>
        <w:rPr>
          <w:rFonts w:ascii="Arial" w:cs="Arial" w:eastAsia="Arial" w:hAnsi="Arial"/>
          <w:sz w:val="18"/>
          <w:szCs w:val="18"/>
          <w:color w:val="auto"/>
        </w:rPr>
      </w:pPr>
      <w:r>
        <w:rPr>
          <w:rFonts w:ascii="Arial" w:cs="Arial" w:eastAsia="Arial" w:hAnsi="Arial"/>
          <w:sz w:val="18"/>
          <w:szCs w:val="18"/>
          <w:color w:val="auto"/>
        </w:rPr>
        <w:t>each of our named executive officers;</w:t>
      </w:r>
    </w:p>
    <w:p>
      <w:pPr>
        <w:spacing w:after="0" w:line="9" w:lineRule="exact"/>
        <w:rPr>
          <w:rFonts w:ascii="Arial" w:cs="Arial" w:eastAsia="Arial" w:hAnsi="Arial"/>
          <w:sz w:val="18"/>
          <w:szCs w:val="18"/>
          <w:color w:val="auto"/>
        </w:rPr>
      </w:pPr>
    </w:p>
    <w:p>
      <w:pPr>
        <w:ind w:left="1240" w:hanging="327"/>
        <w:spacing w:after="0"/>
        <w:tabs>
          <w:tab w:leader="none" w:pos="1240" w:val="left"/>
        </w:tabs>
        <w:numPr>
          <w:ilvl w:val="0"/>
          <w:numId w:val="41"/>
        </w:numPr>
        <w:rPr>
          <w:rFonts w:ascii="Arial" w:cs="Arial" w:eastAsia="Arial" w:hAnsi="Arial"/>
          <w:sz w:val="18"/>
          <w:szCs w:val="18"/>
          <w:color w:val="auto"/>
        </w:rPr>
      </w:pPr>
      <w:r>
        <w:rPr>
          <w:rFonts w:ascii="Arial" w:cs="Arial" w:eastAsia="Arial" w:hAnsi="Arial"/>
          <w:sz w:val="18"/>
          <w:szCs w:val="18"/>
          <w:color w:val="auto"/>
        </w:rPr>
        <w:t>each person expected to serve on our board of directors as of the distribution date; and</w:t>
      </w:r>
    </w:p>
    <w:p>
      <w:pPr>
        <w:spacing w:after="0" w:line="9" w:lineRule="exact"/>
        <w:rPr>
          <w:rFonts w:ascii="Arial" w:cs="Arial" w:eastAsia="Arial" w:hAnsi="Arial"/>
          <w:sz w:val="18"/>
          <w:szCs w:val="18"/>
          <w:color w:val="auto"/>
        </w:rPr>
      </w:pPr>
    </w:p>
    <w:p>
      <w:pPr>
        <w:ind w:left="1240" w:hanging="327"/>
        <w:spacing w:after="0"/>
        <w:tabs>
          <w:tab w:leader="none" w:pos="1240" w:val="left"/>
        </w:tabs>
        <w:numPr>
          <w:ilvl w:val="0"/>
          <w:numId w:val="41"/>
        </w:numPr>
        <w:rPr>
          <w:rFonts w:ascii="Arial" w:cs="Arial" w:eastAsia="Arial" w:hAnsi="Arial"/>
          <w:sz w:val="18"/>
          <w:szCs w:val="18"/>
          <w:color w:val="auto"/>
        </w:rPr>
      </w:pPr>
      <w:r>
        <w:rPr>
          <w:rFonts w:ascii="Arial" w:cs="Arial" w:eastAsia="Arial" w:hAnsi="Arial"/>
          <w:sz w:val="18"/>
          <w:szCs w:val="18"/>
          <w:color w:val="auto"/>
        </w:rPr>
        <w:t>all of our executive officers and directors expected to serve as of the distribution date as a group.</w:t>
      </w:r>
    </w:p>
    <w:p>
      <w:pPr>
        <w:spacing w:after="0" w:line="238" w:lineRule="exact"/>
        <w:rPr>
          <w:sz w:val="20"/>
          <w:szCs w:val="20"/>
          <w:color w:val="auto"/>
        </w:rPr>
      </w:pPr>
    </w:p>
    <w:p>
      <w:pPr>
        <w:ind w:firstLine="913"/>
        <w:spacing w:after="0" w:line="290" w:lineRule="auto"/>
        <w:rPr>
          <w:sz w:val="20"/>
          <w:szCs w:val="20"/>
          <w:color w:val="auto"/>
        </w:rPr>
      </w:pPr>
      <w:r>
        <w:rPr>
          <w:rFonts w:ascii="Arial" w:cs="Arial" w:eastAsia="Arial" w:hAnsi="Arial"/>
          <w:sz w:val="16"/>
          <w:szCs w:val="16"/>
          <w:color w:val="auto"/>
        </w:rPr>
        <w:t>We have based the percentage of class amounts set forth below on each indicated person’s beneficial ownership of Timken common shares as of May 1, 2014, unless we indicate some other basis for the share amounts, and based on the distribution of one of our common shares for every two common shares of Timken outstanding on the record date. To the extent our directors and executive officers own Timken common shares at the time of the spinoff, they will participate in the distribution of common shares in the spinoff on the same terms as other holders of Timken common shares. Immediately after the distribution date, we will have an aggregate of approximately 45.4 million common shares outstanding, based on approximately 90.8 million Timken common shares outstanding as of April 30, 2014. The number of shares beneficially owned by each shareholder, director or officer is determined according to the rules of the SEC and the information is not necessarily indicative of beneficial ownership for any other purpose. The mailing address for each of the directors and executive officers is c/o: TimkenSteel Corporation, 1835 Dueber Avenue, S.W. Canton, Ohio 44706-2798.</w:t>
      </w:r>
    </w:p>
    <w:p>
      <w:pPr>
        <w:spacing w:after="0" w:line="9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84</w:t>
      </w:r>
    </w:p>
    <w:p>
      <w:pPr>
        <w:sectPr>
          <w:pgSz w:w="11900" w:h="16838" w:orient="portrait"/>
          <w:cols w:equalWidth="0" w:num="1">
            <w:col w:w="11420"/>
          </w:cols>
          <w:pgMar w:left="240" w:top="459" w:right="239" w:bottom="1440" w:gutter="0" w:footer="0" w:header="0"/>
        </w:sectPr>
      </w:pPr>
    </w:p>
    <w:bookmarkStart w:id="96" w:name="page97"/>
    <w:bookmarkEnd w:id="9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6460" w:type="dxa"/>
            <w:vAlign w:val="bottom"/>
          </w:tcPr>
          <w:p>
            <w:pPr>
              <w:spacing w:after="0"/>
              <w:rPr>
                <w:sz w:val="18"/>
                <w:szCs w:val="18"/>
                <w:color w:val="auto"/>
              </w:rPr>
            </w:pPr>
          </w:p>
        </w:tc>
        <w:tc>
          <w:tcPr>
            <w:tcW w:w="4960" w:type="dxa"/>
            <w:vAlign w:val="bottom"/>
            <w:gridSpan w:val="2"/>
          </w:tcPr>
          <w:p>
            <w:pPr>
              <w:ind w:left="800"/>
              <w:spacing w:after="0"/>
              <w:rPr>
                <w:sz w:val="20"/>
                <w:szCs w:val="20"/>
                <w:color w:val="auto"/>
              </w:rPr>
            </w:pPr>
            <w:r>
              <w:rPr>
                <w:rFonts w:ascii="Arial" w:cs="Arial" w:eastAsia="Arial" w:hAnsi="Arial"/>
                <w:sz w:val="18"/>
                <w:szCs w:val="18"/>
                <w:b w:val="1"/>
                <w:bCs w:val="1"/>
                <w:color w:val="auto"/>
              </w:rPr>
              <w:t>TimkenSteel Common Shares to be Beneficially</w:t>
            </w:r>
          </w:p>
        </w:tc>
      </w:tr>
      <w:tr>
        <w:trPr>
          <w:trHeight w:val="234"/>
        </w:trPr>
        <w:tc>
          <w:tcPr>
            <w:tcW w:w="6460" w:type="dxa"/>
            <w:vAlign w:val="bottom"/>
            <w:tcBorders>
              <w:bottom w:val="single" w:sz="8" w:color="auto"/>
            </w:tcBorders>
          </w:tcPr>
          <w:p>
            <w:pPr>
              <w:spacing w:after="0"/>
              <w:rPr>
                <w:sz w:val="20"/>
                <w:szCs w:val="20"/>
                <w:color w:val="auto"/>
              </w:rPr>
            </w:pPr>
          </w:p>
        </w:tc>
        <w:tc>
          <w:tcPr>
            <w:tcW w:w="3420" w:type="dxa"/>
            <w:vAlign w:val="bottom"/>
            <w:tcBorders>
              <w:bottom w:val="single" w:sz="8" w:color="auto"/>
            </w:tcBorders>
          </w:tcPr>
          <w:p>
            <w:pPr>
              <w:ind w:left="2260"/>
              <w:spacing w:after="0"/>
              <w:rPr>
                <w:sz w:val="20"/>
                <w:szCs w:val="20"/>
                <w:color w:val="auto"/>
              </w:rPr>
            </w:pPr>
            <w:r>
              <w:rPr>
                <w:rFonts w:ascii="Arial" w:cs="Arial" w:eastAsia="Arial" w:hAnsi="Arial"/>
                <w:sz w:val="18"/>
                <w:szCs w:val="18"/>
                <w:b w:val="1"/>
                <w:bCs w:val="1"/>
                <w:color w:val="auto"/>
              </w:rPr>
              <w:t>Owned</w:t>
            </w:r>
            <w:r>
              <w:rPr>
                <w:rFonts w:ascii="Arial" w:cs="Arial" w:eastAsia="Arial" w:hAnsi="Arial"/>
                <w:sz w:val="15"/>
                <w:szCs w:val="15"/>
                <w:b w:val="1"/>
                <w:bCs w:val="1"/>
                <w:color w:val="auto"/>
              </w:rPr>
              <w:t>(1)</w:t>
            </w:r>
          </w:p>
        </w:tc>
        <w:tc>
          <w:tcPr>
            <w:tcW w:w="1540" w:type="dxa"/>
            <w:vAlign w:val="bottom"/>
            <w:tcBorders>
              <w:bottom w:val="single" w:sz="8" w:color="auto"/>
            </w:tcBorders>
          </w:tcPr>
          <w:p>
            <w:pPr>
              <w:spacing w:after="0"/>
              <w:rPr>
                <w:sz w:val="20"/>
                <w:szCs w:val="20"/>
                <w:color w:val="auto"/>
              </w:rPr>
            </w:pPr>
          </w:p>
        </w:tc>
      </w:tr>
      <w:tr>
        <w:trPr>
          <w:trHeight w:val="191"/>
        </w:trPr>
        <w:tc>
          <w:tcPr>
            <w:tcW w:w="6460" w:type="dxa"/>
            <w:vAlign w:val="bottom"/>
          </w:tcPr>
          <w:p>
            <w:pPr>
              <w:spacing w:after="0"/>
              <w:rPr>
                <w:sz w:val="16"/>
                <w:szCs w:val="16"/>
                <w:color w:val="auto"/>
              </w:rPr>
            </w:pPr>
          </w:p>
        </w:tc>
        <w:tc>
          <w:tcPr>
            <w:tcW w:w="3420" w:type="dxa"/>
            <w:vAlign w:val="bottom"/>
          </w:tcPr>
          <w:p>
            <w:pPr>
              <w:ind w:left="880"/>
              <w:spacing w:after="0" w:line="191" w:lineRule="exact"/>
              <w:rPr>
                <w:sz w:val="20"/>
                <w:szCs w:val="20"/>
                <w:color w:val="auto"/>
              </w:rPr>
            </w:pPr>
            <w:r>
              <w:rPr>
                <w:rFonts w:ascii="Arial" w:cs="Arial" w:eastAsia="Arial" w:hAnsi="Arial"/>
                <w:sz w:val="18"/>
                <w:szCs w:val="18"/>
                <w:b w:val="1"/>
                <w:bCs w:val="1"/>
                <w:color w:val="auto"/>
              </w:rPr>
              <w:t>Amount and Nature of</w:t>
            </w:r>
          </w:p>
        </w:tc>
        <w:tc>
          <w:tcPr>
            <w:tcW w:w="1540" w:type="dxa"/>
            <w:vAlign w:val="bottom"/>
          </w:tcPr>
          <w:p>
            <w:pPr>
              <w:jc w:val="right"/>
              <w:ind w:right="250"/>
              <w:spacing w:after="0" w:line="191" w:lineRule="exact"/>
              <w:rPr>
                <w:sz w:val="20"/>
                <w:szCs w:val="20"/>
                <w:color w:val="auto"/>
              </w:rPr>
            </w:pPr>
            <w:r>
              <w:rPr>
                <w:rFonts w:ascii="Arial" w:cs="Arial" w:eastAsia="Arial" w:hAnsi="Arial"/>
                <w:sz w:val="18"/>
                <w:szCs w:val="18"/>
                <w:b w:val="1"/>
                <w:bCs w:val="1"/>
                <w:color w:val="auto"/>
              </w:rPr>
              <w:t>Percent of</w:t>
            </w:r>
          </w:p>
        </w:tc>
      </w:tr>
      <w:tr>
        <w:trPr>
          <w:trHeight w:val="248"/>
        </w:trPr>
        <w:tc>
          <w:tcPr>
            <w:tcW w:w="6460" w:type="dxa"/>
            <w:vAlign w:val="bottom"/>
            <w:tcBorders>
              <w:bottom w:val="single" w:sz="8" w:color="auto"/>
            </w:tcBorders>
          </w:tcPr>
          <w:p>
            <w:pPr>
              <w:ind w:left="2100"/>
              <w:spacing w:after="0"/>
              <w:rPr>
                <w:sz w:val="20"/>
                <w:szCs w:val="20"/>
                <w:color w:val="auto"/>
              </w:rPr>
            </w:pPr>
            <w:r>
              <w:rPr>
                <w:rFonts w:ascii="Arial" w:cs="Arial" w:eastAsia="Arial" w:hAnsi="Arial"/>
                <w:sz w:val="18"/>
                <w:szCs w:val="18"/>
                <w:b w:val="1"/>
                <w:bCs w:val="1"/>
                <w:color w:val="auto"/>
              </w:rPr>
              <w:t>Name of Beneficial Owner</w:t>
            </w:r>
          </w:p>
        </w:tc>
        <w:tc>
          <w:tcPr>
            <w:tcW w:w="3420" w:type="dxa"/>
            <w:vAlign w:val="bottom"/>
            <w:tcBorders>
              <w:bottom w:val="single" w:sz="8" w:color="auto"/>
            </w:tcBorders>
          </w:tcPr>
          <w:p>
            <w:pPr>
              <w:ind w:left="820"/>
              <w:spacing w:after="0"/>
              <w:rPr>
                <w:sz w:val="20"/>
                <w:szCs w:val="20"/>
                <w:color w:val="auto"/>
              </w:rPr>
            </w:pPr>
            <w:r>
              <w:rPr>
                <w:rFonts w:ascii="Arial" w:cs="Arial" w:eastAsia="Arial" w:hAnsi="Arial"/>
                <w:sz w:val="18"/>
                <w:szCs w:val="18"/>
                <w:b w:val="1"/>
                <w:bCs w:val="1"/>
                <w:color w:val="auto"/>
              </w:rPr>
              <w:t>Beneficial Ownership</w:t>
            </w:r>
            <w:r>
              <w:rPr>
                <w:rFonts w:ascii="Arial" w:cs="Arial" w:eastAsia="Arial" w:hAnsi="Arial"/>
                <w:sz w:val="15"/>
                <w:szCs w:val="15"/>
                <w:b w:val="1"/>
                <w:bCs w:val="1"/>
                <w:color w:val="auto"/>
              </w:rPr>
              <w:t>(2)</w:t>
            </w:r>
          </w:p>
        </w:tc>
        <w:tc>
          <w:tcPr>
            <w:tcW w:w="1540" w:type="dxa"/>
            <w:vAlign w:val="bottom"/>
            <w:tcBorders>
              <w:bottom w:val="single" w:sz="8" w:color="auto"/>
            </w:tcBorders>
          </w:tcPr>
          <w:p>
            <w:pPr>
              <w:jc w:val="right"/>
              <w:ind w:right="450"/>
              <w:spacing w:after="0"/>
              <w:rPr>
                <w:sz w:val="20"/>
                <w:szCs w:val="20"/>
                <w:color w:val="auto"/>
              </w:rPr>
            </w:pPr>
            <w:r>
              <w:rPr>
                <w:rFonts w:ascii="Arial" w:cs="Arial" w:eastAsia="Arial" w:hAnsi="Arial"/>
                <w:sz w:val="18"/>
                <w:szCs w:val="18"/>
                <w:b w:val="1"/>
                <w:bCs w:val="1"/>
                <w:color w:val="auto"/>
              </w:rPr>
              <w:t>Class</w:t>
            </w:r>
          </w:p>
        </w:tc>
      </w:tr>
      <w:tr>
        <w:trPr>
          <w:trHeight w:val="210"/>
        </w:trPr>
        <w:tc>
          <w:tcPr>
            <w:tcW w:w="6460" w:type="dxa"/>
            <w:vAlign w:val="bottom"/>
            <w:shd w:val="clear" w:color="auto" w:fill="CCEEFF"/>
          </w:tcPr>
          <w:p>
            <w:pPr>
              <w:spacing w:after="0"/>
              <w:rPr>
                <w:sz w:val="20"/>
                <w:szCs w:val="20"/>
                <w:color w:val="auto"/>
              </w:rPr>
            </w:pPr>
            <w:r>
              <w:rPr>
                <w:rFonts w:ascii="Arial" w:cs="Arial" w:eastAsia="Arial" w:hAnsi="Arial"/>
                <w:sz w:val="18"/>
                <w:szCs w:val="18"/>
                <w:color w:val="auto"/>
              </w:rPr>
              <w:t xml:space="preserve">Timken family </w:t>
            </w:r>
            <w:r>
              <w:rPr>
                <w:rFonts w:ascii="Arial" w:cs="Arial" w:eastAsia="Arial" w:hAnsi="Arial"/>
                <w:sz w:val="15"/>
                <w:szCs w:val="15"/>
                <w:color w:val="auto"/>
              </w:rPr>
              <w:t>(3)</w:t>
            </w:r>
          </w:p>
        </w:tc>
        <w:tc>
          <w:tcPr>
            <w:tcW w:w="342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4,766,425</w:t>
            </w:r>
          </w:p>
        </w:tc>
        <w:tc>
          <w:tcPr>
            <w:tcW w:w="1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10.5%</w:t>
            </w:r>
          </w:p>
        </w:tc>
      </w:tr>
      <w:tr>
        <w:trPr>
          <w:trHeight w:val="216"/>
        </w:trPr>
        <w:tc>
          <w:tcPr>
            <w:tcW w:w="6460" w:type="dxa"/>
            <w:vAlign w:val="bottom"/>
          </w:tcPr>
          <w:p>
            <w:pPr>
              <w:spacing w:after="0"/>
              <w:rPr>
                <w:sz w:val="20"/>
                <w:szCs w:val="20"/>
                <w:color w:val="auto"/>
              </w:rPr>
            </w:pPr>
            <w:r>
              <w:rPr>
                <w:rFonts w:ascii="Arial" w:cs="Arial" w:eastAsia="Arial" w:hAnsi="Arial"/>
                <w:sz w:val="18"/>
                <w:szCs w:val="18"/>
                <w:color w:val="auto"/>
              </w:rPr>
              <w:t xml:space="preserve">Relational Investors, LLC </w:t>
            </w:r>
            <w:r>
              <w:rPr>
                <w:rFonts w:ascii="Arial" w:cs="Arial" w:eastAsia="Arial" w:hAnsi="Arial"/>
                <w:sz w:val="15"/>
                <w:szCs w:val="15"/>
                <w:color w:val="auto"/>
              </w:rPr>
              <w:t>(4)</w:t>
            </w:r>
          </w:p>
        </w:tc>
        <w:tc>
          <w:tcPr>
            <w:tcW w:w="3420" w:type="dxa"/>
            <w:vAlign w:val="bottom"/>
          </w:tcPr>
          <w:p>
            <w:pPr>
              <w:jc w:val="center"/>
              <w:spacing w:after="0"/>
              <w:rPr>
                <w:sz w:val="20"/>
                <w:szCs w:val="20"/>
                <w:color w:val="auto"/>
              </w:rPr>
            </w:pPr>
            <w:r>
              <w:rPr>
                <w:rFonts w:ascii="Arial" w:cs="Arial" w:eastAsia="Arial" w:hAnsi="Arial"/>
                <w:sz w:val="18"/>
                <w:szCs w:val="18"/>
                <w:color w:val="auto"/>
                <w:w w:val="89"/>
              </w:rPr>
              <w:t>4,128,267</w:t>
            </w:r>
          </w:p>
        </w:tc>
        <w:tc>
          <w:tcPr>
            <w:tcW w:w="1540" w:type="dxa"/>
            <w:vAlign w:val="bottom"/>
          </w:tcPr>
          <w:p>
            <w:pPr>
              <w:jc w:val="right"/>
              <w:spacing w:after="0"/>
              <w:rPr>
                <w:sz w:val="20"/>
                <w:szCs w:val="20"/>
                <w:color w:val="auto"/>
              </w:rPr>
            </w:pPr>
            <w:r>
              <w:rPr>
                <w:rFonts w:ascii="Arial" w:cs="Arial" w:eastAsia="Arial" w:hAnsi="Arial"/>
                <w:sz w:val="18"/>
                <w:szCs w:val="18"/>
                <w:color w:val="auto"/>
              </w:rPr>
              <w:t>9.1%</w:t>
            </w:r>
          </w:p>
        </w:tc>
      </w:tr>
      <w:tr>
        <w:trPr>
          <w:trHeight w:val="216"/>
        </w:trPr>
        <w:tc>
          <w:tcPr>
            <w:tcW w:w="6460" w:type="dxa"/>
            <w:vAlign w:val="bottom"/>
            <w:shd w:val="clear" w:color="auto" w:fill="CCEEFF"/>
          </w:tcPr>
          <w:p>
            <w:pPr>
              <w:spacing w:after="0"/>
              <w:rPr>
                <w:sz w:val="20"/>
                <w:szCs w:val="20"/>
                <w:color w:val="auto"/>
              </w:rPr>
            </w:pPr>
            <w:r>
              <w:rPr>
                <w:rFonts w:ascii="Arial" w:cs="Arial" w:eastAsia="Arial" w:hAnsi="Arial"/>
                <w:sz w:val="18"/>
                <w:szCs w:val="18"/>
                <w:color w:val="auto"/>
              </w:rPr>
              <w:t xml:space="preserve">BlackRock, Inc. </w:t>
            </w:r>
            <w:r>
              <w:rPr>
                <w:rFonts w:ascii="Arial" w:cs="Arial" w:eastAsia="Arial" w:hAnsi="Arial"/>
                <w:sz w:val="15"/>
                <w:szCs w:val="15"/>
                <w:color w:val="auto"/>
              </w:rPr>
              <w:t>(5)</w:t>
            </w:r>
          </w:p>
        </w:tc>
        <w:tc>
          <w:tcPr>
            <w:tcW w:w="342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3,181,785</w:t>
            </w:r>
          </w:p>
        </w:tc>
        <w:tc>
          <w:tcPr>
            <w:tcW w:w="1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7.0%</w:t>
            </w:r>
          </w:p>
        </w:tc>
      </w:tr>
      <w:tr>
        <w:trPr>
          <w:trHeight w:val="216"/>
        </w:trPr>
        <w:tc>
          <w:tcPr>
            <w:tcW w:w="6460" w:type="dxa"/>
            <w:vAlign w:val="bottom"/>
          </w:tcPr>
          <w:p>
            <w:pPr>
              <w:spacing w:after="0"/>
              <w:rPr>
                <w:sz w:val="20"/>
                <w:szCs w:val="20"/>
                <w:color w:val="auto"/>
              </w:rPr>
            </w:pPr>
            <w:r>
              <w:rPr>
                <w:rFonts w:ascii="Arial" w:cs="Arial" w:eastAsia="Arial" w:hAnsi="Arial"/>
                <w:sz w:val="18"/>
                <w:szCs w:val="18"/>
                <w:color w:val="auto"/>
              </w:rPr>
              <w:t xml:space="preserve">Participants in The Timken Company Savings and Investment Pension Plan </w:t>
            </w:r>
            <w:r>
              <w:rPr>
                <w:rFonts w:ascii="Arial" w:cs="Arial" w:eastAsia="Arial" w:hAnsi="Arial"/>
                <w:sz w:val="15"/>
                <w:szCs w:val="15"/>
                <w:color w:val="auto"/>
              </w:rPr>
              <w:t>(6)</w:t>
            </w:r>
          </w:p>
        </w:tc>
        <w:tc>
          <w:tcPr>
            <w:tcW w:w="3420" w:type="dxa"/>
            <w:vAlign w:val="bottom"/>
          </w:tcPr>
          <w:p>
            <w:pPr>
              <w:jc w:val="center"/>
              <w:spacing w:after="0"/>
              <w:rPr>
                <w:sz w:val="20"/>
                <w:szCs w:val="20"/>
                <w:color w:val="auto"/>
              </w:rPr>
            </w:pPr>
            <w:r>
              <w:rPr>
                <w:rFonts w:ascii="Arial" w:cs="Arial" w:eastAsia="Arial" w:hAnsi="Arial"/>
                <w:sz w:val="18"/>
                <w:szCs w:val="18"/>
                <w:color w:val="auto"/>
                <w:w w:val="89"/>
              </w:rPr>
              <w:t>2,599,055</w:t>
            </w:r>
          </w:p>
        </w:tc>
        <w:tc>
          <w:tcPr>
            <w:tcW w:w="1540" w:type="dxa"/>
            <w:vAlign w:val="bottom"/>
          </w:tcPr>
          <w:p>
            <w:pPr>
              <w:jc w:val="right"/>
              <w:spacing w:after="0"/>
              <w:rPr>
                <w:sz w:val="20"/>
                <w:szCs w:val="20"/>
                <w:color w:val="auto"/>
              </w:rPr>
            </w:pPr>
            <w:r>
              <w:rPr>
                <w:rFonts w:ascii="Arial" w:cs="Arial" w:eastAsia="Arial" w:hAnsi="Arial"/>
                <w:sz w:val="18"/>
                <w:szCs w:val="18"/>
                <w:color w:val="auto"/>
              </w:rPr>
              <w:t>5.7%</w:t>
            </w:r>
          </w:p>
        </w:tc>
      </w:tr>
      <w:tr>
        <w:trPr>
          <w:trHeight w:val="216"/>
        </w:trPr>
        <w:tc>
          <w:tcPr>
            <w:tcW w:w="6460" w:type="dxa"/>
            <w:vAlign w:val="bottom"/>
            <w:shd w:val="clear" w:color="auto" w:fill="CCEEFF"/>
          </w:tcPr>
          <w:p>
            <w:pPr>
              <w:spacing w:after="0"/>
              <w:rPr>
                <w:sz w:val="20"/>
                <w:szCs w:val="20"/>
                <w:color w:val="auto"/>
              </w:rPr>
            </w:pPr>
            <w:r>
              <w:rPr>
                <w:rFonts w:ascii="Arial" w:cs="Arial" w:eastAsia="Arial" w:hAnsi="Arial"/>
                <w:sz w:val="18"/>
                <w:szCs w:val="18"/>
                <w:color w:val="auto"/>
              </w:rPr>
              <w:t>Joseph A. Carrabba</w:t>
            </w:r>
          </w:p>
        </w:tc>
        <w:tc>
          <w:tcPr>
            <w:tcW w:w="342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9"/>
              </w:rPr>
              <w:t>0</w:t>
            </w:r>
          </w:p>
        </w:tc>
        <w:tc>
          <w:tcPr>
            <w:tcW w:w="1540" w:type="dxa"/>
            <w:vAlign w:val="bottom"/>
            <w:shd w:val="clear" w:color="auto" w:fill="CCEEFF"/>
          </w:tcPr>
          <w:p>
            <w:pPr>
              <w:jc w:val="right"/>
              <w:ind w:right="110"/>
              <w:spacing w:after="0"/>
              <w:rPr>
                <w:sz w:val="20"/>
                <w:szCs w:val="20"/>
                <w:color w:val="auto"/>
              </w:rPr>
            </w:pPr>
            <w:r>
              <w:rPr>
                <w:rFonts w:ascii="Arial" w:cs="Arial" w:eastAsia="Arial" w:hAnsi="Arial"/>
                <w:sz w:val="18"/>
                <w:szCs w:val="18"/>
                <w:color w:val="auto"/>
              </w:rPr>
              <w:t>*</w:t>
            </w:r>
          </w:p>
        </w:tc>
      </w:tr>
      <w:tr>
        <w:trPr>
          <w:trHeight w:val="216"/>
        </w:trPr>
        <w:tc>
          <w:tcPr>
            <w:tcW w:w="6460" w:type="dxa"/>
            <w:vAlign w:val="bottom"/>
          </w:tcPr>
          <w:p>
            <w:pPr>
              <w:spacing w:after="0"/>
              <w:rPr>
                <w:sz w:val="20"/>
                <w:szCs w:val="20"/>
                <w:color w:val="auto"/>
              </w:rPr>
            </w:pPr>
            <w:r>
              <w:rPr>
                <w:rFonts w:ascii="Arial" w:cs="Arial" w:eastAsia="Arial" w:hAnsi="Arial"/>
                <w:sz w:val="18"/>
                <w:szCs w:val="18"/>
                <w:color w:val="auto"/>
              </w:rPr>
              <w:t>Phillip R. Cox</w:t>
            </w:r>
          </w:p>
        </w:tc>
        <w:tc>
          <w:tcPr>
            <w:tcW w:w="3420" w:type="dxa"/>
            <w:vAlign w:val="bottom"/>
          </w:tcPr>
          <w:p>
            <w:pPr>
              <w:jc w:val="center"/>
              <w:spacing w:after="0"/>
              <w:rPr>
                <w:sz w:val="20"/>
                <w:szCs w:val="20"/>
                <w:color w:val="auto"/>
              </w:rPr>
            </w:pPr>
            <w:r>
              <w:rPr>
                <w:rFonts w:ascii="Arial" w:cs="Arial" w:eastAsia="Arial" w:hAnsi="Arial"/>
                <w:sz w:val="18"/>
                <w:szCs w:val="18"/>
                <w:color w:val="auto"/>
                <w:w w:val="87"/>
              </w:rPr>
              <w:t>11,027</w:t>
            </w:r>
          </w:p>
        </w:tc>
        <w:tc>
          <w:tcPr>
            <w:tcW w:w="1540" w:type="dxa"/>
            <w:vAlign w:val="bottom"/>
          </w:tcPr>
          <w:p>
            <w:pPr>
              <w:jc w:val="right"/>
              <w:ind w:right="110"/>
              <w:spacing w:after="0"/>
              <w:rPr>
                <w:sz w:val="20"/>
                <w:szCs w:val="20"/>
                <w:color w:val="auto"/>
              </w:rPr>
            </w:pPr>
            <w:r>
              <w:rPr>
                <w:rFonts w:ascii="Arial" w:cs="Arial" w:eastAsia="Arial" w:hAnsi="Arial"/>
                <w:sz w:val="18"/>
                <w:szCs w:val="18"/>
                <w:color w:val="auto"/>
              </w:rPr>
              <w:t>*</w:t>
            </w:r>
          </w:p>
        </w:tc>
      </w:tr>
      <w:tr>
        <w:trPr>
          <w:trHeight w:val="216"/>
        </w:trPr>
        <w:tc>
          <w:tcPr>
            <w:tcW w:w="6460" w:type="dxa"/>
            <w:vAlign w:val="bottom"/>
            <w:shd w:val="clear" w:color="auto" w:fill="CCEEFF"/>
          </w:tcPr>
          <w:p>
            <w:pPr>
              <w:spacing w:after="0"/>
              <w:rPr>
                <w:sz w:val="20"/>
                <w:szCs w:val="20"/>
                <w:color w:val="auto"/>
              </w:rPr>
            </w:pPr>
            <w:r>
              <w:rPr>
                <w:rFonts w:ascii="Arial" w:cs="Arial" w:eastAsia="Arial" w:hAnsi="Arial"/>
                <w:sz w:val="18"/>
                <w:szCs w:val="18"/>
                <w:color w:val="auto"/>
              </w:rPr>
              <w:t>Diane C. Creel</w:t>
            </w:r>
          </w:p>
        </w:tc>
        <w:tc>
          <w:tcPr>
            <w:tcW w:w="342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8"/>
              </w:rPr>
              <w:t>2,173</w:t>
            </w:r>
          </w:p>
        </w:tc>
        <w:tc>
          <w:tcPr>
            <w:tcW w:w="1540" w:type="dxa"/>
            <w:vAlign w:val="bottom"/>
            <w:shd w:val="clear" w:color="auto" w:fill="CCEEFF"/>
          </w:tcPr>
          <w:p>
            <w:pPr>
              <w:jc w:val="right"/>
              <w:ind w:right="110"/>
              <w:spacing w:after="0"/>
              <w:rPr>
                <w:sz w:val="20"/>
                <w:szCs w:val="20"/>
                <w:color w:val="auto"/>
              </w:rPr>
            </w:pPr>
            <w:r>
              <w:rPr>
                <w:rFonts w:ascii="Arial" w:cs="Arial" w:eastAsia="Arial" w:hAnsi="Arial"/>
                <w:sz w:val="18"/>
                <w:szCs w:val="18"/>
                <w:color w:val="auto"/>
              </w:rPr>
              <w:t>*</w:t>
            </w:r>
          </w:p>
        </w:tc>
      </w:tr>
      <w:tr>
        <w:trPr>
          <w:trHeight w:val="216"/>
        </w:trPr>
        <w:tc>
          <w:tcPr>
            <w:tcW w:w="6460" w:type="dxa"/>
            <w:vAlign w:val="bottom"/>
          </w:tcPr>
          <w:p>
            <w:pPr>
              <w:spacing w:after="0"/>
              <w:rPr>
                <w:sz w:val="20"/>
                <w:szCs w:val="20"/>
                <w:color w:val="auto"/>
              </w:rPr>
            </w:pPr>
            <w:r>
              <w:rPr>
                <w:rFonts w:ascii="Arial" w:cs="Arial" w:eastAsia="Arial" w:hAnsi="Arial"/>
                <w:sz w:val="18"/>
                <w:szCs w:val="18"/>
                <w:color w:val="auto"/>
              </w:rPr>
              <w:t>Donald T. Misheff</w:t>
            </w:r>
          </w:p>
        </w:tc>
        <w:tc>
          <w:tcPr>
            <w:tcW w:w="3420" w:type="dxa"/>
            <w:vAlign w:val="bottom"/>
          </w:tcPr>
          <w:p>
            <w:pPr>
              <w:jc w:val="center"/>
              <w:spacing w:after="0"/>
              <w:rPr>
                <w:sz w:val="20"/>
                <w:szCs w:val="20"/>
                <w:color w:val="auto"/>
              </w:rPr>
            </w:pPr>
            <w:r>
              <w:rPr>
                <w:rFonts w:ascii="Arial" w:cs="Arial" w:eastAsia="Arial" w:hAnsi="Arial"/>
                <w:sz w:val="18"/>
                <w:szCs w:val="18"/>
                <w:color w:val="auto"/>
                <w:w w:val="99"/>
              </w:rPr>
              <w:t>0</w:t>
            </w:r>
          </w:p>
        </w:tc>
        <w:tc>
          <w:tcPr>
            <w:tcW w:w="1540" w:type="dxa"/>
            <w:vAlign w:val="bottom"/>
          </w:tcPr>
          <w:p>
            <w:pPr>
              <w:jc w:val="right"/>
              <w:ind w:right="110"/>
              <w:spacing w:after="0"/>
              <w:rPr>
                <w:sz w:val="20"/>
                <w:szCs w:val="20"/>
                <w:color w:val="auto"/>
              </w:rPr>
            </w:pPr>
            <w:r>
              <w:rPr>
                <w:rFonts w:ascii="Arial" w:cs="Arial" w:eastAsia="Arial" w:hAnsi="Arial"/>
                <w:sz w:val="18"/>
                <w:szCs w:val="18"/>
                <w:color w:val="auto"/>
              </w:rPr>
              <w:t>*</w:t>
            </w:r>
          </w:p>
        </w:tc>
      </w:tr>
      <w:tr>
        <w:trPr>
          <w:trHeight w:val="216"/>
        </w:trPr>
        <w:tc>
          <w:tcPr>
            <w:tcW w:w="6460" w:type="dxa"/>
            <w:vAlign w:val="bottom"/>
            <w:shd w:val="clear" w:color="auto" w:fill="CCEEFF"/>
          </w:tcPr>
          <w:p>
            <w:pPr>
              <w:spacing w:after="0"/>
              <w:rPr>
                <w:sz w:val="20"/>
                <w:szCs w:val="20"/>
                <w:color w:val="auto"/>
              </w:rPr>
            </w:pPr>
            <w:r>
              <w:rPr>
                <w:rFonts w:ascii="Arial" w:cs="Arial" w:eastAsia="Arial" w:hAnsi="Arial"/>
                <w:sz w:val="18"/>
                <w:szCs w:val="18"/>
                <w:color w:val="auto"/>
              </w:rPr>
              <w:t>John P. Reilly</w:t>
            </w:r>
          </w:p>
        </w:tc>
        <w:tc>
          <w:tcPr>
            <w:tcW w:w="342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0"/>
              </w:rPr>
              <w:t>16,312</w:t>
            </w:r>
          </w:p>
        </w:tc>
        <w:tc>
          <w:tcPr>
            <w:tcW w:w="1540" w:type="dxa"/>
            <w:vAlign w:val="bottom"/>
            <w:shd w:val="clear" w:color="auto" w:fill="CCEEFF"/>
          </w:tcPr>
          <w:p>
            <w:pPr>
              <w:jc w:val="right"/>
              <w:ind w:right="110"/>
              <w:spacing w:after="0"/>
              <w:rPr>
                <w:sz w:val="20"/>
                <w:szCs w:val="20"/>
                <w:color w:val="auto"/>
              </w:rPr>
            </w:pPr>
            <w:r>
              <w:rPr>
                <w:rFonts w:ascii="Arial" w:cs="Arial" w:eastAsia="Arial" w:hAnsi="Arial"/>
                <w:sz w:val="18"/>
                <w:szCs w:val="18"/>
                <w:color w:val="auto"/>
              </w:rPr>
              <w:t>*</w:t>
            </w:r>
          </w:p>
        </w:tc>
      </w:tr>
      <w:tr>
        <w:trPr>
          <w:trHeight w:val="216"/>
        </w:trPr>
        <w:tc>
          <w:tcPr>
            <w:tcW w:w="6460" w:type="dxa"/>
            <w:vAlign w:val="bottom"/>
          </w:tcPr>
          <w:p>
            <w:pPr>
              <w:spacing w:after="0"/>
              <w:rPr>
                <w:sz w:val="20"/>
                <w:szCs w:val="20"/>
                <w:color w:val="auto"/>
              </w:rPr>
            </w:pPr>
            <w:r>
              <w:rPr>
                <w:rFonts w:ascii="Arial" w:cs="Arial" w:eastAsia="Arial" w:hAnsi="Arial"/>
                <w:sz w:val="18"/>
                <w:szCs w:val="18"/>
                <w:color w:val="auto"/>
              </w:rPr>
              <w:t xml:space="preserve">Ward J. Timken, Jr. </w:t>
            </w:r>
            <w:r>
              <w:rPr>
                <w:rFonts w:ascii="Arial" w:cs="Arial" w:eastAsia="Arial" w:hAnsi="Arial"/>
                <w:sz w:val="15"/>
                <w:szCs w:val="15"/>
                <w:color w:val="auto"/>
              </w:rPr>
              <w:t>(7)</w:t>
            </w:r>
          </w:p>
        </w:tc>
        <w:tc>
          <w:tcPr>
            <w:tcW w:w="3420" w:type="dxa"/>
            <w:vAlign w:val="bottom"/>
          </w:tcPr>
          <w:p>
            <w:pPr>
              <w:jc w:val="center"/>
              <w:spacing w:after="0"/>
              <w:rPr>
                <w:sz w:val="20"/>
                <w:szCs w:val="20"/>
                <w:color w:val="auto"/>
              </w:rPr>
            </w:pPr>
            <w:r>
              <w:rPr>
                <w:rFonts w:ascii="Arial" w:cs="Arial" w:eastAsia="Arial" w:hAnsi="Arial"/>
                <w:sz w:val="18"/>
                <w:szCs w:val="18"/>
                <w:color w:val="auto"/>
                <w:w w:val="89"/>
              </w:rPr>
              <w:t>3,087,594</w:t>
            </w:r>
          </w:p>
        </w:tc>
        <w:tc>
          <w:tcPr>
            <w:tcW w:w="1540" w:type="dxa"/>
            <w:vAlign w:val="bottom"/>
          </w:tcPr>
          <w:p>
            <w:pPr>
              <w:jc w:val="right"/>
              <w:spacing w:after="0"/>
              <w:rPr>
                <w:sz w:val="20"/>
                <w:szCs w:val="20"/>
                <w:color w:val="auto"/>
              </w:rPr>
            </w:pPr>
            <w:r>
              <w:rPr>
                <w:rFonts w:ascii="Arial" w:cs="Arial" w:eastAsia="Arial" w:hAnsi="Arial"/>
                <w:sz w:val="18"/>
                <w:szCs w:val="18"/>
                <w:color w:val="auto"/>
              </w:rPr>
              <w:t>6.8%</w:t>
            </w:r>
          </w:p>
        </w:tc>
      </w:tr>
      <w:tr>
        <w:trPr>
          <w:trHeight w:val="216"/>
        </w:trPr>
        <w:tc>
          <w:tcPr>
            <w:tcW w:w="6460" w:type="dxa"/>
            <w:vAlign w:val="bottom"/>
            <w:shd w:val="clear" w:color="auto" w:fill="CCEEFF"/>
          </w:tcPr>
          <w:p>
            <w:pPr>
              <w:spacing w:after="0"/>
              <w:rPr>
                <w:sz w:val="20"/>
                <w:szCs w:val="20"/>
                <w:color w:val="auto"/>
              </w:rPr>
            </w:pPr>
            <w:r>
              <w:rPr>
                <w:rFonts w:ascii="Arial" w:cs="Arial" w:eastAsia="Arial" w:hAnsi="Arial"/>
                <w:sz w:val="18"/>
                <w:szCs w:val="18"/>
                <w:color w:val="auto"/>
              </w:rPr>
              <w:t>Randall A. Wotring</w:t>
            </w:r>
          </w:p>
        </w:tc>
        <w:tc>
          <w:tcPr>
            <w:tcW w:w="342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9"/>
              </w:rPr>
              <w:t>0</w:t>
            </w:r>
          </w:p>
        </w:tc>
        <w:tc>
          <w:tcPr>
            <w:tcW w:w="1540" w:type="dxa"/>
            <w:vAlign w:val="bottom"/>
            <w:shd w:val="clear" w:color="auto" w:fill="CCEEFF"/>
          </w:tcPr>
          <w:p>
            <w:pPr>
              <w:jc w:val="right"/>
              <w:ind w:right="110"/>
              <w:spacing w:after="0"/>
              <w:rPr>
                <w:sz w:val="20"/>
                <w:szCs w:val="20"/>
                <w:color w:val="auto"/>
              </w:rPr>
            </w:pPr>
            <w:r>
              <w:rPr>
                <w:rFonts w:ascii="Arial" w:cs="Arial" w:eastAsia="Arial" w:hAnsi="Arial"/>
                <w:sz w:val="18"/>
                <w:szCs w:val="18"/>
                <w:color w:val="auto"/>
              </w:rPr>
              <w:t>*</w:t>
            </w:r>
          </w:p>
        </w:tc>
      </w:tr>
      <w:tr>
        <w:trPr>
          <w:trHeight w:val="216"/>
        </w:trPr>
        <w:tc>
          <w:tcPr>
            <w:tcW w:w="6460" w:type="dxa"/>
            <w:vAlign w:val="bottom"/>
          </w:tcPr>
          <w:p>
            <w:pPr>
              <w:spacing w:after="0"/>
              <w:rPr>
                <w:sz w:val="20"/>
                <w:szCs w:val="20"/>
                <w:color w:val="auto"/>
              </w:rPr>
            </w:pPr>
            <w:r>
              <w:rPr>
                <w:rFonts w:ascii="Arial" w:cs="Arial" w:eastAsia="Arial" w:hAnsi="Arial"/>
                <w:sz w:val="18"/>
                <w:szCs w:val="18"/>
                <w:color w:val="auto"/>
              </w:rPr>
              <w:t>Christopher J. Holding</w:t>
            </w:r>
          </w:p>
        </w:tc>
        <w:tc>
          <w:tcPr>
            <w:tcW w:w="3420" w:type="dxa"/>
            <w:vAlign w:val="bottom"/>
          </w:tcPr>
          <w:p>
            <w:pPr>
              <w:jc w:val="center"/>
              <w:spacing w:after="0"/>
              <w:rPr>
                <w:sz w:val="20"/>
                <w:szCs w:val="20"/>
                <w:color w:val="auto"/>
              </w:rPr>
            </w:pPr>
            <w:r>
              <w:rPr>
                <w:rFonts w:ascii="Arial" w:cs="Arial" w:eastAsia="Arial" w:hAnsi="Arial"/>
                <w:sz w:val="18"/>
                <w:szCs w:val="18"/>
                <w:color w:val="auto"/>
                <w:w w:val="90"/>
              </w:rPr>
              <w:t>12,883</w:t>
            </w:r>
          </w:p>
        </w:tc>
        <w:tc>
          <w:tcPr>
            <w:tcW w:w="1540" w:type="dxa"/>
            <w:vAlign w:val="bottom"/>
          </w:tcPr>
          <w:p>
            <w:pPr>
              <w:jc w:val="right"/>
              <w:ind w:right="110"/>
              <w:spacing w:after="0"/>
              <w:rPr>
                <w:sz w:val="20"/>
                <w:szCs w:val="20"/>
                <w:color w:val="auto"/>
              </w:rPr>
            </w:pPr>
            <w:r>
              <w:rPr>
                <w:rFonts w:ascii="Arial" w:cs="Arial" w:eastAsia="Arial" w:hAnsi="Arial"/>
                <w:sz w:val="18"/>
                <w:szCs w:val="18"/>
                <w:color w:val="auto"/>
              </w:rPr>
              <w:t>*</w:t>
            </w:r>
          </w:p>
        </w:tc>
      </w:tr>
      <w:tr>
        <w:trPr>
          <w:trHeight w:val="216"/>
        </w:trPr>
        <w:tc>
          <w:tcPr>
            <w:tcW w:w="6460" w:type="dxa"/>
            <w:vAlign w:val="bottom"/>
            <w:shd w:val="clear" w:color="auto" w:fill="CCEEFF"/>
          </w:tcPr>
          <w:p>
            <w:pPr>
              <w:spacing w:after="0"/>
              <w:rPr>
                <w:sz w:val="20"/>
                <w:szCs w:val="20"/>
                <w:color w:val="auto"/>
              </w:rPr>
            </w:pPr>
            <w:r>
              <w:rPr>
                <w:rFonts w:ascii="Arial" w:cs="Arial" w:eastAsia="Arial" w:hAnsi="Arial"/>
                <w:sz w:val="18"/>
                <w:szCs w:val="18"/>
                <w:color w:val="auto"/>
              </w:rPr>
              <w:t>Donald L. Walker</w:t>
            </w:r>
          </w:p>
        </w:tc>
        <w:tc>
          <w:tcPr>
            <w:tcW w:w="342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0"/>
              </w:rPr>
              <w:t>27,641</w:t>
            </w:r>
          </w:p>
        </w:tc>
        <w:tc>
          <w:tcPr>
            <w:tcW w:w="1540" w:type="dxa"/>
            <w:vAlign w:val="bottom"/>
            <w:shd w:val="clear" w:color="auto" w:fill="CCEEFF"/>
          </w:tcPr>
          <w:p>
            <w:pPr>
              <w:jc w:val="right"/>
              <w:ind w:right="110"/>
              <w:spacing w:after="0"/>
              <w:rPr>
                <w:sz w:val="20"/>
                <w:szCs w:val="20"/>
                <w:color w:val="auto"/>
              </w:rPr>
            </w:pPr>
            <w:r>
              <w:rPr>
                <w:rFonts w:ascii="Arial" w:cs="Arial" w:eastAsia="Arial" w:hAnsi="Arial"/>
                <w:sz w:val="18"/>
                <w:szCs w:val="18"/>
                <w:color w:val="auto"/>
              </w:rPr>
              <w:t>*</w:t>
            </w:r>
          </w:p>
        </w:tc>
      </w:tr>
      <w:tr>
        <w:trPr>
          <w:trHeight w:val="216"/>
        </w:trPr>
        <w:tc>
          <w:tcPr>
            <w:tcW w:w="6460" w:type="dxa"/>
            <w:vAlign w:val="bottom"/>
          </w:tcPr>
          <w:p>
            <w:pPr>
              <w:spacing w:after="0"/>
              <w:rPr>
                <w:sz w:val="20"/>
                <w:szCs w:val="20"/>
                <w:color w:val="auto"/>
              </w:rPr>
            </w:pPr>
            <w:r>
              <w:rPr>
                <w:rFonts w:ascii="Arial" w:cs="Arial" w:eastAsia="Arial" w:hAnsi="Arial"/>
                <w:sz w:val="18"/>
                <w:szCs w:val="18"/>
                <w:color w:val="auto"/>
              </w:rPr>
              <w:t>Frank A. DiPiero</w:t>
            </w:r>
          </w:p>
        </w:tc>
        <w:tc>
          <w:tcPr>
            <w:tcW w:w="3420" w:type="dxa"/>
            <w:vAlign w:val="bottom"/>
          </w:tcPr>
          <w:p>
            <w:pPr>
              <w:jc w:val="center"/>
              <w:spacing w:after="0"/>
              <w:rPr>
                <w:sz w:val="20"/>
                <w:szCs w:val="20"/>
                <w:color w:val="auto"/>
              </w:rPr>
            </w:pPr>
            <w:r>
              <w:rPr>
                <w:rFonts w:ascii="Arial" w:cs="Arial" w:eastAsia="Arial" w:hAnsi="Arial"/>
                <w:sz w:val="18"/>
                <w:szCs w:val="18"/>
                <w:color w:val="auto"/>
                <w:w w:val="99"/>
              </w:rPr>
              <w:t>0</w:t>
            </w:r>
          </w:p>
        </w:tc>
        <w:tc>
          <w:tcPr>
            <w:tcW w:w="1540" w:type="dxa"/>
            <w:vAlign w:val="bottom"/>
          </w:tcPr>
          <w:p>
            <w:pPr>
              <w:jc w:val="right"/>
              <w:ind w:right="110"/>
              <w:spacing w:after="0"/>
              <w:rPr>
                <w:sz w:val="20"/>
                <w:szCs w:val="20"/>
                <w:color w:val="auto"/>
              </w:rPr>
            </w:pPr>
            <w:r>
              <w:rPr>
                <w:rFonts w:ascii="Arial" w:cs="Arial" w:eastAsia="Arial" w:hAnsi="Arial"/>
                <w:sz w:val="18"/>
                <w:szCs w:val="18"/>
                <w:color w:val="auto"/>
              </w:rPr>
              <w:t>*</w:t>
            </w:r>
          </w:p>
        </w:tc>
      </w:tr>
      <w:tr>
        <w:trPr>
          <w:trHeight w:val="216"/>
        </w:trPr>
        <w:tc>
          <w:tcPr>
            <w:tcW w:w="646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color w:val="auto"/>
              </w:rPr>
              <w:t>All executive officers and directors as a group (10 persons)</w:t>
            </w:r>
          </w:p>
        </w:tc>
        <w:tc>
          <w:tcPr>
            <w:tcW w:w="342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89"/>
              </w:rPr>
              <w:t>3,157,450</w:t>
            </w:r>
          </w:p>
        </w:tc>
        <w:tc>
          <w:tcPr>
            <w:tcW w:w="15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7.0%</w:t>
            </w:r>
          </w:p>
        </w:tc>
      </w:tr>
    </w:tbl>
    <w:p>
      <w:pPr>
        <w:spacing w:after="0" w:line="242" w:lineRule="exact"/>
        <w:rPr>
          <w:sz w:val="20"/>
          <w:szCs w:val="20"/>
          <w:color w:val="auto"/>
        </w:rPr>
      </w:pPr>
    </w:p>
    <w:p>
      <w:pPr>
        <w:ind w:right="460" w:firstLine="8"/>
        <w:spacing w:after="0" w:line="277" w:lineRule="auto"/>
        <w:tabs>
          <w:tab w:leader="none" w:pos="135" w:val="left"/>
        </w:tabs>
        <w:numPr>
          <w:ilvl w:val="0"/>
          <w:numId w:val="42"/>
        </w:numPr>
        <w:rPr>
          <w:rFonts w:ascii="Arial" w:cs="Arial" w:eastAsia="Arial" w:hAnsi="Arial"/>
          <w:sz w:val="18"/>
          <w:szCs w:val="18"/>
          <w:color w:val="auto"/>
        </w:rPr>
      </w:pPr>
      <w:r>
        <w:rPr>
          <w:rFonts w:ascii="Arial" w:cs="Arial" w:eastAsia="Arial" w:hAnsi="Arial"/>
          <w:sz w:val="18"/>
          <w:szCs w:val="18"/>
          <w:color w:val="auto"/>
        </w:rPr>
        <w:t>The percentage of shares beneficially owned by such director or executive officer is not expected to exceed one percent of our common shares that we expect to be outstanding immediately following the completion of the spinoff.</w:t>
      </w:r>
    </w:p>
    <w:p>
      <w:pPr>
        <w:spacing w:after="0" w:line="211" w:lineRule="exact"/>
        <w:rPr>
          <w:sz w:val="20"/>
          <w:szCs w:val="20"/>
          <w:color w:val="auto"/>
        </w:rPr>
      </w:pPr>
    </w:p>
    <w:p>
      <w:pPr>
        <w:ind w:right="80" w:firstLine="8"/>
        <w:spacing w:after="0" w:line="273" w:lineRule="auto"/>
        <w:tabs>
          <w:tab w:leader="none" w:pos="255" w:val="left"/>
        </w:tabs>
        <w:numPr>
          <w:ilvl w:val="0"/>
          <w:numId w:val="43"/>
        </w:numPr>
        <w:rPr>
          <w:rFonts w:ascii="Arial" w:cs="Arial" w:eastAsia="Arial" w:hAnsi="Arial"/>
          <w:sz w:val="17"/>
          <w:szCs w:val="17"/>
          <w:color w:val="auto"/>
        </w:rPr>
      </w:pPr>
      <w:r>
        <w:rPr>
          <w:rFonts w:ascii="Arial" w:cs="Arial" w:eastAsia="Arial" w:hAnsi="Arial"/>
          <w:sz w:val="17"/>
          <w:szCs w:val="17"/>
          <w:color w:val="auto"/>
        </w:rPr>
        <w:t>The share amounts and percentages shown for our directors and executive officers are estimates, based on the number of Timken common shares beneficially owned, as defined by rules of the SEC, as of May 1, 2014, and the distribution of one of our common shares for every two Timken common shares outstanding as of the record date. Because these beneficial ownership amounts include certain shares issuable under equity-based awards, which will be either adjusted or replaced with substitute awards, and because the amounts involved in the adjusted or substitute awards will not be determined until after the distribution date, we have estimated the share amounts and percentages in this table for our directors and executive officers, as applicable, as the product of the number of Timken common shares beneficially owned as of April 30, 2014, multiplied by a distribution ratio of 1:2.</w:t>
      </w:r>
    </w:p>
    <w:p>
      <w:pPr>
        <w:spacing w:after="0" w:line="205" w:lineRule="exact"/>
        <w:rPr>
          <w:rFonts w:ascii="Arial" w:cs="Arial" w:eastAsia="Arial" w:hAnsi="Arial"/>
          <w:sz w:val="17"/>
          <w:szCs w:val="17"/>
          <w:color w:val="auto"/>
        </w:rPr>
      </w:pPr>
    </w:p>
    <w:p>
      <w:pPr>
        <w:ind w:right="20" w:firstLine="8"/>
        <w:spacing w:after="0" w:line="273" w:lineRule="auto"/>
        <w:tabs>
          <w:tab w:leader="none" w:pos="255" w:val="left"/>
        </w:tabs>
        <w:numPr>
          <w:ilvl w:val="0"/>
          <w:numId w:val="43"/>
        </w:numPr>
        <w:rPr>
          <w:rFonts w:ascii="Arial" w:cs="Arial" w:eastAsia="Arial" w:hAnsi="Arial"/>
          <w:sz w:val="17"/>
          <w:szCs w:val="17"/>
          <w:color w:val="auto"/>
        </w:rPr>
      </w:pPr>
      <w:r>
        <w:rPr>
          <w:rFonts w:ascii="Arial" w:cs="Arial" w:eastAsia="Arial" w:hAnsi="Arial"/>
          <w:sz w:val="17"/>
          <w:szCs w:val="17"/>
          <w:color w:val="auto"/>
        </w:rPr>
        <w:t>Includes shares that the following individuals have the right to acquire on or before June 30, 2014 through the exercise of stock options pursuant to the Timken Long-Term Incentive Plan as follows: (a) Mr. Timken – 303,712; (b) Mr. Holding – 5,800; and (c) Mr. Walker – 7,825. Includes 1,000 vested deferred restricted shares owned by Mr. Cox and deferred common shares owned by the following individuals: (a) Mr. Cox – 1,750 and (b) Mr. Reilly – 3,140. All of the foregoing shares have been treated as outstanding for the purpose of calculating the percentage of the class beneficially owned by such individual or group, but not for the purpose of calculating the percentage of the class owned by any other person. Excludes 2,225 performance shares awarded but not vested pursuant to the Timken Long-Term Incentive Plan for Mr. Timken.</w:t>
      </w:r>
    </w:p>
    <w:p>
      <w:pPr>
        <w:spacing w:after="0" w:line="218" w:lineRule="exact"/>
        <w:rPr>
          <w:rFonts w:ascii="Arial" w:cs="Arial" w:eastAsia="Arial" w:hAnsi="Arial"/>
          <w:sz w:val="17"/>
          <w:szCs w:val="17"/>
          <w:color w:val="auto"/>
        </w:rPr>
      </w:pPr>
    </w:p>
    <w:p>
      <w:pPr>
        <w:ind w:firstLine="8"/>
        <w:spacing w:after="0" w:line="276" w:lineRule="auto"/>
        <w:tabs>
          <w:tab w:leader="none" w:pos="255" w:val="left"/>
        </w:tabs>
        <w:numPr>
          <w:ilvl w:val="0"/>
          <w:numId w:val="43"/>
        </w:numPr>
        <w:rPr>
          <w:rFonts w:ascii="Arial" w:cs="Arial" w:eastAsia="Arial" w:hAnsi="Arial"/>
          <w:sz w:val="17"/>
          <w:szCs w:val="17"/>
          <w:color w:val="auto"/>
        </w:rPr>
      </w:pPr>
      <w:r>
        <w:rPr>
          <w:rFonts w:ascii="Arial" w:cs="Arial" w:eastAsia="Arial" w:hAnsi="Arial"/>
          <w:sz w:val="17"/>
          <w:szCs w:val="17"/>
          <w:color w:val="auto"/>
        </w:rPr>
        <w:t>Members of the Timken family, including John M. Timken, Jr., Ward J. Timken and Ward J. Timken, Jr., have in the aggregate sole or shared voting and dispositive power with respect to 9,532,851 Timken common shares, which includes 607,425 Timken common shares that Ward J. Timken, Jr., has the right to acquire on or before June 30, 2014. The Timken Foundation of Canton (the “Foundation”), 200 Market Avenue, North, Suite 210, Canton, Ohio 44702, holds 5,097,944 of these Timken common shares. Ward J. Timken, Joy A. Timken, Ward J. Timken, Jr., William R. Timken, Jr. and Jeffrey A. Halm are trustees of the Foundation and share the voting and investment power with respect to such shares.</w:t>
      </w:r>
    </w:p>
    <w:p>
      <w:pPr>
        <w:spacing w:after="0" w:line="213" w:lineRule="exact"/>
        <w:rPr>
          <w:sz w:val="20"/>
          <w:szCs w:val="20"/>
          <w:color w:val="auto"/>
        </w:rPr>
      </w:pPr>
    </w:p>
    <w:p>
      <w:pPr>
        <w:ind w:right="180"/>
        <w:spacing w:after="0" w:line="259" w:lineRule="auto"/>
        <w:rPr>
          <w:sz w:val="20"/>
          <w:szCs w:val="20"/>
          <w:color w:val="auto"/>
        </w:rPr>
      </w:pPr>
      <w:r>
        <w:rPr>
          <w:rFonts w:ascii="Arial" w:cs="Arial" w:eastAsia="Arial" w:hAnsi="Arial"/>
          <w:sz w:val="18"/>
          <w:szCs w:val="18"/>
          <w:color w:val="auto"/>
        </w:rPr>
        <w:t>There are no voting agreements or other arrangements among the members of the Timken family regarding our common shares and, accordingly, the members of the Timken family shall not be deemed a “group” for purposes of Rule 13d-3 under the Exchange Act with respect to such shares. Accordingly, each member of the Timken family disclaims beneficial ownership of any of our common shares as to which such member does not have sole or shared voting or investment power.</w:t>
      </w:r>
    </w:p>
    <w:p>
      <w:pPr>
        <w:spacing w:after="0" w:line="214" w:lineRule="exact"/>
        <w:rPr>
          <w:sz w:val="20"/>
          <w:szCs w:val="20"/>
          <w:color w:val="auto"/>
        </w:rPr>
      </w:pPr>
    </w:p>
    <w:p>
      <w:pPr>
        <w:ind w:right="300" w:firstLine="8"/>
        <w:spacing w:after="0" w:line="277" w:lineRule="auto"/>
        <w:tabs>
          <w:tab w:leader="none" w:pos="255" w:val="left"/>
        </w:tabs>
        <w:numPr>
          <w:ilvl w:val="0"/>
          <w:numId w:val="44"/>
        </w:numPr>
        <w:rPr>
          <w:rFonts w:ascii="Arial" w:cs="Arial" w:eastAsia="Arial" w:hAnsi="Arial"/>
          <w:sz w:val="18"/>
          <w:szCs w:val="18"/>
          <w:color w:val="auto"/>
        </w:rPr>
      </w:pPr>
      <w:r>
        <w:rPr>
          <w:rFonts w:ascii="Arial" w:cs="Arial" w:eastAsia="Arial" w:hAnsi="Arial"/>
          <w:sz w:val="18"/>
          <w:szCs w:val="18"/>
          <w:color w:val="auto"/>
        </w:rPr>
        <w:t>A Form 13F filed with the SEC on February 14, 2014, by Relational Investors, LLC, 12400 High Bluff Drive, Suite 600, San Diego, California 92130, indicated that it has sole voting and investment power over 8,256,535 Timken common shares.</w:t>
      </w:r>
    </w:p>
    <w:p>
      <w:pPr>
        <w:spacing w:after="0" w:line="210" w:lineRule="exact"/>
        <w:rPr>
          <w:rFonts w:ascii="Arial" w:cs="Arial" w:eastAsia="Arial" w:hAnsi="Arial"/>
          <w:sz w:val="18"/>
          <w:szCs w:val="18"/>
          <w:color w:val="auto"/>
        </w:rPr>
      </w:pPr>
    </w:p>
    <w:p>
      <w:pPr>
        <w:ind w:right="280" w:firstLine="8"/>
        <w:spacing w:after="0" w:line="308" w:lineRule="auto"/>
        <w:tabs>
          <w:tab w:leader="none" w:pos="255" w:val="left"/>
        </w:tabs>
        <w:numPr>
          <w:ilvl w:val="0"/>
          <w:numId w:val="44"/>
        </w:numPr>
        <w:rPr>
          <w:rFonts w:ascii="Arial" w:cs="Arial" w:eastAsia="Arial" w:hAnsi="Arial"/>
          <w:sz w:val="17"/>
          <w:szCs w:val="17"/>
          <w:color w:val="auto"/>
        </w:rPr>
      </w:pPr>
      <w:r>
        <w:rPr>
          <w:rFonts w:ascii="Arial" w:cs="Arial" w:eastAsia="Arial" w:hAnsi="Arial"/>
          <w:sz w:val="17"/>
          <w:szCs w:val="17"/>
          <w:color w:val="auto"/>
        </w:rPr>
        <w:t>A Schedule 13G/A filed with the SEC on January 30, 2014, by BlackRock, Inc., 40 East 52nd Street, New York, New York 10022, indicated that it has sole voting power over 5,704,046 Timken common shares and sole investment power over 6,363,570 Timken common shares.</w:t>
      </w:r>
    </w:p>
    <w:p>
      <w:pPr>
        <w:spacing w:after="0" w:line="187" w:lineRule="exact"/>
        <w:rPr>
          <w:rFonts w:ascii="Arial" w:cs="Arial" w:eastAsia="Arial" w:hAnsi="Arial"/>
          <w:sz w:val="17"/>
          <w:szCs w:val="17"/>
          <w:color w:val="auto"/>
        </w:rPr>
      </w:pPr>
    </w:p>
    <w:p>
      <w:pPr>
        <w:ind w:right="80" w:firstLine="8"/>
        <w:spacing w:after="0" w:line="264" w:lineRule="auto"/>
        <w:tabs>
          <w:tab w:leader="none" w:pos="255" w:val="left"/>
        </w:tabs>
        <w:numPr>
          <w:ilvl w:val="0"/>
          <w:numId w:val="44"/>
        </w:numPr>
        <w:rPr>
          <w:rFonts w:ascii="Arial" w:cs="Arial" w:eastAsia="Arial" w:hAnsi="Arial"/>
          <w:sz w:val="18"/>
          <w:szCs w:val="18"/>
          <w:color w:val="auto"/>
        </w:rPr>
      </w:pPr>
      <w:r>
        <w:rPr>
          <w:rFonts w:ascii="Arial" w:cs="Arial" w:eastAsia="Arial" w:hAnsi="Arial"/>
          <w:sz w:val="18"/>
          <w:szCs w:val="18"/>
          <w:color w:val="auto"/>
        </w:rPr>
        <w:t>Participants in The Timken Company Savings and Investment Pension Plan have, in the aggregate, sole or shared voting and dispositive power with respect to 5,198,111 Timken common shares. The trustee of the plan is J. P. Morgan Retirement Plan Services LLC, P. O. Box 419784, Kansas City, Missouri 64179-0654.</w:t>
      </w:r>
    </w:p>
    <w:p>
      <w:pPr>
        <w:spacing w:after="0" w:line="208" w:lineRule="exact"/>
        <w:rPr>
          <w:rFonts w:ascii="Arial" w:cs="Arial" w:eastAsia="Arial" w:hAnsi="Arial"/>
          <w:sz w:val="18"/>
          <w:szCs w:val="18"/>
          <w:color w:val="auto"/>
        </w:rPr>
      </w:pPr>
    </w:p>
    <w:p>
      <w:pPr>
        <w:ind w:right="360" w:firstLine="8"/>
        <w:spacing w:after="0" w:line="277" w:lineRule="auto"/>
        <w:tabs>
          <w:tab w:leader="none" w:pos="255" w:val="left"/>
        </w:tabs>
        <w:numPr>
          <w:ilvl w:val="0"/>
          <w:numId w:val="44"/>
        </w:numPr>
        <w:rPr>
          <w:rFonts w:ascii="Arial" w:cs="Arial" w:eastAsia="Arial" w:hAnsi="Arial"/>
          <w:sz w:val="18"/>
          <w:szCs w:val="18"/>
          <w:color w:val="auto"/>
        </w:rPr>
      </w:pPr>
      <w:r>
        <w:rPr>
          <w:rFonts w:ascii="Arial" w:cs="Arial" w:eastAsia="Arial" w:hAnsi="Arial"/>
          <w:sz w:val="18"/>
          <w:szCs w:val="18"/>
          <w:color w:val="auto"/>
        </w:rPr>
        <w:t>Mr. Timken is expected to have: (a) sole voting or investment power over 507,717 of our common shares; (b) shared voting or investment power over 2,579,877 of our common shares; and (c) 3,087,594 of our common shares in the aggregate.</w:t>
      </w:r>
    </w:p>
    <w:p>
      <w:pPr>
        <w:sectPr>
          <w:pgSz w:w="11900" w:h="16838" w:orient="portrait"/>
          <w:cols w:equalWidth="0" w:num="1">
            <w:col w:w="11420"/>
          </w:cols>
          <w:pgMar w:left="240" w:top="459" w:right="239" w:bottom="1440" w:gutter="0" w:footer="0" w:header="0"/>
        </w:sectPr>
      </w:pPr>
    </w:p>
    <w:p>
      <w:pPr>
        <w:spacing w:after="0" w:line="103"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85</w:t>
      </w:r>
    </w:p>
    <w:p>
      <w:pPr>
        <w:sectPr>
          <w:pgSz w:w="11900" w:h="16838" w:orient="portrait"/>
          <w:cols w:equalWidth="0" w:num="1">
            <w:col w:w="11420"/>
          </w:cols>
          <w:pgMar w:left="240" w:top="459" w:right="239" w:bottom="1440" w:gutter="0" w:footer="0" w:header="0"/>
          <w:type w:val="continuous"/>
        </w:sectPr>
      </w:pPr>
    </w:p>
    <w:bookmarkStart w:id="97" w:name="page98"/>
    <w:bookmarkEnd w:id="9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6">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DESCRIPTION OF CAPITAL STOCK</w:t>
      </w:r>
    </w:p>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Introduction</w:t>
      </w:r>
    </w:p>
    <w:p>
      <w:pPr>
        <w:spacing w:after="0" w:line="229" w:lineRule="exact"/>
        <w:rPr>
          <w:sz w:val="20"/>
          <w:szCs w:val="20"/>
          <w:color w:val="auto"/>
        </w:rPr>
      </w:pPr>
    </w:p>
    <w:p>
      <w:pPr>
        <w:ind w:right="80" w:firstLine="913"/>
        <w:spacing w:after="0" w:line="297" w:lineRule="auto"/>
        <w:rPr>
          <w:sz w:val="20"/>
          <w:szCs w:val="20"/>
          <w:color w:val="auto"/>
        </w:rPr>
      </w:pPr>
      <w:r>
        <w:rPr>
          <w:rFonts w:ascii="Arial" w:cs="Arial" w:eastAsia="Arial" w:hAnsi="Arial"/>
          <w:sz w:val="16"/>
          <w:szCs w:val="16"/>
          <w:color w:val="auto"/>
        </w:rPr>
        <w:t>In the discussion that follows, we have summarized the material provisions of our articles of incorporation and regulations relating to our capital stock. This discussion is subject to the relevant provisions of Ohio law and is qualified in its entirety by reference to our articles of incorporation and regulations. You should read the provisions of our articles of incorporation and regulations as currently in effect for more details regarding the provisions described below and for other provisions that may be important to you. We have filed copies of those documents with the SEC, and they are incorporated by reference as exhibits to the registration statement of which this prospectus forms a part. See “Where You Can Find More Information.”</w:t>
      </w:r>
    </w:p>
    <w:p>
      <w:pPr>
        <w:spacing w:after="0" w:line="22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Authorized Capital Stock</w:t>
      </w:r>
    </w:p>
    <w:p>
      <w:pPr>
        <w:spacing w:after="0" w:line="297" w:lineRule="exact"/>
        <w:rPr>
          <w:sz w:val="20"/>
          <w:szCs w:val="20"/>
          <w:color w:val="auto"/>
        </w:rPr>
      </w:pPr>
    </w:p>
    <w:p>
      <w:pPr>
        <w:ind w:left="920"/>
        <w:spacing w:after="0"/>
        <w:rPr>
          <w:sz w:val="20"/>
          <w:szCs w:val="20"/>
          <w:color w:val="auto"/>
        </w:rPr>
      </w:pPr>
      <w:r>
        <w:rPr>
          <w:rFonts w:ascii="Arial" w:cs="Arial" w:eastAsia="Arial" w:hAnsi="Arial"/>
          <w:sz w:val="18"/>
          <w:szCs w:val="18"/>
          <w:color w:val="auto"/>
        </w:rPr>
        <w:t>Our authorized capital stock consists of 200,000,000 common shares and 10,000,000 preferred shares, issuable in series.</w:t>
      </w:r>
    </w:p>
    <w:p>
      <w:pPr>
        <w:spacing w:after="0" w:line="225" w:lineRule="exact"/>
        <w:rPr>
          <w:sz w:val="20"/>
          <w:szCs w:val="20"/>
          <w:color w:val="auto"/>
        </w:rPr>
      </w:pPr>
    </w:p>
    <w:p>
      <w:pPr>
        <w:ind w:firstLine="913"/>
        <w:spacing w:after="0" w:line="257" w:lineRule="auto"/>
        <w:rPr>
          <w:sz w:val="20"/>
          <w:szCs w:val="20"/>
          <w:color w:val="auto"/>
        </w:rPr>
      </w:pPr>
      <w:r>
        <w:rPr>
          <w:rFonts w:ascii="Arial" w:cs="Arial" w:eastAsia="Arial" w:hAnsi="Arial"/>
          <w:sz w:val="18"/>
          <w:szCs w:val="18"/>
          <w:color w:val="auto"/>
        </w:rPr>
        <w:t>Each authorized common share is without par value. The authorized preferred shares are without par value. Immediately after the distribution date, we expect that approximately 45.4 million of our common shares will be outstanding, based on the distribution of one of our common shares for every two common shares of Timken outstanding and the anticipated number of Timken common shares outstanding as of the record date. The actual number of our common shares to be distributed will be determined based on the number of Timken common shares outstanding as of the record date. Immediately after the distribution date, none of our preferred shares will be issued and outstanding.</w:t>
      </w:r>
    </w:p>
    <w:p>
      <w:pPr>
        <w:spacing w:after="0" w:line="26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Common Shares</w:t>
      </w:r>
    </w:p>
    <w:p>
      <w:pPr>
        <w:spacing w:after="0" w:line="297" w:lineRule="exact"/>
        <w:rPr>
          <w:sz w:val="20"/>
          <w:szCs w:val="20"/>
          <w:color w:val="auto"/>
        </w:rPr>
      </w:pPr>
    </w:p>
    <w:p>
      <w:pPr>
        <w:jc w:val="both"/>
        <w:ind w:firstLine="913"/>
        <w:spacing w:after="0" w:line="264" w:lineRule="auto"/>
        <w:rPr>
          <w:sz w:val="20"/>
          <w:szCs w:val="20"/>
          <w:color w:val="auto"/>
        </w:rPr>
      </w:pPr>
      <w:r>
        <w:rPr>
          <w:rFonts w:ascii="Arial" w:cs="Arial" w:eastAsia="Arial" w:hAnsi="Arial"/>
          <w:sz w:val="18"/>
          <w:szCs w:val="18"/>
          <w:color w:val="auto"/>
        </w:rPr>
        <w:t>Subject to the restrictions described below, the holders of our common shares are entitled to receive dividends from funds legally available when, as and if declared by our board of directors and, upon our liquidation, dissolution or winding up, are entitled to receive pro rata our net assets after satisfaction in full of the prior rights of our creditors and holders of any preferred shares.</w:t>
      </w:r>
    </w:p>
    <w:p>
      <w:pPr>
        <w:spacing w:after="0" w:line="249" w:lineRule="exact"/>
        <w:rPr>
          <w:sz w:val="20"/>
          <w:szCs w:val="20"/>
          <w:color w:val="auto"/>
        </w:rPr>
      </w:pPr>
    </w:p>
    <w:p>
      <w:pPr>
        <w:ind w:right="60" w:firstLine="913"/>
        <w:spacing w:after="0" w:line="302" w:lineRule="auto"/>
        <w:rPr>
          <w:sz w:val="20"/>
          <w:szCs w:val="20"/>
          <w:color w:val="auto"/>
        </w:rPr>
      </w:pPr>
      <w:r>
        <w:rPr>
          <w:rFonts w:ascii="Arial" w:cs="Arial" w:eastAsia="Arial" w:hAnsi="Arial"/>
          <w:sz w:val="16"/>
          <w:szCs w:val="16"/>
          <w:color w:val="auto"/>
        </w:rPr>
        <w:t>Each of our common shares entitles its holder to one vote in the election of each director and on all other matters voted on generally by our shareholders. None of our common shares affords any cumulative voting rights. This means that the holders of a majority of the voting power of the shares voting for the election of directors can elect all directors to be elected if they choose to do so. Our board of directors may grant holders of preferred shares, in the amendment or amendments creating the series of preferred shares, the right to vote on the election of directors or any questions affecting our company.</w:t>
      </w:r>
    </w:p>
    <w:p>
      <w:pPr>
        <w:spacing w:after="0" w:line="235" w:lineRule="exact"/>
        <w:rPr>
          <w:sz w:val="20"/>
          <w:szCs w:val="20"/>
          <w:color w:val="auto"/>
        </w:rPr>
      </w:pPr>
    </w:p>
    <w:p>
      <w:pPr>
        <w:ind w:right="60" w:firstLine="913"/>
        <w:spacing w:after="0" w:line="259" w:lineRule="auto"/>
        <w:rPr>
          <w:sz w:val="20"/>
          <w:szCs w:val="20"/>
          <w:color w:val="auto"/>
        </w:rPr>
      </w:pPr>
      <w:r>
        <w:rPr>
          <w:rFonts w:ascii="Arial" w:cs="Arial" w:eastAsia="Arial" w:hAnsi="Arial"/>
          <w:sz w:val="18"/>
          <w:szCs w:val="18"/>
          <w:color w:val="auto"/>
        </w:rPr>
        <w:t>Holders of our common shares have no preemptive or conversion rights or other subscription rights, and there are no redemption or sinking fund provisions applicable to the common shares. After the distribution, all of our outstanding common shares will be fully paid and non-assessable. The rights, preferences and privileges of the holders of our common shares are subject to, and may be adversely affected by, the rights of the holders of shares of any series of preferred shares that we may designate and issue in the future.</w:t>
      </w:r>
    </w:p>
    <w:p>
      <w:pPr>
        <w:spacing w:after="0" w:line="25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Preferred Shares</w:t>
      </w:r>
    </w:p>
    <w:p>
      <w:pPr>
        <w:spacing w:after="0" w:line="297" w:lineRule="exact"/>
        <w:rPr>
          <w:sz w:val="20"/>
          <w:szCs w:val="20"/>
          <w:color w:val="auto"/>
        </w:rPr>
      </w:pPr>
    </w:p>
    <w:p>
      <w:pPr>
        <w:ind w:right="80" w:firstLine="913"/>
        <w:spacing w:after="0" w:line="302" w:lineRule="auto"/>
        <w:rPr>
          <w:sz w:val="20"/>
          <w:szCs w:val="20"/>
          <w:color w:val="auto"/>
        </w:rPr>
      </w:pPr>
      <w:r>
        <w:rPr>
          <w:rFonts w:ascii="Arial" w:cs="Arial" w:eastAsia="Arial" w:hAnsi="Arial"/>
          <w:sz w:val="16"/>
          <w:szCs w:val="16"/>
          <w:color w:val="auto"/>
        </w:rPr>
        <w:t>At the direction of our board of directors, without any action by the holders of our common shares, we may issue one or more series of preferred shares from time to time. Our board of directors can determine the number of shares of each series of preferred shares and the designation and relative, participating, optional or other special powers, preferences or qualifications, limitations or restrictions applicable to any of those rights, including dividend rights, voting rights, conversion or exchange rights, pre-emptive rights, terms of redemption and liquidation preferences, of each series.</w:t>
      </w:r>
    </w:p>
    <w:p>
      <w:pPr>
        <w:spacing w:after="0" w:line="235" w:lineRule="exact"/>
        <w:rPr>
          <w:sz w:val="20"/>
          <w:szCs w:val="20"/>
          <w:color w:val="auto"/>
        </w:rPr>
      </w:pPr>
    </w:p>
    <w:p>
      <w:pPr>
        <w:ind w:right="120" w:firstLine="913"/>
        <w:spacing w:after="0" w:line="276" w:lineRule="auto"/>
        <w:rPr>
          <w:sz w:val="20"/>
          <w:szCs w:val="20"/>
          <w:color w:val="auto"/>
        </w:rPr>
      </w:pPr>
      <w:r>
        <w:rPr>
          <w:rFonts w:ascii="Arial" w:cs="Arial" w:eastAsia="Arial" w:hAnsi="Arial"/>
          <w:sz w:val="17"/>
          <w:szCs w:val="17"/>
          <w:color w:val="auto"/>
        </w:rPr>
        <w:t>We believe that the ability of our board of directors to issue one or more series of our preferred shares will provide us with flexibility in structuring possible future financings and acquisitions, and in meeting other corporate needs that might arise. Our authorized preferred shares, as well as our common shares, will be available for issuance without further action by our shareholders, unless such action is required by applicable law or the rules of any stock exchange on which our securities may be listed or traded. If the approval of our shareholders is not required for the issuance of our preferred shares or our common shares our board may determine not to seek shareholder approval.</w:t>
      </w:r>
    </w:p>
    <w:p>
      <w:pPr>
        <w:spacing w:after="0" w:line="10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86</w:t>
      </w:r>
    </w:p>
    <w:p>
      <w:pPr>
        <w:sectPr>
          <w:pgSz w:w="11900" w:h="16838" w:orient="portrait"/>
          <w:cols w:equalWidth="0" w:num="1">
            <w:col w:w="11400"/>
          </w:cols>
          <w:pgMar w:left="240" w:top="459" w:right="259" w:bottom="1440" w:gutter="0" w:footer="0" w:header="0"/>
        </w:sectPr>
      </w:pPr>
    </w:p>
    <w:bookmarkStart w:id="98" w:name="page99"/>
    <w:bookmarkEnd w:id="9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7">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firstLine="913"/>
        <w:spacing w:after="0" w:line="291" w:lineRule="auto"/>
        <w:rPr>
          <w:sz w:val="20"/>
          <w:szCs w:val="20"/>
          <w:color w:val="auto"/>
        </w:rPr>
      </w:pPr>
      <w:r>
        <w:rPr>
          <w:rFonts w:ascii="Arial" w:cs="Arial" w:eastAsia="Arial" w:hAnsi="Arial"/>
          <w:sz w:val="16"/>
          <w:szCs w:val="16"/>
          <w:color w:val="auto"/>
        </w:rPr>
        <w:t>The existence of undesignated preferred shares may enable our board of directors to render more difficult or to discourage an attempt to obtain control of our company by means of a tender offer, proxy contest, merger or otherwise, and thereby to protect the continuity of our management. The terms of one or more classes or series of preferred shares could dilute the voting power or reduce the value of our common shares. For example, we could grant holders of preferred shares the right to elect some number of our directors in all events or on the happening of specified events or the right to veto specified transactions. Similarly, the repurchase or redemption rights or liquidation preferences we could assign to holders of preferred shares could affect the residual value of the common shares. As a result, the issuance of preferred shares, or the issuance of rights to purchase preferred shares, may discourage an unsolicited acquisition proposal or may materially and adversely affect the market price of our common shares or any existing preferred shares.</w:t>
      </w:r>
    </w:p>
    <w:p>
      <w:pPr>
        <w:spacing w:after="0" w:line="24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Limitation on Directors’ Liability</w:t>
      </w:r>
    </w:p>
    <w:p>
      <w:pPr>
        <w:spacing w:after="0" w:line="297" w:lineRule="exact"/>
        <w:rPr>
          <w:sz w:val="20"/>
          <w:szCs w:val="20"/>
          <w:color w:val="auto"/>
        </w:rPr>
      </w:pPr>
    </w:p>
    <w:p>
      <w:pPr>
        <w:jc w:val="both"/>
        <w:ind w:right="20" w:firstLine="913"/>
        <w:spacing w:after="0" w:line="288" w:lineRule="auto"/>
        <w:rPr>
          <w:sz w:val="20"/>
          <w:szCs w:val="20"/>
          <w:color w:val="auto"/>
        </w:rPr>
      </w:pPr>
      <w:r>
        <w:rPr>
          <w:rFonts w:ascii="Arial" w:cs="Arial" w:eastAsia="Arial" w:hAnsi="Arial"/>
          <w:sz w:val="16"/>
          <w:szCs w:val="16"/>
          <w:color w:val="auto"/>
        </w:rPr>
        <w:t>Ohio law provides that a corporation may indemnify directors, officers, employees and agents within prescribed limits, and must indemnify them under certain circumstances. Ohio law does not authorize payment by a corporation of judgments against a director, officer, employee or agent after a finding of negligence or misconduct in a derivative suit absent a court order. Indemnification is required, however, to the extent such person succeeds on the merits.</w:t>
      </w:r>
    </w:p>
    <w:p>
      <w:pPr>
        <w:spacing w:after="0" w:line="295" w:lineRule="auto"/>
        <w:rPr>
          <w:sz w:val="20"/>
          <w:szCs w:val="20"/>
          <w:color w:val="auto"/>
        </w:rPr>
      </w:pPr>
      <w:r>
        <w:rPr>
          <w:rFonts w:ascii="Arial" w:cs="Arial" w:eastAsia="Arial" w:hAnsi="Arial"/>
          <w:sz w:val="16"/>
          <w:szCs w:val="16"/>
          <w:color w:val="auto"/>
        </w:rPr>
        <w:t>In all other cases, if it is determined that a director, officer, employee, or agent acted in good faith and in a manner such person reasonably believed to be in or not opposed to the best interests of the corporation, indemnification is discretionary, except as otherwise provided by a corporation’s articles of incorporation or regulations, or by contract, except with respect to the advancement of expenses to directors (as discussed in the next paragraph). The statutory right to indemnification is not exclusive under Ohio law, and Ohio corporations may, among other things, purchase insurance to indemnify such persons.</w:t>
      </w:r>
    </w:p>
    <w:p>
      <w:pPr>
        <w:spacing w:after="0" w:line="229" w:lineRule="exact"/>
        <w:rPr>
          <w:sz w:val="20"/>
          <w:szCs w:val="20"/>
          <w:color w:val="auto"/>
        </w:rPr>
      </w:pPr>
    </w:p>
    <w:p>
      <w:pPr>
        <w:ind w:right="40" w:firstLine="913"/>
        <w:spacing w:after="0" w:line="302" w:lineRule="auto"/>
        <w:rPr>
          <w:sz w:val="20"/>
          <w:szCs w:val="20"/>
          <w:color w:val="auto"/>
        </w:rPr>
      </w:pPr>
      <w:r>
        <w:rPr>
          <w:rFonts w:ascii="Arial" w:cs="Arial" w:eastAsia="Arial" w:hAnsi="Arial"/>
          <w:sz w:val="16"/>
          <w:szCs w:val="16"/>
          <w:color w:val="auto"/>
        </w:rPr>
        <w:t>Ohio law also provides that a director (but not an officer, employee, or agent) is entitled to mandatory advancement of expenses, including attorneys’ fees, incurred in defending any action, including derivative actions, brought against the director, provided that the director agrees to cooperate with the corporation concerning the matter and to repay the amount advanced if it is proved by clear and convincing evidence that such director’s act or failure to act was done with deliberate intent to cause injury to the corporation or with reckless disregard for the corporation’s best interests.</w:t>
      </w:r>
    </w:p>
    <w:p>
      <w:pPr>
        <w:spacing w:after="0" w:line="235" w:lineRule="exact"/>
        <w:rPr>
          <w:sz w:val="20"/>
          <w:szCs w:val="20"/>
          <w:color w:val="auto"/>
        </w:rPr>
      </w:pPr>
    </w:p>
    <w:p>
      <w:pPr>
        <w:ind w:right="60" w:firstLine="913"/>
        <w:spacing w:after="0" w:line="259" w:lineRule="auto"/>
        <w:rPr>
          <w:sz w:val="20"/>
          <w:szCs w:val="20"/>
          <w:color w:val="auto"/>
        </w:rPr>
      </w:pPr>
      <w:r>
        <w:rPr>
          <w:rFonts w:ascii="Arial" w:cs="Arial" w:eastAsia="Arial" w:hAnsi="Arial"/>
          <w:sz w:val="18"/>
          <w:szCs w:val="18"/>
          <w:color w:val="auto"/>
        </w:rPr>
        <w:t>Our regulations limit the liability of the members of our board of directors by providing that we will indemnify, to the fullest extent permitted by law, any director who is party to an action, lawsuit or proceeding by reason of the fact that they are a director. However, we will not be required to indemnify a director if the action, lawsuit or proceeding was initiated by the director, unless the action, lawsuit or proceeding was initiated by the director to enforce their right to indemnification and it is finally adjudicated that they are entitled to indemnification.</w:t>
      </w:r>
    </w:p>
    <w:p>
      <w:pPr>
        <w:spacing w:after="0" w:line="254" w:lineRule="exact"/>
        <w:rPr>
          <w:sz w:val="20"/>
          <w:szCs w:val="20"/>
          <w:color w:val="auto"/>
        </w:rPr>
      </w:pPr>
    </w:p>
    <w:p>
      <w:pPr>
        <w:ind w:right="180" w:firstLine="913"/>
        <w:spacing w:after="0" w:line="264" w:lineRule="auto"/>
        <w:rPr>
          <w:sz w:val="20"/>
          <w:szCs w:val="20"/>
          <w:color w:val="auto"/>
        </w:rPr>
      </w:pPr>
      <w:r>
        <w:rPr>
          <w:rFonts w:ascii="Arial" w:cs="Arial" w:eastAsia="Arial" w:hAnsi="Arial"/>
          <w:sz w:val="18"/>
          <w:szCs w:val="18"/>
          <w:color w:val="auto"/>
        </w:rPr>
        <w:t>This provision could have the effect of reducing the likelihood of derivative litigation against our directors and may discourage or deter our shareholders or management from bringing a lawsuit against our directors, even though such an action, if successful, might otherwise have benefited us and our shareholders.</w:t>
      </w:r>
    </w:p>
    <w:p>
      <w:pPr>
        <w:spacing w:after="0" w:line="24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Statutory Business Combination Provision</w:t>
      </w:r>
    </w:p>
    <w:p>
      <w:pPr>
        <w:spacing w:after="0" w:line="202" w:lineRule="exact"/>
        <w:rPr>
          <w:sz w:val="20"/>
          <w:szCs w:val="20"/>
          <w:color w:val="auto"/>
        </w:rPr>
      </w:pPr>
    </w:p>
    <w:p>
      <w:pPr>
        <w:ind w:right="120" w:firstLine="913"/>
        <w:spacing w:after="0" w:line="259" w:lineRule="auto"/>
        <w:rPr>
          <w:sz w:val="20"/>
          <w:szCs w:val="20"/>
          <w:color w:val="auto"/>
        </w:rPr>
      </w:pPr>
      <w:r>
        <w:rPr>
          <w:rFonts w:ascii="Arial" w:cs="Arial" w:eastAsia="Arial" w:hAnsi="Arial"/>
          <w:sz w:val="18"/>
          <w:szCs w:val="18"/>
          <w:color w:val="auto"/>
        </w:rPr>
        <w:t>As an Ohio corporation, we are subject to Chapter 1704 and Section 1701.831 of the Ohio Revised Code and we have not opted out of the application of these provisions. For a further discussion, please see “Risk Factors–Provisions in our corporate documents and Ohio law could have the effect of delaying, deferring or preventing a change in control of TimkenSteel, even if that change may be considered beneficial by some of our shareholders,” which is incorporated herein by reference.</w:t>
      </w:r>
    </w:p>
    <w:p>
      <w:pPr>
        <w:spacing w:after="0" w:line="25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Anti-Takeover Effects of Provisions of our Articles of Incorporation and Regulations</w:t>
      </w:r>
    </w:p>
    <w:p>
      <w:pPr>
        <w:spacing w:after="0" w:line="297" w:lineRule="exact"/>
        <w:rPr>
          <w:sz w:val="20"/>
          <w:szCs w:val="20"/>
          <w:color w:val="auto"/>
        </w:rPr>
      </w:pPr>
    </w:p>
    <w:p>
      <w:pPr>
        <w:ind w:right="60" w:firstLine="913"/>
        <w:spacing w:after="0" w:line="257" w:lineRule="auto"/>
        <w:rPr>
          <w:sz w:val="20"/>
          <w:szCs w:val="20"/>
          <w:color w:val="auto"/>
        </w:rPr>
      </w:pPr>
      <w:r>
        <w:rPr>
          <w:rFonts w:ascii="Arial" w:cs="Arial" w:eastAsia="Arial" w:hAnsi="Arial"/>
          <w:sz w:val="18"/>
          <w:szCs w:val="18"/>
          <w:color w:val="auto"/>
        </w:rPr>
        <w:t>Pursuant to our articles of incorporation, our board of directors is divided, with respect to the terms for which the directors severally hold office, into three classes. Each class will consist, as nearly as may be possible, of one-third of the total number of directors constituting the whole board of directors, with the three-year term of office of one class of directors expiring each year. In addition, our regulations provide that our board of directors may fix the number of directors within a range of nine to 11 directors. These provisions will prevent our shareholders from removing incumbent directors without cause and filling the resulting vacancies with their own nominees.</w:t>
      </w:r>
    </w:p>
    <w:p>
      <w:pPr>
        <w:spacing w:after="0" w:line="12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87</w:t>
      </w:r>
    </w:p>
    <w:p>
      <w:pPr>
        <w:sectPr>
          <w:pgSz w:w="11900" w:h="16838" w:orient="portrait"/>
          <w:cols w:equalWidth="0" w:num="1">
            <w:col w:w="11400"/>
          </w:cols>
          <w:pgMar w:left="240" w:top="459" w:right="259" w:bottom="1440" w:gutter="0" w:footer="0" w:header="0"/>
        </w:sectPr>
      </w:pPr>
    </w:p>
    <w:bookmarkStart w:id="99" w:name="page100"/>
    <w:bookmarkEnd w:id="9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8">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180" w:firstLine="913"/>
        <w:spacing w:after="0" w:line="257" w:lineRule="auto"/>
        <w:rPr>
          <w:sz w:val="20"/>
          <w:szCs w:val="20"/>
          <w:color w:val="auto"/>
        </w:rPr>
      </w:pPr>
      <w:r>
        <w:rPr>
          <w:rFonts w:ascii="Arial" w:cs="Arial" w:eastAsia="Arial" w:hAnsi="Arial"/>
          <w:sz w:val="18"/>
          <w:szCs w:val="18"/>
          <w:color w:val="auto"/>
        </w:rPr>
        <w:t>The provisions of our regulations may be amended, to the extent permitted by law, by the directors or at a meeting of the shareholders by the affirmative vote of the shareholders of record entitling them to exercise a majority of the voting power on the proposal, if such proposal has been recommended by a vote of the directors then in office as being in the best interests of the company and its shareholders. The provisions of our articles of incorporation may be amended at a meeting of the shareholders by the affirmative vote of the shareholders of record entitling them to exercise two-thirds of the voting power on the proposal.</w:t>
      </w:r>
    </w:p>
    <w:p>
      <w:pPr>
        <w:spacing w:after="0" w:line="269" w:lineRule="exact"/>
        <w:rPr>
          <w:sz w:val="20"/>
          <w:szCs w:val="20"/>
          <w:color w:val="auto"/>
        </w:rPr>
      </w:pPr>
    </w:p>
    <w:p>
      <w:pPr>
        <w:ind w:firstLine="913"/>
        <w:spacing w:after="0" w:line="288" w:lineRule="auto"/>
        <w:rPr>
          <w:sz w:val="20"/>
          <w:szCs w:val="20"/>
          <w:color w:val="auto"/>
        </w:rPr>
      </w:pPr>
      <w:r>
        <w:rPr>
          <w:rFonts w:ascii="Arial" w:cs="Arial" w:eastAsia="Arial" w:hAnsi="Arial"/>
          <w:sz w:val="16"/>
          <w:szCs w:val="16"/>
          <w:color w:val="auto"/>
        </w:rPr>
        <w:t>Our regulations contain advance-notice and other procedural requirements that apply to shareholder nominations of persons for election to our board of directors at any annual meeting of shareholders and to shareholder proposals that shareholders take any other action at any annual meeting. In the case of any annual meeting, a shareholder proposing to nominate a person for election to our board of directors or proposing that any other action be taken must give our corporate secretary written notice of the proposal not less than 90 days and not more than 120 days before the first anniversary of the date of the immediately preceding year’s annual meeting of shareholders. These shareholder proposal deadlines are subject to exceptions if the pending annual meeting date is more than 30 days prior to or more than 30 days after the first anniversary of the immediately preceding year’s annual meeting. Our regulations prescribe specific information that any such shareholder notice must contain. These advance-notice provisions may have the effect of precluding a contest for the election of our directors or the consideration of shareholder proposals if the proper procedures are not followed, and of discouraging or deterring a third party from conducting a solicitation of proxies to elect its own slate of directors or to approve its own proposal, without regard to whether consideration of those nominees or proposals might be harmful or beneficial to us and our shareholders.</w:t>
      </w:r>
    </w:p>
    <w:p>
      <w:pPr>
        <w:spacing w:after="0" w:line="237" w:lineRule="exact"/>
        <w:rPr>
          <w:sz w:val="20"/>
          <w:szCs w:val="20"/>
          <w:color w:val="auto"/>
        </w:rPr>
      </w:pPr>
    </w:p>
    <w:p>
      <w:pPr>
        <w:ind w:right="40" w:firstLine="913"/>
        <w:spacing w:after="0" w:line="255" w:lineRule="auto"/>
        <w:rPr>
          <w:sz w:val="20"/>
          <w:szCs w:val="20"/>
          <w:color w:val="auto"/>
        </w:rPr>
      </w:pPr>
      <w:r>
        <w:rPr>
          <w:rFonts w:ascii="Arial" w:cs="Arial" w:eastAsia="Arial" w:hAnsi="Arial"/>
          <w:sz w:val="18"/>
          <w:szCs w:val="18"/>
          <w:color w:val="auto"/>
        </w:rPr>
        <w:t>As discussed above under “Description of Capital Stock-Preferred Shares,” our articles of incorporation authorize our board of directors, without the approval of our shareholders, to provide for the issuance of all or any preferred shares in one or more series and to determine the number of shares of each series of preferred shares and the designation and relative, participating, optional or other special powers, preferences or qualifications, limitations or restrictions applicable to any of those rights, including dividend rights, voting rights, conversion or exchange rights, pre-emptive rights, terms of redemption and liquidation preferences, of each series. The issuance of preferred shares, or the issuance of rights to purchase preferred shares, could be used to discourage an unsolicited acquisition proposal. In addition, under some circumstances, the issuance of preferred shares could adversely affect the voting power of our common shareholders.</w:t>
      </w:r>
    </w:p>
    <w:p>
      <w:pPr>
        <w:spacing w:after="0" w:line="257" w:lineRule="exact"/>
        <w:rPr>
          <w:sz w:val="20"/>
          <w:szCs w:val="20"/>
          <w:color w:val="auto"/>
        </w:rPr>
      </w:pPr>
    </w:p>
    <w:p>
      <w:pPr>
        <w:ind w:right="20" w:firstLine="913"/>
        <w:spacing w:after="0" w:line="270" w:lineRule="auto"/>
        <w:rPr>
          <w:sz w:val="20"/>
          <w:szCs w:val="20"/>
          <w:color w:val="auto"/>
        </w:rPr>
      </w:pPr>
      <w:r>
        <w:rPr>
          <w:rFonts w:ascii="Arial" w:cs="Arial" w:eastAsia="Arial" w:hAnsi="Arial"/>
          <w:sz w:val="17"/>
          <w:szCs w:val="17"/>
          <w:color w:val="auto"/>
        </w:rPr>
        <w:t>In addition to the purposes described above, these provisions of our articles of incorporation and regulations are also intended to increase the bargaining leverage of our board of directors, on behalf of our shareholders, in any future negotiations concerning a potential change of control of our company. Our board of directors has observed that certain tactics that bidders employ in making unsolicited bids for control of a corporation, including hostile tender offers and proxy contests, have become relatively common in modern takeover practice. Our board of directors considers those tactics to be highly disruptive to a corporation and often contrary to the overall best interests of its shareholders. In particular, bidders may use these tactics in conjunction with an attempt to acquire a corporation at an unfairly low price. In some cases, a bidder will make an offer for less than all the outstanding capital stock of the target company, potentially leaving shareholders with the alternatives of partially liquidating their investment at a time that may be disadvantageous to them or retaining an investment in the target company under substantially different management with objectives that may not be the same as the new controlling shareholder. The concentration of control in our company that could result from such an offer could deprive our remaining shareholders of the benefits of listing on the NYSE and public reporting under the Exchange Act.</w:t>
      </w:r>
    </w:p>
    <w:p>
      <w:pPr>
        <w:spacing w:after="0" w:line="259" w:lineRule="exact"/>
        <w:rPr>
          <w:sz w:val="20"/>
          <w:szCs w:val="20"/>
          <w:color w:val="auto"/>
        </w:rPr>
      </w:pPr>
    </w:p>
    <w:p>
      <w:pPr>
        <w:ind w:firstLine="913"/>
        <w:spacing w:after="0" w:line="289" w:lineRule="auto"/>
        <w:rPr>
          <w:sz w:val="20"/>
          <w:szCs w:val="20"/>
          <w:color w:val="auto"/>
        </w:rPr>
      </w:pPr>
      <w:r>
        <w:rPr>
          <w:rFonts w:ascii="Arial" w:cs="Arial" w:eastAsia="Arial" w:hAnsi="Arial"/>
          <w:sz w:val="16"/>
          <w:szCs w:val="16"/>
          <w:color w:val="auto"/>
        </w:rPr>
        <w:t>While our board of directors does not intend to foreclose or discourage reasonable merger or acquisition proposals, it believes that value for our shareholders can be enhanced by encouraging would-be acquirers to forego hostile or coercive tender offers and negotiate with the board of directors terms that are fair to all shareholders. Our board of directors believes that the provisions described above will (1) discourage disruptive tactics and takeover attempts at unfair prices or on terms that do not provide all shareholders with the opportunity to sell their shares at a fair price and (2) encourage third parties who may seek to acquire control of our company to initiate such an acquisition through negotiations directly with our board of directors. Our board of directors also believes these provisions will help give it the time necessary to evaluate unsolicited offers, as well as appropriate alternatives, in a manner that assures fair treatment of our shareholders. Our board of directors recognizes that a takeover might in some circumstances be beneficial to some or all of our shareholders, but, nevertheless, believes that the benefits of seeking to protect its ability to negotiate with the proponent of an unfriendly or unsolicited proposal to take over or restructure our company outweigh the disadvantages of discouraging those proposals.</w:t>
      </w:r>
    </w:p>
    <w:p>
      <w:pPr>
        <w:spacing w:after="0" w:line="9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88</w:t>
      </w:r>
    </w:p>
    <w:p>
      <w:pPr>
        <w:sectPr>
          <w:pgSz w:w="11900" w:h="16838" w:orient="portrait"/>
          <w:cols w:equalWidth="0" w:num="1">
            <w:col w:w="11420"/>
          </w:cols>
          <w:pgMar w:left="240" w:top="459" w:right="239" w:bottom="1440" w:gutter="0" w:footer="0" w:header="0"/>
        </w:sectPr>
      </w:pPr>
    </w:p>
    <w:bookmarkStart w:id="100" w:name="page101"/>
    <w:bookmarkEnd w:id="10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9">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Transfer Agent and Registrar</w:t>
      </w:r>
    </w:p>
    <w:p>
      <w:pPr>
        <w:spacing w:after="0" w:line="270" w:lineRule="exact"/>
        <w:rPr>
          <w:sz w:val="20"/>
          <w:szCs w:val="20"/>
          <w:color w:val="auto"/>
        </w:rPr>
      </w:pPr>
    </w:p>
    <w:p>
      <w:pPr>
        <w:ind w:firstLine="913"/>
        <w:spacing w:after="0" w:line="277" w:lineRule="auto"/>
        <w:rPr>
          <w:sz w:val="20"/>
          <w:szCs w:val="20"/>
          <w:color w:val="auto"/>
        </w:rPr>
      </w:pPr>
      <w:r>
        <w:rPr>
          <w:rFonts w:ascii="Arial" w:cs="Arial" w:eastAsia="Arial" w:hAnsi="Arial"/>
          <w:sz w:val="18"/>
          <w:szCs w:val="18"/>
          <w:color w:val="auto"/>
        </w:rPr>
        <w:t>Wells Fargo Shareowner Services is currently expected to be the transfer agent and registrar for our common shares. Our shareholders can contact the transfer agent and registrar at:</w:t>
      </w:r>
    </w:p>
    <w:p>
      <w:pPr>
        <w:spacing w:after="0" w:line="103" w:lineRule="exact"/>
        <w:rPr>
          <w:sz w:val="20"/>
          <w:szCs w:val="20"/>
          <w:color w:val="auto"/>
        </w:rPr>
      </w:pPr>
    </w:p>
    <w:p>
      <w:pPr>
        <w:ind w:left="920"/>
        <w:spacing w:after="0"/>
        <w:rPr>
          <w:sz w:val="20"/>
          <w:szCs w:val="20"/>
          <w:color w:val="auto"/>
        </w:rPr>
      </w:pPr>
      <w:r>
        <w:rPr>
          <w:rFonts w:ascii="Arial" w:cs="Arial" w:eastAsia="Arial" w:hAnsi="Arial"/>
          <w:sz w:val="18"/>
          <w:szCs w:val="18"/>
          <w:color w:val="auto"/>
        </w:rPr>
        <w:t>Wells Fargo Shareowner Services</w:t>
      </w:r>
    </w:p>
    <w:p>
      <w:pPr>
        <w:spacing w:after="0" w:line="23" w:lineRule="exact"/>
        <w:rPr>
          <w:sz w:val="20"/>
          <w:szCs w:val="20"/>
          <w:color w:val="auto"/>
        </w:rPr>
      </w:pPr>
    </w:p>
    <w:p>
      <w:pPr>
        <w:ind w:left="920"/>
        <w:spacing w:after="0"/>
        <w:rPr>
          <w:sz w:val="20"/>
          <w:szCs w:val="20"/>
          <w:color w:val="auto"/>
        </w:rPr>
      </w:pPr>
      <w:r>
        <w:rPr>
          <w:rFonts w:ascii="Arial" w:cs="Arial" w:eastAsia="Arial" w:hAnsi="Arial"/>
          <w:sz w:val="18"/>
          <w:szCs w:val="18"/>
          <w:color w:val="auto"/>
        </w:rPr>
        <w:t>1110 CentrePoint Curve, Suite 101</w:t>
      </w:r>
    </w:p>
    <w:p>
      <w:pPr>
        <w:spacing w:after="0" w:line="9" w:lineRule="exact"/>
        <w:rPr>
          <w:sz w:val="20"/>
          <w:szCs w:val="20"/>
          <w:color w:val="auto"/>
        </w:rPr>
      </w:pPr>
    </w:p>
    <w:p>
      <w:pPr>
        <w:ind w:left="920"/>
        <w:spacing w:after="0"/>
        <w:rPr>
          <w:sz w:val="20"/>
          <w:szCs w:val="20"/>
          <w:color w:val="auto"/>
        </w:rPr>
      </w:pPr>
      <w:r>
        <w:rPr>
          <w:rFonts w:ascii="Arial" w:cs="Arial" w:eastAsia="Arial" w:hAnsi="Arial"/>
          <w:sz w:val="18"/>
          <w:szCs w:val="18"/>
          <w:color w:val="auto"/>
        </w:rPr>
        <w:t>Mendota Heights, MN 55120</w:t>
      </w:r>
    </w:p>
    <w:p>
      <w:pPr>
        <w:spacing w:after="0" w:line="9" w:lineRule="exact"/>
        <w:rPr>
          <w:sz w:val="20"/>
          <w:szCs w:val="20"/>
          <w:color w:val="auto"/>
        </w:rPr>
      </w:pPr>
    </w:p>
    <w:p>
      <w:pPr>
        <w:ind w:left="920"/>
        <w:spacing w:after="0"/>
        <w:rPr>
          <w:sz w:val="20"/>
          <w:szCs w:val="20"/>
          <w:color w:val="auto"/>
        </w:rPr>
      </w:pPr>
      <w:r>
        <w:rPr>
          <w:rFonts w:ascii="Arial" w:cs="Arial" w:eastAsia="Arial" w:hAnsi="Arial"/>
          <w:sz w:val="18"/>
          <w:szCs w:val="18"/>
          <w:color w:val="auto"/>
        </w:rPr>
        <w:t>Telephone 1-800-468-9716 or</w:t>
      </w:r>
    </w:p>
    <w:p>
      <w:pPr>
        <w:spacing w:after="0" w:line="9" w:lineRule="exact"/>
        <w:rPr>
          <w:sz w:val="20"/>
          <w:szCs w:val="20"/>
          <w:color w:val="auto"/>
        </w:rPr>
      </w:pPr>
    </w:p>
    <w:p>
      <w:pPr>
        <w:jc w:val="right"/>
        <w:ind w:left="5620" w:right="5020" w:hanging="4699"/>
        <w:spacing w:after="0" w:line="517" w:lineRule="auto"/>
        <w:tabs>
          <w:tab w:leader="none" w:pos="1352" w:val="left"/>
        </w:tabs>
        <w:numPr>
          <w:ilvl w:val="0"/>
          <w:numId w:val="45"/>
        </w:numPr>
        <w:rPr>
          <w:rFonts w:ascii="Arial" w:cs="Arial" w:eastAsia="Arial" w:hAnsi="Arial"/>
          <w:sz w:val="16"/>
          <w:szCs w:val="16"/>
          <w:color w:val="auto"/>
        </w:rPr>
      </w:pPr>
      <w:r>
        <w:rPr>
          <w:rFonts w:ascii="Arial" w:cs="Arial" w:eastAsia="Arial" w:hAnsi="Arial"/>
          <w:sz w:val="16"/>
          <w:szCs w:val="16"/>
          <w:color w:val="auto"/>
        </w:rPr>
        <w:t>450-4064 (outside the United States, Canada and Puerto Rico) 89</w:t>
      </w:r>
    </w:p>
    <w:p>
      <w:pPr>
        <w:sectPr>
          <w:pgSz w:w="11900" w:h="16838" w:orient="portrait"/>
          <w:cols w:equalWidth="0" w:num="1">
            <w:col w:w="10860"/>
          </w:cols>
          <w:pgMar w:left="240" w:top="459" w:right="799" w:bottom="1440" w:gutter="0" w:footer="0" w:header="0"/>
        </w:sectPr>
      </w:pPr>
    </w:p>
    <w:bookmarkStart w:id="101" w:name="page102"/>
    <w:bookmarkEnd w:id="10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30">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PLAN OF DISTRIBUTION</w:t>
      </w:r>
    </w:p>
    <w:p>
      <w:pPr>
        <w:spacing w:after="0" w:line="270" w:lineRule="exact"/>
        <w:rPr>
          <w:sz w:val="20"/>
          <w:szCs w:val="20"/>
          <w:color w:val="auto"/>
        </w:rPr>
      </w:pPr>
    </w:p>
    <w:p>
      <w:pPr>
        <w:ind w:firstLine="913"/>
        <w:spacing w:after="0" w:line="288" w:lineRule="auto"/>
        <w:rPr>
          <w:sz w:val="20"/>
          <w:szCs w:val="20"/>
          <w:color w:val="auto"/>
        </w:rPr>
      </w:pPr>
      <w:r>
        <w:rPr>
          <w:rFonts w:ascii="Arial" w:cs="Arial" w:eastAsia="Arial" w:hAnsi="Arial"/>
          <w:sz w:val="16"/>
          <w:szCs w:val="16"/>
          <w:color w:val="auto"/>
        </w:rPr>
        <w:t>In connection with the spinoff, current holders of Timken equity awards under Timken’s equity compensation programs will receive “Replacement Awards,” meaning they will have those awards adjusted into an award based on Timken’s common shares and an award based on our common shares, as described below under “—Description of Award Adjustments.” The awards that are based on our common shares will be granted by us under the 2014 Plan, in accordance with the terms of the employee matters agreement that we will enter into with Timken in connection with the spinoff, and will be made in substitution of, or in connection with stock options, restricted shares, performance shares, restricted stock units (other than strategic performance shares) and deferred share awards that were granted under a Timken equity compensation program. The registration statement of which this prospectus forms a part covers Replacement Awards that will be granted to individuals who, at the time of the spinoff, are no longer employed by, or serving on the board of directors of, Timken and their donees, pledgees, permitted transferees, assignees, successors and others who come to hold any such Replacement Awards. The prospectus does not cover any Replacement Awards that will be granted to any individual who, upon completion of the spinoff, will be employed by or serve on the board of directors of either Timken or TimkenSteel, or any other awards that we may grant under the 2014 Plan in the future.</w:t>
      </w:r>
    </w:p>
    <w:p>
      <w:pPr>
        <w:spacing w:after="0" w:line="381"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DESCRIPTION OF AWARD ADJUSTMENTS</w:t>
      </w:r>
    </w:p>
    <w:p>
      <w:pPr>
        <w:spacing w:after="0" w:line="270" w:lineRule="exact"/>
        <w:rPr>
          <w:sz w:val="20"/>
          <w:szCs w:val="20"/>
          <w:color w:val="auto"/>
        </w:rPr>
      </w:pPr>
    </w:p>
    <w:p>
      <w:pPr>
        <w:ind w:right="180" w:firstLine="913"/>
        <w:spacing w:after="0" w:line="308" w:lineRule="auto"/>
        <w:rPr>
          <w:sz w:val="20"/>
          <w:szCs w:val="20"/>
          <w:color w:val="auto"/>
        </w:rPr>
      </w:pPr>
      <w:r>
        <w:rPr>
          <w:rFonts w:ascii="Arial" w:cs="Arial" w:eastAsia="Arial" w:hAnsi="Arial"/>
          <w:sz w:val="17"/>
          <w:szCs w:val="17"/>
          <w:color w:val="auto"/>
        </w:rPr>
        <w:t>The employee matters agreement will provide, among other things, the mechanics for the conversion and adjustment on the distribution date of equity awards granted under Timken’s equity compensation programs into adjusted Timken awards and Replacement Awards, as follows:</w:t>
      </w:r>
    </w:p>
    <w:p>
      <w:pPr>
        <w:spacing w:after="0" w:line="174" w:lineRule="exact"/>
        <w:rPr>
          <w:sz w:val="20"/>
          <w:szCs w:val="20"/>
          <w:color w:val="auto"/>
        </w:rPr>
      </w:pPr>
    </w:p>
    <w:p>
      <w:pPr>
        <w:ind w:right="40" w:firstLine="913"/>
        <w:spacing w:after="0" w:line="293" w:lineRule="auto"/>
        <w:rPr>
          <w:sz w:val="20"/>
          <w:szCs w:val="20"/>
          <w:color w:val="auto"/>
        </w:rPr>
      </w:pPr>
      <w:r>
        <w:rPr>
          <w:rFonts w:ascii="Arial" w:cs="Arial" w:eastAsia="Arial" w:hAnsi="Arial"/>
          <w:sz w:val="16"/>
          <w:szCs w:val="16"/>
          <w:color w:val="auto"/>
        </w:rPr>
        <w:t>Each outstanding Timken stock option, restricted share, restricted stock unit (other than a strategic performance share) or deferred share award will be treated in a manner similar to that experienced by Timken shareholders with respect to their Timken common shares (the treatment for restricted stock units will be substantially the same as that for deferred share awards, so for purposes of this prospectus references to deferred share awards will also cover restricted stock unit awards). More specifically, each of these awards will be deemed bifurcated into two separate awards: (1) a modified award covering Timken common shares; and (2) a new award of the same type covering TimkenSteel common shares. Each of these two awards will be subject to the same terms and conditions after the spinoff as the terms and conditions applicable to the original Timken award prior to the spinoff, except:</w:t>
      </w:r>
    </w:p>
    <w:p>
      <w:pPr>
        <w:spacing w:after="0" w:line="165" w:lineRule="exact"/>
        <w:rPr>
          <w:sz w:val="20"/>
          <w:szCs w:val="20"/>
          <w:color w:val="auto"/>
        </w:rPr>
      </w:pPr>
    </w:p>
    <w:p>
      <w:pPr>
        <w:ind w:left="1240" w:right="200" w:hanging="327"/>
        <w:spacing w:after="0" w:line="259" w:lineRule="auto"/>
        <w:tabs>
          <w:tab w:leader="none" w:pos="1240" w:val="left"/>
        </w:tabs>
        <w:numPr>
          <w:ilvl w:val="0"/>
          <w:numId w:val="46"/>
        </w:numPr>
        <w:rPr>
          <w:rFonts w:ascii="Arial" w:cs="Arial" w:eastAsia="Arial" w:hAnsi="Arial"/>
          <w:sz w:val="18"/>
          <w:szCs w:val="18"/>
          <w:color w:val="auto"/>
        </w:rPr>
      </w:pPr>
      <w:r>
        <w:rPr>
          <w:rFonts w:ascii="Arial" w:cs="Arial" w:eastAsia="Arial" w:hAnsi="Arial"/>
          <w:sz w:val="18"/>
          <w:szCs w:val="18"/>
          <w:color w:val="auto"/>
        </w:rPr>
        <w:t>with respect to each modified stock option award covering Timken common shares and new stock option award covering TimkenSteel common shares, the per-share exercise price for such award will be adjusted or established, as applicable, so that the two awards, together, will retain, in the aggregate, the same intrinsic value that the original Timken stock option award had immediately prior to the spinoff (subject to rounding);</w:t>
      </w:r>
    </w:p>
    <w:p>
      <w:pPr>
        <w:spacing w:after="0" w:line="119" w:lineRule="exact"/>
        <w:rPr>
          <w:rFonts w:ascii="Arial" w:cs="Arial" w:eastAsia="Arial" w:hAnsi="Arial"/>
          <w:sz w:val="18"/>
          <w:szCs w:val="18"/>
          <w:color w:val="auto"/>
        </w:rPr>
      </w:pPr>
    </w:p>
    <w:p>
      <w:pPr>
        <w:ind w:left="1240" w:right="20" w:hanging="327"/>
        <w:spacing w:after="0" w:line="264" w:lineRule="auto"/>
        <w:tabs>
          <w:tab w:leader="none" w:pos="1240" w:val="left"/>
        </w:tabs>
        <w:numPr>
          <w:ilvl w:val="0"/>
          <w:numId w:val="46"/>
        </w:numPr>
        <w:rPr>
          <w:rFonts w:ascii="Arial" w:cs="Arial" w:eastAsia="Arial" w:hAnsi="Arial"/>
          <w:sz w:val="18"/>
          <w:szCs w:val="18"/>
          <w:color w:val="auto"/>
        </w:rPr>
      </w:pPr>
      <w:r>
        <w:rPr>
          <w:rFonts w:ascii="Arial" w:cs="Arial" w:eastAsia="Arial" w:hAnsi="Arial"/>
          <w:sz w:val="18"/>
          <w:szCs w:val="18"/>
          <w:color w:val="auto"/>
        </w:rPr>
        <w:t>with respect to each new award covering TimkenSteel common shares, the number of underlying shares subject to such new award will be determined based on application of the distribution ratio to the number of Timken common shares subject to the original Timken award prior to bifurcation; and</w:t>
      </w:r>
    </w:p>
    <w:p>
      <w:pPr>
        <w:spacing w:after="0" w:line="113" w:lineRule="exact"/>
        <w:rPr>
          <w:rFonts w:ascii="Arial" w:cs="Arial" w:eastAsia="Arial" w:hAnsi="Arial"/>
          <w:sz w:val="18"/>
          <w:szCs w:val="18"/>
          <w:color w:val="auto"/>
        </w:rPr>
      </w:pPr>
    </w:p>
    <w:p>
      <w:pPr>
        <w:ind w:left="1240" w:hanging="327"/>
        <w:spacing w:after="0" w:line="259" w:lineRule="auto"/>
        <w:tabs>
          <w:tab w:leader="none" w:pos="1240" w:val="left"/>
        </w:tabs>
        <w:numPr>
          <w:ilvl w:val="0"/>
          <w:numId w:val="46"/>
        </w:numPr>
        <w:rPr>
          <w:rFonts w:ascii="Arial" w:cs="Arial" w:eastAsia="Arial" w:hAnsi="Arial"/>
          <w:sz w:val="18"/>
          <w:szCs w:val="18"/>
          <w:color w:val="auto"/>
        </w:rPr>
      </w:pPr>
      <w:r>
        <w:rPr>
          <w:rFonts w:ascii="Arial" w:cs="Arial" w:eastAsia="Arial" w:hAnsi="Arial"/>
          <w:sz w:val="18"/>
          <w:szCs w:val="18"/>
          <w:color w:val="auto"/>
        </w:rPr>
        <w:t>with respect to any continuous employment requirement associated with any equity incentive awards, such requirement will be satisfied after the spinoff (a) by a TimkenSteel employee based on his or her continuous employment with TimkenSteel (for equity incentive awards of either TimkenSteel or Timken) and (b) by a Timken employee based on his or her continuous employment with Timken (for equity incentive awards of either Timken or TimkenSteel).</w:t>
      </w:r>
    </w:p>
    <w:p>
      <w:pPr>
        <w:spacing w:after="0" w:line="268" w:lineRule="exact"/>
        <w:rPr>
          <w:sz w:val="20"/>
          <w:szCs w:val="20"/>
          <w:color w:val="auto"/>
        </w:rPr>
      </w:pPr>
    </w:p>
    <w:p>
      <w:pPr>
        <w:jc w:val="both"/>
        <w:ind w:right="100" w:firstLine="913"/>
        <w:spacing w:after="0" w:line="286" w:lineRule="auto"/>
        <w:rPr>
          <w:sz w:val="20"/>
          <w:szCs w:val="20"/>
          <w:color w:val="auto"/>
        </w:rPr>
      </w:pPr>
      <w:r>
        <w:rPr>
          <w:rFonts w:ascii="Arial" w:cs="Arial" w:eastAsia="Arial" w:hAnsi="Arial"/>
          <w:sz w:val="17"/>
          <w:szCs w:val="17"/>
          <w:color w:val="auto"/>
        </w:rPr>
        <w:t>To the extent any original Timken equity incentive award is subject to accelerated vesting or exercisability in the event of a “change of control,” the corresponding post-spinoff Timken and TimkenSteel equity incentive awards will generally accelerate in the same manner in the event of (a) a change of control of the issuer of the shares underlying such awards, or (b) a change of control of the employer of the grantee.</w:t>
      </w:r>
    </w:p>
    <w:p>
      <w:pPr>
        <w:spacing w:after="0" w:line="193" w:lineRule="exact"/>
        <w:rPr>
          <w:sz w:val="20"/>
          <w:szCs w:val="20"/>
          <w:color w:val="auto"/>
        </w:rPr>
      </w:pPr>
    </w:p>
    <w:p>
      <w:pPr>
        <w:jc w:val="both"/>
        <w:ind w:right="100" w:firstLine="913"/>
        <w:spacing w:after="0" w:line="264" w:lineRule="auto"/>
        <w:rPr>
          <w:sz w:val="20"/>
          <w:szCs w:val="20"/>
          <w:color w:val="auto"/>
        </w:rPr>
      </w:pPr>
      <w:r>
        <w:rPr>
          <w:rFonts w:ascii="Arial" w:cs="Arial" w:eastAsia="Arial" w:hAnsi="Arial"/>
          <w:sz w:val="18"/>
          <w:szCs w:val="18"/>
          <w:color w:val="auto"/>
        </w:rPr>
        <w:t>To the extent that an affected employee is employed in a non-U.S. jurisdiction, and the adjustments or grants contemplated above could result in adverse tax consequences or other adverse regulatory consequences, Timken may determine that a different equitable adjustment or grant will apply in order to avoid any such adverse consequences.</w:t>
      </w:r>
    </w:p>
    <w:p>
      <w:pPr>
        <w:spacing w:after="0" w:line="222" w:lineRule="exact"/>
        <w:rPr>
          <w:sz w:val="20"/>
          <w:szCs w:val="20"/>
          <w:color w:val="auto"/>
        </w:rPr>
      </w:pPr>
    </w:p>
    <w:p>
      <w:pPr>
        <w:jc w:val="both"/>
        <w:ind w:right="360" w:firstLine="913"/>
        <w:spacing w:after="0" w:line="286" w:lineRule="auto"/>
        <w:rPr>
          <w:sz w:val="20"/>
          <w:szCs w:val="20"/>
          <w:color w:val="auto"/>
        </w:rPr>
      </w:pPr>
      <w:r>
        <w:rPr>
          <w:rFonts w:ascii="Arial" w:cs="Arial" w:eastAsia="Arial" w:hAnsi="Arial"/>
          <w:sz w:val="17"/>
          <w:szCs w:val="17"/>
          <w:color w:val="auto"/>
        </w:rPr>
        <w:t>The mechanics for conversion and adjustment of the equity awards summarized above are more fully described in Article X of the employee matters agreement. The foregoing descriptions of the equity award adjustments are qualified in their entirety by the complete terms and conditions of the employee matters agreement incorporated by reference into the registration statement of which this prospectus is a part.</w:t>
      </w:r>
    </w:p>
    <w:p>
      <w:pPr>
        <w:spacing w:after="0" w:line="9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90</w:t>
      </w:r>
    </w:p>
    <w:p>
      <w:pPr>
        <w:sectPr>
          <w:pgSz w:w="11900" w:h="16838" w:orient="portrait"/>
          <w:cols w:equalWidth="0" w:num="1">
            <w:col w:w="11400"/>
          </w:cols>
          <w:pgMar w:left="240" w:top="459" w:right="259" w:bottom="1440" w:gutter="0" w:footer="0" w:header="0"/>
        </w:sectPr>
      </w:pPr>
    </w:p>
    <w:bookmarkStart w:id="102" w:name="page103"/>
    <w:bookmarkEnd w:id="10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1">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THE 2014 PLAN</w:t>
      </w:r>
    </w:p>
    <w:p>
      <w:pPr>
        <w:spacing w:after="0" w:line="270" w:lineRule="exact"/>
        <w:rPr>
          <w:sz w:val="20"/>
          <w:szCs w:val="20"/>
          <w:color w:val="auto"/>
        </w:rPr>
      </w:pPr>
    </w:p>
    <w:p>
      <w:pPr>
        <w:ind w:firstLine="913"/>
        <w:spacing w:after="0" w:line="293" w:lineRule="auto"/>
        <w:rPr>
          <w:sz w:val="20"/>
          <w:szCs w:val="20"/>
          <w:color w:val="auto"/>
        </w:rPr>
      </w:pPr>
      <w:r>
        <w:rPr>
          <w:rFonts w:ascii="Arial" w:cs="Arial" w:eastAsia="Arial" w:hAnsi="Arial"/>
          <w:sz w:val="16"/>
          <w:szCs w:val="16"/>
          <w:color w:val="auto"/>
        </w:rPr>
        <w:t>We have adopted the 2014 Plan. The 2014 Plan will generally be administered by the Compensation Committee of our board of directors and will enable the Compensation Committee to provide equity and incentive compensation to our officers, other key employees and our non-employee directors. Pursuant to the 2014 Plan, we may grant stock options (including “incentive stock options” as defined in Section 422 of the Code), stock appreciation rights, restricted shares, restricted stock units, deferred shares, performance shares, performance units, cash incentive awards, and certain other awards based on or related to our common shares, subject to certain share and dollar limitations as described in the 2014 Plan. The 2014 Plan will permit us to grant both awards that are intended to qualify as “qualified performance-based compensation” under Section 162(m) of the Code and awards that are not intended to so qualify.</w:t>
      </w:r>
    </w:p>
    <w:p>
      <w:pPr>
        <w:spacing w:after="0" w:line="205" w:lineRule="exact"/>
        <w:rPr>
          <w:sz w:val="20"/>
          <w:szCs w:val="20"/>
          <w:color w:val="auto"/>
        </w:rPr>
      </w:pPr>
    </w:p>
    <w:p>
      <w:pPr>
        <w:ind w:right="340" w:firstLine="913"/>
        <w:spacing w:after="0" w:line="259" w:lineRule="auto"/>
        <w:rPr>
          <w:sz w:val="20"/>
          <w:szCs w:val="20"/>
          <w:color w:val="auto"/>
        </w:rPr>
      </w:pPr>
      <w:r>
        <w:rPr>
          <w:rFonts w:ascii="Arial" w:cs="Arial" w:eastAsia="Arial" w:hAnsi="Arial"/>
          <w:sz w:val="18"/>
          <w:szCs w:val="18"/>
          <w:color w:val="auto"/>
        </w:rPr>
        <w:t>The 2014 Plan will permit the evidence of award with respect to any grant under the 2014 Plan to provide for accelerated vesting or exercise, including in the event of the grantee’s retirement, death or disability, or in the event of a “change in control,” as defined in the 2014 Plan. Further, it will require the Compensation Committee to make adjustments to outstanding awards in the event of certain corporate transactions or changes in the capital structure of TimkenSteel.</w:t>
      </w:r>
    </w:p>
    <w:p>
      <w:pPr>
        <w:spacing w:after="0" w:line="214" w:lineRule="exact"/>
        <w:rPr>
          <w:sz w:val="20"/>
          <w:szCs w:val="20"/>
          <w:color w:val="auto"/>
        </w:rPr>
      </w:pPr>
    </w:p>
    <w:p>
      <w:pPr>
        <w:ind w:right="180" w:firstLine="913"/>
        <w:spacing w:after="0" w:line="302" w:lineRule="auto"/>
        <w:rPr>
          <w:sz w:val="20"/>
          <w:szCs w:val="20"/>
          <w:color w:val="auto"/>
        </w:rPr>
      </w:pPr>
      <w:r>
        <w:rPr>
          <w:rFonts w:ascii="Arial" w:cs="Arial" w:eastAsia="Arial" w:hAnsi="Arial"/>
          <w:sz w:val="16"/>
          <w:szCs w:val="16"/>
          <w:color w:val="auto"/>
        </w:rPr>
        <w:t>The 2014 Plan authorizes the grant of “Replacement Awards” to current holders of Timken equity awards under Timken’s equity compensation plans. In connection with the distribution of TimkenSteel common shares to Timken shareholders, our Compensation Committee intends to authorize Replacement Awards of TimkenSteel stock options, restricted shares, restricted stock units, deferred shares, and performance shares under the 2014 Plan to current holders of corresponding awards covering Timken equity, as described above under “Description of Award Adjustments”.</w:t>
      </w:r>
    </w:p>
    <w:p>
      <w:pPr>
        <w:spacing w:after="0" w:line="195" w:lineRule="exact"/>
        <w:rPr>
          <w:sz w:val="20"/>
          <w:szCs w:val="20"/>
          <w:color w:val="auto"/>
        </w:rPr>
      </w:pPr>
    </w:p>
    <w:p>
      <w:pPr>
        <w:jc w:val="both"/>
        <w:ind w:right="60" w:firstLine="913"/>
        <w:spacing w:after="0" w:line="264" w:lineRule="auto"/>
        <w:rPr>
          <w:sz w:val="20"/>
          <w:szCs w:val="20"/>
          <w:color w:val="auto"/>
        </w:rPr>
      </w:pPr>
      <w:r>
        <w:rPr>
          <w:rFonts w:ascii="Arial" w:cs="Arial" w:eastAsia="Arial" w:hAnsi="Arial"/>
          <w:sz w:val="18"/>
          <w:szCs w:val="18"/>
          <w:color w:val="auto"/>
        </w:rPr>
        <w:t>Subject to adjustment as described in the 2014 Plan, total awards under the 2014 Plan will be limited to 6,750,000 TimkenSteel common shares. Of those shares, 3,000,000 may be used to grant Replacement Awards. These shares may be shares of original issuance or treasury shares or a combination of the foregoing.</w:t>
      </w:r>
    </w:p>
    <w:p>
      <w:pPr>
        <w:spacing w:after="0" w:line="222" w:lineRule="exact"/>
        <w:rPr>
          <w:sz w:val="20"/>
          <w:szCs w:val="20"/>
          <w:color w:val="auto"/>
        </w:rPr>
      </w:pPr>
    </w:p>
    <w:p>
      <w:pPr>
        <w:ind w:left="920"/>
        <w:spacing w:after="0"/>
        <w:rPr>
          <w:sz w:val="20"/>
          <w:szCs w:val="20"/>
          <w:color w:val="auto"/>
        </w:rPr>
      </w:pPr>
      <w:r>
        <w:rPr>
          <w:rFonts w:ascii="Arial" w:cs="Arial" w:eastAsia="Arial" w:hAnsi="Arial"/>
          <w:sz w:val="18"/>
          <w:szCs w:val="18"/>
          <w:color w:val="auto"/>
        </w:rPr>
        <w:t>The 2014 Plan also provides that, subject to adjustment as described in the 2014 Plan:</w:t>
      </w:r>
    </w:p>
    <w:p>
      <w:pPr>
        <w:spacing w:after="0" w:line="131" w:lineRule="exact"/>
        <w:rPr>
          <w:sz w:val="20"/>
          <w:szCs w:val="20"/>
          <w:color w:val="auto"/>
        </w:rPr>
      </w:pPr>
    </w:p>
    <w:p>
      <w:pPr>
        <w:ind w:left="1480" w:right="540" w:hanging="446"/>
        <w:spacing w:after="0" w:line="277" w:lineRule="auto"/>
        <w:tabs>
          <w:tab w:leader="none" w:pos="1480" w:val="left"/>
        </w:tabs>
        <w:numPr>
          <w:ilvl w:val="0"/>
          <w:numId w:val="47"/>
        </w:numPr>
        <w:rPr>
          <w:rFonts w:ascii="Arial" w:cs="Arial" w:eastAsia="Arial" w:hAnsi="Arial"/>
          <w:sz w:val="18"/>
          <w:szCs w:val="18"/>
          <w:color w:val="auto"/>
        </w:rPr>
      </w:pPr>
      <w:r>
        <w:rPr>
          <w:rFonts w:ascii="Arial" w:cs="Arial" w:eastAsia="Arial" w:hAnsi="Arial"/>
          <w:sz w:val="18"/>
          <w:szCs w:val="18"/>
          <w:color w:val="auto"/>
        </w:rPr>
        <w:t>the aggregate number of common shares actually issued or transferred upon the exercise of incentive stock options will not exceed 6,750,000 common shares;</w:t>
      </w:r>
    </w:p>
    <w:p>
      <w:pPr>
        <w:spacing w:after="0" w:line="75" w:lineRule="exact"/>
        <w:rPr>
          <w:rFonts w:ascii="Arial" w:cs="Arial" w:eastAsia="Arial" w:hAnsi="Arial"/>
          <w:sz w:val="18"/>
          <w:szCs w:val="18"/>
          <w:color w:val="auto"/>
        </w:rPr>
      </w:pPr>
    </w:p>
    <w:p>
      <w:pPr>
        <w:ind w:left="1480" w:right="180" w:hanging="446"/>
        <w:spacing w:after="0" w:line="277" w:lineRule="auto"/>
        <w:tabs>
          <w:tab w:leader="none" w:pos="1480" w:val="left"/>
        </w:tabs>
        <w:numPr>
          <w:ilvl w:val="0"/>
          <w:numId w:val="47"/>
        </w:numPr>
        <w:rPr>
          <w:rFonts w:ascii="Arial" w:cs="Arial" w:eastAsia="Arial" w:hAnsi="Arial"/>
          <w:sz w:val="18"/>
          <w:szCs w:val="18"/>
          <w:color w:val="auto"/>
        </w:rPr>
      </w:pPr>
      <w:r>
        <w:rPr>
          <w:rFonts w:ascii="Arial" w:cs="Arial" w:eastAsia="Arial" w:hAnsi="Arial"/>
          <w:sz w:val="18"/>
          <w:szCs w:val="18"/>
          <w:color w:val="auto"/>
        </w:rPr>
        <w:t>no participant will be granted stock options or stock appreciation rights, in the aggregate, for more than 500,000 common shares during any calendar year;</w:t>
      </w:r>
    </w:p>
    <w:p>
      <w:pPr>
        <w:spacing w:after="0" w:line="75" w:lineRule="exact"/>
        <w:rPr>
          <w:rFonts w:ascii="Arial" w:cs="Arial" w:eastAsia="Arial" w:hAnsi="Arial"/>
          <w:sz w:val="18"/>
          <w:szCs w:val="18"/>
          <w:color w:val="auto"/>
        </w:rPr>
      </w:pPr>
    </w:p>
    <w:p>
      <w:pPr>
        <w:ind w:left="1480" w:right="140" w:hanging="446"/>
        <w:spacing w:after="0" w:line="264" w:lineRule="auto"/>
        <w:tabs>
          <w:tab w:leader="none" w:pos="1480" w:val="left"/>
        </w:tabs>
        <w:numPr>
          <w:ilvl w:val="0"/>
          <w:numId w:val="47"/>
        </w:numPr>
        <w:rPr>
          <w:rFonts w:ascii="Arial" w:cs="Arial" w:eastAsia="Arial" w:hAnsi="Arial"/>
          <w:sz w:val="18"/>
          <w:szCs w:val="18"/>
          <w:color w:val="auto"/>
        </w:rPr>
      </w:pPr>
      <w:r>
        <w:rPr>
          <w:rFonts w:ascii="Arial" w:cs="Arial" w:eastAsia="Arial" w:hAnsi="Arial"/>
          <w:sz w:val="18"/>
          <w:szCs w:val="18"/>
          <w:color w:val="auto"/>
        </w:rPr>
        <w:t>no participant will be granted awards of restricted shares, restricted stock units, performance shares or other stock-based awards that are intended to qualify as “qualified performance-based compensation” under Section 162(m) of the Code, in the aggregate, for more than 500,000 common shares during any calendar year;</w:t>
      </w:r>
    </w:p>
    <w:p>
      <w:pPr>
        <w:spacing w:after="0" w:line="86" w:lineRule="exact"/>
        <w:rPr>
          <w:rFonts w:ascii="Arial" w:cs="Arial" w:eastAsia="Arial" w:hAnsi="Arial"/>
          <w:sz w:val="18"/>
          <w:szCs w:val="18"/>
          <w:color w:val="auto"/>
        </w:rPr>
      </w:pPr>
    </w:p>
    <w:p>
      <w:pPr>
        <w:ind w:left="1480" w:hanging="446"/>
        <w:spacing w:after="0" w:line="264" w:lineRule="auto"/>
        <w:tabs>
          <w:tab w:leader="none" w:pos="1480" w:val="left"/>
        </w:tabs>
        <w:numPr>
          <w:ilvl w:val="0"/>
          <w:numId w:val="47"/>
        </w:numPr>
        <w:rPr>
          <w:rFonts w:ascii="Arial" w:cs="Arial" w:eastAsia="Arial" w:hAnsi="Arial"/>
          <w:sz w:val="18"/>
          <w:szCs w:val="18"/>
          <w:color w:val="auto"/>
        </w:rPr>
      </w:pPr>
      <w:r>
        <w:rPr>
          <w:rFonts w:ascii="Arial" w:cs="Arial" w:eastAsia="Arial" w:hAnsi="Arial"/>
          <w:sz w:val="18"/>
          <w:szCs w:val="18"/>
          <w:color w:val="auto"/>
        </w:rPr>
        <w:t>no participant in any calendar year will receive an award of performance units or other awards payable in cash that are intended to qualify as “qualified performance-based compensation” under Section 162(m) of the Code, other than cash incentive awards, having an aggregate maximum value in excess of $3,000,000;</w:t>
      </w:r>
    </w:p>
    <w:p>
      <w:pPr>
        <w:spacing w:after="0" w:line="86" w:lineRule="exact"/>
        <w:rPr>
          <w:rFonts w:ascii="Arial" w:cs="Arial" w:eastAsia="Arial" w:hAnsi="Arial"/>
          <w:sz w:val="18"/>
          <w:szCs w:val="18"/>
          <w:color w:val="auto"/>
        </w:rPr>
      </w:pPr>
    </w:p>
    <w:p>
      <w:pPr>
        <w:ind w:left="1480" w:right="600" w:hanging="446"/>
        <w:spacing w:after="0" w:line="308" w:lineRule="auto"/>
        <w:tabs>
          <w:tab w:leader="none" w:pos="1480" w:val="left"/>
        </w:tabs>
        <w:numPr>
          <w:ilvl w:val="0"/>
          <w:numId w:val="47"/>
        </w:numPr>
        <w:rPr>
          <w:rFonts w:ascii="Arial" w:cs="Arial" w:eastAsia="Arial" w:hAnsi="Arial"/>
          <w:sz w:val="17"/>
          <w:szCs w:val="17"/>
          <w:color w:val="auto"/>
        </w:rPr>
      </w:pPr>
      <w:r>
        <w:rPr>
          <w:rFonts w:ascii="Arial" w:cs="Arial" w:eastAsia="Arial" w:hAnsi="Arial"/>
          <w:sz w:val="17"/>
          <w:szCs w:val="17"/>
          <w:color w:val="auto"/>
        </w:rPr>
        <w:t>no participant in any calendar year will receive a cash incentive award that is intended to qualify as “qualified performance-based compensation” under Section 162(m) of the Code having an aggregate maximum value in excess of $3,000,000; and</w:t>
      </w:r>
    </w:p>
    <w:p>
      <w:pPr>
        <w:spacing w:after="0" w:line="51" w:lineRule="exact"/>
        <w:rPr>
          <w:rFonts w:ascii="Arial" w:cs="Arial" w:eastAsia="Arial" w:hAnsi="Arial"/>
          <w:sz w:val="17"/>
          <w:szCs w:val="17"/>
          <w:color w:val="auto"/>
        </w:rPr>
      </w:pPr>
    </w:p>
    <w:p>
      <w:pPr>
        <w:ind w:left="1480" w:right="40" w:hanging="446"/>
        <w:spacing w:after="0" w:line="277" w:lineRule="auto"/>
        <w:tabs>
          <w:tab w:leader="none" w:pos="1480" w:val="left"/>
        </w:tabs>
        <w:numPr>
          <w:ilvl w:val="0"/>
          <w:numId w:val="47"/>
        </w:numPr>
        <w:rPr>
          <w:rFonts w:ascii="Arial" w:cs="Arial" w:eastAsia="Arial" w:hAnsi="Arial"/>
          <w:sz w:val="18"/>
          <w:szCs w:val="18"/>
          <w:color w:val="auto"/>
        </w:rPr>
      </w:pPr>
      <w:r>
        <w:rPr>
          <w:rFonts w:ascii="Arial" w:cs="Arial" w:eastAsia="Arial" w:hAnsi="Arial"/>
          <w:sz w:val="18"/>
          <w:szCs w:val="18"/>
          <w:color w:val="auto"/>
        </w:rPr>
        <w:t>no non-employee director of TimkenSteel will be granted in any calendar year awards in excess of (i) 14,000 restricted shares, (ii) 14,000 restricted stock units, (iii) 18,000 common shares, or (iv) 18,000 options and/or stock appreciation rights.</w:t>
      </w:r>
    </w:p>
    <w:p>
      <w:pPr>
        <w:sectPr>
          <w:pgSz w:w="11900" w:h="16838" w:orient="portrait"/>
          <w:cols w:equalWidth="0" w:num="1">
            <w:col w:w="11420"/>
          </w:cols>
          <w:pgMar w:left="240" w:top="459" w:right="239" w:bottom="1440" w:gutter="0" w:footer="0" w:header="0"/>
        </w:sectPr>
      </w:pPr>
    </w:p>
    <w:bookmarkStart w:id="103" w:name="page104"/>
    <w:bookmarkEnd w:id="103"/>
    <w:p>
      <w:pPr>
        <w:ind w:firstLine="913"/>
        <w:spacing w:after="0" w:line="259" w:lineRule="auto"/>
        <w:rPr>
          <w:sz w:val="20"/>
          <w:szCs w:val="20"/>
          <w:color w:val="auto"/>
        </w:rPr>
      </w:pPr>
      <w:r>
        <w:rPr>
          <w:rFonts w:ascii="Arial" w:cs="Arial" w:eastAsia="Arial" w:hAnsi="Arial"/>
          <w:sz w:val="18"/>
          <w:szCs w:val="18"/>
          <w:color w:val="auto"/>
        </w:rPr>
        <w:t>The 2014 Plan contains fungible share counting mechanics, which generally means that awards other than stock options and stock appreciation rights will be counted against the aggregate share limit as 2.46 common shares for every one common share that is actually issued or transferred under such awards. This means, for example, that only 2,743,902 common shares could be issued in settlement of restricted stock unit awards from the 6,750,000 common shares initially authorized.</w:t>
      </w:r>
    </w:p>
    <w:p>
      <w:pPr>
        <w:spacing w:after="0" w:line="227" w:lineRule="exact"/>
        <w:rPr>
          <w:sz w:val="20"/>
          <w:szCs w:val="20"/>
          <w:color w:val="auto"/>
        </w:rPr>
      </w:pPr>
    </w:p>
    <w:p>
      <w:pPr>
        <w:ind w:firstLine="913"/>
        <w:spacing w:after="0" w:line="257" w:lineRule="auto"/>
        <w:rPr>
          <w:sz w:val="20"/>
          <w:szCs w:val="20"/>
          <w:color w:val="auto"/>
        </w:rPr>
      </w:pPr>
      <w:r>
        <w:rPr>
          <w:rFonts w:ascii="Arial" w:cs="Arial" w:eastAsia="Arial" w:hAnsi="Arial"/>
          <w:sz w:val="18"/>
          <w:szCs w:val="18"/>
          <w:color w:val="auto"/>
        </w:rPr>
        <w:t>Common shares issued or transferred pursuant to awards granted under the 2014 Plan in substitution for or in conversion of, or in connection with the assumption of, awards held by awardees of an entity engaging in a corporate acquisition or merger with us or any of our subsidiaries will not count against the share limits under the 2014 Plan. Additionally, shares available under certain plans that we or our subsidiaries may assume in connection with corporate transactions from another entity may be available for certain awards under the 2014 Plan, under circumstances further described in the 2014 Plan, but will not count against the share limits under the 2014 Plan.</w:t>
      </w:r>
    </w:p>
    <w:p>
      <w:pPr>
        <w:spacing w:after="0" w:line="215" w:lineRule="exact"/>
        <w:rPr>
          <w:sz w:val="20"/>
          <w:szCs w:val="20"/>
          <w:color w:val="auto"/>
        </w:rPr>
      </w:pPr>
    </w:p>
    <w:p>
      <w:pPr>
        <w:ind w:right="420" w:firstLine="913"/>
        <w:spacing w:after="0" w:line="277" w:lineRule="auto"/>
        <w:rPr>
          <w:sz w:val="20"/>
          <w:szCs w:val="20"/>
          <w:color w:val="auto"/>
        </w:rPr>
      </w:pPr>
      <w:r>
        <w:rPr>
          <w:rFonts w:ascii="Arial" w:cs="Arial" w:eastAsia="Arial" w:hAnsi="Arial"/>
          <w:sz w:val="18"/>
          <w:szCs w:val="18"/>
          <w:color w:val="auto"/>
        </w:rPr>
        <w:t>The Compensation Committee generally will be able to amend the 2014 Plan, subject to shareholder approval in certain circumstances as described in the 2014 Plan.</w:t>
      </w:r>
    </w:p>
    <w:p>
      <w:pPr>
        <w:spacing w:after="0" w:line="103" w:lineRule="exact"/>
        <w:rPr>
          <w:sz w:val="20"/>
          <w:szCs w:val="20"/>
          <w:color w:val="auto"/>
        </w:rPr>
      </w:pPr>
    </w:p>
    <w:p>
      <w:pPr>
        <w:jc w:val="center"/>
        <w:ind w:right="-199"/>
        <w:spacing w:after="0"/>
        <w:rPr>
          <w:sz w:val="20"/>
          <w:szCs w:val="20"/>
          <w:color w:val="auto"/>
        </w:rPr>
      </w:pPr>
      <w:r>
        <w:rPr>
          <w:rFonts w:ascii="Arial" w:cs="Arial" w:eastAsia="Arial" w:hAnsi="Arial"/>
          <w:sz w:val="18"/>
          <w:szCs w:val="18"/>
          <w:color w:val="auto"/>
        </w:rPr>
        <w:t>91</w:t>
      </w:r>
    </w:p>
    <w:p>
      <w:pPr>
        <w:sectPr>
          <w:pgSz w:w="11900" w:h="16838" w:orient="portrait"/>
          <w:cols w:equalWidth="0" w:num="1">
            <w:col w:w="11220"/>
          </w:cols>
          <w:pgMar w:left="240" w:top="125" w:right="439" w:bottom="1440" w:gutter="0" w:footer="0" w:header="0"/>
        </w:sectPr>
      </w:pPr>
    </w:p>
    <w:bookmarkStart w:id="104" w:name="page105"/>
    <w:bookmarkEnd w:id="10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2">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MATERIAL U.S. FEDERAL INCOME TAX CONSEQUENCES</w:t>
      </w:r>
    </w:p>
    <w:p>
      <w:pPr>
        <w:spacing w:after="0" w:line="270" w:lineRule="exact"/>
        <w:rPr>
          <w:sz w:val="20"/>
          <w:szCs w:val="20"/>
          <w:color w:val="auto"/>
        </w:rPr>
      </w:pPr>
    </w:p>
    <w:p>
      <w:pPr>
        <w:ind w:right="20" w:firstLine="913"/>
        <w:spacing w:after="0" w:line="293" w:lineRule="auto"/>
        <w:rPr>
          <w:sz w:val="20"/>
          <w:szCs w:val="20"/>
          <w:color w:val="auto"/>
        </w:rPr>
      </w:pPr>
      <w:r>
        <w:rPr>
          <w:rFonts w:ascii="Arial" w:cs="Arial" w:eastAsia="Arial" w:hAnsi="Arial"/>
          <w:sz w:val="16"/>
          <w:szCs w:val="16"/>
          <w:color w:val="auto"/>
        </w:rPr>
        <w:t xml:space="preserve">We have described below the material U.S. federal income tax consequences of participating in the 2014 Plan by participants who either are U.S. citizens or residents. This description is based upon an analysis of the provisions of the Code currently in effect, and the regulations promulgated thereunder, all of which are subject to change. Awardees under the 2014 Plan also may be subject to state and local income taxes in the jurisdiction in which he or she works and/or resides, but we have not described such state and local income tax consequences of participating in the 2014 Plan, nor have we described the gift, estate inheritance, or medicare tax consequences of participating in the 2014 Plan in this prospectus. </w:t>
      </w:r>
      <w:r>
        <w:rPr>
          <w:rFonts w:ascii="Arial" w:cs="Arial" w:eastAsia="Arial" w:hAnsi="Arial"/>
          <w:sz w:val="16"/>
          <w:szCs w:val="16"/>
          <w:b w:val="1"/>
          <w:bCs w:val="1"/>
          <w:i w:val="1"/>
          <w:iCs w:val="1"/>
          <w:color w:val="auto"/>
        </w:rPr>
        <w:t>The following description is only a summary. You</w:t>
      </w:r>
      <w:r>
        <w:rPr>
          <w:rFonts w:ascii="Arial" w:cs="Arial" w:eastAsia="Arial" w:hAnsi="Arial"/>
          <w:sz w:val="16"/>
          <w:szCs w:val="16"/>
          <w:color w:val="auto"/>
        </w:rPr>
        <w:t xml:space="preserve"> </w:t>
      </w:r>
      <w:r>
        <w:rPr>
          <w:rFonts w:ascii="Arial" w:cs="Arial" w:eastAsia="Arial" w:hAnsi="Arial"/>
          <w:sz w:val="16"/>
          <w:szCs w:val="16"/>
          <w:b w:val="1"/>
          <w:bCs w:val="1"/>
          <w:i w:val="1"/>
          <w:iCs w:val="1"/>
          <w:color w:val="auto"/>
        </w:rPr>
        <w:t>should consult your personal tax advisor regarding the federal, state and local tax consequences to you of participating in the 2014 Plan.</w:t>
      </w:r>
    </w:p>
    <w:p>
      <w:pPr>
        <w:spacing w:after="0" w:line="22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Non-Qualified Stock Options</w:t>
      </w:r>
    </w:p>
    <w:p>
      <w:pPr>
        <w:spacing w:after="0" w:line="310" w:lineRule="exact"/>
        <w:rPr>
          <w:sz w:val="20"/>
          <w:szCs w:val="20"/>
          <w:color w:val="auto"/>
        </w:rPr>
      </w:pPr>
    </w:p>
    <w:p>
      <w:pPr>
        <w:ind w:firstLine="913"/>
        <w:spacing w:after="0" w:line="257" w:lineRule="auto"/>
        <w:rPr>
          <w:sz w:val="20"/>
          <w:szCs w:val="20"/>
          <w:color w:val="auto"/>
        </w:rPr>
      </w:pPr>
      <w:r>
        <w:rPr>
          <w:rFonts w:ascii="Arial" w:cs="Arial" w:eastAsia="Arial" w:hAnsi="Arial"/>
          <w:sz w:val="18"/>
          <w:szCs w:val="18"/>
          <w:color w:val="auto"/>
        </w:rPr>
        <w:t>A participant will not recognize income upon the grant of a non-qualified stock option, including a TimkenSteel non-qualified stock option granted as a Replacement Award. In general, the participant will recognize ordinary income at the time of exercise equal to the excess of the fair market value of the underlying stock at the time of exercise over the exercise price. Upon a subsequent sale of the shares received upon exercise, any difference between the net proceeds on the sale and the fair market value of the shares on the date of exercise will be taxed as capital gain or loss (long- or short-term, depending on the holding period).</w:t>
      </w:r>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Incentive Stock Options</w:t>
      </w:r>
    </w:p>
    <w:p>
      <w:pPr>
        <w:spacing w:after="0" w:line="297" w:lineRule="exact"/>
        <w:rPr>
          <w:sz w:val="20"/>
          <w:szCs w:val="20"/>
          <w:color w:val="auto"/>
        </w:rPr>
      </w:pPr>
    </w:p>
    <w:p>
      <w:pPr>
        <w:ind w:right="40" w:firstLine="913"/>
        <w:spacing w:after="0" w:line="271" w:lineRule="auto"/>
        <w:rPr>
          <w:sz w:val="20"/>
          <w:szCs w:val="20"/>
          <w:color w:val="auto"/>
        </w:rPr>
      </w:pPr>
      <w:r>
        <w:rPr>
          <w:rFonts w:ascii="Arial" w:cs="Arial" w:eastAsia="Arial" w:hAnsi="Arial"/>
          <w:sz w:val="17"/>
          <w:szCs w:val="17"/>
          <w:color w:val="auto"/>
        </w:rPr>
        <w:t>A participant will not recognize income upon the grant of an incentive stock option, including a TimkenSteel incentive stock option granted as a Replacement Award. In addition, a participant will not recognize income upon the exercise of an incentive stock option if he or she satisfies certain employment and holding period requirements. To satisfy the employment requirement, a participant must exercise the option not later than three months after he or she ceases to be an employee of TimkenSteel (one year if he or she is disabled). To satisfy the holding period requirement, a participant must hold the optioned stock more than two years from the grant of the option and more than one year after the transfer of the stock to him or her. In the case of a Replacement Award, the one-year and two-year holding period requirements are measured from the date on which Timken granted the underlying Timken incentive stock option. If these requirements are satisfied, on the sale of such stock, the participant will be taxed on any gain, measured by the difference between the participant’s basis in such shares and the net proceeds of the sale, at long-term capital gains rates.</w:t>
      </w:r>
    </w:p>
    <w:p>
      <w:pPr>
        <w:spacing w:after="0" w:line="260" w:lineRule="exact"/>
        <w:rPr>
          <w:sz w:val="20"/>
          <w:szCs w:val="20"/>
          <w:color w:val="auto"/>
        </w:rPr>
      </w:pPr>
    </w:p>
    <w:p>
      <w:pPr>
        <w:ind w:right="20" w:firstLine="913"/>
        <w:spacing w:after="0" w:line="272" w:lineRule="auto"/>
        <w:rPr>
          <w:sz w:val="20"/>
          <w:szCs w:val="20"/>
          <w:color w:val="auto"/>
        </w:rPr>
      </w:pPr>
      <w:r>
        <w:rPr>
          <w:rFonts w:ascii="Arial" w:cs="Arial" w:eastAsia="Arial" w:hAnsi="Arial"/>
          <w:sz w:val="17"/>
          <w:szCs w:val="17"/>
          <w:color w:val="auto"/>
        </w:rPr>
        <w:t>If TimkenSteel common shares acquired upon the timely exercise of an incentive stock option are sold, exchanged, or otherwise disposed of without satisfying the holding period requirement (a “disqualifying disposition”), the participant will, in the usual case, recognize ordinary income at the time of disposition equal to the excess of the fair market value of the common shares at the time of exercise over the exercise price. Any gain in excess of that amount will either be long-term or short-term capital gain depending on the holding period. Upon a disqualifying disposition that constitutes a sale or exchange with respect to which any loss (if sustained) would be recognized, the amount includible in ordinary income will be limited to the excess, if any, of the net amount realized on the sale or exchange over the participant’s basis in such shares. In general, such a disposition is a transaction with an unrelated third party that is not subject to the wash-sale provisions of the Code.</w:t>
      </w:r>
    </w:p>
    <w:p>
      <w:pPr>
        <w:spacing w:after="0" w:line="245" w:lineRule="exact"/>
        <w:rPr>
          <w:sz w:val="20"/>
          <w:szCs w:val="20"/>
          <w:color w:val="auto"/>
        </w:rPr>
      </w:pPr>
    </w:p>
    <w:p>
      <w:pPr>
        <w:ind w:right="60" w:firstLine="913"/>
        <w:spacing w:after="0" w:line="255" w:lineRule="auto"/>
        <w:rPr>
          <w:sz w:val="20"/>
          <w:szCs w:val="20"/>
          <w:color w:val="auto"/>
        </w:rPr>
      </w:pPr>
      <w:r>
        <w:rPr>
          <w:rFonts w:ascii="Arial" w:cs="Arial" w:eastAsia="Arial" w:hAnsi="Arial"/>
          <w:sz w:val="18"/>
          <w:szCs w:val="18"/>
          <w:color w:val="auto"/>
        </w:rPr>
        <w:t>Individuals are subject to an alternative minimum tax based upon an expanded tax base to the extent such tax exceeds the regular tax liability. The alternative minimum tax is imposed on alternative minimum taxable income in excess of an exemption amount. Alternative minimum taxable income generally is the taxpayer’s taxable income, increased or decreased by certain adjustments and increased by certain preferences. Incentive stock options are generally treated for alternative minimum tax purposes in a manner similar to the regular tax treatment of non-qualified stock options. For example, upon the exercise of an incentive stock option, the amount of the spread will be included in alternative minimum taxable income, and the basis of the stock will equal its fair market value when the option is exercised. A tax credit may be available in a subsequent taxable year for some or all of any alternative minimum tax paid.</w:t>
      </w:r>
    </w:p>
    <w:p>
      <w:pPr>
        <w:spacing w:after="0" w:line="122"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92</w:t>
      </w:r>
    </w:p>
    <w:p>
      <w:pPr>
        <w:sectPr>
          <w:pgSz w:w="11900" w:h="16838" w:orient="portrait"/>
          <w:cols w:equalWidth="0" w:num="1">
            <w:col w:w="11380"/>
          </w:cols>
          <w:pgMar w:left="240" w:top="459" w:right="279" w:bottom="1440" w:gutter="0" w:footer="0" w:header="0"/>
        </w:sectPr>
      </w:pPr>
    </w:p>
    <w:bookmarkStart w:id="105" w:name="page106"/>
    <w:bookmarkEnd w:id="10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3">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jc w:val="both"/>
        <w:ind w:right="80" w:firstLine="913"/>
        <w:spacing w:after="0" w:line="286" w:lineRule="auto"/>
        <w:rPr>
          <w:sz w:val="20"/>
          <w:szCs w:val="20"/>
          <w:color w:val="auto"/>
        </w:rPr>
      </w:pPr>
      <w:r>
        <w:rPr>
          <w:rFonts w:ascii="Arial" w:cs="Arial" w:eastAsia="Arial" w:hAnsi="Arial"/>
          <w:sz w:val="17"/>
          <w:szCs w:val="17"/>
          <w:color w:val="auto"/>
        </w:rPr>
        <w:t>Options otherwise qualifying as incentive stock options will be treated as non-qualified stock options to the extent that the aggregate fair market value of stock with respect to which incentive stock options are exercisable for the first time by a participant during any calendar year (under all of our plans and any of our subsidiaries’ plans) exceeds $100,000. This rule is applied by taking the options into account in the order granted.</w:t>
      </w:r>
    </w:p>
    <w:p>
      <w:pPr>
        <w:spacing w:after="0" w:line="24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Appreciation Rights</w:t>
      </w:r>
    </w:p>
    <w:p>
      <w:pPr>
        <w:spacing w:after="0" w:line="297" w:lineRule="exact"/>
        <w:rPr>
          <w:sz w:val="20"/>
          <w:szCs w:val="20"/>
          <w:color w:val="auto"/>
        </w:rPr>
      </w:pPr>
    </w:p>
    <w:p>
      <w:pPr>
        <w:ind w:right="100" w:firstLine="913"/>
        <w:spacing w:after="0" w:line="279" w:lineRule="auto"/>
        <w:rPr>
          <w:sz w:val="20"/>
          <w:szCs w:val="20"/>
          <w:color w:val="auto"/>
        </w:rPr>
      </w:pPr>
      <w:r>
        <w:rPr>
          <w:rFonts w:ascii="Arial" w:cs="Arial" w:eastAsia="Arial" w:hAnsi="Arial"/>
          <w:sz w:val="17"/>
          <w:szCs w:val="17"/>
          <w:color w:val="auto"/>
        </w:rPr>
        <w:t>A participant will not recognize income upon the grant of an appreciation right, including a TimkenSteel appreciation right granted as a Replacement Award. When the appreciation right is exercised, the participant will generally be required to include as taxable ordinary income in the year of exercise an amount equal to the amount of cash received and the fair market value of any unrestricted TimkenSteel common shares received on the exercise. The term “unrestricted TimkenSteel common shares” includes shares that are subject only to restrictions on transfer.</w:t>
      </w:r>
    </w:p>
    <w:p>
      <w:pPr>
        <w:spacing w:after="0" w:line="23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Restricted Shares</w:t>
      </w:r>
    </w:p>
    <w:p>
      <w:pPr>
        <w:spacing w:after="0" w:line="310" w:lineRule="exact"/>
        <w:rPr>
          <w:sz w:val="20"/>
          <w:szCs w:val="20"/>
          <w:color w:val="auto"/>
        </w:rPr>
      </w:pPr>
    </w:p>
    <w:p>
      <w:pPr>
        <w:ind w:right="40" w:firstLine="913"/>
        <w:spacing w:after="0" w:line="257" w:lineRule="auto"/>
        <w:rPr>
          <w:sz w:val="20"/>
          <w:szCs w:val="20"/>
          <w:color w:val="auto"/>
        </w:rPr>
      </w:pPr>
      <w:r>
        <w:rPr>
          <w:rFonts w:ascii="Arial" w:cs="Arial" w:eastAsia="Arial" w:hAnsi="Arial"/>
          <w:sz w:val="18"/>
          <w:szCs w:val="18"/>
          <w:color w:val="auto"/>
        </w:rPr>
        <w:t>A participant will not recognize income upon the receipt of restricted shares, including TimkenSteel restricted shares granted as a Replacement Award, unless the participant makes an election under Section 83(b) of the Code, or a Section 83(b) Election, within 30 days after the transfer of the shares to him or her to have such shares taxed to him or her as ordinary income at their fair market value on the date of transfer less the amount, if any, paid by him or her. In the case of a Replacement Award, the Section 83(b) Election must have been filed within 30 days after the initial grant of the underlying Timken restricted shares.</w:t>
      </w:r>
    </w:p>
    <w:p>
      <w:pPr>
        <w:spacing w:after="0" w:line="256" w:lineRule="exact"/>
        <w:rPr>
          <w:sz w:val="20"/>
          <w:szCs w:val="20"/>
          <w:color w:val="auto"/>
        </w:rPr>
      </w:pPr>
    </w:p>
    <w:p>
      <w:pPr>
        <w:ind w:firstLine="913"/>
        <w:spacing w:after="0" w:line="291" w:lineRule="auto"/>
        <w:rPr>
          <w:sz w:val="20"/>
          <w:szCs w:val="20"/>
          <w:color w:val="auto"/>
        </w:rPr>
      </w:pPr>
      <w:r>
        <w:rPr>
          <w:rFonts w:ascii="Arial" w:cs="Arial" w:eastAsia="Arial" w:hAnsi="Arial"/>
          <w:sz w:val="16"/>
          <w:szCs w:val="16"/>
          <w:color w:val="auto"/>
        </w:rPr>
        <w:t>If the participant makes a Section 83(b) Election, he or she will recognize ordinary income in the year of receipt in an amount equal to the excess of the fair market value of such shares (determined without regard to the restrictions imposed) at the time of transfer over any amount paid by the participant therefor. If a participant makes a Section 83(b) Election with respect to common shares that are subsequently forfeited, he or she will not be entitled to deduct any amount previously included in income by reason of such election. If a participant does not make a Section 83(b) Election, he or she will recognize ordinary income in the year or years in which the restrictions terminate, in an amount equal to the excess, if any, of the fair market value of such shares on the date the restrictions expire or are removed over any amount paid by the participant therefor. If a Section 83(b) Election has not been made, any unrestricted dividends received with respect to common shares subject to restrictions will be treated as additional compensation income and not as dividend income.</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Deferred Shares, including Restricted Stock Units</w:t>
      </w:r>
    </w:p>
    <w:p>
      <w:pPr>
        <w:spacing w:after="0" w:line="310" w:lineRule="exact"/>
        <w:rPr>
          <w:sz w:val="20"/>
          <w:szCs w:val="20"/>
          <w:color w:val="auto"/>
        </w:rPr>
      </w:pPr>
    </w:p>
    <w:p>
      <w:pPr>
        <w:ind w:right="40" w:firstLine="913"/>
        <w:spacing w:after="0" w:line="257" w:lineRule="auto"/>
        <w:rPr>
          <w:sz w:val="20"/>
          <w:szCs w:val="20"/>
          <w:color w:val="auto"/>
        </w:rPr>
      </w:pPr>
      <w:r>
        <w:rPr>
          <w:rFonts w:ascii="Arial" w:cs="Arial" w:eastAsia="Arial" w:hAnsi="Arial"/>
          <w:sz w:val="18"/>
          <w:szCs w:val="18"/>
          <w:color w:val="auto"/>
        </w:rPr>
        <w:t>No income generally will be recognized upon the award of deferred shares, including a TimkenSteel deferred share granted as a Replacement Award. The recipient of a deferred share award generally will recognize ordinary income in an amount equal to the aggregate amount of any cash received and the fair market value of unrestricted TimkenSteel common shares received on the date that such cash and shares are transferred to the recipient under the award (reduced by any amount paid by the recipient for such deferred shares), and the capital gains/loss holding period for any shares will also commence on such date.</w:t>
      </w:r>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General Matters</w:t>
      </w:r>
    </w:p>
    <w:p>
      <w:pPr>
        <w:spacing w:after="0" w:line="297" w:lineRule="exact"/>
        <w:rPr>
          <w:sz w:val="20"/>
          <w:szCs w:val="20"/>
          <w:color w:val="auto"/>
        </w:rPr>
      </w:pPr>
    </w:p>
    <w:p>
      <w:pPr>
        <w:ind w:right="20" w:firstLine="913"/>
        <w:spacing w:after="0" w:line="277" w:lineRule="auto"/>
        <w:rPr>
          <w:sz w:val="20"/>
          <w:szCs w:val="20"/>
          <w:color w:val="auto"/>
        </w:rPr>
      </w:pPr>
      <w:r>
        <w:rPr>
          <w:rFonts w:ascii="Arial" w:cs="Arial" w:eastAsia="Arial" w:hAnsi="Arial"/>
          <w:sz w:val="18"/>
          <w:szCs w:val="18"/>
          <w:color w:val="auto"/>
        </w:rPr>
        <w:t>Dividend equivalents, if any, awarded with respect to grants under the 2014 Plan and paid in cash or unrestricted common shares will be taxed to a participant at ordinary income rates when received by the participant.</w:t>
      </w:r>
    </w:p>
    <w:p>
      <w:pPr>
        <w:spacing w:after="0" w:line="251" w:lineRule="exact"/>
        <w:rPr>
          <w:sz w:val="20"/>
          <w:szCs w:val="20"/>
          <w:color w:val="auto"/>
        </w:rPr>
      </w:pPr>
    </w:p>
    <w:p>
      <w:pPr>
        <w:ind w:right="60" w:firstLine="913"/>
        <w:spacing w:after="0" w:line="259" w:lineRule="auto"/>
        <w:rPr>
          <w:sz w:val="20"/>
          <w:szCs w:val="20"/>
          <w:color w:val="auto"/>
        </w:rPr>
      </w:pPr>
      <w:r>
        <w:rPr>
          <w:rFonts w:ascii="Arial" w:cs="Arial" w:eastAsia="Arial" w:hAnsi="Arial"/>
          <w:sz w:val="18"/>
          <w:szCs w:val="18"/>
          <w:color w:val="auto"/>
        </w:rPr>
        <w:t>To the extent that a participant recognizes ordinary income in the circumstances described above, the participant’s employer, either TimkenSteel or Timken, generally will be entitled to a corresponding deduction provided, among other things, that such deduction meets the test of reasonableness, is an ordinary and necessary business expense, is not disallowed by the $1 million limitation on certain executive compensation under Section 162(m) of the Code and is not an “excess parachute payment” within the meaning of Section 280G of the Code.</w:t>
      </w:r>
    </w:p>
    <w:p>
      <w:pPr>
        <w:spacing w:after="0" w:line="25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Compliance with Section 409A of the Code</w:t>
      </w:r>
    </w:p>
    <w:p>
      <w:pPr>
        <w:spacing w:after="0" w:line="297" w:lineRule="exact"/>
        <w:rPr>
          <w:sz w:val="20"/>
          <w:szCs w:val="20"/>
          <w:color w:val="auto"/>
        </w:rPr>
      </w:pPr>
    </w:p>
    <w:p>
      <w:pPr>
        <w:ind w:right="80" w:firstLine="913"/>
        <w:spacing w:after="0" w:line="264" w:lineRule="auto"/>
        <w:rPr>
          <w:sz w:val="20"/>
          <w:szCs w:val="20"/>
          <w:color w:val="auto"/>
        </w:rPr>
      </w:pPr>
      <w:r>
        <w:rPr>
          <w:rFonts w:ascii="Arial" w:cs="Arial" w:eastAsia="Arial" w:hAnsi="Arial"/>
          <w:sz w:val="18"/>
          <w:szCs w:val="18"/>
          <w:color w:val="auto"/>
        </w:rPr>
        <w:t>To the extent applicable, it is intended that the 2014 Plan and any grants made under it comply with the provisions of Section 409A of the Code. Failure to comply with Section 409A of the Code may subject participants to potentially significant penalties, including current taxation at vesting and a 20 percent penalty tax.</w:t>
      </w:r>
    </w:p>
    <w:p>
      <w:pPr>
        <w:spacing w:after="0" w:line="114"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93</w:t>
      </w:r>
    </w:p>
    <w:p>
      <w:pPr>
        <w:sectPr>
          <w:pgSz w:w="11900" w:h="16838" w:orient="portrait"/>
          <w:cols w:equalWidth="0" w:num="1">
            <w:col w:w="11380"/>
          </w:cols>
          <w:pgMar w:left="240" w:top="459" w:right="279" w:bottom="1440" w:gutter="0" w:footer="0" w:header="0"/>
        </w:sectPr>
      </w:pPr>
    </w:p>
    <w:bookmarkStart w:id="106" w:name="page107"/>
    <w:bookmarkEnd w:id="10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4">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WHERE YOU CAN FIND MORE INFORMATION</w:t>
      </w:r>
    </w:p>
    <w:p>
      <w:pPr>
        <w:spacing w:after="0" w:line="270" w:lineRule="exact"/>
        <w:rPr>
          <w:sz w:val="20"/>
          <w:szCs w:val="20"/>
          <w:color w:val="auto"/>
        </w:rPr>
      </w:pPr>
    </w:p>
    <w:p>
      <w:pPr>
        <w:ind w:firstLine="913"/>
        <w:spacing w:after="0" w:line="290" w:lineRule="auto"/>
        <w:rPr>
          <w:sz w:val="20"/>
          <w:szCs w:val="20"/>
          <w:color w:val="auto"/>
        </w:rPr>
      </w:pPr>
      <w:r>
        <w:rPr>
          <w:rFonts w:ascii="Arial" w:cs="Arial" w:eastAsia="Arial" w:hAnsi="Arial"/>
          <w:sz w:val="16"/>
          <w:szCs w:val="16"/>
          <w:color w:val="auto"/>
        </w:rPr>
        <w:t>We have filed with the SEC a registration statement on Form S-1 with respect to our common shares to be issued as contemplated by this prospectus. The prospectus is a part of that registration statement but does not contain all of the information set forth in the registration statement and the exhibits and schedules to the registration statement. For further information relating to us and our common shares, reference is made to the registration statement, including its exhibits and schedules. Statements made in this prospectus relating to any contract or other document are not necessarily complete and you should refer to the exhibits attached to or incorporated by reference into the registration statement for copies of the actual contract or document. You may review a copy of the registration statement, including its exhibits and schedules, at the SEC’s Public Reference Room, located at 100 F Street, NE, Washington, D.C. 20549 or on the SEC’s website at http://www.sec.gov. You may obtain a copy of the registration statement from the SEC’s Public Reference Room upon payment of prescribed fees. Please call the SEC at (800) SEC-0330 for further information on the operation of the Public Reference Room.</w:t>
      </w:r>
    </w:p>
    <w:p>
      <w:pPr>
        <w:spacing w:after="0" w:line="207" w:lineRule="exact"/>
        <w:rPr>
          <w:sz w:val="20"/>
          <w:szCs w:val="20"/>
          <w:color w:val="auto"/>
        </w:rPr>
      </w:pPr>
    </w:p>
    <w:p>
      <w:pPr>
        <w:ind w:right="60" w:firstLine="913"/>
        <w:spacing w:after="0" w:line="286" w:lineRule="auto"/>
        <w:rPr>
          <w:sz w:val="20"/>
          <w:szCs w:val="20"/>
          <w:color w:val="auto"/>
        </w:rPr>
      </w:pPr>
      <w:r>
        <w:rPr>
          <w:rFonts w:ascii="Arial" w:cs="Arial" w:eastAsia="Arial" w:hAnsi="Arial"/>
          <w:sz w:val="17"/>
          <w:szCs w:val="17"/>
          <w:color w:val="auto"/>
        </w:rPr>
        <w:t>As a result of the spinoff, we will become subject to the information and reporting requirements of the Exchange Act and, in accordance with the Exchange Act, we will file periodic reports, proxy statements and other information with the SEC. Those periodic reports, proxy statements and other information will be available for inspection and copying at the SEC’s Public Reference Room and the SEC’s website at http://www.sec.gov.</w:t>
      </w:r>
    </w:p>
    <w:p>
      <w:pPr>
        <w:spacing w:after="0" w:line="193" w:lineRule="exact"/>
        <w:rPr>
          <w:sz w:val="20"/>
          <w:szCs w:val="20"/>
          <w:color w:val="auto"/>
        </w:rPr>
      </w:pPr>
    </w:p>
    <w:p>
      <w:pPr>
        <w:ind w:left="920"/>
        <w:spacing w:after="0"/>
        <w:rPr>
          <w:sz w:val="20"/>
          <w:szCs w:val="20"/>
          <w:color w:val="auto"/>
        </w:rPr>
      </w:pPr>
      <w:r>
        <w:rPr>
          <w:rFonts w:ascii="Arial" w:cs="Arial" w:eastAsia="Arial" w:hAnsi="Arial"/>
          <w:sz w:val="17"/>
          <w:szCs w:val="17"/>
          <w:color w:val="auto"/>
        </w:rPr>
        <w:t>We intend to furnish holders of our common shares with annual reports containing financial statements prepared in accordance with U.S.</w:t>
      </w:r>
    </w:p>
    <w:p>
      <w:pPr>
        <w:spacing w:after="0" w:line="35" w:lineRule="exact"/>
        <w:rPr>
          <w:sz w:val="20"/>
          <w:szCs w:val="20"/>
          <w:color w:val="auto"/>
        </w:rPr>
      </w:pPr>
    </w:p>
    <w:p>
      <w:pPr>
        <w:spacing w:after="0"/>
        <w:rPr>
          <w:sz w:val="20"/>
          <w:szCs w:val="20"/>
          <w:color w:val="auto"/>
        </w:rPr>
      </w:pPr>
      <w:r>
        <w:rPr>
          <w:rFonts w:ascii="Arial" w:cs="Arial" w:eastAsia="Arial" w:hAnsi="Arial"/>
          <w:sz w:val="17"/>
          <w:szCs w:val="17"/>
          <w:color w:val="auto"/>
        </w:rPr>
        <w:t>generally accepted accounting principles and audited and reported on, with an opinion expressed, by an independent registered public accounting firm.</w:t>
      </w:r>
    </w:p>
    <w:p>
      <w:pPr>
        <w:spacing w:after="0" w:line="263" w:lineRule="exact"/>
        <w:rPr>
          <w:sz w:val="20"/>
          <w:szCs w:val="20"/>
          <w:color w:val="auto"/>
        </w:rPr>
      </w:pPr>
    </w:p>
    <w:p>
      <w:pPr>
        <w:ind w:firstLine="913"/>
        <w:spacing w:after="0" w:line="272" w:lineRule="auto"/>
        <w:rPr>
          <w:sz w:val="20"/>
          <w:szCs w:val="20"/>
          <w:color w:val="auto"/>
        </w:rPr>
      </w:pPr>
      <w:r>
        <w:rPr>
          <w:rFonts w:ascii="Arial" w:cs="Arial" w:eastAsia="Arial" w:hAnsi="Arial"/>
          <w:sz w:val="17"/>
          <w:szCs w:val="17"/>
          <w:color w:val="auto"/>
        </w:rPr>
        <w:t>We plan to make available free of charge on our website, our Annual Reports on Form 10-K, Quarterly Reports on Form 10-Q, Current Reports on Form 8-K and amendments to those reports as soon as reasonably practicable after we electronically file or furnish such materials to the SEC. All of these documents will be made available free of charge on our website, www.TimkenSteel.com, and will be provided free of charge to any shareholders requesting a copy by writing to: TimkenSteel, 1835 Dueber Avenue, S.W. Canton, Ohio 44706-2798, Attention: Frank A. DiPiero, Executive Vice President, General Counsel and Secretary. We will use our website as a channel for routine distribution of important information, including news releases, analyst presentations and financial information. In addition, our website allows investors and other interested persons to sign up to automatically receive e-mail alerts when we post news releases and financial information on our website.</w:t>
      </w:r>
    </w:p>
    <w:p>
      <w:pPr>
        <w:spacing w:after="0" w:line="218" w:lineRule="exact"/>
        <w:rPr>
          <w:sz w:val="20"/>
          <w:szCs w:val="20"/>
          <w:color w:val="auto"/>
        </w:rPr>
      </w:pPr>
    </w:p>
    <w:p>
      <w:pPr>
        <w:ind w:right="360" w:firstLine="913"/>
        <w:spacing w:after="0" w:line="277" w:lineRule="auto"/>
        <w:rPr>
          <w:sz w:val="20"/>
          <w:szCs w:val="20"/>
          <w:color w:val="auto"/>
        </w:rPr>
      </w:pPr>
      <w:r>
        <w:rPr>
          <w:rFonts w:ascii="Arial" w:cs="Arial" w:eastAsia="Arial" w:hAnsi="Arial"/>
          <w:sz w:val="18"/>
          <w:szCs w:val="18"/>
          <w:color w:val="auto"/>
        </w:rPr>
        <w:t>The information on our website is not, and shall not be deemed to be, a part of this prospectus or incorporated into any other filings we make with the SEC.</w:t>
      </w:r>
    </w:p>
    <w:p>
      <w:pPr>
        <w:spacing w:after="0" w:line="197" w:lineRule="exact"/>
        <w:rPr>
          <w:sz w:val="20"/>
          <w:szCs w:val="20"/>
          <w:color w:val="auto"/>
        </w:rPr>
      </w:pPr>
    </w:p>
    <w:p>
      <w:pPr>
        <w:ind w:right="40" w:firstLine="913"/>
        <w:spacing w:after="0" w:line="257" w:lineRule="auto"/>
        <w:rPr>
          <w:sz w:val="20"/>
          <w:szCs w:val="20"/>
          <w:color w:val="auto"/>
        </w:rPr>
      </w:pPr>
      <w:r>
        <w:rPr>
          <w:rFonts w:ascii="Arial" w:cs="Arial" w:eastAsia="Arial" w:hAnsi="Arial"/>
          <w:sz w:val="18"/>
          <w:szCs w:val="18"/>
          <w:color w:val="auto"/>
        </w:rPr>
        <w:t>No person is authorized to give any information or to make any representations with respect to the matters described in this prospectus other than those contained in this prospectus or in the documents incorporated by reference in the registration statement and, if given or made, such information or representation must not be relied upon as having been authorized by us or Timken. Neither the delivery of this prospectus nor consummation of the spinoff shall, under any circumstances, create any implication that there has been no change in our affairs or those of Timken since the date of this prospectus, or that the information in this prospectus is correct as of any time after its date.</w:t>
      </w:r>
    </w:p>
    <w:p>
      <w:pPr>
        <w:spacing w:after="0" w:line="400"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LEGAL MATTERS</w:t>
      </w:r>
    </w:p>
    <w:p>
      <w:pPr>
        <w:spacing w:after="0" w:line="270" w:lineRule="exact"/>
        <w:rPr>
          <w:sz w:val="20"/>
          <w:szCs w:val="20"/>
          <w:color w:val="auto"/>
        </w:rPr>
      </w:pPr>
    </w:p>
    <w:p>
      <w:pPr>
        <w:ind w:left="920"/>
        <w:spacing w:after="0"/>
        <w:rPr>
          <w:sz w:val="20"/>
          <w:szCs w:val="20"/>
          <w:color w:val="auto"/>
        </w:rPr>
      </w:pPr>
      <w:r>
        <w:rPr>
          <w:rFonts w:ascii="Arial" w:cs="Arial" w:eastAsia="Arial" w:hAnsi="Arial"/>
          <w:sz w:val="18"/>
          <w:szCs w:val="18"/>
          <w:color w:val="auto"/>
        </w:rPr>
        <w:t>Jones Day has passed upon the validity of the common shares on behalf of TimkenSteel.</w:t>
      </w:r>
    </w:p>
    <w:p>
      <w:pPr>
        <w:spacing w:after="0" w:line="200" w:lineRule="exact"/>
        <w:rPr>
          <w:sz w:val="20"/>
          <w:szCs w:val="20"/>
          <w:color w:val="auto"/>
        </w:rPr>
      </w:pPr>
    </w:p>
    <w:p>
      <w:pPr>
        <w:spacing w:after="0" w:line="23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EXPERTS</w:t>
      </w:r>
    </w:p>
    <w:p>
      <w:pPr>
        <w:spacing w:after="0" w:line="270" w:lineRule="exact"/>
        <w:rPr>
          <w:sz w:val="20"/>
          <w:szCs w:val="20"/>
          <w:color w:val="auto"/>
        </w:rPr>
      </w:pPr>
    </w:p>
    <w:p>
      <w:pPr>
        <w:ind w:right="120" w:firstLine="913"/>
        <w:spacing w:after="0" w:line="259" w:lineRule="auto"/>
        <w:rPr>
          <w:sz w:val="20"/>
          <w:szCs w:val="20"/>
          <w:color w:val="auto"/>
        </w:rPr>
      </w:pPr>
      <w:r>
        <w:rPr>
          <w:rFonts w:ascii="Arial" w:cs="Arial" w:eastAsia="Arial" w:hAnsi="Arial"/>
          <w:sz w:val="18"/>
          <w:szCs w:val="18"/>
          <w:color w:val="auto"/>
        </w:rPr>
        <w:t>The consolidated financial statements of TimkenSteel Corporation and Subsidiaries at December 31, 2013 and 2012, and for each of the three years in the period ended December 31, 2013, appearing in this prospectus and registration statement have been audited by Ernst &amp; Young LLP, independent registered public accounting firm, as set forth in their report thereon appearing elsewhere herein, and are included in reliance upon such report given on the authority of such firm as experts in accounting and auditing.</w:t>
      </w:r>
    </w:p>
    <w:p>
      <w:pPr>
        <w:spacing w:after="0" w:line="11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94</w:t>
      </w:r>
    </w:p>
    <w:p>
      <w:pPr>
        <w:sectPr>
          <w:pgSz w:w="11900" w:h="16838" w:orient="portrait"/>
          <w:cols w:equalWidth="0" w:num="1">
            <w:col w:w="11420"/>
          </w:cols>
          <w:pgMar w:left="240" w:top="459" w:right="239" w:bottom="1440" w:gutter="0" w:footer="0" w:header="0"/>
        </w:sectPr>
      </w:pPr>
    </w:p>
    <w:bookmarkStart w:id="107" w:name="page108"/>
    <w:bookmarkEnd w:id="107"/>
    <w:tbl>
      <w:tblPr>
        <w:tblLayout w:type="fixed"/>
        <w:tblInd w:w="0" w:type="dxa"/>
        <w:tblCellMar>
          <w:top w:w="0" w:type="dxa"/>
          <w:left w:w="0" w:type="dxa"/>
          <w:bottom w:w="0" w:type="dxa"/>
          <w:right w:w="0" w:type="dxa"/>
        </w:tblCellMar>
      </w:tblPr>
      <w:tr>
        <w:trPr>
          <w:trHeight w:val="207"/>
        </w:trPr>
        <w:tc>
          <w:tcPr>
            <w:tcW w:w="11120" w:type="dxa"/>
            <w:vAlign w:val="bottom"/>
            <w:gridSpan w:val="14"/>
          </w:tcPr>
          <w:p>
            <w:pPr>
              <w:spacing w:after="0"/>
              <w:rPr>
                <w:rFonts w:ascii="Arial" w:cs="Arial" w:eastAsia="Arial" w:hAnsi="Arial"/>
                <w:sz w:val="18"/>
                <w:szCs w:val="18"/>
                <w:b w:val="1"/>
                <w:bCs w:val="1"/>
                <w:color w:val="0000EE"/>
              </w:rPr>
            </w:pPr>
            <w:hyperlink w:anchor="page4">
              <w:r>
                <w:rPr>
                  <w:rFonts w:ascii="Arial" w:cs="Arial" w:eastAsia="Arial" w:hAnsi="Arial"/>
                  <w:sz w:val="18"/>
                  <w:szCs w:val="18"/>
                  <w:b w:val="1"/>
                  <w:bCs w:val="1"/>
                  <w:color w:val="0000EE"/>
                </w:rPr>
                <w:t>Table of Contents</w:t>
              </w:r>
            </w:hyperlink>
          </w:p>
        </w:tc>
        <w:tc>
          <w:tcPr>
            <w:tcW w:w="240" w:type="dxa"/>
            <w:vAlign w:val="bottom"/>
          </w:tcPr>
          <w:p>
            <w:pPr>
              <w:spacing w:after="0"/>
              <w:rPr>
                <w:sz w:val="17"/>
                <w:szCs w:val="17"/>
                <w:color w:val="auto"/>
              </w:rPr>
            </w:pPr>
          </w:p>
        </w:tc>
        <w:tc>
          <w:tcPr>
            <w:tcW w:w="40" w:type="dxa"/>
            <w:vAlign w:val="bottom"/>
          </w:tcPr>
          <w:p>
            <w:pPr>
              <w:spacing w:after="0"/>
              <w:rPr>
                <w:sz w:val="17"/>
                <w:szCs w:val="17"/>
                <w:color w:val="auto"/>
              </w:rPr>
            </w:pPr>
          </w:p>
        </w:tc>
      </w:tr>
      <w:tr>
        <w:trPr>
          <w:trHeight w:val="534"/>
        </w:trPr>
        <w:tc>
          <w:tcPr>
            <w:tcW w:w="360" w:type="dxa"/>
            <w:vAlign w:val="bottom"/>
            <w:tcBorders>
              <w:top w:val="single" w:sz="8" w:color="0000EE"/>
            </w:tcBorders>
          </w:tcPr>
          <w:p>
            <w:pPr>
              <w:spacing w:after="0"/>
              <w:rPr>
                <w:sz w:val="24"/>
                <w:szCs w:val="24"/>
                <w:color w:val="auto"/>
              </w:rPr>
            </w:pPr>
          </w:p>
        </w:tc>
        <w:tc>
          <w:tcPr>
            <w:tcW w:w="1000" w:type="dxa"/>
            <w:vAlign w:val="bottom"/>
            <w:tcBorders>
              <w:top w:val="single" w:sz="8" w:color="0000EE"/>
            </w:tcBorders>
          </w:tcPr>
          <w:p>
            <w:pPr>
              <w:spacing w:after="0"/>
              <w:rPr>
                <w:sz w:val="24"/>
                <w:szCs w:val="24"/>
                <w:color w:val="auto"/>
              </w:rPr>
            </w:pPr>
          </w:p>
        </w:tc>
        <w:tc>
          <w:tcPr>
            <w:tcW w:w="2460" w:type="dxa"/>
            <w:vAlign w:val="bottom"/>
          </w:tcPr>
          <w:p>
            <w:pPr>
              <w:spacing w:after="0"/>
              <w:rPr>
                <w:sz w:val="24"/>
                <w:szCs w:val="24"/>
                <w:color w:val="auto"/>
              </w:rPr>
            </w:pPr>
          </w:p>
        </w:tc>
        <w:tc>
          <w:tcPr>
            <w:tcW w:w="7300" w:type="dxa"/>
            <w:vAlign w:val="bottom"/>
            <w:gridSpan w:val="11"/>
          </w:tcPr>
          <w:p>
            <w:pPr>
              <w:jc w:val="center"/>
              <w:ind w:right="3500"/>
              <w:spacing w:after="0"/>
              <w:rPr>
                <w:sz w:val="20"/>
                <w:szCs w:val="20"/>
                <w:color w:val="auto"/>
              </w:rPr>
            </w:pPr>
            <w:r>
              <w:rPr>
                <w:rFonts w:ascii="Arial" w:cs="Arial" w:eastAsia="Arial" w:hAnsi="Arial"/>
                <w:sz w:val="18"/>
                <w:szCs w:val="18"/>
                <w:b w:val="1"/>
                <w:bCs w:val="1"/>
                <w:color w:val="auto"/>
              </w:rPr>
              <w:t>INDEX TO FINANCIAL STATEMENTS</w:t>
            </w:r>
          </w:p>
        </w:tc>
        <w:tc>
          <w:tcPr>
            <w:tcW w:w="24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432"/>
        </w:trPr>
        <w:tc>
          <w:tcPr>
            <w:tcW w:w="36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24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800" w:type="dxa"/>
            <w:vAlign w:val="bottom"/>
            <w:gridSpan w:val="9"/>
          </w:tcPr>
          <w:p>
            <w:pPr>
              <w:jc w:val="center"/>
              <w:ind w:right="4020"/>
              <w:spacing w:after="0"/>
              <w:rPr>
                <w:sz w:val="20"/>
                <w:szCs w:val="20"/>
                <w:color w:val="auto"/>
              </w:rPr>
            </w:pPr>
            <w:r>
              <w:rPr>
                <w:rFonts w:ascii="Arial" w:cs="Arial" w:eastAsia="Arial" w:hAnsi="Arial"/>
                <w:sz w:val="18"/>
                <w:szCs w:val="18"/>
                <w:b w:val="1"/>
                <w:bCs w:val="1"/>
                <w:color w:val="auto"/>
              </w:rPr>
              <w:t>TIMKENSTEEL CORPORATION</w:t>
            </w:r>
          </w:p>
        </w:tc>
        <w:tc>
          <w:tcPr>
            <w:tcW w:w="24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432"/>
        </w:trPr>
        <w:tc>
          <w:tcPr>
            <w:tcW w:w="36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9760" w:type="dxa"/>
            <w:vAlign w:val="bottom"/>
            <w:gridSpan w:val="12"/>
          </w:tcPr>
          <w:p>
            <w:pPr>
              <w:jc w:val="center"/>
              <w:ind w:right="1040"/>
              <w:spacing w:after="0"/>
              <w:rPr>
                <w:sz w:val="20"/>
                <w:szCs w:val="20"/>
                <w:color w:val="auto"/>
              </w:rPr>
            </w:pPr>
            <w:r>
              <w:rPr>
                <w:rFonts w:ascii="Arial" w:cs="Arial" w:eastAsia="Arial" w:hAnsi="Arial"/>
                <w:sz w:val="18"/>
                <w:szCs w:val="18"/>
                <w:b w:val="1"/>
                <w:bCs w:val="1"/>
                <w:color w:val="auto"/>
              </w:rPr>
              <w:t>INDEX TO CONSOLIDATED FINANCIAL STATEMENTS</w:t>
            </w:r>
          </w:p>
        </w:tc>
        <w:tc>
          <w:tcPr>
            <w:tcW w:w="24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459"/>
        </w:trPr>
        <w:tc>
          <w:tcPr>
            <w:tcW w:w="11120" w:type="dxa"/>
            <w:vAlign w:val="bottom"/>
            <w:gridSpan w:val="14"/>
          </w:tcPr>
          <w:p>
            <w:pPr>
              <w:spacing w:after="0"/>
              <w:rPr>
                <w:sz w:val="20"/>
                <w:szCs w:val="20"/>
                <w:color w:val="auto"/>
              </w:rPr>
            </w:pPr>
            <w:r>
              <w:rPr>
                <w:rFonts w:ascii="Arial" w:cs="Arial" w:eastAsia="Arial" w:hAnsi="Arial"/>
                <w:sz w:val="18"/>
                <w:szCs w:val="18"/>
                <w:b w:val="1"/>
                <w:bCs w:val="1"/>
                <w:color w:val="auto"/>
              </w:rPr>
              <w:t>Audited Consolidated Financial Statements of TimkenSteel Corporation and Subsidiaries</w:t>
            </w:r>
          </w:p>
        </w:tc>
        <w:tc>
          <w:tcPr>
            <w:tcW w:w="24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243"/>
        </w:trPr>
        <w:tc>
          <w:tcPr>
            <w:tcW w:w="360" w:type="dxa"/>
            <w:vAlign w:val="bottom"/>
          </w:tcPr>
          <w:p>
            <w:pPr>
              <w:spacing w:after="0"/>
              <w:rPr>
                <w:sz w:val="21"/>
                <w:szCs w:val="21"/>
                <w:color w:val="auto"/>
              </w:rPr>
            </w:pPr>
          </w:p>
        </w:tc>
        <w:tc>
          <w:tcPr>
            <w:tcW w:w="10760" w:type="dxa"/>
            <w:vAlign w:val="bottom"/>
            <w:gridSpan w:val="13"/>
          </w:tcPr>
          <w:p>
            <w:pPr>
              <w:spacing w:after="0"/>
              <w:rPr>
                <w:rFonts w:ascii="Arial" w:cs="Arial" w:eastAsia="Arial" w:hAnsi="Arial"/>
                <w:sz w:val="18"/>
                <w:szCs w:val="18"/>
                <w:color w:val="0000EE"/>
              </w:rPr>
            </w:pPr>
            <w:hyperlink w:anchor="page109">
              <w:r>
                <w:rPr>
                  <w:rFonts w:ascii="Arial" w:cs="Arial" w:eastAsia="Arial" w:hAnsi="Arial"/>
                  <w:sz w:val="18"/>
                  <w:szCs w:val="18"/>
                  <w:color w:val="0000EE"/>
                </w:rPr>
                <w:t>Report of Independent Registered Public Accounting Firm</w:t>
              </w:r>
            </w:hyperlink>
          </w:p>
        </w:tc>
        <w:tc>
          <w:tcPr>
            <w:tcW w:w="280" w:type="dxa"/>
            <w:vAlign w:val="bottom"/>
            <w:gridSpan w:val="2"/>
          </w:tcPr>
          <w:p>
            <w:pPr>
              <w:jc w:val="center"/>
              <w:ind w:right="40"/>
              <w:spacing w:after="0"/>
              <w:rPr>
                <w:sz w:val="20"/>
                <w:szCs w:val="20"/>
                <w:color w:val="auto"/>
              </w:rPr>
            </w:pPr>
            <w:r>
              <w:rPr>
                <w:rFonts w:ascii="Arial" w:cs="Arial" w:eastAsia="Arial" w:hAnsi="Arial"/>
                <w:sz w:val="18"/>
                <w:szCs w:val="18"/>
                <w:color w:val="auto"/>
                <w:w w:val="88"/>
              </w:rPr>
              <w:t>F-2</w:t>
            </w:r>
          </w:p>
        </w:tc>
      </w:tr>
      <w:tr>
        <w:trPr>
          <w:trHeight w:val="20"/>
        </w:trPr>
        <w:tc>
          <w:tcPr>
            <w:tcW w:w="360" w:type="dxa"/>
            <w:vAlign w:val="bottom"/>
          </w:tcPr>
          <w:p>
            <w:pPr>
              <w:spacing w:after="0" w:line="20" w:lineRule="exact"/>
              <w:rPr>
                <w:sz w:val="1"/>
                <w:szCs w:val="1"/>
                <w:color w:val="auto"/>
              </w:rPr>
            </w:pPr>
          </w:p>
        </w:tc>
        <w:tc>
          <w:tcPr>
            <w:tcW w:w="3460" w:type="dxa"/>
            <w:vAlign w:val="bottom"/>
            <w:gridSpan w:val="2"/>
            <w:shd w:val="clear" w:color="auto" w:fill="0000EE"/>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92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264"/>
        </w:trPr>
        <w:tc>
          <w:tcPr>
            <w:tcW w:w="360" w:type="dxa"/>
            <w:vAlign w:val="bottom"/>
          </w:tcPr>
          <w:p>
            <w:pPr>
              <w:spacing w:after="0"/>
              <w:rPr>
                <w:sz w:val="22"/>
                <w:szCs w:val="22"/>
                <w:color w:val="auto"/>
              </w:rPr>
            </w:pPr>
          </w:p>
        </w:tc>
        <w:tc>
          <w:tcPr>
            <w:tcW w:w="7840" w:type="dxa"/>
            <w:vAlign w:val="bottom"/>
            <w:gridSpan w:val="12"/>
          </w:tcPr>
          <w:p>
            <w:pPr>
              <w:spacing w:after="0"/>
              <w:rPr>
                <w:rFonts w:ascii="Arial" w:cs="Arial" w:eastAsia="Arial" w:hAnsi="Arial"/>
                <w:sz w:val="18"/>
                <w:szCs w:val="18"/>
                <w:color w:val="0000EE"/>
                <w:w w:val="89"/>
              </w:rPr>
            </w:pPr>
            <w:hyperlink w:anchor="page110">
              <w:r>
                <w:rPr>
                  <w:rFonts w:ascii="Arial" w:cs="Arial" w:eastAsia="Arial" w:hAnsi="Arial"/>
                  <w:sz w:val="18"/>
                  <w:szCs w:val="18"/>
                  <w:color w:val="0000EE"/>
                  <w:w w:val="89"/>
                </w:rPr>
                <w:t>Consolidated Statements of Comprehensive Income for the Years Ended December 31, 2013, 2012 and 2011</w:t>
              </w:r>
            </w:hyperlink>
          </w:p>
        </w:tc>
        <w:tc>
          <w:tcPr>
            <w:tcW w:w="2920" w:type="dxa"/>
            <w:vAlign w:val="bottom"/>
          </w:tcPr>
          <w:p>
            <w:pPr>
              <w:spacing w:after="0"/>
              <w:rPr>
                <w:sz w:val="22"/>
                <w:szCs w:val="22"/>
                <w:color w:val="auto"/>
              </w:rPr>
            </w:pPr>
          </w:p>
        </w:tc>
        <w:tc>
          <w:tcPr>
            <w:tcW w:w="280" w:type="dxa"/>
            <w:vAlign w:val="bottom"/>
            <w:gridSpan w:val="2"/>
          </w:tcPr>
          <w:p>
            <w:pPr>
              <w:jc w:val="center"/>
              <w:ind w:right="40"/>
              <w:spacing w:after="0"/>
              <w:rPr>
                <w:sz w:val="20"/>
                <w:szCs w:val="20"/>
                <w:color w:val="auto"/>
              </w:rPr>
            </w:pPr>
            <w:r>
              <w:rPr>
                <w:rFonts w:ascii="Arial" w:cs="Arial" w:eastAsia="Arial" w:hAnsi="Arial"/>
                <w:sz w:val="18"/>
                <w:szCs w:val="18"/>
                <w:color w:val="auto"/>
                <w:w w:val="88"/>
              </w:rPr>
              <w:t>F-3</w:t>
            </w:r>
          </w:p>
        </w:tc>
      </w:tr>
      <w:tr>
        <w:trPr>
          <w:trHeight w:val="20"/>
        </w:trPr>
        <w:tc>
          <w:tcPr>
            <w:tcW w:w="360" w:type="dxa"/>
            <w:vAlign w:val="bottom"/>
          </w:tcPr>
          <w:p>
            <w:pPr>
              <w:spacing w:after="0" w:line="20" w:lineRule="exact"/>
              <w:rPr>
                <w:sz w:val="1"/>
                <w:szCs w:val="1"/>
                <w:color w:val="auto"/>
              </w:rPr>
            </w:pPr>
          </w:p>
        </w:tc>
        <w:tc>
          <w:tcPr>
            <w:tcW w:w="3460" w:type="dxa"/>
            <w:vAlign w:val="bottom"/>
            <w:gridSpan w:val="2"/>
            <w:shd w:val="clear" w:color="auto" w:fill="0000EE"/>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700" w:type="dxa"/>
            <w:vAlign w:val="bottom"/>
            <w:gridSpan w:val="2"/>
            <w:shd w:val="clear" w:color="auto" w:fill="0000EE"/>
          </w:tcPr>
          <w:p>
            <w:pPr>
              <w:spacing w:after="0" w:line="20" w:lineRule="exact"/>
              <w:rPr>
                <w:sz w:val="1"/>
                <w:szCs w:val="1"/>
                <w:color w:val="auto"/>
              </w:rPr>
            </w:pPr>
          </w:p>
        </w:tc>
        <w:tc>
          <w:tcPr>
            <w:tcW w:w="780" w:type="dxa"/>
            <w:vAlign w:val="bottom"/>
            <w:shd w:val="clear" w:color="auto" w:fill="0000EE"/>
          </w:tcPr>
          <w:p>
            <w:pPr>
              <w:spacing w:after="0" w:line="20" w:lineRule="exact"/>
              <w:rPr>
                <w:sz w:val="1"/>
                <w:szCs w:val="1"/>
                <w:color w:val="auto"/>
              </w:rPr>
            </w:pPr>
          </w:p>
        </w:tc>
        <w:tc>
          <w:tcPr>
            <w:tcW w:w="142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64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292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264"/>
        </w:trPr>
        <w:tc>
          <w:tcPr>
            <w:tcW w:w="360" w:type="dxa"/>
            <w:vAlign w:val="bottom"/>
          </w:tcPr>
          <w:p>
            <w:pPr>
              <w:spacing w:after="0"/>
              <w:rPr>
                <w:sz w:val="22"/>
                <w:szCs w:val="22"/>
                <w:color w:val="auto"/>
              </w:rPr>
            </w:pPr>
          </w:p>
        </w:tc>
        <w:tc>
          <w:tcPr>
            <w:tcW w:w="4660" w:type="dxa"/>
            <w:vAlign w:val="bottom"/>
            <w:gridSpan w:val="6"/>
          </w:tcPr>
          <w:p>
            <w:pPr>
              <w:spacing w:after="0"/>
              <w:rPr>
                <w:rFonts w:ascii="Arial" w:cs="Arial" w:eastAsia="Arial" w:hAnsi="Arial"/>
                <w:sz w:val="18"/>
                <w:szCs w:val="18"/>
                <w:color w:val="0000EE"/>
                <w:w w:val="88"/>
              </w:rPr>
            </w:pPr>
            <w:hyperlink w:anchor="page111">
              <w:r>
                <w:rPr>
                  <w:rFonts w:ascii="Arial" w:cs="Arial" w:eastAsia="Arial" w:hAnsi="Arial"/>
                  <w:sz w:val="18"/>
                  <w:szCs w:val="18"/>
                  <w:color w:val="0000EE"/>
                  <w:w w:val="88"/>
                </w:rPr>
                <w:t>Consolidated Balance Sheets as of December 31, 2013 and 2012</w:t>
              </w:r>
            </w:hyperlink>
          </w:p>
        </w:tc>
        <w:tc>
          <w:tcPr>
            <w:tcW w:w="3180" w:type="dxa"/>
            <w:vAlign w:val="bottom"/>
            <w:gridSpan w:val="6"/>
          </w:tcPr>
          <w:p>
            <w:pPr>
              <w:spacing w:after="0"/>
              <w:rPr>
                <w:sz w:val="22"/>
                <w:szCs w:val="22"/>
                <w:color w:val="auto"/>
              </w:rPr>
            </w:pPr>
          </w:p>
        </w:tc>
        <w:tc>
          <w:tcPr>
            <w:tcW w:w="2920" w:type="dxa"/>
            <w:vAlign w:val="bottom"/>
          </w:tcPr>
          <w:p>
            <w:pPr>
              <w:spacing w:after="0"/>
              <w:rPr>
                <w:sz w:val="22"/>
                <w:szCs w:val="22"/>
                <w:color w:val="auto"/>
              </w:rPr>
            </w:pPr>
          </w:p>
        </w:tc>
        <w:tc>
          <w:tcPr>
            <w:tcW w:w="280" w:type="dxa"/>
            <w:vAlign w:val="bottom"/>
            <w:gridSpan w:val="2"/>
          </w:tcPr>
          <w:p>
            <w:pPr>
              <w:jc w:val="center"/>
              <w:ind w:right="40"/>
              <w:spacing w:after="0"/>
              <w:rPr>
                <w:sz w:val="20"/>
                <w:szCs w:val="20"/>
                <w:color w:val="auto"/>
              </w:rPr>
            </w:pPr>
            <w:r>
              <w:rPr>
                <w:rFonts w:ascii="Arial" w:cs="Arial" w:eastAsia="Arial" w:hAnsi="Arial"/>
                <w:sz w:val="18"/>
                <w:szCs w:val="18"/>
                <w:color w:val="auto"/>
                <w:w w:val="88"/>
              </w:rPr>
              <w:t>F-4</w:t>
            </w:r>
          </w:p>
        </w:tc>
      </w:tr>
      <w:tr>
        <w:trPr>
          <w:trHeight w:val="20"/>
        </w:trPr>
        <w:tc>
          <w:tcPr>
            <w:tcW w:w="360" w:type="dxa"/>
            <w:vAlign w:val="bottom"/>
          </w:tcPr>
          <w:p>
            <w:pPr>
              <w:spacing w:after="0" w:line="20" w:lineRule="exact"/>
              <w:rPr>
                <w:sz w:val="1"/>
                <w:szCs w:val="1"/>
                <w:color w:val="auto"/>
              </w:rPr>
            </w:pPr>
          </w:p>
        </w:tc>
        <w:tc>
          <w:tcPr>
            <w:tcW w:w="3460" w:type="dxa"/>
            <w:vAlign w:val="bottom"/>
            <w:gridSpan w:val="2"/>
            <w:shd w:val="clear" w:color="auto" w:fill="0000EE"/>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700" w:type="dxa"/>
            <w:vAlign w:val="bottom"/>
            <w:gridSpan w:val="2"/>
            <w:shd w:val="clear" w:color="auto" w:fill="0000EE"/>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3020" w:type="dxa"/>
            <w:vAlign w:val="bottom"/>
            <w:gridSpan w:val="2"/>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264"/>
        </w:trPr>
        <w:tc>
          <w:tcPr>
            <w:tcW w:w="360" w:type="dxa"/>
            <w:vAlign w:val="bottom"/>
          </w:tcPr>
          <w:p>
            <w:pPr>
              <w:spacing w:after="0"/>
              <w:rPr>
                <w:sz w:val="22"/>
                <w:szCs w:val="22"/>
                <w:color w:val="auto"/>
              </w:rPr>
            </w:pPr>
          </w:p>
        </w:tc>
        <w:tc>
          <w:tcPr>
            <w:tcW w:w="10760" w:type="dxa"/>
            <w:vAlign w:val="bottom"/>
            <w:gridSpan w:val="13"/>
          </w:tcPr>
          <w:p>
            <w:pPr>
              <w:spacing w:after="0"/>
              <w:rPr>
                <w:rFonts w:ascii="Arial" w:cs="Arial" w:eastAsia="Arial" w:hAnsi="Arial"/>
                <w:sz w:val="18"/>
                <w:szCs w:val="18"/>
                <w:color w:val="0000EE"/>
              </w:rPr>
            </w:pPr>
            <w:hyperlink w:anchor="page112">
              <w:r>
                <w:rPr>
                  <w:rFonts w:ascii="Arial" w:cs="Arial" w:eastAsia="Arial" w:hAnsi="Arial"/>
                  <w:sz w:val="18"/>
                  <w:szCs w:val="18"/>
                  <w:color w:val="0000EE"/>
                </w:rPr>
                <w:t>Consolidated Statements of Cash Flows for the Years Ended December 31, 2013, 2012 and 2011</w:t>
              </w:r>
            </w:hyperlink>
          </w:p>
        </w:tc>
        <w:tc>
          <w:tcPr>
            <w:tcW w:w="280" w:type="dxa"/>
            <w:vAlign w:val="bottom"/>
            <w:gridSpan w:val="2"/>
          </w:tcPr>
          <w:p>
            <w:pPr>
              <w:jc w:val="center"/>
              <w:ind w:right="40"/>
              <w:spacing w:after="0"/>
              <w:rPr>
                <w:sz w:val="20"/>
                <w:szCs w:val="20"/>
                <w:color w:val="auto"/>
              </w:rPr>
            </w:pPr>
            <w:r>
              <w:rPr>
                <w:rFonts w:ascii="Arial" w:cs="Arial" w:eastAsia="Arial" w:hAnsi="Arial"/>
                <w:sz w:val="18"/>
                <w:szCs w:val="18"/>
                <w:color w:val="auto"/>
                <w:w w:val="88"/>
              </w:rPr>
              <w:t>F-5</w:t>
            </w:r>
          </w:p>
        </w:tc>
      </w:tr>
      <w:tr>
        <w:trPr>
          <w:trHeight w:val="20"/>
        </w:trPr>
        <w:tc>
          <w:tcPr>
            <w:tcW w:w="360" w:type="dxa"/>
            <w:vAlign w:val="bottom"/>
          </w:tcPr>
          <w:p>
            <w:pPr>
              <w:spacing w:after="0" w:line="20" w:lineRule="exact"/>
              <w:rPr>
                <w:sz w:val="1"/>
                <w:szCs w:val="1"/>
                <w:color w:val="auto"/>
              </w:rPr>
            </w:pPr>
          </w:p>
        </w:tc>
        <w:tc>
          <w:tcPr>
            <w:tcW w:w="3460" w:type="dxa"/>
            <w:vAlign w:val="bottom"/>
            <w:gridSpan w:val="2"/>
            <w:shd w:val="clear" w:color="auto" w:fill="0000EE"/>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1480" w:type="dxa"/>
            <w:vAlign w:val="bottom"/>
            <w:gridSpan w:val="3"/>
            <w:shd w:val="clear" w:color="auto" w:fill="0000EE"/>
          </w:tcPr>
          <w:p>
            <w:pPr>
              <w:spacing w:after="0" w:line="20" w:lineRule="exact"/>
              <w:rPr>
                <w:sz w:val="1"/>
                <w:szCs w:val="1"/>
                <w:color w:val="auto"/>
              </w:rPr>
            </w:pPr>
          </w:p>
        </w:tc>
        <w:tc>
          <w:tcPr>
            <w:tcW w:w="142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3020" w:type="dxa"/>
            <w:vAlign w:val="bottom"/>
            <w:gridSpan w:val="2"/>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264"/>
        </w:trPr>
        <w:tc>
          <w:tcPr>
            <w:tcW w:w="360" w:type="dxa"/>
            <w:vAlign w:val="bottom"/>
          </w:tcPr>
          <w:p>
            <w:pPr>
              <w:spacing w:after="0"/>
              <w:rPr>
                <w:sz w:val="22"/>
                <w:szCs w:val="22"/>
                <w:color w:val="auto"/>
              </w:rPr>
            </w:pPr>
          </w:p>
        </w:tc>
        <w:tc>
          <w:tcPr>
            <w:tcW w:w="10760" w:type="dxa"/>
            <w:vAlign w:val="bottom"/>
            <w:gridSpan w:val="13"/>
          </w:tcPr>
          <w:p>
            <w:pPr>
              <w:spacing w:after="0"/>
              <w:rPr>
                <w:rFonts w:ascii="Arial" w:cs="Arial" w:eastAsia="Arial" w:hAnsi="Arial"/>
                <w:sz w:val="18"/>
                <w:szCs w:val="18"/>
                <w:color w:val="0000EE"/>
              </w:rPr>
            </w:pPr>
            <w:hyperlink w:anchor="page113">
              <w:r>
                <w:rPr>
                  <w:rFonts w:ascii="Arial" w:cs="Arial" w:eastAsia="Arial" w:hAnsi="Arial"/>
                  <w:sz w:val="18"/>
                  <w:szCs w:val="18"/>
                  <w:color w:val="0000EE"/>
                </w:rPr>
                <w:t>Consolidated Statements of Parent Equity for the Years Ended December 31, 2013, 2012 and 2011</w:t>
              </w:r>
            </w:hyperlink>
          </w:p>
        </w:tc>
        <w:tc>
          <w:tcPr>
            <w:tcW w:w="280" w:type="dxa"/>
            <w:vAlign w:val="bottom"/>
            <w:gridSpan w:val="2"/>
          </w:tcPr>
          <w:p>
            <w:pPr>
              <w:jc w:val="center"/>
              <w:ind w:right="40"/>
              <w:spacing w:after="0"/>
              <w:rPr>
                <w:sz w:val="20"/>
                <w:szCs w:val="20"/>
                <w:color w:val="auto"/>
              </w:rPr>
            </w:pPr>
            <w:r>
              <w:rPr>
                <w:rFonts w:ascii="Arial" w:cs="Arial" w:eastAsia="Arial" w:hAnsi="Arial"/>
                <w:sz w:val="18"/>
                <w:szCs w:val="18"/>
                <w:color w:val="auto"/>
                <w:w w:val="88"/>
              </w:rPr>
              <w:t>F-6</w:t>
            </w:r>
          </w:p>
        </w:tc>
      </w:tr>
      <w:tr>
        <w:trPr>
          <w:trHeight w:val="20"/>
        </w:trPr>
        <w:tc>
          <w:tcPr>
            <w:tcW w:w="360" w:type="dxa"/>
            <w:vAlign w:val="bottom"/>
          </w:tcPr>
          <w:p>
            <w:pPr>
              <w:spacing w:after="0" w:line="20" w:lineRule="exact"/>
              <w:rPr>
                <w:sz w:val="1"/>
                <w:szCs w:val="1"/>
                <w:color w:val="auto"/>
              </w:rPr>
            </w:pPr>
          </w:p>
        </w:tc>
        <w:tc>
          <w:tcPr>
            <w:tcW w:w="3460" w:type="dxa"/>
            <w:vAlign w:val="bottom"/>
            <w:gridSpan w:val="2"/>
            <w:shd w:val="clear" w:color="auto" w:fill="0000EE"/>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1480" w:type="dxa"/>
            <w:vAlign w:val="bottom"/>
            <w:gridSpan w:val="3"/>
            <w:shd w:val="clear" w:color="auto" w:fill="0000EE"/>
          </w:tcPr>
          <w:p>
            <w:pPr>
              <w:spacing w:after="0" w:line="20" w:lineRule="exact"/>
              <w:rPr>
                <w:sz w:val="1"/>
                <w:szCs w:val="1"/>
                <w:color w:val="auto"/>
              </w:rPr>
            </w:pPr>
          </w:p>
        </w:tc>
        <w:tc>
          <w:tcPr>
            <w:tcW w:w="1420" w:type="dxa"/>
            <w:vAlign w:val="bottom"/>
            <w:shd w:val="clear" w:color="auto" w:fill="0000EE"/>
          </w:tcPr>
          <w:p>
            <w:pPr>
              <w:spacing w:after="0" w:line="20" w:lineRule="exact"/>
              <w:rPr>
                <w:sz w:val="1"/>
                <w:szCs w:val="1"/>
                <w:color w:val="auto"/>
              </w:rPr>
            </w:pPr>
          </w:p>
        </w:tc>
        <w:tc>
          <w:tcPr>
            <w:tcW w:w="240" w:type="dxa"/>
            <w:vAlign w:val="bottom"/>
            <w:gridSpan w:val="2"/>
            <w:shd w:val="clear" w:color="auto" w:fill="0000EE"/>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3020" w:type="dxa"/>
            <w:vAlign w:val="bottom"/>
            <w:gridSpan w:val="2"/>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264"/>
        </w:trPr>
        <w:tc>
          <w:tcPr>
            <w:tcW w:w="360" w:type="dxa"/>
            <w:vAlign w:val="bottom"/>
          </w:tcPr>
          <w:p>
            <w:pPr>
              <w:spacing w:after="0"/>
              <w:rPr>
                <w:sz w:val="22"/>
                <w:szCs w:val="22"/>
                <w:color w:val="auto"/>
              </w:rPr>
            </w:pPr>
          </w:p>
        </w:tc>
        <w:tc>
          <w:tcPr>
            <w:tcW w:w="7100" w:type="dxa"/>
            <w:vAlign w:val="bottom"/>
            <w:gridSpan w:val="10"/>
          </w:tcPr>
          <w:p>
            <w:pPr>
              <w:spacing w:after="0"/>
              <w:rPr>
                <w:rFonts w:ascii="Arial" w:cs="Arial" w:eastAsia="Arial" w:hAnsi="Arial"/>
                <w:sz w:val="18"/>
                <w:szCs w:val="18"/>
                <w:color w:val="0000EE"/>
              </w:rPr>
            </w:pPr>
            <w:hyperlink w:anchor="page114">
              <w:r>
                <w:rPr>
                  <w:rFonts w:ascii="Arial" w:cs="Arial" w:eastAsia="Arial" w:hAnsi="Arial"/>
                  <w:sz w:val="18"/>
                  <w:szCs w:val="18"/>
                  <w:color w:val="0000EE"/>
                </w:rPr>
                <w:t>Notes to Audited Consolidated Financial Statements</w:t>
              </w:r>
            </w:hyperlink>
          </w:p>
        </w:tc>
        <w:tc>
          <w:tcPr>
            <w:tcW w:w="3660" w:type="dxa"/>
            <w:vAlign w:val="bottom"/>
            <w:gridSpan w:val="3"/>
          </w:tcPr>
          <w:p>
            <w:pPr>
              <w:spacing w:after="0"/>
              <w:rPr>
                <w:sz w:val="22"/>
                <w:szCs w:val="22"/>
                <w:color w:val="auto"/>
              </w:rPr>
            </w:pPr>
          </w:p>
        </w:tc>
        <w:tc>
          <w:tcPr>
            <w:tcW w:w="280" w:type="dxa"/>
            <w:vAlign w:val="bottom"/>
            <w:gridSpan w:val="2"/>
          </w:tcPr>
          <w:p>
            <w:pPr>
              <w:jc w:val="center"/>
              <w:ind w:right="40"/>
              <w:spacing w:after="0"/>
              <w:rPr>
                <w:sz w:val="20"/>
                <w:szCs w:val="20"/>
                <w:color w:val="auto"/>
              </w:rPr>
            </w:pPr>
            <w:r>
              <w:rPr>
                <w:rFonts w:ascii="Arial" w:cs="Arial" w:eastAsia="Arial" w:hAnsi="Arial"/>
                <w:sz w:val="18"/>
                <w:szCs w:val="18"/>
                <w:color w:val="auto"/>
                <w:w w:val="88"/>
              </w:rPr>
              <w:t>F-7</w:t>
            </w:r>
          </w:p>
        </w:tc>
      </w:tr>
      <w:tr>
        <w:trPr>
          <w:trHeight w:val="20"/>
        </w:trPr>
        <w:tc>
          <w:tcPr>
            <w:tcW w:w="360" w:type="dxa"/>
            <w:vAlign w:val="bottom"/>
          </w:tcPr>
          <w:p>
            <w:pPr>
              <w:spacing w:after="0" w:line="20" w:lineRule="exact"/>
              <w:rPr>
                <w:sz w:val="1"/>
                <w:szCs w:val="1"/>
                <w:color w:val="auto"/>
              </w:rPr>
            </w:pPr>
          </w:p>
        </w:tc>
        <w:tc>
          <w:tcPr>
            <w:tcW w:w="3460" w:type="dxa"/>
            <w:vAlign w:val="bottom"/>
            <w:gridSpan w:val="2"/>
            <w:shd w:val="clear" w:color="auto" w:fill="0000EE"/>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80" w:type="dxa"/>
            <w:vAlign w:val="bottom"/>
            <w:gridSpan w:val="3"/>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c>
          <w:tcPr>
            <w:tcW w:w="880" w:type="dxa"/>
            <w:vAlign w:val="bottom"/>
            <w:gridSpan w:val="3"/>
          </w:tcPr>
          <w:p>
            <w:pPr>
              <w:spacing w:after="0" w:line="20" w:lineRule="exact"/>
              <w:rPr>
                <w:sz w:val="1"/>
                <w:szCs w:val="1"/>
                <w:color w:val="auto"/>
              </w:rPr>
            </w:pPr>
          </w:p>
        </w:tc>
        <w:tc>
          <w:tcPr>
            <w:tcW w:w="3020" w:type="dxa"/>
            <w:vAlign w:val="bottom"/>
            <w:gridSpan w:val="2"/>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264"/>
        </w:trPr>
        <w:tc>
          <w:tcPr>
            <w:tcW w:w="360" w:type="dxa"/>
            <w:vAlign w:val="bottom"/>
          </w:tcPr>
          <w:p>
            <w:pPr>
              <w:spacing w:after="0"/>
              <w:rPr>
                <w:sz w:val="22"/>
                <w:szCs w:val="22"/>
                <w:color w:val="auto"/>
              </w:rPr>
            </w:pPr>
          </w:p>
        </w:tc>
        <w:tc>
          <w:tcPr>
            <w:tcW w:w="3780" w:type="dxa"/>
            <w:vAlign w:val="bottom"/>
            <w:gridSpan w:val="3"/>
          </w:tcPr>
          <w:p>
            <w:pPr>
              <w:spacing w:after="0"/>
              <w:rPr>
                <w:rFonts w:ascii="Arial" w:cs="Arial" w:eastAsia="Arial" w:hAnsi="Arial"/>
                <w:sz w:val="18"/>
                <w:szCs w:val="18"/>
                <w:color w:val="0000EE"/>
              </w:rPr>
            </w:pPr>
            <w:hyperlink w:anchor="page130">
              <w:r>
                <w:rPr>
                  <w:rFonts w:ascii="Arial" w:cs="Arial" w:eastAsia="Arial" w:hAnsi="Arial"/>
                  <w:sz w:val="18"/>
                  <w:szCs w:val="18"/>
                  <w:color w:val="0000EE"/>
                </w:rPr>
                <w:t>Schedule II, Valuation and Qualifying Accounts</w:t>
              </w:r>
            </w:hyperlink>
          </w:p>
        </w:tc>
        <w:tc>
          <w:tcPr>
            <w:tcW w:w="6980" w:type="dxa"/>
            <w:vAlign w:val="bottom"/>
            <w:gridSpan w:val="10"/>
          </w:tcPr>
          <w:p>
            <w:pPr>
              <w:spacing w:after="0"/>
              <w:rPr>
                <w:sz w:val="22"/>
                <w:szCs w:val="22"/>
                <w:color w:val="auto"/>
              </w:rPr>
            </w:pPr>
          </w:p>
        </w:tc>
        <w:tc>
          <w:tcPr>
            <w:tcW w:w="280" w:type="dxa"/>
            <w:vAlign w:val="bottom"/>
            <w:gridSpan w:val="2"/>
          </w:tcPr>
          <w:p>
            <w:pPr>
              <w:jc w:val="center"/>
              <w:spacing w:after="0"/>
              <w:rPr>
                <w:sz w:val="20"/>
                <w:szCs w:val="20"/>
                <w:color w:val="auto"/>
              </w:rPr>
            </w:pPr>
            <w:r>
              <w:rPr>
                <w:rFonts w:ascii="Arial" w:cs="Arial" w:eastAsia="Arial" w:hAnsi="Arial"/>
                <w:sz w:val="18"/>
                <w:szCs w:val="18"/>
                <w:color w:val="auto"/>
                <w:w w:val="75"/>
              </w:rPr>
              <w:t>F-23</w:t>
            </w:r>
          </w:p>
        </w:tc>
      </w:tr>
      <w:tr>
        <w:trPr>
          <w:trHeight w:val="20"/>
        </w:trPr>
        <w:tc>
          <w:tcPr>
            <w:tcW w:w="360" w:type="dxa"/>
            <w:vAlign w:val="bottom"/>
          </w:tcPr>
          <w:p>
            <w:pPr>
              <w:spacing w:after="0" w:line="20" w:lineRule="exact"/>
              <w:rPr>
                <w:sz w:val="1"/>
                <w:szCs w:val="1"/>
                <w:color w:val="auto"/>
              </w:rPr>
            </w:pPr>
          </w:p>
        </w:tc>
        <w:tc>
          <w:tcPr>
            <w:tcW w:w="3460" w:type="dxa"/>
            <w:vAlign w:val="bottom"/>
            <w:gridSpan w:val="2"/>
            <w:shd w:val="clear" w:color="auto" w:fill="0000EE"/>
          </w:tcPr>
          <w:p>
            <w:pPr>
              <w:spacing w:after="0" w:line="20" w:lineRule="exact"/>
              <w:rPr>
                <w:sz w:val="1"/>
                <w:szCs w:val="1"/>
                <w:color w:val="auto"/>
              </w:rPr>
            </w:pPr>
          </w:p>
        </w:tc>
        <w:tc>
          <w:tcPr>
            <w:tcW w:w="500" w:type="dxa"/>
            <w:vAlign w:val="bottom"/>
            <w:gridSpan w:val="2"/>
          </w:tcPr>
          <w:p>
            <w:pPr>
              <w:spacing w:after="0" w:line="20" w:lineRule="exact"/>
              <w:rPr>
                <w:sz w:val="1"/>
                <w:szCs w:val="1"/>
                <w:color w:val="auto"/>
              </w:rPr>
            </w:pPr>
          </w:p>
        </w:tc>
        <w:tc>
          <w:tcPr>
            <w:tcW w:w="1480" w:type="dxa"/>
            <w:vAlign w:val="bottom"/>
            <w:gridSpan w:val="3"/>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c>
          <w:tcPr>
            <w:tcW w:w="880" w:type="dxa"/>
            <w:vAlign w:val="bottom"/>
            <w:gridSpan w:val="3"/>
          </w:tcPr>
          <w:p>
            <w:pPr>
              <w:spacing w:after="0" w:line="20" w:lineRule="exact"/>
              <w:rPr>
                <w:sz w:val="1"/>
                <w:szCs w:val="1"/>
                <w:color w:val="auto"/>
              </w:rPr>
            </w:pPr>
          </w:p>
        </w:tc>
        <w:tc>
          <w:tcPr>
            <w:tcW w:w="3020" w:type="dxa"/>
            <w:vAlign w:val="bottom"/>
            <w:tcBorders>
              <w:right w:val="single" w:sz="8" w:color="auto"/>
            </w:tcBorders>
            <w:gridSpan w:val="2"/>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40" w:type="dxa"/>
            <w:vAlign w:val="bottom"/>
            <w:shd w:val="clear" w:color="auto" w:fill="000000"/>
          </w:tcPr>
          <w:p>
            <w:pPr>
              <w:spacing w:after="0" w:line="20" w:lineRule="exact"/>
              <w:rPr>
                <w:sz w:val="1"/>
                <w:szCs w:val="1"/>
                <w:color w:val="auto"/>
              </w:rPr>
            </w:pPr>
          </w:p>
        </w:tc>
      </w:tr>
      <w:tr>
        <w:trPr>
          <w:trHeight w:val="345"/>
        </w:trPr>
        <w:tc>
          <w:tcPr>
            <w:tcW w:w="11120" w:type="dxa"/>
            <w:vAlign w:val="bottom"/>
            <w:gridSpan w:val="14"/>
          </w:tcPr>
          <w:p>
            <w:pPr>
              <w:spacing w:after="0"/>
              <w:rPr>
                <w:sz w:val="20"/>
                <w:szCs w:val="20"/>
                <w:color w:val="auto"/>
              </w:rPr>
            </w:pPr>
            <w:r>
              <w:rPr>
                <w:rFonts w:ascii="Arial" w:cs="Arial" w:eastAsia="Arial" w:hAnsi="Arial"/>
                <w:sz w:val="18"/>
                <w:szCs w:val="18"/>
                <w:b w:val="1"/>
                <w:bCs w:val="1"/>
                <w:color w:val="auto"/>
              </w:rPr>
              <w:t>Unaudited Consolidated Financial Statements of TimkenSteel Corporation and Subsidiaries</w:t>
            </w:r>
          </w:p>
        </w:tc>
        <w:tc>
          <w:tcPr>
            <w:tcW w:w="24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243"/>
        </w:trPr>
        <w:tc>
          <w:tcPr>
            <w:tcW w:w="360" w:type="dxa"/>
            <w:vAlign w:val="bottom"/>
          </w:tcPr>
          <w:p>
            <w:pPr>
              <w:spacing w:after="0"/>
              <w:rPr>
                <w:sz w:val="21"/>
                <w:szCs w:val="21"/>
                <w:color w:val="auto"/>
              </w:rPr>
            </w:pPr>
          </w:p>
        </w:tc>
        <w:tc>
          <w:tcPr>
            <w:tcW w:w="7740" w:type="dxa"/>
            <w:vAlign w:val="bottom"/>
            <w:tcBorders>
              <w:bottom w:val="single" w:sz="8" w:color="0000EE"/>
            </w:tcBorders>
            <w:gridSpan w:val="11"/>
          </w:tcPr>
          <w:p>
            <w:pPr>
              <w:spacing w:after="0"/>
              <w:rPr>
                <w:rFonts w:ascii="Arial" w:cs="Arial" w:eastAsia="Arial" w:hAnsi="Arial"/>
                <w:sz w:val="18"/>
                <w:szCs w:val="18"/>
                <w:color w:val="0000EE"/>
                <w:w w:val="90"/>
              </w:rPr>
            </w:pPr>
            <w:hyperlink w:anchor="page131">
              <w:r>
                <w:rPr>
                  <w:rFonts w:ascii="Arial" w:cs="Arial" w:eastAsia="Arial" w:hAnsi="Arial"/>
                  <w:sz w:val="18"/>
                  <w:szCs w:val="18"/>
                  <w:color w:val="0000EE"/>
                  <w:w w:val="90"/>
                </w:rPr>
                <w:t>Consolidated Statements of Comprehensive Income for the Three Months Ended March 31, 2014 and 2013</w:t>
              </w:r>
            </w:hyperlink>
          </w:p>
        </w:tc>
        <w:tc>
          <w:tcPr>
            <w:tcW w:w="3020" w:type="dxa"/>
            <w:vAlign w:val="bottom"/>
            <w:gridSpan w:val="2"/>
          </w:tcPr>
          <w:p>
            <w:pPr>
              <w:spacing w:after="0"/>
              <w:rPr>
                <w:sz w:val="21"/>
                <w:szCs w:val="21"/>
                <w:color w:val="auto"/>
              </w:rPr>
            </w:pPr>
          </w:p>
        </w:tc>
        <w:tc>
          <w:tcPr>
            <w:tcW w:w="280" w:type="dxa"/>
            <w:vAlign w:val="bottom"/>
            <w:tcBorders>
              <w:bottom w:val="single" w:sz="8" w:color="auto"/>
            </w:tcBorders>
            <w:gridSpan w:val="2"/>
          </w:tcPr>
          <w:p>
            <w:pPr>
              <w:jc w:val="center"/>
              <w:spacing w:after="0"/>
              <w:rPr>
                <w:sz w:val="20"/>
                <w:szCs w:val="20"/>
                <w:color w:val="auto"/>
              </w:rPr>
            </w:pPr>
            <w:r>
              <w:rPr>
                <w:rFonts w:ascii="Arial" w:cs="Arial" w:eastAsia="Arial" w:hAnsi="Arial"/>
                <w:sz w:val="18"/>
                <w:szCs w:val="18"/>
                <w:color w:val="auto"/>
                <w:w w:val="75"/>
              </w:rPr>
              <w:t>F-24</w:t>
            </w:r>
          </w:p>
        </w:tc>
      </w:tr>
      <w:tr>
        <w:trPr>
          <w:trHeight w:val="264"/>
        </w:trPr>
        <w:tc>
          <w:tcPr>
            <w:tcW w:w="360" w:type="dxa"/>
            <w:vAlign w:val="bottom"/>
          </w:tcPr>
          <w:p>
            <w:pPr>
              <w:spacing w:after="0"/>
              <w:rPr>
                <w:sz w:val="22"/>
                <w:szCs w:val="22"/>
                <w:color w:val="auto"/>
              </w:rPr>
            </w:pPr>
          </w:p>
        </w:tc>
        <w:tc>
          <w:tcPr>
            <w:tcW w:w="10760" w:type="dxa"/>
            <w:vAlign w:val="bottom"/>
            <w:gridSpan w:val="13"/>
          </w:tcPr>
          <w:p>
            <w:pPr>
              <w:spacing w:after="0"/>
              <w:rPr>
                <w:rFonts w:ascii="Arial" w:cs="Arial" w:eastAsia="Arial" w:hAnsi="Arial"/>
                <w:sz w:val="18"/>
                <w:szCs w:val="18"/>
                <w:color w:val="0000EE"/>
              </w:rPr>
            </w:pPr>
            <w:hyperlink w:anchor="page132">
              <w:r>
                <w:rPr>
                  <w:rFonts w:ascii="Arial" w:cs="Arial" w:eastAsia="Arial" w:hAnsi="Arial"/>
                  <w:sz w:val="18"/>
                  <w:szCs w:val="18"/>
                  <w:color w:val="0000EE"/>
                </w:rPr>
                <w:t>Consolidated Balance Sheets as of March 31, 2014 and December 31, 2013</w:t>
              </w:r>
            </w:hyperlink>
          </w:p>
        </w:tc>
        <w:tc>
          <w:tcPr>
            <w:tcW w:w="280" w:type="dxa"/>
            <w:vAlign w:val="bottom"/>
            <w:gridSpan w:val="2"/>
          </w:tcPr>
          <w:p>
            <w:pPr>
              <w:jc w:val="center"/>
              <w:spacing w:after="0"/>
              <w:rPr>
                <w:sz w:val="20"/>
                <w:szCs w:val="20"/>
                <w:color w:val="auto"/>
              </w:rPr>
            </w:pPr>
            <w:r>
              <w:rPr>
                <w:rFonts w:ascii="Arial" w:cs="Arial" w:eastAsia="Arial" w:hAnsi="Arial"/>
                <w:sz w:val="18"/>
                <w:szCs w:val="18"/>
                <w:color w:val="auto"/>
                <w:w w:val="75"/>
              </w:rPr>
              <w:t>F-25</w:t>
            </w:r>
          </w:p>
        </w:tc>
      </w:tr>
      <w:tr>
        <w:trPr>
          <w:trHeight w:val="20"/>
        </w:trPr>
        <w:tc>
          <w:tcPr>
            <w:tcW w:w="360" w:type="dxa"/>
            <w:vAlign w:val="bottom"/>
          </w:tcPr>
          <w:p>
            <w:pPr>
              <w:spacing w:after="0" w:line="20" w:lineRule="exact"/>
              <w:rPr>
                <w:sz w:val="1"/>
                <w:szCs w:val="1"/>
                <w:color w:val="auto"/>
              </w:rPr>
            </w:pPr>
          </w:p>
        </w:tc>
        <w:tc>
          <w:tcPr>
            <w:tcW w:w="3960" w:type="dxa"/>
            <w:vAlign w:val="bottom"/>
            <w:gridSpan w:val="4"/>
            <w:shd w:val="clear" w:color="auto" w:fill="0000EE"/>
          </w:tcPr>
          <w:p>
            <w:pPr>
              <w:spacing w:after="0" w:line="20" w:lineRule="exact"/>
              <w:rPr>
                <w:sz w:val="1"/>
                <w:szCs w:val="1"/>
                <w:color w:val="auto"/>
              </w:rPr>
            </w:pPr>
          </w:p>
        </w:tc>
        <w:tc>
          <w:tcPr>
            <w:tcW w:w="1480" w:type="dxa"/>
            <w:vAlign w:val="bottom"/>
            <w:gridSpan w:val="3"/>
            <w:shd w:val="clear" w:color="auto" w:fill="0000EE"/>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c>
          <w:tcPr>
            <w:tcW w:w="3900" w:type="dxa"/>
            <w:vAlign w:val="bottom"/>
            <w:tcBorders>
              <w:right w:val="single" w:sz="8" w:color="auto"/>
            </w:tcBorders>
            <w:gridSpan w:val="5"/>
          </w:tcPr>
          <w:p>
            <w:pPr>
              <w:spacing w:after="0" w:line="20" w:lineRule="exact"/>
              <w:rPr>
                <w:sz w:val="1"/>
                <w:szCs w:val="1"/>
                <w:color w:val="auto"/>
              </w:rPr>
            </w:pPr>
          </w:p>
        </w:tc>
        <w:tc>
          <w:tcPr>
            <w:tcW w:w="280" w:type="dxa"/>
            <w:vAlign w:val="bottom"/>
            <w:gridSpan w:val="2"/>
            <w:shd w:val="clear" w:color="auto" w:fill="000000"/>
          </w:tcPr>
          <w:p>
            <w:pPr>
              <w:spacing w:after="0" w:line="20" w:lineRule="exact"/>
              <w:rPr>
                <w:sz w:val="1"/>
                <w:szCs w:val="1"/>
                <w:color w:val="auto"/>
              </w:rPr>
            </w:pPr>
          </w:p>
        </w:tc>
      </w:tr>
      <w:tr>
        <w:trPr>
          <w:trHeight w:val="264"/>
        </w:trPr>
        <w:tc>
          <w:tcPr>
            <w:tcW w:w="360" w:type="dxa"/>
            <w:vAlign w:val="bottom"/>
          </w:tcPr>
          <w:p>
            <w:pPr>
              <w:spacing w:after="0"/>
              <w:rPr>
                <w:sz w:val="22"/>
                <w:szCs w:val="22"/>
                <w:color w:val="auto"/>
              </w:rPr>
            </w:pPr>
          </w:p>
        </w:tc>
        <w:tc>
          <w:tcPr>
            <w:tcW w:w="10760" w:type="dxa"/>
            <w:vAlign w:val="bottom"/>
            <w:gridSpan w:val="13"/>
          </w:tcPr>
          <w:p>
            <w:pPr>
              <w:spacing w:after="0"/>
              <w:rPr>
                <w:rFonts w:ascii="Arial" w:cs="Arial" w:eastAsia="Arial" w:hAnsi="Arial"/>
                <w:sz w:val="18"/>
                <w:szCs w:val="18"/>
                <w:color w:val="0000EE"/>
              </w:rPr>
            </w:pPr>
            <w:hyperlink w:anchor="page133">
              <w:r>
                <w:rPr>
                  <w:rFonts w:ascii="Arial" w:cs="Arial" w:eastAsia="Arial" w:hAnsi="Arial"/>
                  <w:sz w:val="18"/>
                  <w:szCs w:val="18"/>
                  <w:color w:val="0000EE"/>
                </w:rPr>
                <w:t>Consolidated Statements of Cash Flows for the Three Months Ended March 31, 2014 and 2013</w:t>
              </w:r>
            </w:hyperlink>
          </w:p>
        </w:tc>
        <w:tc>
          <w:tcPr>
            <w:tcW w:w="280" w:type="dxa"/>
            <w:vAlign w:val="bottom"/>
            <w:gridSpan w:val="2"/>
          </w:tcPr>
          <w:p>
            <w:pPr>
              <w:jc w:val="center"/>
              <w:spacing w:after="0"/>
              <w:rPr>
                <w:sz w:val="20"/>
                <w:szCs w:val="20"/>
                <w:color w:val="auto"/>
              </w:rPr>
            </w:pPr>
            <w:r>
              <w:rPr>
                <w:rFonts w:ascii="Arial" w:cs="Arial" w:eastAsia="Arial" w:hAnsi="Arial"/>
                <w:sz w:val="18"/>
                <w:szCs w:val="18"/>
                <w:color w:val="auto"/>
                <w:w w:val="75"/>
              </w:rPr>
              <w:t>F-26</w:t>
            </w:r>
          </w:p>
        </w:tc>
      </w:tr>
      <w:tr>
        <w:trPr>
          <w:trHeight w:val="264"/>
        </w:trPr>
        <w:tc>
          <w:tcPr>
            <w:tcW w:w="360" w:type="dxa"/>
            <w:vAlign w:val="bottom"/>
          </w:tcPr>
          <w:p>
            <w:pPr>
              <w:spacing w:after="0"/>
              <w:rPr>
                <w:sz w:val="22"/>
                <w:szCs w:val="22"/>
                <w:color w:val="auto"/>
              </w:rPr>
            </w:pPr>
          </w:p>
        </w:tc>
        <w:tc>
          <w:tcPr>
            <w:tcW w:w="6860" w:type="dxa"/>
            <w:vAlign w:val="bottom"/>
            <w:tcBorders>
              <w:top w:val="single" w:sz="8" w:color="0000EE"/>
            </w:tcBorders>
            <w:gridSpan w:val="8"/>
          </w:tcPr>
          <w:p>
            <w:pPr>
              <w:spacing w:after="0"/>
              <w:rPr>
                <w:rFonts w:ascii="Arial" w:cs="Arial" w:eastAsia="Arial" w:hAnsi="Arial"/>
                <w:sz w:val="18"/>
                <w:szCs w:val="18"/>
                <w:color w:val="0000EE"/>
              </w:rPr>
            </w:pPr>
            <w:hyperlink w:anchor="page134">
              <w:r>
                <w:rPr>
                  <w:rFonts w:ascii="Arial" w:cs="Arial" w:eastAsia="Arial" w:hAnsi="Arial"/>
                  <w:sz w:val="18"/>
                  <w:szCs w:val="18"/>
                  <w:color w:val="0000EE"/>
                </w:rPr>
                <w:t>Notes to Unaudited Consolidated Financial Statements</w:t>
              </w:r>
            </w:hyperlink>
          </w:p>
        </w:tc>
        <w:tc>
          <w:tcPr>
            <w:tcW w:w="3900" w:type="dxa"/>
            <w:vAlign w:val="bottom"/>
            <w:gridSpan w:val="5"/>
          </w:tcPr>
          <w:p>
            <w:pPr>
              <w:spacing w:after="0"/>
              <w:rPr>
                <w:sz w:val="22"/>
                <w:szCs w:val="22"/>
                <w:color w:val="auto"/>
              </w:rPr>
            </w:pPr>
          </w:p>
        </w:tc>
        <w:tc>
          <w:tcPr>
            <w:tcW w:w="280" w:type="dxa"/>
            <w:vAlign w:val="bottom"/>
            <w:tcBorders>
              <w:top w:val="single" w:sz="8" w:color="auto"/>
            </w:tcBorders>
            <w:gridSpan w:val="2"/>
          </w:tcPr>
          <w:p>
            <w:pPr>
              <w:jc w:val="center"/>
              <w:spacing w:after="0"/>
              <w:rPr>
                <w:sz w:val="20"/>
                <w:szCs w:val="20"/>
                <w:color w:val="auto"/>
              </w:rPr>
            </w:pPr>
            <w:r>
              <w:rPr>
                <w:rFonts w:ascii="Arial" w:cs="Arial" w:eastAsia="Arial" w:hAnsi="Arial"/>
                <w:sz w:val="18"/>
                <w:szCs w:val="18"/>
                <w:color w:val="auto"/>
                <w:w w:val="75"/>
              </w:rPr>
              <w:t>F-27</w:t>
            </w:r>
          </w:p>
        </w:tc>
      </w:tr>
      <w:tr>
        <w:trPr>
          <w:trHeight w:val="385"/>
        </w:trPr>
        <w:tc>
          <w:tcPr>
            <w:tcW w:w="360" w:type="dxa"/>
            <w:vAlign w:val="bottom"/>
          </w:tcPr>
          <w:p>
            <w:pPr>
              <w:spacing w:after="0"/>
              <w:rPr>
                <w:sz w:val="24"/>
                <w:szCs w:val="24"/>
                <w:color w:val="auto"/>
              </w:rPr>
            </w:pPr>
          </w:p>
        </w:tc>
        <w:tc>
          <w:tcPr>
            <w:tcW w:w="1000" w:type="dxa"/>
            <w:vAlign w:val="bottom"/>
            <w:tcBorders>
              <w:top w:val="single" w:sz="8" w:color="0000EE"/>
            </w:tcBorders>
          </w:tcPr>
          <w:p>
            <w:pPr>
              <w:spacing w:after="0"/>
              <w:rPr>
                <w:sz w:val="24"/>
                <w:szCs w:val="24"/>
                <w:color w:val="auto"/>
              </w:rPr>
            </w:pPr>
          </w:p>
        </w:tc>
        <w:tc>
          <w:tcPr>
            <w:tcW w:w="2460" w:type="dxa"/>
            <w:vAlign w:val="bottom"/>
            <w:tcBorders>
              <w:top w:val="single" w:sz="8" w:color="0000EE"/>
            </w:tcBorders>
          </w:tcPr>
          <w:p>
            <w:pPr>
              <w:spacing w:after="0"/>
              <w:rPr>
                <w:sz w:val="24"/>
                <w:szCs w:val="24"/>
                <w:color w:val="auto"/>
              </w:rPr>
            </w:pPr>
          </w:p>
        </w:tc>
        <w:tc>
          <w:tcPr>
            <w:tcW w:w="320" w:type="dxa"/>
            <w:vAlign w:val="bottom"/>
            <w:tcBorders>
              <w:top w:val="single" w:sz="8" w:color="0000EE"/>
            </w:tcBorders>
          </w:tcPr>
          <w:p>
            <w:pPr>
              <w:spacing w:after="0"/>
              <w:rPr>
                <w:sz w:val="24"/>
                <w:szCs w:val="24"/>
                <w:color w:val="auto"/>
              </w:rPr>
            </w:pPr>
          </w:p>
        </w:tc>
        <w:tc>
          <w:tcPr>
            <w:tcW w:w="180" w:type="dxa"/>
            <w:vAlign w:val="bottom"/>
            <w:tcBorders>
              <w:top w:val="single" w:sz="8" w:color="0000EE"/>
            </w:tcBorders>
          </w:tcPr>
          <w:p>
            <w:pPr>
              <w:spacing w:after="0"/>
              <w:rPr>
                <w:sz w:val="24"/>
                <w:szCs w:val="24"/>
                <w:color w:val="auto"/>
              </w:rPr>
            </w:pPr>
          </w:p>
        </w:tc>
        <w:tc>
          <w:tcPr>
            <w:tcW w:w="2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6100" w:type="dxa"/>
            <w:vAlign w:val="bottom"/>
            <w:gridSpan w:val="7"/>
          </w:tcPr>
          <w:p>
            <w:pPr>
              <w:jc w:val="center"/>
              <w:ind w:right="4720"/>
              <w:spacing w:after="0"/>
              <w:rPr>
                <w:sz w:val="20"/>
                <w:szCs w:val="20"/>
                <w:color w:val="auto"/>
              </w:rPr>
            </w:pPr>
            <w:r>
              <w:rPr>
                <w:rFonts w:ascii="Arial" w:cs="Arial" w:eastAsia="Arial" w:hAnsi="Arial"/>
                <w:sz w:val="18"/>
                <w:szCs w:val="18"/>
                <w:color w:val="auto"/>
                <w:w w:val="96"/>
              </w:rPr>
              <w:t>F-1</w:t>
            </w:r>
          </w:p>
        </w:tc>
        <w:tc>
          <w:tcPr>
            <w:tcW w:w="240" w:type="dxa"/>
            <w:vAlign w:val="bottom"/>
            <w:tcBorders>
              <w:top w:val="single" w:sz="8" w:color="auto"/>
            </w:tcBorders>
          </w:tcPr>
          <w:p>
            <w:pPr>
              <w:spacing w:after="0"/>
              <w:rPr>
                <w:sz w:val="24"/>
                <w:szCs w:val="24"/>
                <w:color w:val="auto"/>
              </w:rPr>
            </w:pPr>
          </w:p>
        </w:tc>
        <w:tc>
          <w:tcPr>
            <w:tcW w:w="40" w:type="dxa"/>
            <w:vAlign w:val="bottom"/>
            <w:tcBorders>
              <w:top w:val="single" w:sz="8" w:color="auto"/>
            </w:tcBorders>
          </w:tcPr>
          <w:p>
            <w:pPr>
              <w:spacing w:after="0"/>
              <w:rPr>
                <w:sz w:val="24"/>
                <w:szCs w:val="24"/>
                <w:color w:val="auto"/>
              </w:rPr>
            </w:pPr>
          </w:p>
        </w:tc>
      </w:tr>
    </w:tbl>
    <w:p>
      <w:pPr>
        <w:spacing w:after="0"/>
        <w:rPr>
          <w:sz w:val="20"/>
          <w:szCs w:val="20"/>
          <w:color w:val="auto"/>
        </w:rPr>
        <w:sectPr>
          <w:pgSz w:w="11900" w:h="16838" w:orient="portrait"/>
          <w:cols w:equalWidth="0" w:num="1">
            <w:col w:w="11400"/>
          </w:cols>
          <w:pgMar w:left="240" w:top="446" w:right="259" w:bottom="1440" w:gutter="0" w:footer="0" w:header="0"/>
        </w:sectPr>
      </w:pPr>
      <w:r>
        <w:rPr>
          <w:sz w:val="20"/>
          <w:szCs w:val="20"/>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5">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p>
    <w:bookmarkStart w:id="108" w:name="page109"/>
    <w:bookmarkEnd w:id="10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6">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296"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Report of Independent Registered Public Accounting Firm</w:t>
      </w:r>
    </w:p>
    <w:p>
      <w:pPr>
        <w:spacing w:after="0" w:line="200" w:lineRule="exact"/>
        <w:rPr>
          <w:sz w:val="20"/>
          <w:szCs w:val="20"/>
          <w:color w:val="auto"/>
        </w:rPr>
      </w:pPr>
    </w:p>
    <w:p>
      <w:pPr>
        <w:spacing w:after="0" w:line="343" w:lineRule="exact"/>
        <w:rPr>
          <w:sz w:val="20"/>
          <w:szCs w:val="20"/>
          <w:color w:val="auto"/>
        </w:rPr>
      </w:pPr>
    </w:p>
    <w:p>
      <w:pPr>
        <w:spacing w:after="0"/>
        <w:rPr>
          <w:sz w:val="20"/>
          <w:szCs w:val="20"/>
          <w:color w:val="auto"/>
        </w:rPr>
      </w:pPr>
      <w:r>
        <w:rPr>
          <w:rFonts w:ascii="Arial" w:cs="Arial" w:eastAsia="Arial" w:hAnsi="Arial"/>
          <w:sz w:val="18"/>
          <w:szCs w:val="18"/>
          <w:color w:val="auto"/>
        </w:rPr>
        <w:t>To the Board of Directors and Shareholders of The Timken Company</w:t>
      </w:r>
    </w:p>
    <w:p>
      <w:pPr>
        <w:spacing w:after="0" w:line="374" w:lineRule="exact"/>
        <w:rPr>
          <w:sz w:val="20"/>
          <w:szCs w:val="20"/>
          <w:color w:val="auto"/>
        </w:rPr>
      </w:pPr>
    </w:p>
    <w:p>
      <w:pPr>
        <w:ind w:right="220"/>
        <w:spacing w:after="0" w:line="302" w:lineRule="auto"/>
        <w:rPr>
          <w:sz w:val="20"/>
          <w:szCs w:val="20"/>
          <w:color w:val="auto"/>
        </w:rPr>
      </w:pPr>
      <w:r>
        <w:rPr>
          <w:rFonts w:ascii="Arial" w:cs="Arial" w:eastAsia="Arial" w:hAnsi="Arial"/>
          <w:sz w:val="16"/>
          <w:szCs w:val="16"/>
          <w:color w:val="auto"/>
        </w:rPr>
        <w:t>We have audited the accompanying consolidated balance sheets of TimkenSteel Corporation and Subsidiaries as of December 31, 2013 and 2012, and the related consolidated statements of comprehensive income, parent equity and cash flows for each of the three years in the period ended December 31, 2013. Our audits also included the financial statement schedule included at F-23. These financial statements and schedule are the responsibility of the Company’s management. Our responsibility is to express an opinion on these financial statements and schedule based on our audits.</w:t>
      </w:r>
    </w:p>
    <w:p>
      <w:pPr>
        <w:spacing w:after="0" w:line="114" w:lineRule="exact"/>
        <w:rPr>
          <w:sz w:val="20"/>
          <w:szCs w:val="20"/>
          <w:color w:val="auto"/>
        </w:rPr>
      </w:pPr>
    </w:p>
    <w:p>
      <w:pPr>
        <w:spacing w:after="0" w:line="291" w:lineRule="auto"/>
        <w:rPr>
          <w:sz w:val="20"/>
          <w:szCs w:val="20"/>
          <w:color w:val="auto"/>
        </w:rPr>
      </w:pPr>
      <w:r>
        <w:rPr>
          <w:rFonts w:ascii="Arial" w:cs="Arial" w:eastAsia="Arial" w:hAnsi="Arial"/>
          <w:sz w:val="16"/>
          <w:szCs w:val="16"/>
          <w:color w:val="auto"/>
        </w:rPr>
        <w:t>We conducted our audits in accordance with the standards of the Public Company Accounting Oversight Board (United States). Those standards require that we plan and perform the audit to obtain reasonable assurance about whether the financial statements are free of material misstatement. We were not engaged to perform an audit of the Company’s internal control over financial reporting. Our audits included consideration of internal control over financial reporting as a basis for designing audit procedures that are appropriate in the circumstances, but not for the purpose of expressing an opinion on the effectiveness of the Company’s internal control over financial reporting. Accordingly, we express no such opinion. An audit also includes examining, on a test basis, evidence supporting the amounts and disclosures in the financial statements, assessing the accounting principles used and significant estimates made by management, and evaluating the overall financial statement presentation. We believe that our audits provide a reasonable basis for our opinion.</w:t>
      </w:r>
    </w:p>
    <w:p>
      <w:pPr>
        <w:spacing w:after="0" w:line="140" w:lineRule="exact"/>
        <w:rPr>
          <w:sz w:val="20"/>
          <w:szCs w:val="20"/>
          <w:color w:val="auto"/>
        </w:rPr>
      </w:pPr>
    </w:p>
    <w:p>
      <w:pPr>
        <w:ind w:right="240"/>
        <w:spacing w:after="0" w:line="257" w:lineRule="auto"/>
        <w:rPr>
          <w:sz w:val="20"/>
          <w:szCs w:val="20"/>
          <w:color w:val="auto"/>
        </w:rPr>
      </w:pPr>
      <w:r>
        <w:rPr>
          <w:rFonts w:ascii="Arial" w:cs="Arial" w:eastAsia="Arial" w:hAnsi="Arial"/>
          <w:sz w:val="18"/>
          <w:szCs w:val="18"/>
          <w:color w:val="auto"/>
        </w:rPr>
        <w:t>In our opinion, the consolidated financial statements referred to above present fairly, in all material respects, the consolidated financial position of TimkenSteel Corporation and Subsidiaries at December 31, 2013 and 2012, and the consolidated results of their operations and their cash flows for each of the three years in the period ended December 31, 2013 in conformity with U.S. generally accepted accounting principles. Also, in our opinion, the related financial statement schedule, when considered in relation to the basic financial statements taken as a whole, presents fairly in all material respects the information set forth therein.</w:t>
      </w:r>
    </w:p>
    <w:p>
      <w:pPr>
        <w:spacing w:after="0" w:line="200" w:lineRule="exact"/>
        <w:rPr>
          <w:sz w:val="20"/>
          <w:szCs w:val="20"/>
          <w:color w:val="auto"/>
        </w:rPr>
      </w:pPr>
    </w:p>
    <w:p>
      <w:pPr>
        <w:spacing w:after="0" w:line="200" w:lineRule="exact"/>
        <w:rPr>
          <w:sz w:val="20"/>
          <w:szCs w:val="20"/>
          <w:color w:val="auto"/>
        </w:rPr>
      </w:pPr>
    </w:p>
    <w:p>
      <w:pPr>
        <w:spacing w:after="0" w:line="383" w:lineRule="exact"/>
        <w:rPr>
          <w:sz w:val="20"/>
          <w:szCs w:val="20"/>
          <w:color w:val="auto"/>
        </w:rPr>
      </w:pPr>
    </w:p>
    <w:p>
      <w:pPr>
        <w:jc w:val="right"/>
        <w:spacing w:after="0"/>
        <w:rPr>
          <w:sz w:val="20"/>
          <w:szCs w:val="20"/>
          <w:color w:val="auto"/>
        </w:rPr>
      </w:pPr>
      <w:r>
        <w:rPr>
          <w:rFonts w:ascii="Arial" w:cs="Arial" w:eastAsia="Arial" w:hAnsi="Arial"/>
          <w:sz w:val="18"/>
          <w:szCs w:val="18"/>
          <w:color w:val="auto"/>
        </w:rPr>
        <w:t>/s/ Ernst &amp; Young LLP</w:t>
      </w:r>
    </w:p>
    <w:p>
      <w:pPr>
        <w:spacing w:after="0" w:line="333" w:lineRule="exact"/>
        <w:rPr>
          <w:sz w:val="20"/>
          <w:szCs w:val="20"/>
          <w:color w:val="auto"/>
        </w:rPr>
      </w:pPr>
    </w:p>
    <w:p>
      <w:pPr>
        <w:spacing w:after="0"/>
        <w:rPr>
          <w:sz w:val="20"/>
          <w:szCs w:val="20"/>
          <w:color w:val="auto"/>
        </w:rPr>
      </w:pPr>
      <w:r>
        <w:rPr>
          <w:rFonts w:ascii="Arial" w:cs="Arial" w:eastAsia="Arial" w:hAnsi="Arial"/>
          <w:sz w:val="18"/>
          <w:szCs w:val="18"/>
          <w:color w:val="auto"/>
        </w:rPr>
        <w:t>Cleveland, Ohio</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March 28, 2014</w:t>
      </w:r>
    </w:p>
    <w:p>
      <w:pPr>
        <w:spacing w:after="0" w:line="14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F-2</w:t>
      </w:r>
    </w:p>
    <w:p>
      <w:pPr>
        <w:sectPr>
          <w:pgSz w:w="11900" w:h="16838" w:orient="portrait"/>
          <w:cols w:equalWidth="0" w:num="1">
            <w:col w:w="11420"/>
          </w:cols>
          <w:pgMar w:left="240" w:top="459" w:right="239" w:bottom="1440" w:gutter="0" w:footer="0" w:header="0"/>
        </w:sectPr>
      </w:pPr>
    </w:p>
    <w:bookmarkStart w:id="109" w:name="page110"/>
    <w:bookmarkEnd w:id="10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7">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1" w:lineRule="exact"/>
        <w:rPr>
          <w:sz w:val="20"/>
          <w:szCs w:val="20"/>
          <w:color w:val="auto"/>
        </w:rPr>
      </w:pPr>
    </w:p>
    <w:p>
      <w:pPr>
        <w:jc w:val="center"/>
        <w:spacing w:after="0"/>
        <w:rPr>
          <w:sz w:val="20"/>
          <w:szCs w:val="20"/>
          <w:color w:val="auto"/>
        </w:rPr>
      </w:pPr>
      <w:r>
        <w:rPr>
          <w:rFonts w:ascii="Arial" w:cs="Arial" w:eastAsia="Arial" w:hAnsi="Arial"/>
          <w:sz w:val="25"/>
          <w:szCs w:val="25"/>
          <w:b w:val="1"/>
          <w:bCs w:val="1"/>
          <w:color w:val="auto"/>
        </w:rPr>
        <w:t>Consolidated Statements of Comprehensive Income</w:t>
      </w:r>
    </w:p>
    <w:p>
      <w:pPr>
        <w:spacing w:after="0" w:line="257" w:lineRule="exact"/>
        <w:rPr>
          <w:sz w:val="20"/>
          <w:szCs w:val="20"/>
          <w:color w:val="auto"/>
        </w:rPr>
      </w:pPr>
    </w:p>
    <w:p>
      <w:pPr>
        <w:ind w:left="8040"/>
        <w:spacing w:after="0"/>
        <w:rPr>
          <w:sz w:val="20"/>
          <w:szCs w:val="20"/>
          <w:color w:val="auto"/>
        </w:rPr>
      </w:pPr>
      <w:r>
        <w:rPr>
          <w:rFonts w:ascii="Arial" w:cs="Arial" w:eastAsia="Arial" w:hAnsi="Arial"/>
          <w:sz w:val="18"/>
          <w:szCs w:val="18"/>
          <w:b w:val="1"/>
          <w:bCs w:val="1"/>
          <w:color w:val="auto"/>
        </w:rPr>
        <w:t>Years Ended December 31,</w:t>
      </w:r>
    </w:p>
    <w:p>
      <w:pPr>
        <w:spacing w:after="0" w:line="27" w:lineRule="exact"/>
        <w:rPr>
          <w:sz w:val="20"/>
          <w:szCs w:val="20"/>
          <w:color w:val="auto"/>
        </w:rPr>
      </w:pPr>
    </w:p>
    <w:tbl>
      <w:tblPr>
        <w:tblLayout w:type="fixed"/>
        <w:tblInd w:w="0" w:type="dxa"/>
        <w:tblCellMar>
          <w:top w:w="0" w:type="dxa"/>
          <w:left w:w="0" w:type="dxa"/>
          <w:bottom w:w="0" w:type="dxa"/>
          <w:right w:w="0" w:type="dxa"/>
        </w:tblCellMar>
      </w:tblPr>
      <w:tr>
        <w:trPr>
          <w:trHeight w:val="217"/>
        </w:trPr>
        <w:tc>
          <w:tcPr>
            <w:tcW w:w="20" w:type="dxa"/>
            <w:vAlign w:val="bottom"/>
          </w:tcPr>
          <w:p>
            <w:pPr>
              <w:spacing w:after="0"/>
              <w:rPr>
                <w:sz w:val="18"/>
                <w:szCs w:val="18"/>
                <w:color w:val="auto"/>
              </w:rPr>
            </w:pPr>
          </w:p>
        </w:tc>
        <w:tc>
          <w:tcPr>
            <w:tcW w:w="5360" w:type="dxa"/>
            <w:vAlign w:val="bottom"/>
            <w:tcBorders>
              <w:top w:val="single" w:sz="8" w:color="auto"/>
              <w:bottom w:val="single" w:sz="8" w:color="auto"/>
            </w:tcBorders>
          </w:tcPr>
          <w:p>
            <w:pPr>
              <w:spacing w:after="0"/>
              <w:rPr>
                <w:sz w:val="18"/>
                <w:szCs w:val="18"/>
                <w:color w:val="auto"/>
              </w:rPr>
            </w:pPr>
          </w:p>
        </w:tc>
        <w:tc>
          <w:tcPr>
            <w:tcW w:w="1740" w:type="dxa"/>
            <w:vAlign w:val="bottom"/>
            <w:tcBorders>
              <w:top w:val="single" w:sz="8" w:color="auto"/>
              <w:bottom w:val="single" w:sz="8" w:color="auto"/>
            </w:tcBorders>
          </w:tcPr>
          <w:p>
            <w:pPr>
              <w:spacing w:after="0"/>
              <w:rPr>
                <w:sz w:val="18"/>
                <w:szCs w:val="18"/>
                <w:color w:val="auto"/>
              </w:rPr>
            </w:pPr>
          </w:p>
        </w:tc>
        <w:tc>
          <w:tcPr>
            <w:tcW w:w="1180" w:type="dxa"/>
            <w:vAlign w:val="bottom"/>
            <w:tcBorders>
              <w:top w:val="single" w:sz="8" w:color="auto"/>
              <w:bottom w:val="single" w:sz="8" w:color="auto"/>
            </w:tcBorders>
          </w:tcPr>
          <w:p>
            <w:pPr>
              <w:jc w:val="right"/>
              <w:ind w:right="530"/>
              <w:spacing w:after="0"/>
              <w:rPr>
                <w:sz w:val="20"/>
                <w:szCs w:val="20"/>
                <w:color w:val="auto"/>
              </w:rPr>
            </w:pPr>
            <w:r>
              <w:rPr>
                <w:rFonts w:ascii="Arial" w:cs="Arial" w:eastAsia="Arial" w:hAnsi="Arial"/>
                <w:sz w:val="18"/>
                <w:szCs w:val="18"/>
                <w:b w:val="1"/>
                <w:bCs w:val="1"/>
                <w:color w:val="auto"/>
              </w:rPr>
              <w:t>2013</w:t>
            </w:r>
          </w:p>
        </w:tc>
        <w:tc>
          <w:tcPr>
            <w:tcW w:w="380" w:type="dxa"/>
            <w:vAlign w:val="bottom"/>
            <w:tcBorders>
              <w:top w:val="single" w:sz="8" w:color="auto"/>
              <w:bottom w:val="single" w:sz="8" w:color="auto"/>
            </w:tcBorders>
          </w:tcPr>
          <w:p>
            <w:pPr>
              <w:spacing w:after="0"/>
              <w:rPr>
                <w:sz w:val="18"/>
                <w:szCs w:val="18"/>
                <w:color w:val="auto"/>
              </w:rPr>
            </w:pPr>
          </w:p>
        </w:tc>
        <w:tc>
          <w:tcPr>
            <w:tcW w:w="1200" w:type="dxa"/>
            <w:vAlign w:val="bottom"/>
            <w:tcBorders>
              <w:top w:val="single" w:sz="8" w:color="auto"/>
              <w:bottom w:val="single" w:sz="8" w:color="auto"/>
            </w:tcBorders>
          </w:tcPr>
          <w:p>
            <w:pPr>
              <w:jc w:val="right"/>
              <w:ind w:right="550"/>
              <w:spacing w:after="0"/>
              <w:rPr>
                <w:sz w:val="20"/>
                <w:szCs w:val="20"/>
                <w:color w:val="auto"/>
              </w:rPr>
            </w:pPr>
            <w:r>
              <w:rPr>
                <w:rFonts w:ascii="Arial" w:cs="Arial" w:eastAsia="Arial" w:hAnsi="Arial"/>
                <w:sz w:val="18"/>
                <w:szCs w:val="18"/>
                <w:color w:val="auto"/>
              </w:rPr>
              <w:t>2012</w:t>
            </w:r>
          </w:p>
        </w:tc>
        <w:tc>
          <w:tcPr>
            <w:tcW w:w="360" w:type="dxa"/>
            <w:vAlign w:val="bottom"/>
            <w:tcBorders>
              <w:top w:val="single" w:sz="8" w:color="auto"/>
              <w:bottom w:val="single" w:sz="8" w:color="auto"/>
            </w:tcBorders>
          </w:tcPr>
          <w:p>
            <w:pPr>
              <w:spacing w:after="0"/>
              <w:rPr>
                <w:sz w:val="18"/>
                <w:szCs w:val="18"/>
                <w:color w:val="auto"/>
              </w:rPr>
            </w:pPr>
          </w:p>
        </w:tc>
        <w:tc>
          <w:tcPr>
            <w:tcW w:w="1180" w:type="dxa"/>
            <w:vAlign w:val="bottom"/>
            <w:tcBorders>
              <w:top w:val="single" w:sz="8" w:color="auto"/>
              <w:bottom w:val="single" w:sz="8" w:color="auto"/>
            </w:tcBorders>
          </w:tcPr>
          <w:p>
            <w:pPr>
              <w:jc w:val="right"/>
              <w:ind w:right="530"/>
              <w:spacing w:after="0"/>
              <w:rPr>
                <w:sz w:val="20"/>
                <w:szCs w:val="20"/>
                <w:color w:val="auto"/>
              </w:rPr>
            </w:pPr>
            <w:r>
              <w:rPr>
                <w:rFonts w:ascii="Arial" w:cs="Arial" w:eastAsia="Arial" w:hAnsi="Arial"/>
                <w:sz w:val="18"/>
                <w:szCs w:val="18"/>
                <w:color w:val="auto"/>
              </w:rPr>
              <w:t>2011</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3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(Dollars in millions)</w:t>
            </w:r>
          </w:p>
        </w:tc>
        <w:tc>
          <w:tcPr>
            <w:tcW w:w="1740" w:type="dxa"/>
            <w:vAlign w:val="bottom"/>
            <w:shd w:val="clear" w:color="auto" w:fill="CCEEFF"/>
          </w:tcPr>
          <w:p>
            <w:pPr>
              <w:spacing w:after="0"/>
              <w:rPr>
                <w:sz w:val="12"/>
                <w:szCs w:val="12"/>
                <w:color w:val="auto"/>
              </w:rPr>
            </w:pPr>
          </w:p>
        </w:tc>
        <w:tc>
          <w:tcPr>
            <w:tcW w:w="1180" w:type="dxa"/>
            <w:vAlign w:val="bottom"/>
            <w:shd w:val="clear" w:color="auto" w:fill="CCEEFF"/>
          </w:tcPr>
          <w:p>
            <w:pPr>
              <w:spacing w:after="0"/>
              <w:rPr>
                <w:sz w:val="12"/>
                <w:szCs w:val="12"/>
                <w:color w:val="auto"/>
              </w:rPr>
            </w:pPr>
          </w:p>
        </w:tc>
        <w:tc>
          <w:tcPr>
            <w:tcW w:w="380" w:type="dxa"/>
            <w:vAlign w:val="bottom"/>
            <w:shd w:val="clear" w:color="auto" w:fill="CCEEFF"/>
          </w:tcPr>
          <w:p>
            <w:pPr>
              <w:spacing w:after="0"/>
              <w:rPr>
                <w:sz w:val="12"/>
                <w:szCs w:val="12"/>
                <w:color w:val="auto"/>
              </w:rPr>
            </w:pPr>
          </w:p>
        </w:tc>
        <w:tc>
          <w:tcPr>
            <w:tcW w:w="1200" w:type="dxa"/>
            <w:vAlign w:val="bottom"/>
            <w:shd w:val="clear" w:color="auto" w:fill="CCEEFF"/>
          </w:tcPr>
          <w:p>
            <w:pPr>
              <w:spacing w:after="0"/>
              <w:rPr>
                <w:sz w:val="12"/>
                <w:szCs w:val="12"/>
                <w:color w:val="auto"/>
              </w:rPr>
            </w:pPr>
          </w:p>
        </w:tc>
        <w:tc>
          <w:tcPr>
            <w:tcW w:w="360" w:type="dxa"/>
            <w:vAlign w:val="bottom"/>
            <w:shd w:val="clear" w:color="auto" w:fill="CCEEFF"/>
          </w:tcPr>
          <w:p>
            <w:pPr>
              <w:spacing w:after="0"/>
              <w:rPr>
                <w:sz w:val="12"/>
                <w:szCs w:val="12"/>
                <w:color w:val="auto"/>
              </w:rPr>
            </w:pPr>
          </w:p>
        </w:tc>
        <w:tc>
          <w:tcPr>
            <w:tcW w:w="118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60" w:type="dxa"/>
            <w:vAlign w:val="bottom"/>
          </w:tcPr>
          <w:p>
            <w:pPr>
              <w:spacing w:after="0"/>
              <w:rPr>
                <w:sz w:val="20"/>
                <w:szCs w:val="20"/>
                <w:color w:val="auto"/>
              </w:rPr>
            </w:pPr>
            <w:r>
              <w:rPr>
                <w:rFonts w:ascii="Arial" w:cs="Arial" w:eastAsia="Arial" w:hAnsi="Arial"/>
                <w:sz w:val="18"/>
                <w:szCs w:val="18"/>
                <w:color w:val="auto"/>
              </w:rPr>
              <w:t>Net sales</w:t>
            </w:r>
          </w:p>
        </w:tc>
        <w:tc>
          <w:tcPr>
            <w:tcW w:w="1740" w:type="dxa"/>
            <w:vAlign w:val="bottom"/>
          </w:tcPr>
          <w:p>
            <w:pPr>
              <w:jc w:val="right"/>
              <w:ind w:right="130"/>
              <w:spacing w:after="0"/>
              <w:rPr>
                <w:sz w:val="20"/>
                <w:szCs w:val="20"/>
                <w:color w:val="auto"/>
              </w:rPr>
            </w:pPr>
            <w:r>
              <w:rPr>
                <w:rFonts w:ascii="Arial" w:cs="Arial" w:eastAsia="Arial" w:hAnsi="Arial"/>
                <w:sz w:val="18"/>
                <w:szCs w:val="18"/>
                <w:b w:val="1"/>
                <w:bCs w:val="1"/>
                <w:color w:val="auto"/>
              </w:rPr>
              <w:t>$</w:t>
            </w:r>
          </w:p>
        </w:tc>
        <w:tc>
          <w:tcPr>
            <w:tcW w:w="1180" w:type="dxa"/>
            <w:vAlign w:val="bottom"/>
          </w:tcPr>
          <w:p>
            <w:pPr>
              <w:jc w:val="right"/>
              <w:ind w:right="30"/>
              <w:spacing w:after="0"/>
              <w:rPr>
                <w:sz w:val="20"/>
                <w:szCs w:val="20"/>
                <w:color w:val="auto"/>
              </w:rPr>
            </w:pPr>
            <w:r>
              <w:rPr>
                <w:rFonts w:ascii="Arial" w:cs="Arial" w:eastAsia="Arial" w:hAnsi="Arial"/>
                <w:sz w:val="18"/>
                <w:szCs w:val="18"/>
                <w:b w:val="1"/>
                <w:bCs w:val="1"/>
                <w:color w:val="auto"/>
              </w:rPr>
              <w:t>1,380.9</w:t>
            </w:r>
          </w:p>
        </w:tc>
        <w:tc>
          <w:tcPr>
            <w:tcW w:w="380" w:type="dxa"/>
            <w:vAlign w:val="bottom"/>
          </w:tcPr>
          <w:p>
            <w:pPr>
              <w:jc w:val="right"/>
              <w:ind w:right="110"/>
              <w:spacing w:after="0"/>
              <w:rPr>
                <w:sz w:val="20"/>
                <w:szCs w:val="20"/>
                <w:color w:val="auto"/>
              </w:rPr>
            </w:pPr>
            <w:r>
              <w:rPr>
                <w:rFonts w:ascii="Arial" w:cs="Arial" w:eastAsia="Arial" w:hAnsi="Arial"/>
                <w:sz w:val="18"/>
                <w:szCs w:val="18"/>
                <w:color w:val="auto"/>
              </w:rPr>
              <w:t>$</w:t>
            </w:r>
          </w:p>
        </w:tc>
        <w:tc>
          <w:tcPr>
            <w:tcW w:w="1200" w:type="dxa"/>
            <w:vAlign w:val="bottom"/>
          </w:tcPr>
          <w:p>
            <w:pPr>
              <w:jc w:val="right"/>
              <w:ind w:right="50"/>
              <w:spacing w:after="0"/>
              <w:rPr>
                <w:sz w:val="20"/>
                <w:szCs w:val="20"/>
                <w:color w:val="auto"/>
              </w:rPr>
            </w:pPr>
            <w:r>
              <w:rPr>
                <w:rFonts w:ascii="Arial" w:cs="Arial" w:eastAsia="Arial" w:hAnsi="Arial"/>
                <w:sz w:val="18"/>
                <w:szCs w:val="18"/>
                <w:color w:val="auto"/>
              </w:rPr>
              <w:t>1,728.7</w:t>
            </w:r>
          </w:p>
        </w:tc>
        <w:tc>
          <w:tcPr>
            <w:tcW w:w="360" w:type="dxa"/>
            <w:vAlign w:val="bottom"/>
          </w:tcPr>
          <w:p>
            <w:pPr>
              <w:jc w:val="right"/>
              <w:ind w:right="110"/>
              <w:spacing w:after="0"/>
              <w:rPr>
                <w:sz w:val="20"/>
                <w:szCs w:val="20"/>
                <w:color w:val="auto"/>
              </w:rPr>
            </w:pPr>
            <w:r>
              <w:rPr>
                <w:rFonts w:ascii="Arial" w:cs="Arial" w:eastAsia="Arial" w:hAnsi="Arial"/>
                <w:sz w:val="18"/>
                <w:szCs w:val="18"/>
                <w:color w:val="auto"/>
              </w:rPr>
              <w:t>$</w:t>
            </w:r>
          </w:p>
        </w:tc>
        <w:tc>
          <w:tcPr>
            <w:tcW w:w="1180" w:type="dxa"/>
            <w:vAlign w:val="bottom"/>
          </w:tcPr>
          <w:p>
            <w:pPr>
              <w:jc w:val="right"/>
              <w:ind w:right="10"/>
              <w:spacing w:after="0"/>
              <w:rPr>
                <w:sz w:val="20"/>
                <w:szCs w:val="20"/>
                <w:color w:val="auto"/>
              </w:rPr>
            </w:pPr>
            <w:r>
              <w:rPr>
                <w:rFonts w:ascii="Arial" w:cs="Arial" w:eastAsia="Arial" w:hAnsi="Arial"/>
                <w:sz w:val="18"/>
                <w:szCs w:val="18"/>
                <w:color w:val="auto"/>
              </w:rPr>
              <w:t>1,956.5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6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color w:val="auto"/>
              </w:rPr>
              <w:t>Cost of products sold</w:t>
            </w:r>
          </w:p>
        </w:tc>
        <w:tc>
          <w:tcPr>
            <w:tcW w:w="1740" w:type="dxa"/>
            <w:vAlign w:val="bottom"/>
            <w:tcBorders>
              <w:bottom w:val="single" w:sz="8" w:color="auto"/>
            </w:tcBorders>
            <w:shd w:val="clear" w:color="auto" w:fill="CCEEFF"/>
          </w:tcPr>
          <w:p>
            <w:pPr>
              <w:spacing w:after="0"/>
              <w:rPr>
                <w:sz w:val="18"/>
                <w:szCs w:val="18"/>
                <w:color w:val="auto"/>
              </w:rPr>
            </w:pPr>
          </w:p>
        </w:tc>
        <w:tc>
          <w:tcPr>
            <w:tcW w:w="118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b w:val="1"/>
                <w:bCs w:val="1"/>
                <w:color w:val="auto"/>
              </w:rPr>
              <w:t>1,157.7</w:t>
            </w:r>
          </w:p>
        </w:tc>
        <w:tc>
          <w:tcPr>
            <w:tcW w:w="380" w:type="dxa"/>
            <w:vAlign w:val="bottom"/>
            <w:tcBorders>
              <w:bottom w:val="single" w:sz="8" w:color="auto"/>
            </w:tcBorders>
            <w:shd w:val="clear" w:color="auto" w:fill="CCEEFF"/>
          </w:tcPr>
          <w:p>
            <w:pPr>
              <w:spacing w:after="0"/>
              <w:rPr>
                <w:sz w:val="18"/>
                <w:szCs w:val="18"/>
                <w:color w:val="auto"/>
              </w:rPr>
            </w:pPr>
          </w:p>
        </w:tc>
        <w:tc>
          <w:tcPr>
            <w:tcW w:w="120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rPr>
              <w:t>1,389.8</w:t>
            </w:r>
          </w:p>
        </w:tc>
        <w:tc>
          <w:tcPr>
            <w:tcW w:w="360" w:type="dxa"/>
            <w:vAlign w:val="bottom"/>
            <w:tcBorders>
              <w:bottom w:val="single" w:sz="8" w:color="auto"/>
            </w:tcBorders>
            <w:shd w:val="clear" w:color="auto" w:fill="CCEEFF"/>
          </w:tcPr>
          <w:p>
            <w:pPr>
              <w:spacing w:after="0"/>
              <w:rPr>
                <w:sz w:val="18"/>
                <w:szCs w:val="18"/>
                <w:color w:val="auto"/>
              </w:rPr>
            </w:pPr>
          </w:p>
        </w:tc>
        <w:tc>
          <w:tcPr>
            <w:tcW w:w="118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1,601.9</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360" w:type="dxa"/>
            <w:vAlign w:val="bottom"/>
          </w:tcPr>
          <w:p>
            <w:pPr>
              <w:ind w:left="340"/>
              <w:spacing w:after="0"/>
              <w:rPr>
                <w:sz w:val="20"/>
                <w:szCs w:val="20"/>
                <w:color w:val="auto"/>
              </w:rPr>
            </w:pPr>
            <w:r>
              <w:rPr>
                <w:rFonts w:ascii="Arial" w:cs="Arial" w:eastAsia="Arial" w:hAnsi="Arial"/>
                <w:sz w:val="18"/>
                <w:szCs w:val="18"/>
                <w:b w:val="1"/>
                <w:bCs w:val="1"/>
                <w:color w:val="auto"/>
              </w:rPr>
              <w:t>Gross Profit</w:t>
            </w:r>
          </w:p>
        </w:tc>
        <w:tc>
          <w:tcPr>
            <w:tcW w:w="1740" w:type="dxa"/>
            <w:vAlign w:val="bottom"/>
          </w:tcPr>
          <w:p>
            <w:pPr>
              <w:spacing w:after="0"/>
              <w:rPr>
                <w:sz w:val="18"/>
                <w:szCs w:val="18"/>
                <w:color w:val="auto"/>
              </w:rPr>
            </w:pPr>
          </w:p>
        </w:tc>
        <w:tc>
          <w:tcPr>
            <w:tcW w:w="1180" w:type="dxa"/>
            <w:vAlign w:val="bottom"/>
          </w:tcPr>
          <w:p>
            <w:pPr>
              <w:jc w:val="right"/>
              <w:ind w:right="30"/>
              <w:spacing w:after="0"/>
              <w:rPr>
                <w:sz w:val="20"/>
                <w:szCs w:val="20"/>
                <w:color w:val="auto"/>
              </w:rPr>
            </w:pPr>
            <w:r>
              <w:rPr>
                <w:rFonts w:ascii="Arial" w:cs="Arial" w:eastAsia="Arial" w:hAnsi="Arial"/>
                <w:sz w:val="18"/>
                <w:szCs w:val="18"/>
                <w:b w:val="1"/>
                <w:bCs w:val="1"/>
                <w:color w:val="auto"/>
              </w:rPr>
              <w:t>223.2</w:t>
            </w:r>
          </w:p>
        </w:tc>
        <w:tc>
          <w:tcPr>
            <w:tcW w:w="380" w:type="dxa"/>
            <w:vAlign w:val="bottom"/>
          </w:tcPr>
          <w:p>
            <w:pPr>
              <w:spacing w:after="0"/>
              <w:rPr>
                <w:sz w:val="18"/>
                <w:szCs w:val="18"/>
                <w:color w:val="auto"/>
              </w:rPr>
            </w:pPr>
          </w:p>
        </w:tc>
        <w:tc>
          <w:tcPr>
            <w:tcW w:w="1200" w:type="dxa"/>
            <w:vAlign w:val="bottom"/>
          </w:tcPr>
          <w:p>
            <w:pPr>
              <w:jc w:val="right"/>
              <w:ind w:right="50"/>
              <w:spacing w:after="0"/>
              <w:rPr>
                <w:sz w:val="20"/>
                <w:szCs w:val="20"/>
                <w:color w:val="auto"/>
              </w:rPr>
            </w:pPr>
            <w:r>
              <w:rPr>
                <w:rFonts w:ascii="Arial" w:cs="Arial" w:eastAsia="Arial" w:hAnsi="Arial"/>
                <w:sz w:val="18"/>
                <w:szCs w:val="18"/>
                <w:color w:val="auto"/>
              </w:rPr>
              <w:t>338.9</w:t>
            </w:r>
          </w:p>
        </w:tc>
        <w:tc>
          <w:tcPr>
            <w:tcW w:w="360" w:type="dxa"/>
            <w:vAlign w:val="bottom"/>
          </w:tcPr>
          <w:p>
            <w:pPr>
              <w:spacing w:after="0"/>
              <w:rPr>
                <w:sz w:val="18"/>
                <w:szCs w:val="18"/>
                <w:color w:val="auto"/>
              </w:rPr>
            </w:pPr>
          </w:p>
        </w:tc>
        <w:tc>
          <w:tcPr>
            <w:tcW w:w="1180" w:type="dxa"/>
            <w:vAlign w:val="bottom"/>
          </w:tcPr>
          <w:p>
            <w:pPr>
              <w:jc w:val="right"/>
              <w:ind w:right="10"/>
              <w:spacing w:after="0"/>
              <w:rPr>
                <w:sz w:val="20"/>
                <w:szCs w:val="20"/>
                <w:color w:val="auto"/>
              </w:rPr>
            </w:pPr>
            <w:r>
              <w:rPr>
                <w:rFonts w:ascii="Arial" w:cs="Arial" w:eastAsia="Arial" w:hAnsi="Arial"/>
                <w:sz w:val="18"/>
                <w:szCs w:val="18"/>
                <w:color w:val="auto"/>
              </w:rPr>
              <w:t>354.6</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5360" w:type="dxa"/>
            <w:vAlign w:val="bottom"/>
            <w:shd w:val="clear" w:color="auto" w:fill="CCEEFF"/>
          </w:tcPr>
          <w:p>
            <w:pPr>
              <w:spacing w:after="0"/>
              <w:rPr>
                <w:sz w:val="18"/>
                <w:szCs w:val="18"/>
                <w:color w:val="auto"/>
              </w:rPr>
            </w:pPr>
          </w:p>
        </w:tc>
        <w:tc>
          <w:tcPr>
            <w:tcW w:w="1740" w:type="dxa"/>
            <w:vAlign w:val="bottom"/>
            <w:shd w:val="clear" w:color="auto" w:fill="CCEEFF"/>
          </w:tcPr>
          <w:p>
            <w:pPr>
              <w:spacing w:after="0"/>
              <w:rPr>
                <w:sz w:val="18"/>
                <w:szCs w:val="18"/>
                <w:color w:val="auto"/>
              </w:rPr>
            </w:pPr>
          </w:p>
        </w:tc>
        <w:tc>
          <w:tcPr>
            <w:tcW w:w="118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20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1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360" w:type="dxa"/>
            <w:vAlign w:val="bottom"/>
          </w:tcPr>
          <w:p>
            <w:pPr>
              <w:spacing w:after="0"/>
              <w:rPr>
                <w:sz w:val="20"/>
                <w:szCs w:val="20"/>
                <w:color w:val="auto"/>
              </w:rPr>
            </w:pPr>
            <w:r>
              <w:rPr>
                <w:rFonts w:ascii="Arial" w:cs="Arial" w:eastAsia="Arial" w:hAnsi="Arial"/>
                <w:sz w:val="18"/>
                <w:szCs w:val="18"/>
                <w:color w:val="auto"/>
              </w:rPr>
              <w:t>Selling, general and administrative expenses</w:t>
            </w:r>
          </w:p>
        </w:tc>
        <w:tc>
          <w:tcPr>
            <w:tcW w:w="1740" w:type="dxa"/>
            <w:vAlign w:val="bottom"/>
          </w:tcPr>
          <w:p>
            <w:pPr>
              <w:spacing w:after="0"/>
              <w:rPr>
                <w:sz w:val="18"/>
                <w:szCs w:val="18"/>
                <w:color w:val="auto"/>
              </w:rPr>
            </w:pPr>
          </w:p>
        </w:tc>
        <w:tc>
          <w:tcPr>
            <w:tcW w:w="1180" w:type="dxa"/>
            <w:vAlign w:val="bottom"/>
          </w:tcPr>
          <w:p>
            <w:pPr>
              <w:jc w:val="right"/>
              <w:ind w:right="30"/>
              <w:spacing w:after="0"/>
              <w:rPr>
                <w:sz w:val="20"/>
                <w:szCs w:val="20"/>
                <w:color w:val="auto"/>
              </w:rPr>
            </w:pPr>
            <w:r>
              <w:rPr>
                <w:rFonts w:ascii="Arial" w:cs="Arial" w:eastAsia="Arial" w:hAnsi="Arial"/>
                <w:sz w:val="18"/>
                <w:szCs w:val="18"/>
                <w:b w:val="1"/>
                <w:bCs w:val="1"/>
                <w:color w:val="auto"/>
              </w:rPr>
              <w:t>91.8</w:t>
            </w:r>
          </w:p>
        </w:tc>
        <w:tc>
          <w:tcPr>
            <w:tcW w:w="380" w:type="dxa"/>
            <w:vAlign w:val="bottom"/>
          </w:tcPr>
          <w:p>
            <w:pPr>
              <w:spacing w:after="0"/>
              <w:rPr>
                <w:sz w:val="18"/>
                <w:szCs w:val="18"/>
                <w:color w:val="auto"/>
              </w:rPr>
            </w:pPr>
          </w:p>
        </w:tc>
        <w:tc>
          <w:tcPr>
            <w:tcW w:w="1200" w:type="dxa"/>
            <w:vAlign w:val="bottom"/>
          </w:tcPr>
          <w:p>
            <w:pPr>
              <w:jc w:val="right"/>
              <w:ind w:right="50"/>
              <w:spacing w:after="0"/>
              <w:rPr>
                <w:sz w:val="20"/>
                <w:szCs w:val="20"/>
                <w:color w:val="auto"/>
              </w:rPr>
            </w:pPr>
            <w:r>
              <w:rPr>
                <w:rFonts w:ascii="Arial" w:cs="Arial" w:eastAsia="Arial" w:hAnsi="Arial"/>
                <w:sz w:val="18"/>
                <w:szCs w:val="18"/>
                <w:color w:val="auto"/>
              </w:rPr>
              <w:t>103.5</w:t>
            </w:r>
          </w:p>
        </w:tc>
        <w:tc>
          <w:tcPr>
            <w:tcW w:w="360" w:type="dxa"/>
            <w:vAlign w:val="bottom"/>
          </w:tcPr>
          <w:p>
            <w:pPr>
              <w:spacing w:after="0"/>
              <w:rPr>
                <w:sz w:val="18"/>
                <w:szCs w:val="18"/>
                <w:color w:val="auto"/>
              </w:rPr>
            </w:pPr>
          </w:p>
        </w:tc>
        <w:tc>
          <w:tcPr>
            <w:tcW w:w="1180" w:type="dxa"/>
            <w:vAlign w:val="bottom"/>
          </w:tcPr>
          <w:p>
            <w:pPr>
              <w:jc w:val="right"/>
              <w:ind w:right="10"/>
              <w:spacing w:after="0"/>
              <w:rPr>
                <w:sz w:val="20"/>
                <w:szCs w:val="20"/>
                <w:color w:val="auto"/>
              </w:rPr>
            </w:pPr>
            <w:r>
              <w:rPr>
                <w:rFonts w:ascii="Arial" w:cs="Arial" w:eastAsia="Arial" w:hAnsi="Arial"/>
                <w:sz w:val="18"/>
                <w:szCs w:val="18"/>
                <w:color w:val="auto"/>
              </w:rPr>
              <w:t>98.0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6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color w:val="auto"/>
              </w:rPr>
              <w:t>Impairment and restructuring charges</w:t>
            </w:r>
          </w:p>
        </w:tc>
        <w:tc>
          <w:tcPr>
            <w:tcW w:w="1740" w:type="dxa"/>
            <w:vAlign w:val="bottom"/>
            <w:tcBorders>
              <w:bottom w:val="single" w:sz="8" w:color="auto"/>
            </w:tcBorders>
            <w:shd w:val="clear" w:color="auto" w:fill="CCEEFF"/>
          </w:tcPr>
          <w:p>
            <w:pPr>
              <w:spacing w:after="0"/>
              <w:rPr>
                <w:sz w:val="18"/>
                <w:szCs w:val="18"/>
                <w:color w:val="auto"/>
              </w:rPr>
            </w:pPr>
          </w:p>
        </w:tc>
        <w:tc>
          <w:tcPr>
            <w:tcW w:w="118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b w:val="1"/>
                <w:bCs w:val="1"/>
                <w:color w:val="auto"/>
              </w:rPr>
              <w:t>0.6</w:t>
            </w:r>
          </w:p>
        </w:tc>
        <w:tc>
          <w:tcPr>
            <w:tcW w:w="380" w:type="dxa"/>
            <w:vAlign w:val="bottom"/>
            <w:tcBorders>
              <w:bottom w:val="single" w:sz="8" w:color="auto"/>
            </w:tcBorders>
            <w:shd w:val="clear" w:color="auto" w:fill="CCEEFF"/>
          </w:tcPr>
          <w:p>
            <w:pPr>
              <w:spacing w:after="0"/>
              <w:rPr>
                <w:sz w:val="18"/>
                <w:szCs w:val="18"/>
                <w:color w:val="auto"/>
              </w:rPr>
            </w:pPr>
          </w:p>
        </w:tc>
        <w:tc>
          <w:tcPr>
            <w:tcW w:w="120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rPr>
              <w:t>—</w:t>
            </w:r>
          </w:p>
        </w:tc>
        <w:tc>
          <w:tcPr>
            <w:tcW w:w="360" w:type="dxa"/>
            <w:vAlign w:val="bottom"/>
            <w:tcBorders>
              <w:bottom w:val="single" w:sz="8" w:color="auto"/>
            </w:tcBorders>
            <w:shd w:val="clear" w:color="auto" w:fill="CCEEFF"/>
          </w:tcPr>
          <w:p>
            <w:pPr>
              <w:spacing w:after="0"/>
              <w:rPr>
                <w:sz w:val="18"/>
                <w:szCs w:val="18"/>
                <w:color w:val="auto"/>
              </w:rPr>
            </w:pPr>
          </w:p>
        </w:tc>
        <w:tc>
          <w:tcPr>
            <w:tcW w:w="118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2.9</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360" w:type="dxa"/>
            <w:vAlign w:val="bottom"/>
          </w:tcPr>
          <w:p>
            <w:pPr>
              <w:ind w:left="340"/>
              <w:spacing w:after="0"/>
              <w:rPr>
                <w:sz w:val="20"/>
                <w:szCs w:val="20"/>
                <w:color w:val="auto"/>
              </w:rPr>
            </w:pPr>
            <w:r>
              <w:rPr>
                <w:rFonts w:ascii="Arial" w:cs="Arial" w:eastAsia="Arial" w:hAnsi="Arial"/>
                <w:sz w:val="18"/>
                <w:szCs w:val="18"/>
                <w:b w:val="1"/>
                <w:bCs w:val="1"/>
                <w:color w:val="auto"/>
              </w:rPr>
              <w:t>Operating Income</w:t>
            </w:r>
          </w:p>
        </w:tc>
        <w:tc>
          <w:tcPr>
            <w:tcW w:w="1740" w:type="dxa"/>
            <w:vAlign w:val="bottom"/>
          </w:tcPr>
          <w:p>
            <w:pPr>
              <w:spacing w:after="0"/>
              <w:rPr>
                <w:sz w:val="18"/>
                <w:szCs w:val="18"/>
                <w:color w:val="auto"/>
              </w:rPr>
            </w:pPr>
          </w:p>
        </w:tc>
        <w:tc>
          <w:tcPr>
            <w:tcW w:w="1180" w:type="dxa"/>
            <w:vAlign w:val="bottom"/>
          </w:tcPr>
          <w:p>
            <w:pPr>
              <w:jc w:val="right"/>
              <w:ind w:right="30"/>
              <w:spacing w:after="0"/>
              <w:rPr>
                <w:sz w:val="20"/>
                <w:szCs w:val="20"/>
                <w:color w:val="auto"/>
              </w:rPr>
            </w:pPr>
            <w:r>
              <w:rPr>
                <w:rFonts w:ascii="Arial" w:cs="Arial" w:eastAsia="Arial" w:hAnsi="Arial"/>
                <w:sz w:val="18"/>
                <w:szCs w:val="18"/>
                <w:b w:val="1"/>
                <w:bCs w:val="1"/>
                <w:color w:val="auto"/>
              </w:rPr>
              <w:t>130.8</w:t>
            </w:r>
          </w:p>
        </w:tc>
        <w:tc>
          <w:tcPr>
            <w:tcW w:w="380" w:type="dxa"/>
            <w:vAlign w:val="bottom"/>
          </w:tcPr>
          <w:p>
            <w:pPr>
              <w:spacing w:after="0"/>
              <w:rPr>
                <w:sz w:val="18"/>
                <w:szCs w:val="18"/>
                <w:color w:val="auto"/>
              </w:rPr>
            </w:pPr>
          </w:p>
        </w:tc>
        <w:tc>
          <w:tcPr>
            <w:tcW w:w="1200" w:type="dxa"/>
            <w:vAlign w:val="bottom"/>
          </w:tcPr>
          <w:p>
            <w:pPr>
              <w:jc w:val="right"/>
              <w:ind w:right="50"/>
              <w:spacing w:after="0"/>
              <w:rPr>
                <w:sz w:val="20"/>
                <w:szCs w:val="20"/>
                <w:color w:val="auto"/>
              </w:rPr>
            </w:pPr>
            <w:r>
              <w:rPr>
                <w:rFonts w:ascii="Arial" w:cs="Arial" w:eastAsia="Arial" w:hAnsi="Arial"/>
                <w:sz w:val="18"/>
                <w:szCs w:val="18"/>
                <w:color w:val="auto"/>
              </w:rPr>
              <w:t>235.4</w:t>
            </w:r>
          </w:p>
        </w:tc>
        <w:tc>
          <w:tcPr>
            <w:tcW w:w="360" w:type="dxa"/>
            <w:vAlign w:val="bottom"/>
          </w:tcPr>
          <w:p>
            <w:pPr>
              <w:spacing w:after="0"/>
              <w:rPr>
                <w:sz w:val="18"/>
                <w:szCs w:val="18"/>
                <w:color w:val="auto"/>
              </w:rPr>
            </w:pPr>
          </w:p>
        </w:tc>
        <w:tc>
          <w:tcPr>
            <w:tcW w:w="1180" w:type="dxa"/>
            <w:vAlign w:val="bottom"/>
          </w:tcPr>
          <w:p>
            <w:pPr>
              <w:jc w:val="right"/>
              <w:ind w:right="10"/>
              <w:spacing w:after="0"/>
              <w:rPr>
                <w:sz w:val="20"/>
                <w:szCs w:val="20"/>
                <w:color w:val="auto"/>
              </w:rPr>
            </w:pPr>
            <w:r>
              <w:rPr>
                <w:rFonts w:ascii="Arial" w:cs="Arial" w:eastAsia="Arial" w:hAnsi="Arial"/>
                <w:sz w:val="18"/>
                <w:szCs w:val="18"/>
                <w:color w:val="auto"/>
              </w:rPr>
              <w:t>253.7</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5360" w:type="dxa"/>
            <w:vAlign w:val="bottom"/>
            <w:shd w:val="clear" w:color="auto" w:fill="CCEEFF"/>
          </w:tcPr>
          <w:p>
            <w:pPr>
              <w:spacing w:after="0"/>
              <w:rPr>
                <w:sz w:val="18"/>
                <w:szCs w:val="18"/>
                <w:color w:val="auto"/>
              </w:rPr>
            </w:pPr>
          </w:p>
        </w:tc>
        <w:tc>
          <w:tcPr>
            <w:tcW w:w="1740" w:type="dxa"/>
            <w:vAlign w:val="bottom"/>
            <w:shd w:val="clear" w:color="auto" w:fill="CCEEFF"/>
          </w:tcPr>
          <w:p>
            <w:pPr>
              <w:spacing w:after="0"/>
              <w:rPr>
                <w:sz w:val="18"/>
                <w:szCs w:val="18"/>
                <w:color w:val="auto"/>
              </w:rPr>
            </w:pPr>
          </w:p>
        </w:tc>
        <w:tc>
          <w:tcPr>
            <w:tcW w:w="118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20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1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360" w:type="dxa"/>
            <w:vAlign w:val="bottom"/>
          </w:tcPr>
          <w:p>
            <w:pPr>
              <w:spacing w:after="0"/>
              <w:rPr>
                <w:sz w:val="20"/>
                <w:szCs w:val="20"/>
                <w:color w:val="auto"/>
              </w:rPr>
            </w:pPr>
            <w:r>
              <w:rPr>
                <w:rFonts w:ascii="Arial" w:cs="Arial" w:eastAsia="Arial" w:hAnsi="Arial"/>
                <w:sz w:val="18"/>
                <w:szCs w:val="18"/>
                <w:color w:val="auto"/>
              </w:rPr>
              <w:t>Interest expense</w:t>
            </w:r>
          </w:p>
        </w:tc>
        <w:tc>
          <w:tcPr>
            <w:tcW w:w="174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Arial" w:cs="Arial" w:eastAsia="Arial" w:hAnsi="Arial"/>
                <w:sz w:val="18"/>
                <w:szCs w:val="18"/>
                <w:b w:val="1"/>
                <w:bCs w:val="1"/>
                <w:color w:val="auto"/>
              </w:rPr>
              <w:t>(0.2)</w:t>
            </w:r>
          </w:p>
        </w:tc>
        <w:tc>
          <w:tcPr>
            <w:tcW w:w="38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(0.3)</w:t>
            </w:r>
          </w:p>
        </w:tc>
        <w:tc>
          <w:tcPr>
            <w:tcW w:w="36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(0.6)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6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color w:val="auto"/>
              </w:rPr>
              <w:t>Other expense, net</w:t>
            </w:r>
          </w:p>
        </w:tc>
        <w:tc>
          <w:tcPr>
            <w:tcW w:w="1740" w:type="dxa"/>
            <w:vAlign w:val="bottom"/>
            <w:tcBorders>
              <w:bottom w:val="single" w:sz="8" w:color="auto"/>
            </w:tcBorders>
            <w:shd w:val="clear" w:color="auto" w:fill="CCEEFF"/>
          </w:tcPr>
          <w:p>
            <w:pPr>
              <w:spacing w:after="0"/>
              <w:rPr>
                <w:sz w:val="18"/>
                <w:szCs w:val="18"/>
                <w:color w:val="auto"/>
              </w:rPr>
            </w:pPr>
          </w:p>
        </w:tc>
        <w:tc>
          <w:tcPr>
            <w:tcW w:w="1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(3.0)</w:t>
            </w:r>
          </w:p>
        </w:tc>
        <w:tc>
          <w:tcPr>
            <w:tcW w:w="380" w:type="dxa"/>
            <w:vAlign w:val="bottom"/>
            <w:tcBorders>
              <w:bottom w:val="single" w:sz="8" w:color="auto"/>
            </w:tcBorders>
            <w:shd w:val="clear" w:color="auto" w:fill="CCEEFF"/>
          </w:tcPr>
          <w:p>
            <w:pPr>
              <w:spacing w:after="0"/>
              <w:rPr>
                <w:sz w:val="18"/>
                <w:szCs w:val="18"/>
                <w:color w:val="auto"/>
              </w:rPr>
            </w:pP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(0.8)</w:t>
            </w:r>
          </w:p>
        </w:tc>
        <w:tc>
          <w:tcPr>
            <w:tcW w:w="360" w:type="dxa"/>
            <w:vAlign w:val="bottom"/>
            <w:tcBorders>
              <w:bottom w:val="single" w:sz="8" w:color="auto"/>
            </w:tcBorders>
            <w:shd w:val="clear" w:color="auto" w:fill="CCEEFF"/>
          </w:tcPr>
          <w:p>
            <w:pPr>
              <w:spacing w:after="0"/>
              <w:rPr>
                <w:sz w:val="18"/>
                <w:szCs w:val="18"/>
                <w:color w:val="auto"/>
              </w:rPr>
            </w:pPr>
          </w:p>
        </w:tc>
        <w:tc>
          <w:tcPr>
            <w:tcW w:w="1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(0.8)</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360" w:type="dxa"/>
            <w:vAlign w:val="bottom"/>
          </w:tcPr>
          <w:p>
            <w:pPr>
              <w:ind w:left="340"/>
              <w:spacing w:after="0"/>
              <w:rPr>
                <w:sz w:val="20"/>
                <w:szCs w:val="20"/>
                <w:color w:val="auto"/>
              </w:rPr>
            </w:pPr>
            <w:r>
              <w:rPr>
                <w:rFonts w:ascii="Arial" w:cs="Arial" w:eastAsia="Arial" w:hAnsi="Arial"/>
                <w:sz w:val="18"/>
                <w:szCs w:val="18"/>
                <w:b w:val="1"/>
                <w:bCs w:val="1"/>
                <w:color w:val="auto"/>
              </w:rPr>
              <w:t>Income From Operations Before Income Taxes</w:t>
            </w:r>
          </w:p>
        </w:tc>
        <w:tc>
          <w:tcPr>
            <w:tcW w:w="1740" w:type="dxa"/>
            <w:vAlign w:val="bottom"/>
          </w:tcPr>
          <w:p>
            <w:pPr>
              <w:spacing w:after="0"/>
              <w:rPr>
                <w:sz w:val="18"/>
                <w:szCs w:val="18"/>
                <w:color w:val="auto"/>
              </w:rPr>
            </w:pPr>
          </w:p>
        </w:tc>
        <w:tc>
          <w:tcPr>
            <w:tcW w:w="1180" w:type="dxa"/>
            <w:vAlign w:val="bottom"/>
          </w:tcPr>
          <w:p>
            <w:pPr>
              <w:jc w:val="right"/>
              <w:ind w:right="30"/>
              <w:spacing w:after="0"/>
              <w:rPr>
                <w:sz w:val="20"/>
                <w:szCs w:val="20"/>
                <w:color w:val="auto"/>
              </w:rPr>
            </w:pPr>
            <w:r>
              <w:rPr>
                <w:rFonts w:ascii="Arial" w:cs="Arial" w:eastAsia="Arial" w:hAnsi="Arial"/>
                <w:sz w:val="18"/>
                <w:szCs w:val="18"/>
                <w:b w:val="1"/>
                <w:bCs w:val="1"/>
                <w:color w:val="auto"/>
              </w:rPr>
              <w:t>127.6</w:t>
            </w:r>
          </w:p>
        </w:tc>
        <w:tc>
          <w:tcPr>
            <w:tcW w:w="380" w:type="dxa"/>
            <w:vAlign w:val="bottom"/>
          </w:tcPr>
          <w:p>
            <w:pPr>
              <w:spacing w:after="0"/>
              <w:rPr>
                <w:sz w:val="18"/>
                <w:szCs w:val="18"/>
                <w:color w:val="auto"/>
              </w:rPr>
            </w:pPr>
          </w:p>
        </w:tc>
        <w:tc>
          <w:tcPr>
            <w:tcW w:w="1200" w:type="dxa"/>
            <w:vAlign w:val="bottom"/>
          </w:tcPr>
          <w:p>
            <w:pPr>
              <w:jc w:val="right"/>
              <w:ind w:right="50"/>
              <w:spacing w:after="0"/>
              <w:rPr>
                <w:sz w:val="20"/>
                <w:szCs w:val="20"/>
                <w:color w:val="auto"/>
              </w:rPr>
            </w:pPr>
            <w:r>
              <w:rPr>
                <w:rFonts w:ascii="Arial" w:cs="Arial" w:eastAsia="Arial" w:hAnsi="Arial"/>
                <w:sz w:val="18"/>
                <w:szCs w:val="18"/>
                <w:color w:val="auto"/>
              </w:rPr>
              <w:t>234.3</w:t>
            </w:r>
          </w:p>
        </w:tc>
        <w:tc>
          <w:tcPr>
            <w:tcW w:w="360" w:type="dxa"/>
            <w:vAlign w:val="bottom"/>
          </w:tcPr>
          <w:p>
            <w:pPr>
              <w:spacing w:after="0"/>
              <w:rPr>
                <w:sz w:val="18"/>
                <w:szCs w:val="18"/>
                <w:color w:val="auto"/>
              </w:rPr>
            </w:pPr>
          </w:p>
        </w:tc>
        <w:tc>
          <w:tcPr>
            <w:tcW w:w="1180" w:type="dxa"/>
            <w:vAlign w:val="bottom"/>
          </w:tcPr>
          <w:p>
            <w:pPr>
              <w:jc w:val="right"/>
              <w:ind w:right="10"/>
              <w:spacing w:after="0"/>
              <w:rPr>
                <w:sz w:val="20"/>
                <w:szCs w:val="20"/>
                <w:color w:val="auto"/>
              </w:rPr>
            </w:pPr>
            <w:r>
              <w:rPr>
                <w:rFonts w:ascii="Arial" w:cs="Arial" w:eastAsia="Arial" w:hAnsi="Arial"/>
                <w:sz w:val="18"/>
                <w:szCs w:val="18"/>
                <w:color w:val="auto"/>
              </w:rPr>
              <w:t>252.3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6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color w:val="auto"/>
              </w:rPr>
              <w:t>Provision for income taxes</w:t>
            </w:r>
          </w:p>
        </w:tc>
        <w:tc>
          <w:tcPr>
            <w:tcW w:w="1740" w:type="dxa"/>
            <w:vAlign w:val="bottom"/>
            <w:tcBorders>
              <w:bottom w:val="single" w:sz="8" w:color="auto"/>
            </w:tcBorders>
            <w:shd w:val="clear" w:color="auto" w:fill="CCEEFF"/>
          </w:tcPr>
          <w:p>
            <w:pPr>
              <w:spacing w:after="0"/>
              <w:rPr>
                <w:sz w:val="18"/>
                <w:szCs w:val="18"/>
                <w:color w:val="auto"/>
              </w:rPr>
            </w:pPr>
          </w:p>
        </w:tc>
        <w:tc>
          <w:tcPr>
            <w:tcW w:w="118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b w:val="1"/>
                <w:bCs w:val="1"/>
                <w:color w:val="auto"/>
              </w:rPr>
              <w:t>38.1</w:t>
            </w:r>
          </w:p>
        </w:tc>
        <w:tc>
          <w:tcPr>
            <w:tcW w:w="380" w:type="dxa"/>
            <w:vAlign w:val="bottom"/>
            <w:tcBorders>
              <w:bottom w:val="single" w:sz="8" w:color="auto"/>
            </w:tcBorders>
            <w:shd w:val="clear" w:color="auto" w:fill="CCEEFF"/>
          </w:tcPr>
          <w:p>
            <w:pPr>
              <w:spacing w:after="0"/>
              <w:rPr>
                <w:sz w:val="18"/>
                <w:szCs w:val="18"/>
                <w:color w:val="auto"/>
              </w:rPr>
            </w:pPr>
          </w:p>
        </w:tc>
        <w:tc>
          <w:tcPr>
            <w:tcW w:w="120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rPr>
              <w:t>79.1</w:t>
            </w:r>
          </w:p>
        </w:tc>
        <w:tc>
          <w:tcPr>
            <w:tcW w:w="360" w:type="dxa"/>
            <w:vAlign w:val="bottom"/>
            <w:tcBorders>
              <w:bottom w:val="single" w:sz="8" w:color="auto"/>
            </w:tcBorders>
            <w:shd w:val="clear" w:color="auto" w:fill="CCEEFF"/>
          </w:tcPr>
          <w:p>
            <w:pPr>
              <w:spacing w:after="0"/>
              <w:rPr>
                <w:sz w:val="18"/>
                <w:szCs w:val="18"/>
                <w:color w:val="auto"/>
              </w:rPr>
            </w:pPr>
          </w:p>
        </w:tc>
        <w:tc>
          <w:tcPr>
            <w:tcW w:w="118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85.1</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360" w:type="dxa"/>
            <w:vAlign w:val="bottom"/>
          </w:tcPr>
          <w:p>
            <w:pPr>
              <w:ind w:left="340"/>
              <w:spacing w:after="0"/>
              <w:rPr>
                <w:sz w:val="20"/>
                <w:szCs w:val="20"/>
                <w:color w:val="auto"/>
              </w:rPr>
            </w:pPr>
            <w:r>
              <w:rPr>
                <w:rFonts w:ascii="Arial" w:cs="Arial" w:eastAsia="Arial" w:hAnsi="Arial"/>
                <w:sz w:val="18"/>
                <w:szCs w:val="18"/>
                <w:b w:val="1"/>
                <w:bCs w:val="1"/>
                <w:color w:val="auto"/>
              </w:rPr>
              <w:t>Net Income</w:t>
            </w:r>
          </w:p>
        </w:tc>
        <w:tc>
          <w:tcPr>
            <w:tcW w:w="1740" w:type="dxa"/>
            <w:vAlign w:val="bottom"/>
          </w:tcPr>
          <w:p>
            <w:pPr>
              <w:spacing w:after="0"/>
              <w:rPr>
                <w:sz w:val="18"/>
                <w:szCs w:val="18"/>
                <w:color w:val="auto"/>
              </w:rPr>
            </w:pPr>
          </w:p>
        </w:tc>
        <w:tc>
          <w:tcPr>
            <w:tcW w:w="1180" w:type="dxa"/>
            <w:vAlign w:val="bottom"/>
          </w:tcPr>
          <w:p>
            <w:pPr>
              <w:jc w:val="right"/>
              <w:ind w:right="30"/>
              <w:spacing w:after="0"/>
              <w:rPr>
                <w:sz w:val="20"/>
                <w:szCs w:val="20"/>
                <w:color w:val="auto"/>
              </w:rPr>
            </w:pPr>
            <w:r>
              <w:rPr>
                <w:rFonts w:ascii="Arial" w:cs="Arial" w:eastAsia="Arial" w:hAnsi="Arial"/>
                <w:sz w:val="18"/>
                <w:szCs w:val="18"/>
                <w:b w:val="1"/>
                <w:bCs w:val="1"/>
                <w:color w:val="auto"/>
              </w:rPr>
              <w:t>89.5</w:t>
            </w:r>
          </w:p>
        </w:tc>
        <w:tc>
          <w:tcPr>
            <w:tcW w:w="380" w:type="dxa"/>
            <w:vAlign w:val="bottom"/>
          </w:tcPr>
          <w:p>
            <w:pPr>
              <w:spacing w:after="0"/>
              <w:rPr>
                <w:sz w:val="18"/>
                <w:szCs w:val="18"/>
                <w:color w:val="auto"/>
              </w:rPr>
            </w:pPr>
          </w:p>
        </w:tc>
        <w:tc>
          <w:tcPr>
            <w:tcW w:w="1200" w:type="dxa"/>
            <w:vAlign w:val="bottom"/>
          </w:tcPr>
          <w:p>
            <w:pPr>
              <w:jc w:val="right"/>
              <w:ind w:right="50"/>
              <w:spacing w:after="0"/>
              <w:rPr>
                <w:sz w:val="20"/>
                <w:szCs w:val="20"/>
                <w:color w:val="auto"/>
              </w:rPr>
            </w:pPr>
            <w:r>
              <w:rPr>
                <w:rFonts w:ascii="Arial" w:cs="Arial" w:eastAsia="Arial" w:hAnsi="Arial"/>
                <w:sz w:val="18"/>
                <w:szCs w:val="18"/>
                <w:color w:val="auto"/>
              </w:rPr>
              <w:t>155.2</w:t>
            </w:r>
          </w:p>
        </w:tc>
        <w:tc>
          <w:tcPr>
            <w:tcW w:w="360" w:type="dxa"/>
            <w:vAlign w:val="bottom"/>
          </w:tcPr>
          <w:p>
            <w:pPr>
              <w:spacing w:after="0"/>
              <w:rPr>
                <w:sz w:val="18"/>
                <w:szCs w:val="18"/>
                <w:color w:val="auto"/>
              </w:rPr>
            </w:pPr>
          </w:p>
        </w:tc>
        <w:tc>
          <w:tcPr>
            <w:tcW w:w="1180" w:type="dxa"/>
            <w:vAlign w:val="bottom"/>
          </w:tcPr>
          <w:p>
            <w:pPr>
              <w:jc w:val="right"/>
              <w:ind w:right="10"/>
              <w:spacing w:after="0"/>
              <w:rPr>
                <w:sz w:val="20"/>
                <w:szCs w:val="20"/>
                <w:color w:val="auto"/>
              </w:rPr>
            </w:pPr>
            <w:r>
              <w:rPr>
                <w:rFonts w:ascii="Arial" w:cs="Arial" w:eastAsia="Arial" w:hAnsi="Arial"/>
                <w:sz w:val="18"/>
                <w:szCs w:val="18"/>
                <w:color w:val="auto"/>
              </w:rPr>
              <w:t>167.2</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5360" w:type="dxa"/>
            <w:vAlign w:val="bottom"/>
            <w:shd w:val="clear" w:color="auto" w:fill="CCEEFF"/>
          </w:tcPr>
          <w:p>
            <w:pPr>
              <w:spacing w:after="0"/>
              <w:rPr>
                <w:sz w:val="18"/>
                <w:szCs w:val="18"/>
                <w:color w:val="auto"/>
              </w:rPr>
            </w:pPr>
          </w:p>
        </w:tc>
        <w:tc>
          <w:tcPr>
            <w:tcW w:w="1740" w:type="dxa"/>
            <w:vAlign w:val="bottom"/>
            <w:shd w:val="clear" w:color="auto" w:fill="CCEEFF"/>
          </w:tcPr>
          <w:p>
            <w:pPr>
              <w:spacing w:after="0"/>
              <w:rPr>
                <w:sz w:val="18"/>
                <w:szCs w:val="18"/>
                <w:color w:val="auto"/>
              </w:rPr>
            </w:pPr>
          </w:p>
        </w:tc>
        <w:tc>
          <w:tcPr>
            <w:tcW w:w="118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20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1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360" w:type="dxa"/>
            <w:vAlign w:val="bottom"/>
          </w:tcPr>
          <w:p>
            <w:pPr>
              <w:spacing w:after="0"/>
              <w:rPr>
                <w:sz w:val="20"/>
                <w:szCs w:val="20"/>
                <w:color w:val="auto"/>
              </w:rPr>
            </w:pPr>
            <w:r>
              <w:rPr>
                <w:rFonts w:ascii="Arial" w:cs="Arial" w:eastAsia="Arial" w:hAnsi="Arial"/>
                <w:sz w:val="18"/>
                <w:szCs w:val="18"/>
                <w:i w:val="1"/>
                <w:iCs w:val="1"/>
                <w:color w:val="auto"/>
              </w:rPr>
              <w:t>Other comprehensive income (loss), net of tax</w:t>
            </w:r>
          </w:p>
        </w:tc>
        <w:tc>
          <w:tcPr>
            <w:tcW w:w="174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6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color w:val="auto"/>
              </w:rPr>
              <w:t>Foreign currency translation adjustments</w:t>
            </w:r>
          </w:p>
        </w:tc>
        <w:tc>
          <w:tcPr>
            <w:tcW w:w="1740" w:type="dxa"/>
            <w:vAlign w:val="bottom"/>
            <w:tcBorders>
              <w:bottom w:val="single" w:sz="8" w:color="auto"/>
            </w:tcBorders>
            <w:shd w:val="clear" w:color="auto" w:fill="CCEEFF"/>
          </w:tcPr>
          <w:p>
            <w:pPr>
              <w:spacing w:after="0"/>
              <w:rPr>
                <w:sz w:val="18"/>
                <w:szCs w:val="18"/>
                <w:color w:val="auto"/>
              </w:rPr>
            </w:pPr>
          </w:p>
        </w:tc>
        <w:tc>
          <w:tcPr>
            <w:tcW w:w="118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b w:val="1"/>
                <w:bCs w:val="1"/>
                <w:color w:val="auto"/>
              </w:rPr>
              <w:t>0.2</w:t>
            </w:r>
          </w:p>
        </w:tc>
        <w:tc>
          <w:tcPr>
            <w:tcW w:w="380" w:type="dxa"/>
            <w:vAlign w:val="bottom"/>
            <w:tcBorders>
              <w:bottom w:val="single" w:sz="8" w:color="auto"/>
            </w:tcBorders>
            <w:shd w:val="clear" w:color="auto" w:fill="CCEEFF"/>
          </w:tcPr>
          <w:p>
            <w:pPr>
              <w:spacing w:after="0"/>
              <w:rPr>
                <w:sz w:val="18"/>
                <w:szCs w:val="18"/>
                <w:color w:val="auto"/>
              </w:rPr>
            </w:pPr>
          </w:p>
        </w:tc>
        <w:tc>
          <w:tcPr>
            <w:tcW w:w="120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rPr>
              <w:t>0.9</w:t>
            </w:r>
          </w:p>
        </w:tc>
        <w:tc>
          <w:tcPr>
            <w:tcW w:w="360" w:type="dxa"/>
            <w:vAlign w:val="bottom"/>
            <w:tcBorders>
              <w:bottom w:val="single" w:sz="8" w:color="auto"/>
            </w:tcBorders>
            <w:shd w:val="clear" w:color="auto" w:fill="CCEEFF"/>
          </w:tcPr>
          <w:p>
            <w:pPr>
              <w:spacing w:after="0"/>
              <w:rPr>
                <w:sz w:val="18"/>
                <w:szCs w:val="18"/>
                <w:color w:val="auto"/>
              </w:rPr>
            </w:pPr>
          </w:p>
        </w:tc>
        <w:tc>
          <w:tcPr>
            <w:tcW w:w="1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(0.8)</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36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Other comprehensive income (loss), net of tax</w:t>
            </w:r>
          </w:p>
        </w:tc>
        <w:tc>
          <w:tcPr>
            <w:tcW w:w="1740" w:type="dxa"/>
            <w:vAlign w:val="bottom"/>
            <w:tcBorders>
              <w:bottom w:val="single" w:sz="8" w:color="auto"/>
            </w:tcBorders>
          </w:tcPr>
          <w:p>
            <w:pPr>
              <w:spacing w:after="0"/>
              <w:rPr>
                <w:sz w:val="18"/>
                <w:szCs w:val="18"/>
                <w:color w:val="auto"/>
              </w:rPr>
            </w:pPr>
          </w:p>
        </w:tc>
        <w:tc>
          <w:tcPr>
            <w:tcW w:w="118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b w:val="1"/>
                <w:bCs w:val="1"/>
                <w:color w:val="auto"/>
              </w:rPr>
              <w:t>0.2</w:t>
            </w:r>
          </w:p>
        </w:tc>
        <w:tc>
          <w:tcPr>
            <w:tcW w:w="380" w:type="dxa"/>
            <w:vAlign w:val="bottom"/>
            <w:tcBorders>
              <w:bottom w:val="single" w:sz="8" w:color="auto"/>
            </w:tcBorders>
          </w:tcPr>
          <w:p>
            <w:pPr>
              <w:spacing w:after="0"/>
              <w:rPr>
                <w:sz w:val="18"/>
                <w:szCs w:val="18"/>
                <w:color w:val="auto"/>
              </w:rPr>
            </w:pPr>
          </w:p>
        </w:tc>
        <w:tc>
          <w:tcPr>
            <w:tcW w:w="120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rPr>
              <w:t>0.9</w:t>
            </w:r>
          </w:p>
        </w:tc>
        <w:tc>
          <w:tcPr>
            <w:tcW w:w="360" w:type="dxa"/>
            <w:vAlign w:val="bottom"/>
            <w:tcBorders>
              <w:bottom w:val="single" w:sz="8" w:color="auto"/>
            </w:tcBorders>
          </w:tcPr>
          <w:p>
            <w:pPr>
              <w:spacing w:after="0"/>
              <w:rPr>
                <w:sz w:val="18"/>
                <w:szCs w:val="18"/>
                <w:color w:val="auto"/>
              </w:rPr>
            </w:pPr>
          </w:p>
        </w:tc>
        <w:tc>
          <w:tcPr>
            <w:tcW w:w="11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(0.8)</w:t>
            </w:r>
          </w:p>
        </w:tc>
        <w:tc>
          <w:tcPr>
            <w:tcW w:w="0" w:type="dxa"/>
            <w:vAlign w:val="bottom"/>
          </w:tcPr>
          <w:p>
            <w:pPr>
              <w:spacing w:after="0"/>
              <w:rPr>
                <w:sz w:val="1"/>
                <w:szCs w:val="1"/>
                <w:color w:val="auto"/>
              </w:rPr>
            </w:pPr>
          </w:p>
        </w:tc>
      </w:tr>
      <w:tr>
        <w:trPr>
          <w:trHeight w:val="217"/>
        </w:trPr>
        <w:tc>
          <w:tcPr>
            <w:tcW w:w="20" w:type="dxa"/>
            <w:vAlign w:val="bottom"/>
          </w:tcPr>
          <w:p>
            <w:pPr>
              <w:spacing w:after="0"/>
              <w:rPr>
                <w:sz w:val="18"/>
                <w:szCs w:val="18"/>
                <w:color w:val="auto"/>
              </w:rPr>
            </w:pPr>
          </w:p>
        </w:tc>
        <w:tc>
          <w:tcPr>
            <w:tcW w:w="536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b w:val="1"/>
                <w:bCs w:val="1"/>
                <w:color w:val="auto"/>
              </w:rPr>
              <w:t>Comprehensive Income, Net of Tax</w:t>
            </w:r>
          </w:p>
        </w:tc>
        <w:tc>
          <w:tcPr>
            <w:tcW w:w="1740" w:type="dxa"/>
            <w:vAlign w:val="bottom"/>
            <w:tcBorders>
              <w:bottom w:val="single" w:sz="8" w:color="auto"/>
            </w:tcBorders>
            <w:shd w:val="clear" w:color="auto" w:fill="CCEEFF"/>
          </w:tcPr>
          <w:p>
            <w:pPr>
              <w:jc w:val="right"/>
              <w:ind w:right="130"/>
              <w:spacing w:after="0"/>
              <w:rPr>
                <w:sz w:val="20"/>
                <w:szCs w:val="20"/>
                <w:color w:val="auto"/>
              </w:rPr>
            </w:pPr>
            <w:r>
              <w:rPr>
                <w:rFonts w:ascii="Arial" w:cs="Arial" w:eastAsia="Arial" w:hAnsi="Arial"/>
                <w:sz w:val="18"/>
                <w:szCs w:val="18"/>
                <w:b w:val="1"/>
                <w:bCs w:val="1"/>
                <w:color w:val="auto"/>
              </w:rPr>
              <w:t>$</w:t>
            </w:r>
          </w:p>
        </w:tc>
        <w:tc>
          <w:tcPr>
            <w:tcW w:w="118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b w:val="1"/>
                <w:bCs w:val="1"/>
                <w:color w:val="auto"/>
              </w:rPr>
              <w:t>89.7</w:t>
            </w:r>
          </w:p>
        </w:tc>
        <w:tc>
          <w:tcPr>
            <w:tcW w:w="380" w:type="dxa"/>
            <w:vAlign w:val="bottom"/>
            <w:tcBorders>
              <w:bottom w:val="single" w:sz="8" w:color="auto"/>
            </w:tcBorders>
            <w:shd w:val="clear" w:color="auto" w:fill="CCEEFF"/>
          </w:tcPr>
          <w:p>
            <w:pPr>
              <w:jc w:val="right"/>
              <w:ind w:right="110"/>
              <w:spacing w:after="0"/>
              <w:rPr>
                <w:sz w:val="20"/>
                <w:szCs w:val="20"/>
                <w:color w:val="auto"/>
              </w:rPr>
            </w:pPr>
            <w:r>
              <w:rPr>
                <w:rFonts w:ascii="Arial" w:cs="Arial" w:eastAsia="Arial" w:hAnsi="Arial"/>
                <w:sz w:val="18"/>
                <w:szCs w:val="18"/>
                <w:color w:val="auto"/>
              </w:rPr>
              <w:t>$</w:t>
            </w:r>
          </w:p>
        </w:tc>
        <w:tc>
          <w:tcPr>
            <w:tcW w:w="120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rPr>
              <w:t>156.1</w:t>
            </w:r>
          </w:p>
        </w:tc>
        <w:tc>
          <w:tcPr>
            <w:tcW w:w="360" w:type="dxa"/>
            <w:vAlign w:val="bottom"/>
            <w:tcBorders>
              <w:bottom w:val="single" w:sz="8" w:color="auto"/>
            </w:tcBorders>
            <w:shd w:val="clear" w:color="auto" w:fill="CCEEFF"/>
          </w:tcPr>
          <w:p>
            <w:pPr>
              <w:jc w:val="right"/>
              <w:ind w:right="110"/>
              <w:spacing w:after="0"/>
              <w:rPr>
                <w:sz w:val="20"/>
                <w:szCs w:val="20"/>
                <w:color w:val="auto"/>
              </w:rPr>
            </w:pPr>
            <w:r>
              <w:rPr>
                <w:rFonts w:ascii="Arial" w:cs="Arial" w:eastAsia="Arial" w:hAnsi="Arial"/>
                <w:sz w:val="18"/>
                <w:szCs w:val="18"/>
                <w:color w:val="auto"/>
              </w:rPr>
              <w:t>$</w:t>
            </w:r>
          </w:p>
        </w:tc>
        <w:tc>
          <w:tcPr>
            <w:tcW w:w="118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166.4</w:t>
            </w:r>
          </w:p>
        </w:tc>
        <w:tc>
          <w:tcPr>
            <w:tcW w:w="0" w:type="dxa"/>
            <w:vAlign w:val="bottom"/>
          </w:tcPr>
          <w:p>
            <w:pPr>
              <w:spacing w:after="0"/>
              <w:rPr>
                <w:sz w:val="1"/>
                <w:szCs w:val="1"/>
                <w:color w:val="auto"/>
              </w:rPr>
            </w:pPr>
          </w:p>
        </w:tc>
      </w:tr>
    </w:tbl>
    <w:p>
      <w:pPr>
        <w:spacing w:after="0" w:line="62" w:lineRule="exact"/>
        <w:rPr>
          <w:sz w:val="20"/>
          <w:szCs w:val="20"/>
          <w:color w:val="auto"/>
        </w:rPr>
      </w:pPr>
    </w:p>
    <w:p>
      <w:pPr>
        <w:spacing w:after="0"/>
        <w:rPr>
          <w:sz w:val="20"/>
          <w:szCs w:val="20"/>
          <w:color w:val="auto"/>
        </w:rPr>
      </w:pPr>
      <w:r>
        <w:rPr>
          <w:rFonts w:ascii="Arial" w:cs="Arial" w:eastAsia="Arial" w:hAnsi="Arial"/>
          <w:sz w:val="14"/>
          <w:szCs w:val="14"/>
          <w:color w:val="auto"/>
        </w:rPr>
        <w:t>See accompanying Notes to the Audited Consolidated Financial Statements.</w:t>
      </w:r>
    </w:p>
    <w:p>
      <w:pPr>
        <w:spacing w:after="0" w:line="14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F-3</w:t>
      </w:r>
    </w:p>
    <w:p>
      <w:pPr>
        <w:sectPr>
          <w:pgSz w:w="11900" w:h="16838" w:orient="portrait"/>
          <w:cols w:equalWidth="0" w:num="1">
            <w:col w:w="11420"/>
          </w:cols>
          <w:pgMar w:left="240" w:top="459" w:right="239" w:bottom="1440" w:gutter="0" w:footer="0" w:header="0"/>
        </w:sectPr>
      </w:pPr>
    </w:p>
    <w:bookmarkStart w:id="110" w:name="page111"/>
    <w:bookmarkEnd w:id="11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8">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1" w:lineRule="exact"/>
        <w:rPr>
          <w:sz w:val="20"/>
          <w:szCs w:val="20"/>
          <w:color w:val="auto"/>
        </w:rPr>
      </w:pPr>
    </w:p>
    <w:p>
      <w:pPr>
        <w:jc w:val="center"/>
        <w:spacing w:after="0"/>
        <w:rPr>
          <w:sz w:val="20"/>
          <w:szCs w:val="20"/>
          <w:color w:val="auto"/>
        </w:rPr>
      </w:pPr>
      <w:r>
        <w:rPr>
          <w:rFonts w:ascii="Arial" w:cs="Arial" w:eastAsia="Arial" w:hAnsi="Arial"/>
          <w:sz w:val="25"/>
          <w:szCs w:val="25"/>
          <w:b w:val="1"/>
          <w:bCs w:val="1"/>
          <w:color w:val="auto"/>
        </w:rPr>
        <w:t>Consolidated Balance Sheets</w:t>
      </w:r>
    </w:p>
    <w:p>
      <w:pPr>
        <w:spacing w:after="0" w:line="262" w:lineRule="exact"/>
        <w:rPr>
          <w:sz w:val="20"/>
          <w:szCs w:val="20"/>
          <w:color w:val="auto"/>
        </w:rPr>
      </w:pPr>
    </w:p>
    <w:p>
      <w:pPr>
        <w:ind w:left="9540"/>
        <w:spacing w:after="0"/>
        <w:rPr>
          <w:sz w:val="20"/>
          <w:szCs w:val="20"/>
          <w:color w:val="auto"/>
        </w:rPr>
      </w:pPr>
      <w:r>
        <w:rPr>
          <w:rFonts w:ascii="Arial" w:cs="Arial" w:eastAsia="Arial" w:hAnsi="Arial"/>
          <w:sz w:val="16"/>
          <w:szCs w:val="16"/>
          <w:b w:val="1"/>
          <w:bCs w:val="1"/>
          <w:color w:val="auto"/>
        </w:rPr>
        <w:t>December 31,</w:t>
      </w:r>
    </w:p>
    <w:p>
      <w:pPr>
        <w:spacing w:after="0" w:line="26" w:lineRule="exact"/>
        <w:rPr>
          <w:sz w:val="20"/>
          <w:szCs w:val="20"/>
          <w:color w:val="auto"/>
        </w:rPr>
      </w:pPr>
    </w:p>
    <w:tbl>
      <w:tblPr>
        <w:tblLayout w:type="fixed"/>
        <w:tblInd w:w="0" w:type="dxa"/>
        <w:tblCellMar>
          <w:top w:w="0" w:type="dxa"/>
          <w:left w:w="0" w:type="dxa"/>
          <w:bottom w:w="0" w:type="dxa"/>
          <w:right w:w="0" w:type="dxa"/>
        </w:tblCellMar>
      </w:tblPr>
      <w:tr>
        <w:trPr>
          <w:trHeight w:val="209"/>
        </w:trPr>
        <w:tc>
          <w:tcPr>
            <w:tcW w:w="20" w:type="dxa"/>
            <w:vAlign w:val="bottom"/>
          </w:tcPr>
          <w:p>
            <w:pPr>
              <w:spacing w:after="0"/>
              <w:rPr>
                <w:sz w:val="18"/>
                <w:szCs w:val="18"/>
                <w:color w:val="auto"/>
              </w:rPr>
            </w:pPr>
          </w:p>
        </w:tc>
        <w:tc>
          <w:tcPr>
            <w:tcW w:w="5940" w:type="dxa"/>
            <w:vAlign w:val="bottom"/>
            <w:tcBorders>
              <w:top w:val="single" w:sz="8" w:color="auto"/>
              <w:bottom w:val="single" w:sz="8" w:color="auto"/>
            </w:tcBorders>
          </w:tcPr>
          <w:p>
            <w:pPr>
              <w:spacing w:after="0"/>
              <w:rPr>
                <w:sz w:val="18"/>
                <w:szCs w:val="18"/>
                <w:color w:val="auto"/>
              </w:rPr>
            </w:pPr>
          </w:p>
        </w:tc>
        <w:tc>
          <w:tcPr>
            <w:tcW w:w="3000" w:type="dxa"/>
            <w:vAlign w:val="bottom"/>
            <w:tcBorders>
              <w:top w:val="single" w:sz="8" w:color="auto"/>
              <w:bottom w:val="single" w:sz="8" w:color="auto"/>
            </w:tcBorders>
          </w:tcPr>
          <w:p>
            <w:pPr>
              <w:spacing w:after="0"/>
              <w:rPr>
                <w:sz w:val="18"/>
                <w:szCs w:val="18"/>
                <w:color w:val="auto"/>
              </w:rPr>
            </w:pPr>
          </w:p>
        </w:tc>
        <w:tc>
          <w:tcPr>
            <w:tcW w:w="1080" w:type="dxa"/>
            <w:vAlign w:val="bottom"/>
            <w:tcBorders>
              <w:top w:val="single" w:sz="8" w:color="auto"/>
              <w:bottom w:val="single" w:sz="8" w:color="auto"/>
            </w:tcBorders>
          </w:tcPr>
          <w:p>
            <w:pPr>
              <w:jc w:val="right"/>
              <w:ind w:right="499"/>
              <w:spacing w:after="0"/>
              <w:rPr>
                <w:sz w:val="20"/>
                <w:szCs w:val="20"/>
                <w:color w:val="auto"/>
              </w:rPr>
            </w:pPr>
            <w:r>
              <w:rPr>
                <w:rFonts w:ascii="Arial" w:cs="Arial" w:eastAsia="Arial" w:hAnsi="Arial"/>
                <w:sz w:val="16"/>
                <w:szCs w:val="16"/>
                <w:b w:val="1"/>
                <w:bCs w:val="1"/>
                <w:color w:val="auto"/>
              </w:rPr>
              <w:t>2013</w:t>
            </w:r>
          </w:p>
        </w:tc>
        <w:tc>
          <w:tcPr>
            <w:tcW w:w="340" w:type="dxa"/>
            <w:vAlign w:val="bottom"/>
            <w:tcBorders>
              <w:top w:val="single" w:sz="8" w:color="auto"/>
              <w:bottom w:val="single" w:sz="8" w:color="auto"/>
            </w:tcBorders>
          </w:tcPr>
          <w:p>
            <w:pPr>
              <w:spacing w:after="0"/>
              <w:rPr>
                <w:sz w:val="18"/>
                <w:szCs w:val="18"/>
                <w:color w:val="auto"/>
              </w:rPr>
            </w:pPr>
          </w:p>
        </w:tc>
        <w:tc>
          <w:tcPr>
            <w:tcW w:w="1040" w:type="dxa"/>
            <w:vAlign w:val="bottom"/>
            <w:tcBorders>
              <w:top w:val="single" w:sz="8" w:color="auto"/>
              <w:bottom w:val="single" w:sz="8" w:color="auto"/>
            </w:tcBorders>
          </w:tcPr>
          <w:p>
            <w:pPr>
              <w:jc w:val="right"/>
              <w:ind w:right="459"/>
              <w:spacing w:after="0"/>
              <w:rPr>
                <w:sz w:val="20"/>
                <w:szCs w:val="20"/>
                <w:color w:val="auto"/>
              </w:rPr>
            </w:pPr>
            <w:r>
              <w:rPr>
                <w:rFonts w:ascii="Arial" w:cs="Arial" w:eastAsia="Arial" w:hAnsi="Arial"/>
                <w:sz w:val="16"/>
                <w:szCs w:val="16"/>
                <w:color w:val="auto"/>
              </w:rPr>
              <w:t>2012</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94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(Dollars in millions)</w:t>
            </w:r>
          </w:p>
        </w:tc>
        <w:tc>
          <w:tcPr>
            <w:tcW w:w="3000" w:type="dxa"/>
            <w:vAlign w:val="bottom"/>
            <w:shd w:val="clear" w:color="auto" w:fill="CCEEFF"/>
          </w:tcPr>
          <w:p>
            <w:pPr>
              <w:spacing w:after="0"/>
              <w:rPr>
                <w:sz w:val="12"/>
                <w:szCs w:val="12"/>
                <w:color w:val="auto"/>
              </w:rPr>
            </w:pPr>
          </w:p>
        </w:tc>
        <w:tc>
          <w:tcPr>
            <w:tcW w:w="1080" w:type="dxa"/>
            <w:vAlign w:val="bottom"/>
            <w:shd w:val="clear" w:color="auto" w:fill="CCEEFF"/>
          </w:tcPr>
          <w:p>
            <w:pPr>
              <w:spacing w:after="0"/>
              <w:rPr>
                <w:sz w:val="12"/>
                <w:szCs w:val="12"/>
                <w:color w:val="auto"/>
              </w:rPr>
            </w:pPr>
          </w:p>
        </w:tc>
        <w:tc>
          <w:tcPr>
            <w:tcW w:w="340" w:type="dxa"/>
            <w:vAlign w:val="bottom"/>
            <w:shd w:val="clear" w:color="auto" w:fill="CCEEFF"/>
          </w:tcPr>
          <w:p>
            <w:pPr>
              <w:spacing w:after="0"/>
              <w:rPr>
                <w:sz w:val="12"/>
                <w:szCs w:val="12"/>
                <w:color w:val="auto"/>
              </w:rPr>
            </w:pPr>
          </w:p>
        </w:tc>
        <w:tc>
          <w:tcPr>
            <w:tcW w:w="10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940" w:type="dxa"/>
            <w:vAlign w:val="bottom"/>
          </w:tcPr>
          <w:p>
            <w:pPr>
              <w:spacing w:after="0"/>
              <w:rPr>
                <w:sz w:val="20"/>
                <w:szCs w:val="20"/>
                <w:color w:val="auto"/>
              </w:rPr>
            </w:pPr>
            <w:r>
              <w:rPr>
                <w:rFonts w:ascii="Arial" w:cs="Arial" w:eastAsia="Arial" w:hAnsi="Arial"/>
                <w:sz w:val="16"/>
                <w:szCs w:val="16"/>
                <w:b w:val="1"/>
                <w:bCs w:val="1"/>
                <w:color w:val="auto"/>
              </w:rPr>
              <w:t>ASSETS</w:t>
            </w:r>
          </w:p>
        </w:tc>
        <w:tc>
          <w:tcPr>
            <w:tcW w:w="300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940" w:type="dxa"/>
            <w:vAlign w:val="bottom"/>
            <w:shd w:val="clear" w:color="auto" w:fill="CCEEFF"/>
          </w:tcPr>
          <w:p>
            <w:pPr>
              <w:spacing w:after="0"/>
              <w:rPr>
                <w:sz w:val="20"/>
                <w:szCs w:val="20"/>
                <w:color w:val="auto"/>
              </w:rPr>
            </w:pPr>
            <w:r>
              <w:rPr>
                <w:rFonts w:ascii="Arial" w:cs="Arial" w:eastAsia="Arial" w:hAnsi="Arial"/>
                <w:sz w:val="16"/>
                <w:szCs w:val="16"/>
                <w:b w:val="1"/>
                <w:bCs w:val="1"/>
                <w:color w:val="auto"/>
              </w:rPr>
              <w:t>Current Assets</w:t>
            </w:r>
          </w:p>
        </w:tc>
        <w:tc>
          <w:tcPr>
            <w:tcW w:w="3000" w:type="dxa"/>
            <w:vAlign w:val="bottom"/>
            <w:shd w:val="clear" w:color="auto" w:fill="CCEEFF"/>
          </w:tcPr>
          <w:p>
            <w:pPr>
              <w:spacing w:after="0"/>
              <w:rPr>
                <w:sz w:val="17"/>
                <w:szCs w:val="17"/>
                <w:color w:val="auto"/>
              </w:rPr>
            </w:pPr>
          </w:p>
        </w:tc>
        <w:tc>
          <w:tcPr>
            <w:tcW w:w="108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10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940" w:type="dxa"/>
            <w:vAlign w:val="bottom"/>
          </w:tcPr>
          <w:p>
            <w:pPr>
              <w:ind w:left="320"/>
              <w:spacing w:after="0"/>
              <w:rPr>
                <w:sz w:val="20"/>
                <w:szCs w:val="20"/>
                <w:color w:val="auto"/>
              </w:rPr>
            </w:pPr>
            <w:r>
              <w:rPr>
                <w:rFonts w:ascii="Arial" w:cs="Arial" w:eastAsia="Arial" w:hAnsi="Arial"/>
                <w:sz w:val="16"/>
                <w:szCs w:val="16"/>
                <w:color w:val="auto"/>
              </w:rPr>
              <w:t>Cash and cash equivalents</w:t>
            </w:r>
          </w:p>
        </w:tc>
        <w:tc>
          <w:tcPr>
            <w:tcW w:w="3000" w:type="dxa"/>
            <w:vAlign w:val="bottom"/>
          </w:tcPr>
          <w:p>
            <w:pPr>
              <w:jc w:val="right"/>
              <w:ind w:right="99"/>
              <w:spacing w:after="0"/>
              <w:rPr>
                <w:sz w:val="20"/>
                <w:szCs w:val="20"/>
                <w:color w:val="auto"/>
              </w:rPr>
            </w:pPr>
            <w:r>
              <w:rPr>
                <w:rFonts w:ascii="Arial" w:cs="Arial" w:eastAsia="Arial" w:hAnsi="Arial"/>
                <w:sz w:val="16"/>
                <w:szCs w:val="16"/>
                <w:b w:val="1"/>
                <w:bCs w:val="1"/>
                <w:color w:val="auto"/>
              </w:rPr>
              <w:t>$</w:t>
            </w:r>
          </w:p>
        </w:tc>
        <w:tc>
          <w:tcPr>
            <w:tcW w:w="1080" w:type="dxa"/>
            <w:vAlign w:val="bottom"/>
          </w:tcPr>
          <w:p>
            <w:pPr>
              <w:jc w:val="right"/>
              <w:ind w:right="59"/>
              <w:spacing w:after="0"/>
              <w:rPr>
                <w:sz w:val="20"/>
                <w:szCs w:val="20"/>
                <w:color w:val="auto"/>
              </w:rPr>
            </w:pPr>
            <w:r>
              <w:rPr>
                <w:rFonts w:ascii="Arial" w:cs="Arial" w:eastAsia="Arial" w:hAnsi="Arial"/>
                <w:sz w:val="16"/>
                <w:szCs w:val="16"/>
                <w:b w:val="1"/>
                <w:bCs w:val="1"/>
                <w:color w:val="auto"/>
              </w:rPr>
              <w:t>—</w:t>
            </w:r>
          </w:p>
        </w:tc>
        <w:tc>
          <w:tcPr>
            <w:tcW w:w="340" w:type="dxa"/>
            <w:vAlign w:val="bottom"/>
          </w:tcPr>
          <w:p>
            <w:pPr>
              <w:jc w:val="right"/>
              <w:ind w:right="99"/>
              <w:spacing w:after="0"/>
              <w:rPr>
                <w:sz w:val="20"/>
                <w:szCs w:val="20"/>
                <w:color w:val="auto"/>
              </w:rPr>
            </w:pPr>
            <w:r>
              <w:rPr>
                <w:rFonts w:ascii="Arial" w:cs="Arial" w:eastAsia="Arial" w:hAnsi="Arial"/>
                <w:sz w:val="16"/>
                <w:szCs w:val="16"/>
                <w:color w:val="auto"/>
              </w:rPr>
              <w:t>$</w:t>
            </w:r>
          </w:p>
        </w:tc>
        <w:tc>
          <w:tcPr>
            <w:tcW w:w="104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940" w:type="dxa"/>
            <w:vAlign w:val="bottom"/>
            <w:shd w:val="clear" w:color="auto" w:fill="CCEEFF"/>
          </w:tcPr>
          <w:p>
            <w:pPr>
              <w:ind w:left="320"/>
              <w:spacing w:after="0"/>
              <w:rPr>
                <w:sz w:val="20"/>
                <w:szCs w:val="20"/>
                <w:color w:val="auto"/>
              </w:rPr>
            </w:pPr>
            <w:r>
              <w:rPr>
                <w:rFonts w:ascii="Arial" w:cs="Arial" w:eastAsia="Arial" w:hAnsi="Arial"/>
                <w:sz w:val="16"/>
                <w:szCs w:val="16"/>
                <w:color w:val="auto"/>
              </w:rPr>
              <w:t>Accounts receivable, net of allowances</w:t>
            </w:r>
          </w:p>
        </w:tc>
        <w:tc>
          <w:tcPr>
            <w:tcW w:w="3000" w:type="dxa"/>
            <w:vAlign w:val="bottom"/>
            <w:shd w:val="clear" w:color="auto" w:fill="CCEEFF"/>
          </w:tcPr>
          <w:p>
            <w:pPr>
              <w:spacing w:after="0"/>
              <w:rPr>
                <w:sz w:val="17"/>
                <w:szCs w:val="17"/>
                <w:color w:val="auto"/>
              </w:rPr>
            </w:pPr>
          </w:p>
        </w:tc>
        <w:tc>
          <w:tcPr>
            <w:tcW w:w="1080" w:type="dxa"/>
            <w:vAlign w:val="bottom"/>
            <w:shd w:val="clear" w:color="auto" w:fill="CCEEFF"/>
          </w:tcPr>
          <w:p>
            <w:pPr>
              <w:jc w:val="right"/>
              <w:ind w:right="59"/>
              <w:spacing w:after="0"/>
              <w:rPr>
                <w:sz w:val="20"/>
                <w:szCs w:val="20"/>
                <w:color w:val="auto"/>
              </w:rPr>
            </w:pPr>
            <w:r>
              <w:rPr>
                <w:rFonts w:ascii="Arial" w:cs="Arial" w:eastAsia="Arial" w:hAnsi="Arial"/>
                <w:sz w:val="16"/>
                <w:szCs w:val="16"/>
                <w:b w:val="1"/>
                <w:bCs w:val="1"/>
                <w:color w:val="auto"/>
              </w:rPr>
              <w:t>122.7</w:t>
            </w:r>
          </w:p>
        </w:tc>
        <w:tc>
          <w:tcPr>
            <w:tcW w:w="340" w:type="dxa"/>
            <w:vAlign w:val="bottom"/>
            <w:shd w:val="clear" w:color="auto" w:fill="CCEEFF"/>
          </w:tcPr>
          <w:p>
            <w:pPr>
              <w:spacing w:after="0"/>
              <w:rPr>
                <w:sz w:val="17"/>
                <w:szCs w:val="17"/>
                <w:color w:val="auto"/>
              </w:rPr>
            </w:pPr>
          </w:p>
        </w:tc>
        <w:tc>
          <w:tcPr>
            <w:tcW w:w="1040" w:type="dxa"/>
            <w:vAlign w:val="bottom"/>
            <w:shd w:val="clear" w:color="auto" w:fill="CCEEFF"/>
          </w:tcPr>
          <w:p>
            <w:pPr>
              <w:jc w:val="right"/>
              <w:ind w:right="19"/>
              <w:spacing w:after="0"/>
              <w:rPr>
                <w:sz w:val="20"/>
                <w:szCs w:val="20"/>
                <w:color w:val="auto"/>
              </w:rPr>
            </w:pPr>
            <w:r>
              <w:rPr>
                <w:rFonts w:ascii="Arial" w:cs="Arial" w:eastAsia="Arial" w:hAnsi="Arial"/>
                <w:sz w:val="16"/>
                <w:szCs w:val="16"/>
                <w:color w:val="auto"/>
              </w:rPr>
              <w:t>113.9</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940" w:type="dxa"/>
            <w:vAlign w:val="bottom"/>
          </w:tcPr>
          <w:p>
            <w:pPr>
              <w:ind w:left="640"/>
              <w:spacing w:after="0"/>
              <w:rPr>
                <w:sz w:val="20"/>
                <w:szCs w:val="20"/>
                <w:color w:val="auto"/>
              </w:rPr>
            </w:pPr>
            <w:r>
              <w:rPr>
                <w:rFonts w:ascii="Arial" w:cs="Arial" w:eastAsia="Arial" w:hAnsi="Arial"/>
                <w:sz w:val="16"/>
                <w:szCs w:val="16"/>
                <w:color w:val="auto"/>
              </w:rPr>
              <w:t>2013 - $0.2 million; 2012 - $1.1 million</w:t>
            </w:r>
          </w:p>
        </w:tc>
        <w:tc>
          <w:tcPr>
            <w:tcW w:w="300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940" w:type="dxa"/>
            <w:vAlign w:val="bottom"/>
            <w:shd w:val="clear" w:color="auto" w:fill="CCEEFF"/>
          </w:tcPr>
          <w:p>
            <w:pPr>
              <w:ind w:left="320"/>
              <w:spacing w:after="0"/>
              <w:rPr>
                <w:sz w:val="20"/>
                <w:szCs w:val="20"/>
                <w:color w:val="auto"/>
              </w:rPr>
            </w:pPr>
            <w:r>
              <w:rPr>
                <w:rFonts w:ascii="Arial" w:cs="Arial" w:eastAsia="Arial" w:hAnsi="Arial"/>
                <w:sz w:val="16"/>
                <w:szCs w:val="16"/>
                <w:color w:val="auto"/>
              </w:rPr>
              <w:t>Accounts receivable due from related party</w:t>
            </w:r>
          </w:p>
        </w:tc>
        <w:tc>
          <w:tcPr>
            <w:tcW w:w="3000" w:type="dxa"/>
            <w:vAlign w:val="bottom"/>
            <w:shd w:val="clear" w:color="auto" w:fill="CCEEFF"/>
          </w:tcPr>
          <w:p>
            <w:pPr>
              <w:spacing w:after="0"/>
              <w:rPr>
                <w:sz w:val="17"/>
                <w:szCs w:val="17"/>
                <w:color w:val="auto"/>
              </w:rPr>
            </w:pPr>
          </w:p>
        </w:tc>
        <w:tc>
          <w:tcPr>
            <w:tcW w:w="1080" w:type="dxa"/>
            <w:vAlign w:val="bottom"/>
            <w:shd w:val="clear" w:color="auto" w:fill="CCEEFF"/>
          </w:tcPr>
          <w:p>
            <w:pPr>
              <w:jc w:val="right"/>
              <w:ind w:right="59"/>
              <w:spacing w:after="0"/>
              <w:rPr>
                <w:sz w:val="20"/>
                <w:szCs w:val="20"/>
                <w:color w:val="auto"/>
              </w:rPr>
            </w:pPr>
            <w:r>
              <w:rPr>
                <w:rFonts w:ascii="Arial" w:cs="Arial" w:eastAsia="Arial" w:hAnsi="Arial"/>
                <w:sz w:val="16"/>
                <w:szCs w:val="16"/>
                <w:b w:val="1"/>
                <w:bCs w:val="1"/>
                <w:color w:val="auto"/>
              </w:rPr>
              <w:t>26.7</w:t>
            </w:r>
          </w:p>
        </w:tc>
        <w:tc>
          <w:tcPr>
            <w:tcW w:w="340" w:type="dxa"/>
            <w:vAlign w:val="bottom"/>
            <w:shd w:val="clear" w:color="auto" w:fill="CCEEFF"/>
          </w:tcPr>
          <w:p>
            <w:pPr>
              <w:spacing w:after="0"/>
              <w:rPr>
                <w:sz w:val="17"/>
                <w:szCs w:val="17"/>
                <w:color w:val="auto"/>
              </w:rPr>
            </w:pPr>
          </w:p>
        </w:tc>
        <w:tc>
          <w:tcPr>
            <w:tcW w:w="1040" w:type="dxa"/>
            <w:vAlign w:val="bottom"/>
            <w:shd w:val="clear" w:color="auto" w:fill="CCEEFF"/>
          </w:tcPr>
          <w:p>
            <w:pPr>
              <w:jc w:val="right"/>
              <w:ind w:right="19"/>
              <w:spacing w:after="0"/>
              <w:rPr>
                <w:sz w:val="20"/>
                <w:szCs w:val="20"/>
                <w:color w:val="auto"/>
              </w:rPr>
            </w:pPr>
            <w:r>
              <w:rPr>
                <w:rFonts w:ascii="Arial" w:cs="Arial" w:eastAsia="Arial" w:hAnsi="Arial"/>
                <w:sz w:val="16"/>
                <w:szCs w:val="16"/>
                <w:color w:val="auto"/>
              </w:rPr>
              <w:t>23.8</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940" w:type="dxa"/>
            <w:vAlign w:val="bottom"/>
          </w:tcPr>
          <w:p>
            <w:pPr>
              <w:ind w:left="320"/>
              <w:spacing w:after="0"/>
              <w:rPr>
                <w:sz w:val="20"/>
                <w:szCs w:val="20"/>
                <w:color w:val="auto"/>
              </w:rPr>
            </w:pPr>
            <w:r>
              <w:rPr>
                <w:rFonts w:ascii="Arial" w:cs="Arial" w:eastAsia="Arial" w:hAnsi="Arial"/>
                <w:sz w:val="16"/>
                <w:szCs w:val="16"/>
                <w:color w:val="auto"/>
              </w:rPr>
              <w:t>Inventories, net</w:t>
            </w:r>
          </w:p>
        </w:tc>
        <w:tc>
          <w:tcPr>
            <w:tcW w:w="3000" w:type="dxa"/>
            <w:vAlign w:val="bottom"/>
          </w:tcPr>
          <w:p>
            <w:pPr>
              <w:spacing w:after="0"/>
              <w:rPr>
                <w:sz w:val="17"/>
                <w:szCs w:val="17"/>
                <w:color w:val="auto"/>
              </w:rPr>
            </w:pPr>
          </w:p>
        </w:tc>
        <w:tc>
          <w:tcPr>
            <w:tcW w:w="1080" w:type="dxa"/>
            <w:vAlign w:val="bottom"/>
          </w:tcPr>
          <w:p>
            <w:pPr>
              <w:jc w:val="right"/>
              <w:ind w:right="59"/>
              <w:spacing w:after="0"/>
              <w:rPr>
                <w:sz w:val="20"/>
                <w:szCs w:val="20"/>
                <w:color w:val="auto"/>
              </w:rPr>
            </w:pPr>
            <w:r>
              <w:rPr>
                <w:rFonts w:ascii="Arial" w:cs="Arial" w:eastAsia="Arial" w:hAnsi="Arial"/>
                <w:sz w:val="16"/>
                <w:szCs w:val="16"/>
                <w:b w:val="1"/>
                <w:bCs w:val="1"/>
                <w:color w:val="auto"/>
              </w:rPr>
              <w:t>227.0</w:t>
            </w:r>
          </w:p>
        </w:tc>
        <w:tc>
          <w:tcPr>
            <w:tcW w:w="340" w:type="dxa"/>
            <w:vAlign w:val="bottom"/>
          </w:tcPr>
          <w:p>
            <w:pPr>
              <w:spacing w:after="0"/>
              <w:rPr>
                <w:sz w:val="17"/>
                <w:szCs w:val="17"/>
                <w:color w:val="auto"/>
              </w:rPr>
            </w:pPr>
          </w:p>
        </w:tc>
        <w:tc>
          <w:tcPr>
            <w:tcW w:w="1040" w:type="dxa"/>
            <w:vAlign w:val="bottom"/>
          </w:tcPr>
          <w:p>
            <w:pPr>
              <w:jc w:val="right"/>
              <w:ind w:right="19"/>
              <w:spacing w:after="0"/>
              <w:rPr>
                <w:sz w:val="20"/>
                <w:szCs w:val="20"/>
                <w:color w:val="auto"/>
              </w:rPr>
            </w:pPr>
            <w:r>
              <w:rPr>
                <w:rFonts w:ascii="Arial" w:cs="Arial" w:eastAsia="Arial" w:hAnsi="Arial"/>
                <w:sz w:val="16"/>
                <w:szCs w:val="16"/>
                <w:color w:val="auto"/>
              </w:rPr>
              <w:t>251.6</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940" w:type="dxa"/>
            <w:vAlign w:val="bottom"/>
            <w:shd w:val="clear" w:color="auto" w:fill="CCEEFF"/>
          </w:tcPr>
          <w:p>
            <w:pPr>
              <w:ind w:left="320"/>
              <w:spacing w:after="0"/>
              <w:rPr>
                <w:sz w:val="20"/>
                <w:szCs w:val="20"/>
                <w:color w:val="auto"/>
              </w:rPr>
            </w:pPr>
            <w:r>
              <w:rPr>
                <w:rFonts w:ascii="Arial" w:cs="Arial" w:eastAsia="Arial" w:hAnsi="Arial"/>
                <w:sz w:val="16"/>
                <w:szCs w:val="16"/>
                <w:color w:val="auto"/>
              </w:rPr>
              <w:t>Deferred income taxes</w:t>
            </w:r>
          </w:p>
        </w:tc>
        <w:tc>
          <w:tcPr>
            <w:tcW w:w="3000" w:type="dxa"/>
            <w:vAlign w:val="bottom"/>
            <w:shd w:val="clear" w:color="auto" w:fill="CCEEFF"/>
          </w:tcPr>
          <w:p>
            <w:pPr>
              <w:spacing w:after="0"/>
              <w:rPr>
                <w:sz w:val="17"/>
                <w:szCs w:val="17"/>
                <w:color w:val="auto"/>
              </w:rPr>
            </w:pPr>
          </w:p>
        </w:tc>
        <w:tc>
          <w:tcPr>
            <w:tcW w:w="1080" w:type="dxa"/>
            <w:vAlign w:val="bottom"/>
            <w:shd w:val="clear" w:color="auto" w:fill="CCEEFF"/>
          </w:tcPr>
          <w:p>
            <w:pPr>
              <w:jc w:val="right"/>
              <w:ind w:right="59"/>
              <w:spacing w:after="0"/>
              <w:rPr>
                <w:sz w:val="20"/>
                <w:szCs w:val="20"/>
                <w:color w:val="auto"/>
              </w:rPr>
            </w:pPr>
            <w:r>
              <w:rPr>
                <w:rFonts w:ascii="Arial" w:cs="Arial" w:eastAsia="Arial" w:hAnsi="Arial"/>
                <w:sz w:val="16"/>
                <w:szCs w:val="16"/>
                <w:b w:val="1"/>
                <w:bCs w:val="1"/>
                <w:color w:val="auto"/>
              </w:rPr>
              <w:t>1.7</w:t>
            </w:r>
          </w:p>
        </w:tc>
        <w:tc>
          <w:tcPr>
            <w:tcW w:w="340" w:type="dxa"/>
            <w:vAlign w:val="bottom"/>
            <w:shd w:val="clear" w:color="auto" w:fill="CCEEFF"/>
          </w:tcPr>
          <w:p>
            <w:pPr>
              <w:spacing w:after="0"/>
              <w:rPr>
                <w:sz w:val="17"/>
                <w:szCs w:val="17"/>
                <w:color w:val="auto"/>
              </w:rPr>
            </w:pPr>
          </w:p>
        </w:tc>
        <w:tc>
          <w:tcPr>
            <w:tcW w:w="1040" w:type="dxa"/>
            <w:vAlign w:val="bottom"/>
            <w:shd w:val="clear" w:color="auto" w:fill="CCEEFF"/>
          </w:tcPr>
          <w:p>
            <w:pPr>
              <w:jc w:val="right"/>
              <w:ind w:right="19"/>
              <w:spacing w:after="0"/>
              <w:rPr>
                <w:sz w:val="20"/>
                <w:szCs w:val="20"/>
                <w:color w:val="auto"/>
              </w:rPr>
            </w:pPr>
            <w:r>
              <w:rPr>
                <w:rFonts w:ascii="Arial" w:cs="Arial" w:eastAsia="Arial" w:hAnsi="Arial"/>
                <w:sz w:val="16"/>
                <w:szCs w:val="16"/>
                <w:color w:val="auto"/>
              </w:rPr>
              <w:t>2.4</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940" w:type="dxa"/>
            <w:vAlign w:val="bottom"/>
          </w:tcPr>
          <w:p>
            <w:pPr>
              <w:ind w:left="320"/>
              <w:spacing w:after="0"/>
              <w:rPr>
                <w:sz w:val="20"/>
                <w:szCs w:val="20"/>
                <w:color w:val="auto"/>
              </w:rPr>
            </w:pPr>
            <w:r>
              <w:rPr>
                <w:rFonts w:ascii="Arial" w:cs="Arial" w:eastAsia="Arial" w:hAnsi="Arial"/>
                <w:sz w:val="16"/>
                <w:szCs w:val="16"/>
                <w:color w:val="auto"/>
              </w:rPr>
              <w:t>Deferred charges and prepaid expenses</w:t>
            </w:r>
          </w:p>
        </w:tc>
        <w:tc>
          <w:tcPr>
            <w:tcW w:w="3000" w:type="dxa"/>
            <w:vAlign w:val="bottom"/>
          </w:tcPr>
          <w:p>
            <w:pPr>
              <w:spacing w:after="0"/>
              <w:rPr>
                <w:sz w:val="17"/>
                <w:szCs w:val="17"/>
                <w:color w:val="auto"/>
              </w:rPr>
            </w:pPr>
          </w:p>
        </w:tc>
        <w:tc>
          <w:tcPr>
            <w:tcW w:w="1080" w:type="dxa"/>
            <w:vAlign w:val="bottom"/>
          </w:tcPr>
          <w:p>
            <w:pPr>
              <w:jc w:val="right"/>
              <w:ind w:right="59"/>
              <w:spacing w:after="0"/>
              <w:rPr>
                <w:sz w:val="20"/>
                <w:szCs w:val="20"/>
                <w:color w:val="auto"/>
              </w:rPr>
            </w:pPr>
            <w:r>
              <w:rPr>
                <w:rFonts w:ascii="Arial" w:cs="Arial" w:eastAsia="Arial" w:hAnsi="Arial"/>
                <w:sz w:val="16"/>
                <w:szCs w:val="16"/>
                <w:b w:val="1"/>
                <w:bCs w:val="1"/>
                <w:color w:val="auto"/>
              </w:rPr>
              <w:t>0.8</w:t>
            </w:r>
          </w:p>
        </w:tc>
        <w:tc>
          <w:tcPr>
            <w:tcW w:w="340" w:type="dxa"/>
            <w:vAlign w:val="bottom"/>
          </w:tcPr>
          <w:p>
            <w:pPr>
              <w:spacing w:after="0"/>
              <w:rPr>
                <w:sz w:val="17"/>
                <w:szCs w:val="17"/>
                <w:color w:val="auto"/>
              </w:rPr>
            </w:pPr>
          </w:p>
        </w:tc>
        <w:tc>
          <w:tcPr>
            <w:tcW w:w="1040" w:type="dxa"/>
            <w:vAlign w:val="bottom"/>
          </w:tcPr>
          <w:p>
            <w:pPr>
              <w:jc w:val="right"/>
              <w:ind w:right="19"/>
              <w:spacing w:after="0"/>
              <w:rPr>
                <w:sz w:val="20"/>
                <w:szCs w:val="20"/>
                <w:color w:val="auto"/>
              </w:rPr>
            </w:pPr>
            <w:r>
              <w:rPr>
                <w:rFonts w:ascii="Arial" w:cs="Arial" w:eastAsia="Arial" w:hAnsi="Arial"/>
                <w:sz w:val="16"/>
                <w:szCs w:val="16"/>
                <w:color w:val="auto"/>
              </w:rPr>
              <w:t>1.1</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940" w:type="dxa"/>
            <w:vAlign w:val="bottom"/>
            <w:tcBorders>
              <w:bottom w:val="single" w:sz="8" w:color="auto"/>
            </w:tcBorders>
            <w:shd w:val="clear" w:color="auto" w:fill="CCEEFF"/>
          </w:tcPr>
          <w:p>
            <w:pPr>
              <w:ind w:left="320"/>
              <w:spacing w:after="0"/>
              <w:rPr>
                <w:sz w:val="20"/>
                <w:szCs w:val="20"/>
                <w:color w:val="auto"/>
              </w:rPr>
            </w:pPr>
            <w:r>
              <w:rPr>
                <w:rFonts w:ascii="Arial" w:cs="Arial" w:eastAsia="Arial" w:hAnsi="Arial"/>
                <w:sz w:val="16"/>
                <w:szCs w:val="16"/>
                <w:color w:val="auto"/>
              </w:rPr>
              <w:t>Other current assets</w:t>
            </w:r>
          </w:p>
        </w:tc>
        <w:tc>
          <w:tcPr>
            <w:tcW w:w="3000" w:type="dxa"/>
            <w:vAlign w:val="bottom"/>
            <w:tcBorders>
              <w:bottom w:val="single" w:sz="8" w:color="auto"/>
            </w:tcBorders>
            <w:shd w:val="clear" w:color="auto" w:fill="CCEEFF"/>
          </w:tcPr>
          <w:p>
            <w:pPr>
              <w:spacing w:after="0"/>
              <w:rPr>
                <w:sz w:val="17"/>
                <w:szCs w:val="17"/>
                <w:color w:val="auto"/>
              </w:rPr>
            </w:pPr>
          </w:p>
        </w:tc>
        <w:tc>
          <w:tcPr>
            <w:tcW w:w="1080" w:type="dxa"/>
            <w:vAlign w:val="bottom"/>
            <w:tcBorders>
              <w:bottom w:val="single" w:sz="8" w:color="auto"/>
            </w:tcBorders>
            <w:shd w:val="clear" w:color="auto" w:fill="CCEEFF"/>
          </w:tcPr>
          <w:p>
            <w:pPr>
              <w:jc w:val="right"/>
              <w:ind w:right="59"/>
              <w:spacing w:after="0"/>
              <w:rPr>
                <w:sz w:val="20"/>
                <w:szCs w:val="20"/>
                <w:color w:val="auto"/>
              </w:rPr>
            </w:pPr>
            <w:r>
              <w:rPr>
                <w:rFonts w:ascii="Arial" w:cs="Arial" w:eastAsia="Arial" w:hAnsi="Arial"/>
                <w:sz w:val="16"/>
                <w:szCs w:val="16"/>
                <w:b w:val="1"/>
                <w:bCs w:val="1"/>
                <w:color w:val="auto"/>
              </w:rPr>
              <w:t>4.2</w:t>
            </w:r>
          </w:p>
        </w:tc>
        <w:tc>
          <w:tcPr>
            <w:tcW w:w="340" w:type="dxa"/>
            <w:vAlign w:val="bottom"/>
            <w:tcBorders>
              <w:bottom w:val="single" w:sz="8" w:color="auto"/>
            </w:tcBorders>
            <w:shd w:val="clear" w:color="auto" w:fill="CCEEFF"/>
          </w:tcPr>
          <w:p>
            <w:pPr>
              <w:spacing w:after="0"/>
              <w:rPr>
                <w:sz w:val="17"/>
                <w:szCs w:val="17"/>
                <w:color w:val="auto"/>
              </w:rPr>
            </w:pPr>
          </w:p>
        </w:tc>
        <w:tc>
          <w:tcPr>
            <w:tcW w:w="104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2.8</w:t>
            </w: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5940" w:type="dxa"/>
            <w:vAlign w:val="bottom"/>
          </w:tcPr>
          <w:p>
            <w:pPr>
              <w:spacing w:after="0"/>
              <w:rPr>
                <w:sz w:val="20"/>
                <w:szCs w:val="20"/>
                <w:color w:val="auto"/>
              </w:rPr>
            </w:pPr>
            <w:r>
              <w:rPr>
                <w:rFonts w:ascii="Arial" w:cs="Arial" w:eastAsia="Arial" w:hAnsi="Arial"/>
                <w:sz w:val="16"/>
                <w:szCs w:val="16"/>
                <w:b w:val="1"/>
                <w:bCs w:val="1"/>
                <w:color w:val="auto"/>
              </w:rPr>
              <w:t>Total Current Assets</w:t>
            </w:r>
          </w:p>
        </w:tc>
        <w:tc>
          <w:tcPr>
            <w:tcW w:w="3000" w:type="dxa"/>
            <w:vAlign w:val="bottom"/>
          </w:tcPr>
          <w:p>
            <w:pPr>
              <w:spacing w:after="0"/>
              <w:rPr>
                <w:sz w:val="17"/>
                <w:szCs w:val="17"/>
                <w:color w:val="auto"/>
              </w:rPr>
            </w:pPr>
          </w:p>
        </w:tc>
        <w:tc>
          <w:tcPr>
            <w:tcW w:w="1080" w:type="dxa"/>
            <w:vAlign w:val="bottom"/>
          </w:tcPr>
          <w:p>
            <w:pPr>
              <w:jc w:val="right"/>
              <w:ind w:right="59"/>
              <w:spacing w:after="0"/>
              <w:rPr>
                <w:sz w:val="20"/>
                <w:szCs w:val="20"/>
                <w:color w:val="auto"/>
              </w:rPr>
            </w:pPr>
            <w:r>
              <w:rPr>
                <w:rFonts w:ascii="Arial" w:cs="Arial" w:eastAsia="Arial" w:hAnsi="Arial"/>
                <w:sz w:val="16"/>
                <w:szCs w:val="16"/>
                <w:b w:val="1"/>
                <w:bCs w:val="1"/>
                <w:color w:val="auto"/>
              </w:rPr>
              <w:t>383.1</w:t>
            </w:r>
          </w:p>
        </w:tc>
        <w:tc>
          <w:tcPr>
            <w:tcW w:w="340" w:type="dxa"/>
            <w:vAlign w:val="bottom"/>
          </w:tcPr>
          <w:p>
            <w:pPr>
              <w:spacing w:after="0"/>
              <w:rPr>
                <w:sz w:val="17"/>
                <w:szCs w:val="17"/>
                <w:color w:val="auto"/>
              </w:rPr>
            </w:pPr>
          </w:p>
        </w:tc>
        <w:tc>
          <w:tcPr>
            <w:tcW w:w="1040" w:type="dxa"/>
            <w:vAlign w:val="bottom"/>
          </w:tcPr>
          <w:p>
            <w:pPr>
              <w:jc w:val="right"/>
              <w:ind w:right="19"/>
              <w:spacing w:after="0"/>
              <w:rPr>
                <w:sz w:val="20"/>
                <w:szCs w:val="20"/>
                <w:color w:val="auto"/>
              </w:rPr>
            </w:pPr>
            <w:r>
              <w:rPr>
                <w:rFonts w:ascii="Arial" w:cs="Arial" w:eastAsia="Arial" w:hAnsi="Arial"/>
                <w:sz w:val="16"/>
                <w:szCs w:val="16"/>
                <w:color w:val="auto"/>
              </w:rPr>
              <w:t>395.6</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5940" w:type="dxa"/>
            <w:vAlign w:val="bottom"/>
            <w:shd w:val="clear" w:color="auto" w:fill="CCEEFF"/>
          </w:tcPr>
          <w:p>
            <w:pPr>
              <w:spacing w:after="0"/>
              <w:rPr>
                <w:sz w:val="18"/>
                <w:szCs w:val="18"/>
                <w:color w:val="auto"/>
              </w:rPr>
            </w:pPr>
          </w:p>
        </w:tc>
        <w:tc>
          <w:tcPr>
            <w:tcW w:w="3000" w:type="dxa"/>
            <w:vAlign w:val="bottom"/>
            <w:shd w:val="clear" w:color="auto" w:fill="CCEEFF"/>
          </w:tcPr>
          <w:p>
            <w:pPr>
              <w:spacing w:after="0"/>
              <w:rPr>
                <w:sz w:val="18"/>
                <w:szCs w:val="18"/>
                <w:color w:val="auto"/>
              </w:rPr>
            </w:pPr>
          </w:p>
        </w:tc>
        <w:tc>
          <w:tcPr>
            <w:tcW w:w="10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3"/>
        </w:trPr>
        <w:tc>
          <w:tcPr>
            <w:tcW w:w="20" w:type="dxa"/>
            <w:vAlign w:val="bottom"/>
            <w:vMerge w:val="continue"/>
          </w:tcPr>
          <w:p>
            <w:pPr>
              <w:spacing w:after="0"/>
              <w:rPr>
                <w:sz w:val="17"/>
                <w:szCs w:val="17"/>
                <w:color w:val="auto"/>
              </w:rPr>
            </w:pPr>
          </w:p>
        </w:tc>
        <w:tc>
          <w:tcPr>
            <w:tcW w:w="5940" w:type="dxa"/>
            <w:vAlign w:val="bottom"/>
          </w:tcPr>
          <w:p>
            <w:pPr>
              <w:spacing w:after="0"/>
              <w:rPr>
                <w:sz w:val="20"/>
                <w:szCs w:val="20"/>
                <w:color w:val="auto"/>
              </w:rPr>
            </w:pPr>
            <w:r>
              <w:rPr>
                <w:rFonts w:ascii="Arial" w:cs="Arial" w:eastAsia="Arial" w:hAnsi="Arial"/>
                <w:sz w:val="16"/>
                <w:szCs w:val="16"/>
                <w:b w:val="1"/>
                <w:bCs w:val="1"/>
                <w:color w:val="auto"/>
              </w:rPr>
              <w:t>Property, Plant and Equipment, Net</w:t>
            </w:r>
          </w:p>
        </w:tc>
        <w:tc>
          <w:tcPr>
            <w:tcW w:w="3000" w:type="dxa"/>
            <w:vAlign w:val="bottom"/>
          </w:tcPr>
          <w:p>
            <w:pPr>
              <w:spacing w:after="0"/>
              <w:rPr>
                <w:sz w:val="17"/>
                <w:szCs w:val="17"/>
                <w:color w:val="auto"/>
              </w:rPr>
            </w:pPr>
          </w:p>
        </w:tc>
        <w:tc>
          <w:tcPr>
            <w:tcW w:w="1080" w:type="dxa"/>
            <w:vAlign w:val="bottom"/>
          </w:tcPr>
          <w:p>
            <w:pPr>
              <w:jc w:val="right"/>
              <w:ind w:right="59"/>
              <w:spacing w:after="0"/>
              <w:rPr>
                <w:sz w:val="20"/>
                <w:szCs w:val="20"/>
                <w:color w:val="auto"/>
              </w:rPr>
            </w:pPr>
            <w:r>
              <w:rPr>
                <w:rFonts w:ascii="Arial" w:cs="Arial" w:eastAsia="Arial" w:hAnsi="Arial"/>
                <w:sz w:val="16"/>
                <w:szCs w:val="16"/>
                <w:b w:val="1"/>
                <w:bCs w:val="1"/>
                <w:color w:val="auto"/>
              </w:rPr>
              <w:t>682.6</w:t>
            </w:r>
          </w:p>
        </w:tc>
        <w:tc>
          <w:tcPr>
            <w:tcW w:w="340" w:type="dxa"/>
            <w:vAlign w:val="bottom"/>
          </w:tcPr>
          <w:p>
            <w:pPr>
              <w:spacing w:after="0"/>
              <w:rPr>
                <w:sz w:val="17"/>
                <w:szCs w:val="17"/>
                <w:color w:val="auto"/>
              </w:rPr>
            </w:pPr>
          </w:p>
        </w:tc>
        <w:tc>
          <w:tcPr>
            <w:tcW w:w="1040" w:type="dxa"/>
            <w:vAlign w:val="bottom"/>
          </w:tcPr>
          <w:p>
            <w:pPr>
              <w:jc w:val="right"/>
              <w:ind w:right="19"/>
              <w:spacing w:after="0"/>
              <w:rPr>
                <w:sz w:val="20"/>
                <w:szCs w:val="20"/>
                <w:color w:val="auto"/>
              </w:rPr>
            </w:pPr>
            <w:r>
              <w:rPr>
                <w:rFonts w:ascii="Arial" w:cs="Arial" w:eastAsia="Arial" w:hAnsi="Arial"/>
                <w:sz w:val="16"/>
                <w:szCs w:val="16"/>
                <w:color w:val="auto"/>
              </w:rPr>
              <w:t>550.1</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5940" w:type="dxa"/>
            <w:vAlign w:val="bottom"/>
            <w:shd w:val="clear" w:color="auto" w:fill="CCEEFF"/>
          </w:tcPr>
          <w:p>
            <w:pPr>
              <w:spacing w:after="0"/>
              <w:rPr>
                <w:sz w:val="18"/>
                <w:szCs w:val="18"/>
                <w:color w:val="auto"/>
              </w:rPr>
            </w:pPr>
          </w:p>
        </w:tc>
        <w:tc>
          <w:tcPr>
            <w:tcW w:w="3000" w:type="dxa"/>
            <w:vAlign w:val="bottom"/>
            <w:shd w:val="clear" w:color="auto" w:fill="CCEEFF"/>
          </w:tcPr>
          <w:p>
            <w:pPr>
              <w:spacing w:after="0"/>
              <w:rPr>
                <w:sz w:val="18"/>
                <w:szCs w:val="18"/>
                <w:color w:val="auto"/>
              </w:rPr>
            </w:pPr>
          </w:p>
        </w:tc>
        <w:tc>
          <w:tcPr>
            <w:tcW w:w="10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3"/>
        </w:trPr>
        <w:tc>
          <w:tcPr>
            <w:tcW w:w="20" w:type="dxa"/>
            <w:vAlign w:val="bottom"/>
            <w:vMerge w:val="continue"/>
          </w:tcPr>
          <w:p>
            <w:pPr>
              <w:spacing w:after="0"/>
              <w:rPr>
                <w:sz w:val="17"/>
                <w:szCs w:val="17"/>
                <w:color w:val="auto"/>
              </w:rPr>
            </w:pPr>
          </w:p>
        </w:tc>
        <w:tc>
          <w:tcPr>
            <w:tcW w:w="5940" w:type="dxa"/>
            <w:vAlign w:val="bottom"/>
          </w:tcPr>
          <w:p>
            <w:pPr>
              <w:spacing w:after="0"/>
              <w:rPr>
                <w:sz w:val="20"/>
                <w:szCs w:val="20"/>
                <w:color w:val="auto"/>
              </w:rPr>
            </w:pPr>
            <w:r>
              <w:rPr>
                <w:rFonts w:ascii="Arial" w:cs="Arial" w:eastAsia="Arial" w:hAnsi="Arial"/>
                <w:sz w:val="16"/>
                <w:szCs w:val="16"/>
                <w:b w:val="1"/>
                <w:bCs w:val="1"/>
                <w:color w:val="auto"/>
              </w:rPr>
              <w:t>Other Assets</w:t>
            </w:r>
          </w:p>
        </w:tc>
        <w:tc>
          <w:tcPr>
            <w:tcW w:w="300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940" w:type="dxa"/>
            <w:vAlign w:val="bottom"/>
            <w:shd w:val="clear" w:color="auto" w:fill="CCEEFF"/>
          </w:tcPr>
          <w:p>
            <w:pPr>
              <w:ind w:left="320"/>
              <w:spacing w:after="0"/>
              <w:rPr>
                <w:sz w:val="20"/>
                <w:szCs w:val="20"/>
                <w:color w:val="auto"/>
              </w:rPr>
            </w:pPr>
            <w:r>
              <w:rPr>
                <w:rFonts w:ascii="Arial" w:cs="Arial" w:eastAsia="Arial" w:hAnsi="Arial"/>
                <w:sz w:val="16"/>
                <w:szCs w:val="16"/>
                <w:color w:val="auto"/>
              </w:rPr>
              <w:t>Intangible assets</w:t>
            </w:r>
          </w:p>
        </w:tc>
        <w:tc>
          <w:tcPr>
            <w:tcW w:w="3000" w:type="dxa"/>
            <w:vAlign w:val="bottom"/>
            <w:shd w:val="clear" w:color="auto" w:fill="CCEEFF"/>
          </w:tcPr>
          <w:p>
            <w:pPr>
              <w:spacing w:after="0"/>
              <w:rPr>
                <w:sz w:val="17"/>
                <w:szCs w:val="17"/>
                <w:color w:val="auto"/>
              </w:rPr>
            </w:pPr>
          </w:p>
        </w:tc>
        <w:tc>
          <w:tcPr>
            <w:tcW w:w="1080" w:type="dxa"/>
            <w:vAlign w:val="bottom"/>
            <w:shd w:val="clear" w:color="auto" w:fill="CCEEFF"/>
          </w:tcPr>
          <w:p>
            <w:pPr>
              <w:jc w:val="right"/>
              <w:ind w:right="59"/>
              <w:spacing w:after="0"/>
              <w:rPr>
                <w:sz w:val="20"/>
                <w:szCs w:val="20"/>
                <w:color w:val="auto"/>
              </w:rPr>
            </w:pPr>
            <w:r>
              <w:rPr>
                <w:rFonts w:ascii="Arial" w:cs="Arial" w:eastAsia="Arial" w:hAnsi="Arial"/>
                <w:sz w:val="16"/>
                <w:szCs w:val="16"/>
                <w:b w:val="1"/>
                <w:bCs w:val="1"/>
                <w:color w:val="auto"/>
              </w:rPr>
              <w:t>11.2</w:t>
            </w:r>
          </w:p>
        </w:tc>
        <w:tc>
          <w:tcPr>
            <w:tcW w:w="340" w:type="dxa"/>
            <w:vAlign w:val="bottom"/>
            <w:shd w:val="clear" w:color="auto" w:fill="CCEEFF"/>
          </w:tcPr>
          <w:p>
            <w:pPr>
              <w:spacing w:after="0"/>
              <w:rPr>
                <w:sz w:val="17"/>
                <w:szCs w:val="17"/>
                <w:color w:val="auto"/>
              </w:rPr>
            </w:pPr>
          </w:p>
        </w:tc>
        <w:tc>
          <w:tcPr>
            <w:tcW w:w="1040" w:type="dxa"/>
            <w:vAlign w:val="bottom"/>
            <w:shd w:val="clear" w:color="auto" w:fill="CCEEFF"/>
          </w:tcPr>
          <w:p>
            <w:pPr>
              <w:jc w:val="right"/>
              <w:ind w:right="19"/>
              <w:spacing w:after="0"/>
              <w:rPr>
                <w:sz w:val="20"/>
                <w:szCs w:val="20"/>
                <w:color w:val="auto"/>
              </w:rPr>
            </w:pPr>
            <w:r>
              <w:rPr>
                <w:rFonts w:ascii="Arial" w:cs="Arial" w:eastAsia="Arial" w:hAnsi="Arial"/>
                <w:sz w:val="16"/>
                <w:szCs w:val="16"/>
                <w:color w:val="auto"/>
              </w:rPr>
              <w:t>12.2</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940" w:type="dxa"/>
            <w:vAlign w:val="bottom"/>
          </w:tcPr>
          <w:p>
            <w:pPr>
              <w:ind w:left="320"/>
              <w:spacing w:after="0"/>
              <w:rPr>
                <w:sz w:val="20"/>
                <w:szCs w:val="20"/>
                <w:color w:val="auto"/>
              </w:rPr>
            </w:pPr>
            <w:r>
              <w:rPr>
                <w:rFonts w:ascii="Arial" w:cs="Arial" w:eastAsia="Arial" w:hAnsi="Arial"/>
                <w:sz w:val="16"/>
                <w:szCs w:val="16"/>
                <w:color w:val="auto"/>
              </w:rPr>
              <w:t>Deferred income taxes</w:t>
            </w:r>
          </w:p>
        </w:tc>
        <w:tc>
          <w:tcPr>
            <w:tcW w:w="3000" w:type="dxa"/>
            <w:vAlign w:val="bottom"/>
          </w:tcPr>
          <w:p>
            <w:pPr>
              <w:spacing w:after="0"/>
              <w:rPr>
                <w:sz w:val="17"/>
                <w:szCs w:val="17"/>
                <w:color w:val="auto"/>
              </w:rPr>
            </w:pPr>
          </w:p>
        </w:tc>
        <w:tc>
          <w:tcPr>
            <w:tcW w:w="1080" w:type="dxa"/>
            <w:vAlign w:val="bottom"/>
          </w:tcPr>
          <w:p>
            <w:pPr>
              <w:jc w:val="right"/>
              <w:ind w:right="59"/>
              <w:spacing w:after="0"/>
              <w:rPr>
                <w:sz w:val="20"/>
                <w:szCs w:val="20"/>
                <w:color w:val="auto"/>
              </w:rPr>
            </w:pPr>
            <w:r>
              <w:rPr>
                <w:rFonts w:ascii="Arial" w:cs="Arial" w:eastAsia="Arial" w:hAnsi="Arial"/>
                <w:sz w:val="16"/>
                <w:szCs w:val="16"/>
                <w:b w:val="1"/>
                <w:bCs w:val="1"/>
                <w:color w:val="auto"/>
              </w:rPr>
              <w:t>—</w:t>
            </w:r>
          </w:p>
        </w:tc>
        <w:tc>
          <w:tcPr>
            <w:tcW w:w="340" w:type="dxa"/>
            <w:vAlign w:val="bottom"/>
          </w:tcPr>
          <w:p>
            <w:pPr>
              <w:spacing w:after="0"/>
              <w:rPr>
                <w:sz w:val="17"/>
                <w:szCs w:val="17"/>
                <w:color w:val="auto"/>
              </w:rPr>
            </w:pPr>
          </w:p>
        </w:tc>
        <w:tc>
          <w:tcPr>
            <w:tcW w:w="1040" w:type="dxa"/>
            <w:vAlign w:val="bottom"/>
          </w:tcPr>
          <w:p>
            <w:pPr>
              <w:jc w:val="right"/>
              <w:ind w:right="19"/>
              <w:spacing w:after="0"/>
              <w:rPr>
                <w:sz w:val="20"/>
                <w:szCs w:val="20"/>
                <w:color w:val="auto"/>
              </w:rPr>
            </w:pPr>
            <w:r>
              <w:rPr>
                <w:rFonts w:ascii="Arial" w:cs="Arial" w:eastAsia="Arial" w:hAnsi="Arial"/>
                <w:sz w:val="16"/>
                <w:szCs w:val="16"/>
                <w:color w:val="auto"/>
              </w:rPr>
              <w:t>0.1</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940" w:type="dxa"/>
            <w:vAlign w:val="bottom"/>
            <w:tcBorders>
              <w:bottom w:val="single" w:sz="8" w:color="auto"/>
            </w:tcBorders>
            <w:shd w:val="clear" w:color="auto" w:fill="CCEEFF"/>
          </w:tcPr>
          <w:p>
            <w:pPr>
              <w:ind w:left="320"/>
              <w:spacing w:after="0"/>
              <w:rPr>
                <w:sz w:val="20"/>
                <w:szCs w:val="20"/>
                <w:color w:val="auto"/>
              </w:rPr>
            </w:pPr>
            <w:r>
              <w:rPr>
                <w:rFonts w:ascii="Arial" w:cs="Arial" w:eastAsia="Arial" w:hAnsi="Arial"/>
                <w:sz w:val="16"/>
                <w:szCs w:val="16"/>
                <w:color w:val="auto"/>
              </w:rPr>
              <w:t>Other non-current assets</w:t>
            </w:r>
          </w:p>
        </w:tc>
        <w:tc>
          <w:tcPr>
            <w:tcW w:w="3000" w:type="dxa"/>
            <w:vAlign w:val="bottom"/>
            <w:tcBorders>
              <w:bottom w:val="single" w:sz="8" w:color="auto"/>
            </w:tcBorders>
            <w:shd w:val="clear" w:color="auto" w:fill="CCEEFF"/>
          </w:tcPr>
          <w:p>
            <w:pPr>
              <w:spacing w:after="0"/>
              <w:rPr>
                <w:sz w:val="17"/>
                <w:szCs w:val="17"/>
                <w:color w:val="auto"/>
              </w:rPr>
            </w:pPr>
          </w:p>
        </w:tc>
        <w:tc>
          <w:tcPr>
            <w:tcW w:w="1080" w:type="dxa"/>
            <w:vAlign w:val="bottom"/>
            <w:tcBorders>
              <w:bottom w:val="single" w:sz="8" w:color="auto"/>
            </w:tcBorders>
            <w:shd w:val="clear" w:color="auto" w:fill="CCEEFF"/>
          </w:tcPr>
          <w:p>
            <w:pPr>
              <w:jc w:val="right"/>
              <w:ind w:right="59"/>
              <w:spacing w:after="0"/>
              <w:rPr>
                <w:sz w:val="20"/>
                <w:szCs w:val="20"/>
                <w:color w:val="auto"/>
              </w:rPr>
            </w:pPr>
            <w:r>
              <w:rPr>
                <w:rFonts w:ascii="Arial" w:cs="Arial" w:eastAsia="Arial" w:hAnsi="Arial"/>
                <w:sz w:val="16"/>
                <w:szCs w:val="16"/>
                <w:b w:val="1"/>
                <w:bCs w:val="1"/>
                <w:color w:val="auto"/>
              </w:rPr>
              <w:t>1.9</w:t>
            </w:r>
          </w:p>
        </w:tc>
        <w:tc>
          <w:tcPr>
            <w:tcW w:w="340" w:type="dxa"/>
            <w:vAlign w:val="bottom"/>
            <w:tcBorders>
              <w:bottom w:val="single" w:sz="8" w:color="auto"/>
            </w:tcBorders>
            <w:shd w:val="clear" w:color="auto" w:fill="CCEEFF"/>
          </w:tcPr>
          <w:p>
            <w:pPr>
              <w:spacing w:after="0"/>
              <w:rPr>
                <w:sz w:val="17"/>
                <w:szCs w:val="17"/>
                <w:color w:val="auto"/>
              </w:rPr>
            </w:pPr>
          </w:p>
        </w:tc>
        <w:tc>
          <w:tcPr>
            <w:tcW w:w="104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2.7</w:t>
            </w: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5940" w:type="dxa"/>
            <w:vAlign w:val="bottom"/>
            <w:tcBorders>
              <w:bottom w:val="single" w:sz="8" w:color="auto"/>
            </w:tcBorders>
          </w:tcPr>
          <w:p>
            <w:pPr>
              <w:spacing w:after="0"/>
              <w:rPr>
                <w:sz w:val="20"/>
                <w:szCs w:val="20"/>
                <w:color w:val="auto"/>
              </w:rPr>
            </w:pPr>
            <w:r>
              <w:rPr>
                <w:rFonts w:ascii="Arial" w:cs="Arial" w:eastAsia="Arial" w:hAnsi="Arial"/>
                <w:sz w:val="16"/>
                <w:szCs w:val="16"/>
                <w:b w:val="1"/>
                <w:bCs w:val="1"/>
                <w:color w:val="auto"/>
              </w:rPr>
              <w:t>Total Other Assets</w:t>
            </w:r>
          </w:p>
        </w:tc>
        <w:tc>
          <w:tcPr>
            <w:tcW w:w="3000" w:type="dxa"/>
            <w:vAlign w:val="bottom"/>
            <w:tcBorders>
              <w:bottom w:val="single" w:sz="8" w:color="auto"/>
            </w:tcBorders>
          </w:tcPr>
          <w:p>
            <w:pPr>
              <w:spacing w:after="0"/>
              <w:rPr>
                <w:sz w:val="17"/>
                <w:szCs w:val="17"/>
                <w:color w:val="auto"/>
              </w:rPr>
            </w:pPr>
          </w:p>
        </w:tc>
        <w:tc>
          <w:tcPr>
            <w:tcW w:w="1080" w:type="dxa"/>
            <w:vAlign w:val="bottom"/>
            <w:tcBorders>
              <w:bottom w:val="single" w:sz="8" w:color="auto"/>
            </w:tcBorders>
          </w:tcPr>
          <w:p>
            <w:pPr>
              <w:jc w:val="right"/>
              <w:ind w:right="59"/>
              <w:spacing w:after="0"/>
              <w:rPr>
                <w:sz w:val="20"/>
                <w:szCs w:val="20"/>
                <w:color w:val="auto"/>
              </w:rPr>
            </w:pPr>
            <w:r>
              <w:rPr>
                <w:rFonts w:ascii="Arial" w:cs="Arial" w:eastAsia="Arial" w:hAnsi="Arial"/>
                <w:sz w:val="16"/>
                <w:szCs w:val="16"/>
                <w:b w:val="1"/>
                <w:bCs w:val="1"/>
                <w:color w:val="auto"/>
              </w:rPr>
              <w:t>13.1</w:t>
            </w:r>
          </w:p>
        </w:tc>
        <w:tc>
          <w:tcPr>
            <w:tcW w:w="340" w:type="dxa"/>
            <w:vAlign w:val="bottom"/>
            <w:tcBorders>
              <w:bottom w:val="single" w:sz="8" w:color="auto"/>
            </w:tcBorders>
          </w:tcPr>
          <w:p>
            <w:pPr>
              <w:spacing w:after="0"/>
              <w:rPr>
                <w:sz w:val="17"/>
                <w:szCs w:val="17"/>
                <w:color w:val="auto"/>
              </w:rPr>
            </w:pPr>
          </w:p>
        </w:tc>
        <w:tc>
          <w:tcPr>
            <w:tcW w:w="104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rPr>
              <w:t>15.0</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94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6"/>
                <w:szCs w:val="16"/>
                <w:b w:val="1"/>
                <w:bCs w:val="1"/>
                <w:color w:val="auto"/>
              </w:rPr>
              <w:t>Total Assets</w:t>
            </w:r>
          </w:p>
        </w:tc>
        <w:tc>
          <w:tcPr>
            <w:tcW w:w="3000" w:type="dxa"/>
            <w:vAlign w:val="bottom"/>
            <w:tcBorders>
              <w:bottom w:val="single" w:sz="8" w:color="auto"/>
            </w:tcBorders>
            <w:shd w:val="clear" w:color="auto" w:fill="CCEEFF"/>
          </w:tcPr>
          <w:p>
            <w:pPr>
              <w:jc w:val="right"/>
              <w:ind w:right="99"/>
              <w:spacing w:after="0"/>
              <w:rPr>
                <w:sz w:val="20"/>
                <w:szCs w:val="20"/>
                <w:color w:val="auto"/>
              </w:rPr>
            </w:pPr>
            <w:r>
              <w:rPr>
                <w:rFonts w:ascii="Arial" w:cs="Arial" w:eastAsia="Arial" w:hAnsi="Arial"/>
                <w:sz w:val="16"/>
                <w:szCs w:val="16"/>
                <w:b w:val="1"/>
                <w:bCs w:val="1"/>
                <w:color w:val="auto"/>
              </w:rPr>
              <w:t>$</w:t>
            </w:r>
          </w:p>
        </w:tc>
        <w:tc>
          <w:tcPr>
            <w:tcW w:w="1080" w:type="dxa"/>
            <w:vAlign w:val="bottom"/>
            <w:tcBorders>
              <w:bottom w:val="single" w:sz="8" w:color="auto"/>
            </w:tcBorders>
            <w:shd w:val="clear" w:color="auto" w:fill="CCEEFF"/>
          </w:tcPr>
          <w:p>
            <w:pPr>
              <w:jc w:val="right"/>
              <w:ind w:right="59"/>
              <w:spacing w:after="0"/>
              <w:rPr>
                <w:sz w:val="20"/>
                <w:szCs w:val="20"/>
                <w:color w:val="auto"/>
              </w:rPr>
            </w:pPr>
            <w:r>
              <w:rPr>
                <w:rFonts w:ascii="Arial" w:cs="Arial" w:eastAsia="Arial" w:hAnsi="Arial"/>
                <w:sz w:val="16"/>
                <w:szCs w:val="16"/>
                <w:b w:val="1"/>
                <w:bCs w:val="1"/>
                <w:color w:val="auto"/>
              </w:rPr>
              <w:t>1,078.8</w:t>
            </w:r>
          </w:p>
        </w:tc>
        <w:tc>
          <w:tcPr>
            <w:tcW w:w="340" w:type="dxa"/>
            <w:vAlign w:val="bottom"/>
            <w:tcBorders>
              <w:bottom w:val="single" w:sz="8" w:color="auto"/>
            </w:tcBorders>
            <w:shd w:val="clear" w:color="auto" w:fill="CCEEFF"/>
          </w:tcPr>
          <w:p>
            <w:pPr>
              <w:jc w:val="right"/>
              <w:ind w:right="99"/>
              <w:spacing w:after="0"/>
              <w:rPr>
                <w:sz w:val="20"/>
                <w:szCs w:val="20"/>
                <w:color w:val="auto"/>
              </w:rPr>
            </w:pPr>
            <w:r>
              <w:rPr>
                <w:rFonts w:ascii="Arial" w:cs="Arial" w:eastAsia="Arial" w:hAnsi="Arial"/>
                <w:sz w:val="16"/>
                <w:szCs w:val="16"/>
                <w:color w:val="auto"/>
              </w:rPr>
              <w:t>$</w:t>
            </w:r>
          </w:p>
        </w:tc>
        <w:tc>
          <w:tcPr>
            <w:tcW w:w="104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960.7</w:t>
            </w:r>
          </w:p>
        </w:tc>
        <w:tc>
          <w:tcPr>
            <w:tcW w:w="0" w:type="dxa"/>
            <w:vAlign w:val="bottom"/>
          </w:tcPr>
          <w:p>
            <w:pPr>
              <w:spacing w:after="0"/>
              <w:rPr>
                <w:sz w:val="1"/>
                <w:szCs w:val="1"/>
                <w:color w:val="auto"/>
              </w:rPr>
            </w:pPr>
          </w:p>
        </w:tc>
      </w:tr>
      <w:tr>
        <w:trPr>
          <w:trHeight w:val="251"/>
        </w:trPr>
        <w:tc>
          <w:tcPr>
            <w:tcW w:w="5960" w:type="dxa"/>
            <w:vAlign w:val="bottom"/>
            <w:gridSpan w:val="2"/>
          </w:tcPr>
          <w:p>
            <w:pPr>
              <w:spacing w:after="0"/>
              <w:rPr>
                <w:sz w:val="20"/>
                <w:szCs w:val="20"/>
                <w:color w:val="auto"/>
              </w:rPr>
            </w:pPr>
            <w:r>
              <w:rPr>
                <w:rFonts w:ascii="Arial" w:cs="Arial" w:eastAsia="Arial" w:hAnsi="Arial"/>
                <w:sz w:val="16"/>
                <w:szCs w:val="16"/>
                <w:b w:val="1"/>
                <w:bCs w:val="1"/>
                <w:color w:val="auto"/>
              </w:rPr>
              <w:t>LIABILITIES AND EQUITY</w:t>
            </w:r>
          </w:p>
        </w:tc>
        <w:tc>
          <w:tcPr>
            <w:tcW w:w="300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0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5940" w:type="dxa"/>
            <w:vAlign w:val="bottom"/>
            <w:shd w:val="clear" w:color="auto" w:fill="CCEEFF"/>
          </w:tcPr>
          <w:p>
            <w:pPr>
              <w:spacing w:after="0"/>
              <w:rPr>
                <w:sz w:val="20"/>
                <w:szCs w:val="20"/>
                <w:color w:val="auto"/>
              </w:rPr>
            </w:pPr>
            <w:r>
              <w:rPr>
                <w:rFonts w:ascii="Arial" w:cs="Arial" w:eastAsia="Arial" w:hAnsi="Arial"/>
                <w:sz w:val="16"/>
                <w:szCs w:val="16"/>
                <w:b w:val="1"/>
                <w:bCs w:val="1"/>
                <w:color w:val="auto"/>
              </w:rPr>
              <w:t>Current Liabilities</w:t>
            </w:r>
          </w:p>
        </w:tc>
        <w:tc>
          <w:tcPr>
            <w:tcW w:w="3000" w:type="dxa"/>
            <w:vAlign w:val="bottom"/>
            <w:shd w:val="clear" w:color="auto" w:fill="CCEEFF"/>
          </w:tcPr>
          <w:p>
            <w:pPr>
              <w:spacing w:after="0"/>
              <w:rPr>
                <w:sz w:val="18"/>
                <w:szCs w:val="18"/>
                <w:color w:val="auto"/>
              </w:rPr>
            </w:pPr>
          </w:p>
        </w:tc>
        <w:tc>
          <w:tcPr>
            <w:tcW w:w="10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940" w:type="dxa"/>
            <w:vAlign w:val="bottom"/>
          </w:tcPr>
          <w:p>
            <w:pPr>
              <w:ind w:left="320"/>
              <w:spacing w:after="0"/>
              <w:rPr>
                <w:sz w:val="20"/>
                <w:szCs w:val="20"/>
                <w:color w:val="auto"/>
              </w:rPr>
            </w:pPr>
            <w:r>
              <w:rPr>
                <w:rFonts w:ascii="Arial" w:cs="Arial" w:eastAsia="Arial" w:hAnsi="Arial"/>
                <w:sz w:val="16"/>
                <w:szCs w:val="16"/>
                <w:color w:val="auto"/>
              </w:rPr>
              <w:t>Accounts payable, trade</w:t>
            </w:r>
          </w:p>
        </w:tc>
        <w:tc>
          <w:tcPr>
            <w:tcW w:w="3000" w:type="dxa"/>
            <w:vAlign w:val="bottom"/>
          </w:tcPr>
          <w:p>
            <w:pPr>
              <w:jc w:val="right"/>
              <w:ind w:right="99"/>
              <w:spacing w:after="0"/>
              <w:rPr>
                <w:sz w:val="20"/>
                <w:szCs w:val="20"/>
                <w:color w:val="auto"/>
              </w:rPr>
            </w:pPr>
            <w:r>
              <w:rPr>
                <w:rFonts w:ascii="Arial" w:cs="Arial" w:eastAsia="Arial" w:hAnsi="Arial"/>
                <w:sz w:val="16"/>
                <w:szCs w:val="16"/>
                <w:b w:val="1"/>
                <w:bCs w:val="1"/>
                <w:color w:val="auto"/>
              </w:rPr>
              <w:t>$</w:t>
            </w:r>
          </w:p>
        </w:tc>
        <w:tc>
          <w:tcPr>
            <w:tcW w:w="1080" w:type="dxa"/>
            <w:vAlign w:val="bottom"/>
          </w:tcPr>
          <w:p>
            <w:pPr>
              <w:jc w:val="right"/>
              <w:ind w:right="59"/>
              <w:spacing w:after="0"/>
              <w:rPr>
                <w:sz w:val="20"/>
                <w:szCs w:val="20"/>
                <w:color w:val="auto"/>
              </w:rPr>
            </w:pPr>
            <w:r>
              <w:rPr>
                <w:rFonts w:ascii="Arial" w:cs="Arial" w:eastAsia="Arial" w:hAnsi="Arial"/>
                <w:sz w:val="16"/>
                <w:szCs w:val="16"/>
                <w:b w:val="1"/>
                <w:bCs w:val="1"/>
                <w:color w:val="auto"/>
              </w:rPr>
              <w:t>86.4</w:t>
            </w:r>
          </w:p>
        </w:tc>
        <w:tc>
          <w:tcPr>
            <w:tcW w:w="340" w:type="dxa"/>
            <w:vAlign w:val="bottom"/>
          </w:tcPr>
          <w:p>
            <w:pPr>
              <w:jc w:val="right"/>
              <w:ind w:right="99"/>
              <w:spacing w:after="0"/>
              <w:rPr>
                <w:sz w:val="20"/>
                <w:szCs w:val="20"/>
                <w:color w:val="auto"/>
              </w:rPr>
            </w:pPr>
            <w:r>
              <w:rPr>
                <w:rFonts w:ascii="Arial" w:cs="Arial" w:eastAsia="Arial" w:hAnsi="Arial"/>
                <w:sz w:val="16"/>
                <w:szCs w:val="16"/>
                <w:color w:val="auto"/>
              </w:rPr>
              <w:t>$</w:t>
            </w:r>
          </w:p>
        </w:tc>
        <w:tc>
          <w:tcPr>
            <w:tcW w:w="1040" w:type="dxa"/>
            <w:vAlign w:val="bottom"/>
          </w:tcPr>
          <w:p>
            <w:pPr>
              <w:jc w:val="right"/>
              <w:ind w:right="19"/>
              <w:spacing w:after="0"/>
              <w:rPr>
                <w:sz w:val="20"/>
                <w:szCs w:val="20"/>
                <w:color w:val="auto"/>
              </w:rPr>
            </w:pPr>
            <w:r>
              <w:rPr>
                <w:rFonts w:ascii="Arial" w:cs="Arial" w:eastAsia="Arial" w:hAnsi="Arial"/>
                <w:sz w:val="16"/>
                <w:szCs w:val="16"/>
                <w:color w:val="auto"/>
              </w:rPr>
              <w:t>86.1</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940" w:type="dxa"/>
            <w:vAlign w:val="bottom"/>
            <w:shd w:val="clear" w:color="auto" w:fill="CCEEFF"/>
          </w:tcPr>
          <w:p>
            <w:pPr>
              <w:ind w:left="320"/>
              <w:spacing w:after="0"/>
              <w:rPr>
                <w:sz w:val="20"/>
                <w:szCs w:val="20"/>
                <w:color w:val="auto"/>
              </w:rPr>
            </w:pPr>
            <w:r>
              <w:rPr>
                <w:rFonts w:ascii="Arial" w:cs="Arial" w:eastAsia="Arial" w:hAnsi="Arial"/>
                <w:sz w:val="16"/>
                <w:szCs w:val="16"/>
                <w:color w:val="auto"/>
              </w:rPr>
              <w:t>Accounts payable due to related party</w:t>
            </w:r>
          </w:p>
        </w:tc>
        <w:tc>
          <w:tcPr>
            <w:tcW w:w="3000" w:type="dxa"/>
            <w:vAlign w:val="bottom"/>
            <w:shd w:val="clear" w:color="auto" w:fill="CCEEFF"/>
          </w:tcPr>
          <w:p>
            <w:pPr>
              <w:spacing w:after="0"/>
              <w:rPr>
                <w:sz w:val="17"/>
                <w:szCs w:val="17"/>
                <w:color w:val="auto"/>
              </w:rPr>
            </w:pPr>
          </w:p>
        </w:tc>
        <w:tc>
          <w:tcPr>
            <w:tcW w:w="1080" w:type="dxa"/>
            <w:vAlign w:val="bottom"/>
            <w:shd w:val="clear" w:color="auto" w:fill="CCEEFF"/>
          </w:tcPr>
          <w:p>
            <w:pPr>
              <w:jc w:val="right"/>
              <w:ind w:right="59"/>
              <w:spacing w:after="0"/>
              <w:rPr>
                <w:sz w:val="20"/>
                <w:szCs w:val="20"/>
                <w:color w:val="auto"/>
              </w:rPr>
            </w:pPr>
            <w:r>
              <w:rPr>
                <w:rFonts w:ascii="Arial" w:cs="Arial" w:eastAsia="Arial" w:hAnsi="Arial"/>
                <w:sz w:val="16"/>
                <w:szCs w:val="16"/>
                <w:b w:val="1"/>
                <w:bCs w:val="1"/>
                <w:color w:val="auto"/>
              </w:rPr>
              <w:t>17.7</w:t>
            </w:r>
          </w:p>
        </w:tc>
        <w:tc>
          <w:tcPr>
            <w:tcW w:w="340" w:type="dxa"/>
            <w:vAlign w:val="bottom"/>
            <w:shd w:val="clear" w:color="auto" w:fill="CCEEFF"/>
          </w:tcPr>
          <w:p>
            <w:pPr>
              <w:spacing w:after="0"/>
              <w:rPr>
                <w:sz w:val="17"/>
                <w:szCs w:val="17"/>
                <w:color w:val="auto"/>
              </w:rPr>
            </w:pPr>
          </w:p>
        </w:tc>
        <w:tc>
          <w:tcPr>
            <w:tcW w:w="1040" w:type="dxa"/>
            <w:vAlign w:val="bottom"/>
            <w:shd w:val="clear" w:color="auto" w:fill="CCEEFF"/>
          </w:tcPr>
          <w:p>
            <w:pPr>
              <w:jc w:val="right"/>
              <w:ind w:right="19"/>
              <w:spacing w:after="0"/>
              <w:rPr>
                <w:sz w:val="20"/>
                <w:szCs w:val="20"/>
                <w:color w:val="auto"/>
              </w:rPr>
            </w:pPr>
            <w:r>
              <w:rPr>
                <w:rFonts w:ascii="Arial" w:cs="Arial" w:eastAsia="Arial" w:hAnsi="Arial"/>
                <w:sz w:val="16"/>
                <w:szCs w:val="16"/>
                <w:color w:val="auto"/>
              </w:rPr>
              <w:t>19.4</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940" w:type="dxa"/>
            <w:vAlign w:val="bottom"/>
          </w:tcPr>
          <w:p>
            <w:pPr>
              <w:ind w:left="320"/>
              <w:spacing w:after="0"/>
              <w:rPr>
                <w:sz w:val="20"/>
                <w:szCs w:val="20"/>
                <w:color w:val="auto"/>
              </w:rPr>
            </w:pPr>
            <w:r>
              <w:rPr>
                <w:rFonts w:ascii="Arial" w:cs="Arial" w:eastAsia="Arial" w:hAnsi="Arial"/>
                <w:sz w:val="16"/>
                <w:szCs w:val="16"/>
                <w:color w:val="auto"/>
              </w:rPr>
              <w:t>Salaries, wages and benefits</w:t>
            </w:r>
          </w:p>
        </w:tc>
        <w:tc>
          <w:tcPr>
            <w:tcW w:w="3000" w:type="dxa"/>
            <w:vAlign w:val="bottom"/>
          </w:tcPr>
          <w:p>
            <w:pPr>
              <w:spacing w:after="0"/>
              <w:rPr>
                <w:sz w:val="17"/>
                <w:szCs w:val="17"/>
                <w:color w:val="auto"/>
              </w:rPr>
            </w:pPr>
          </w:p>
        </w:tc>
        <w:tc>
          <w:tcPr>
            <w:tcW w:w="1080" w:type="dxa"/>
            <w:vAlign w:val="bottom"/>
          </w:tcPr>
          <w:p>
            <w:pPr>
              <w:jc w:val="right"/>
              <w:ind w:right="59"/>
              <w:spacing w:after="0"/>
              <w:rPr>
                <w:sz w:val="20"/>
                <w:szCs w:val="20"/>
                <w:color w:val="auto"/>
              </w:rPr>
            </w:pPr>
            <w:r>
              <w:rPr>
                <w:rFonts w:ascii="Arial" w:cs="Arial" w:eastAsia="Arial" w:hAnsi="Arial"/>
                <w:sz w:val="16"/>
                <w:szCs w:val="16"/>
                <w:b w:val="1"/>
                <w:bCs w:val="1"/>
                <w:color w:val="auto"/>
              </w:rPr>
              <w:t>37.6</w:t>
            </w:r>
          </w:p>
        </w:tc>
        <w:tc>
          <w:tcPr>
            <w:tcW w:w="340" w:type="dxa"/>
            <w:vAlign w:val="bottom"/>
          </w:tcPr>
          <w:p>
            <w:pPr>
              <w:spacing w:after="0"/>
              <w:rPr>
                <w:sz w:val="17"/>
                <w:szCs w:val="17"/>
                <w:color w:val="auto"/>
              </w:rPr>
            </w:pPr>
          </w:p>
        </w:tc>
        <w:tc>
          <w:tcPr>
            <w:tcW w:w="1040" w:type="dxa"/>
            <w:vAlign w:val="bottom"/>
          </w:tcPr>
          <w:p>
            <w:pPr>
              <w:jc w:val="right"/>
              <w:ind w:right="19"/>
              <w:spacing w:after="0"/>
              <w:rPr>
                <w:sz w:val="20"/>
                <w:szCs w:val="20"/>
                <w:color w:val="auto"/>
              </w:rPr>
            </w:pPr>
            <w:r>
              <w:rPr>
                <w:rFonts w:ascii="Arial" w:cs="Arial" w:eastAsia="Arial" w:hAnsi="Arial"/>
                <w:sz w:val="16"/>
                <w:szCs w:val="16"/>
                <w:color w:val="auto"/>
              </w:rPr>
              <w:t>32.2</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940" w:type="dxa"/>
            <w:vAlign w:val="bottom"/>
            <w:shd w:val="clear" w:color="auto" w:fill="CCEEFF"/>
          </w:tcPr>
          <w:p>
            <w:pPr>
              <w:ind w:left="320"/>
              <w:spacing w:after="0"/>
              <w:rPr>
                <w:sz w:val="20"/>
                <w:szCs w:val="20"/>
                <w:color w:val="auto"/>
              </w:rPr>
            </w:pPr>
            <w:r>
              <w:rPr>
                <w:rFonts w:ascii="Arial" w:cs="Arial" w:eastAsia="Arial" w:hAnsi="Arial"/>
                <w:sz w:val="16"/>
                <w:szCs w:val="16"/>
                <w:color w:val="auto"/>
              </w:rPr>
              <w:t>Deferred income taxes</w:t>
            </w:r>
          </w:p>
        </w:tc>
        <w:tc>
          <w:tcPr>
            <w:tcW w:w="3000" w:type="dxa"/>
            <w:vAlign w:val="bottom"/>
            <w:shd w:val="clear" w:color="auto" w:fill="CCEEFF"/>
          </w:tcPr>
          <w:p>
            <w:pPr>
              <w:spacing w:after="0"/>
              <w:rPr>
                <w:sz w:val="17"/>
                <w:szCs w:val="17"/>
                <w:color w:val="auto"/>
              </w:rPr>
            </w:pPr>
          </w:p>
        </w:tc>
        <w:tc>
          <w:tcPr>
            <w:tcW w:w="1080" w:type="dxa"/>
            <w:vAlign w:val="bottom"/>
            <w:shd w:val="clear" w:color="auto" w:fill="CCEEFF"/>
          </w:tcPr>
          <w:p>
            <w:pPr>
              <w:jc w:val="right"/>
              <w:ind w:right="59"/>
              <w:spacing w:after="0"/>
              <w:rPr>
                <w:sz w:val="20"/>
                <w:szCs w:val="20"/>
                <w:color w:val="auto"/>
              </w:rPr>
            </w:pPr>
            <w:r>
              <w:rPr>
                <w:rFonts w:ascii="Arial" w:cs="Arial" w:eastAsia="Arial" w:hAnsi="Arial"/>
                <w:sz w:val="16"/>
                <w:szCs w:val="16"/>
                <w:b w:val="1"/>
                <w:bCs w:val="1"/>
                <w:color w:val="auto"/>
              </w:rPr>
              <w:t>—</w:t>
            </w:r>
          </w:p>
        </w:tc>
        <w:tc>
          <w:tcPr>
            <w:tcW w:w="340" w:type="dxa"/>
            <w:vAlign w:val="bottom"/>
            <w:shd w:val="clear" w:color="auto" w:fill="CCEEFF"/>
          </w:tcPr>
          <w:p>
            <w:pPr>
              <w:spacing w:after="0"/>
              <w:rPr>
                <w:sz w:val="17"/>
                <w:szCs w:val="17"/>
                <w:color w:val="auto"/>
              </w:rPr>
            </w:pPr>
          </w:p>
        </w:tc>
        <w:tc>
          <w:tcPr>
            <w:tcW w:w="1040" w:type="dxa"/>
            <w:vAlign w:val="bottom"/>
            <w:shd w:val="clear" w:color="auto" w:fill="CCEEFF"/>
          </w:tcPr>
          <w:p>
            <w:pPr>
              <w:jc w:val="right"/>
              <w:ind w:right="19"/>
              <w:spacing w:after="0"/>
              <w:rPr>
                <w:sz w:val="20"/>
                <w:szCs w:val="20"/>
                <w:color w:val="auto"/>
              </w:rPr>
            </w:pPr>
            <w:r>
              <w:rPr>
                <w:rFonts w:ascii="Arial" w:cs="Arial" w:eastAsia="Arial" w:hAnsi="Arial"/>
                <w:sz w:val="16"/>
                <w:szCs w:val="16"/>
                <w:color w:val="auto"/>
              </w:rPr>
              <w:t>0.1</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940" w:type="dxa"/>
            <w:vAlign w:val="bottom"/>
            <w:tcBorders>
              <w:bottom w:val="single" w:sz="8" w:color="auto"/>
            </w:tcBorders>
          </w:tcPr>
          <w:p>
            <w:pPr>
              <w:ind w:left="320"/>
              <w:spacing w:after="0"/>
              <w:rPr>
                <w:sz w:val="20"/>
                <w:szCs w:val="20"/>
                <w:color w:val="auto"/>
              </w:rPr>
            </w:pPr>
            <w:r>
              <w:rPr>
                <w:rFonts w:ascii="Arial" w:cs="Arial" w:eastAsia="Arial" w:hAnsi="Arial"/>
                <w:sz w:val="16"/>
                <w:szCs w:val="16"/>
                <w:color w:val="auto"/>
              </w:rPr>
              <w:t>Other current liabilities</w:t>
            </w:r>
          </w:p>
        </w:tc>
        <w:tc>
          <w:tcPr>
            <w:tcW w:w="3000" w:type="dxa"/>
            <w:vAlign w:val="bottom"/>
            <w:tcBorders>
              <w:bottom w:val="single" w:sz="8" w:color="auto"/>
            </w:tcBorders>
          </w:tcPr>
          <w:p>
            <w:pPr>
              <w:spacing w:after="0"/>
              <w:rPr>
                <w:sz w:val="17"/>
                <w:szCs w:val="17"/>
                <w:color w:val="auto"/>
              </w:rPr>
            </w:pPr>
          </w:p>
        </w:tc>
        <w:tc>
          <w:tcPr>
            <w:tcW w:w="1080" w:type="dxa"/>
            <w:vAlign w:val="bottom"/>
            <w:tcBorders>
              <w:bottom w:val="single" w:sz="8" w:color="auto"/>
            </w:tcBorders>
          </w:tcPr>
          <w:p>
            <w:pPr>
              <w:jc w:val="right"/>
              <w:ind w:right="59"/>
              <w:spacing w:after="0"/>
              <w:rPr>
                <w:sz w:val="20"/>
                <w:szCs w:val="20"/>
                <w:color w:val="auto"/>
              </w:rPr>
            </w:pPr>
            <w:r>
              <w:rPr>
                <w:rFonts w:ascii="Arial" w:cs="Arial" w:eastAsia="Arial" w:hAnsi="Arial"/>
                <w:sz w:val="16"/>
                <w:szCs w:val="16"/>
                <w:b w:val="1"/>
                <w:bCs w:val="1"/>
                <w:color w:val="auto"/>
              </w:rPr>
              <w:t>13.2</w:t>
            </w:r>
          </w:p>
        </w:tc>
        <w:tc>
          <w:tcPr>
            <w:tcW w:w="340" w:type="dxa"/>
            <w:vAlign w:val="bottom"/>
            <w:tcBorders>
              <w:bottom w:val="single" w:sz="8" w:color="auto"/>
            </w:tcBorders>
          </w:tcPr>
          <w:p>
            <w:pPr>
              <w:spacing w:after="0"/>
              <w:rPr>
                <w:sz w:val="17"/>
                <w:szCs w:val="17"/>
                <w:color w:val="auto"/>
              </w:rPr>
            </w:pPr>
          </w:p>
        </w:tc>
        <w:tc>
          <w:tcPr>
            <w:tcW w:w="104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rPr>
              <w:t>15.7</w:t>
            </w: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5940" w:type="dxa"/>
            <w:vAlign w:val="bottom"/>
            <w:shd w:val="clear" w:color="auto" w:fill="CCEEFF"/>
          </w:tcPr>
          <w:p>
            <w:pPr>
              <w:spacing w:after="0"/>
              <w:rPr>
                <w:sz w:val="20"/>
                <w:szCs w:val="20"/>
                <w:color w:val="auto"/>
              </w:rPr>
            </w:pPr>
            <w:r>
              <w:rPr>
                <w:rFonts w:ascii="Arial" w:cs="Arial" w:eastAsia="Arial" w:hAnsi="Arial"/>
                <w:sz w:val="16"/>
                <w:szCs w:val="16"/>
                <w:b w:val="1"/>
                <w:bCs w:val="1"/>
                <w:color w:val="auto"/>
              </w:rPr>
              <w:t>Total Current Liabilities</w:t>
            </w:r>
          </w:p>
        </w:tc>
        <w:tc>
          <w:tcPr>
            <w:tcW w:w="3000" w:type="dxa"/>
            <w:vAlign w:val="bottom"/>
            <w:shd w:val="clear" w:color="auto" w:fill="CCEEFF"/>
          </w:tcPr>
          <w:p>
            <w:pPr>
              <w:spacing w:after="0"/>
              <w:rPr>
                <w:sz w:val="17"/>
                <w:szCs w:val="17"/>
                <w:color w:val="auto"/>
              </w:rPr>
            </w:pPr>
          </w:p>
        </w:tc>
        <w:tc>
          <w:tcPr>
            <w:tcW w:w="1080" w:type="dxa"/>
            <w:vAlign w:val="bottom"/>
            <w:shd w:val="clear" w:color="auto" w:fill="CCEEFF"/>
          </w:tcPr>
          <w:p>
            <w:pPr>
              <w:jc w:val="right"/>
              <w:ind w:right="59"/>
              <w:spacing w:after="0"/>
              <w:rPr>
                <w:sz w:val="20"/>
                <w:szCs w:val="20"/>
                <w:color w:val="auto"/>
              </w:rPr>
            </w:pPr>
            <w:r>
              <w:rPr>
                <w:rFonts w:ascii="Arial" w:cs="Arial" w:eastAsia="Arial" w:hAnsi="Arial"/>
                <w:sz w:val="16"/>
                <w:szCs w:val="16"/>
                <w:b w:val="1"/>
                <w:bCs w:val="1"/>
                <w:color w:val="auto"/>
              </w:rPr>
              <w:t>154.9</w:t>
            </w:r>
          </w:p>
        </w:tc>
        <w:tc>
          <w:tcPr>
            <w:tcW w:w="340" w:type="dxa"/>
            <w:vAlign w:val="bottom"/>
            <w:shd w:val="clear" w:color="auto" w:fill="CCEEFF"/>
          </w:tcPr>
          <w:p>
            <w:pPr>
              <w:spacing w:after="0"/>
              <w:rPr>
                <w:sz w:val="17"/>
                <w:szCs w:val="17"/>
                <w:color w:val="auto"/>
              </w:rPr>
            </w:pPr>
          </w:p>
        </w:tc>
        <w:tc>
          <w:tcPr>
            <w:tcW w:w="1040" w:type="dxa"/>
            <w:vAlign w:val="bottom"/>
            <w:shd w:val="clear" w:color="auto" w:fill="CCEEFF"/>
          </w:tcPr>
          <w:p>
            <w:pPr>
              <w:jc w:val="right"/>
              <w:ind w:right="19"/>
              <w:spacing w:after="0"/>
              <w:rPr>
                <w:sz w:val="20"/>
                <w:szCs w:val="20"/>
                <w:color w:val="auto"/>
              </w:rPr>
            </w:pPr>
            <w:r>
              <w:rPr>
                <w:rFonts w:ascii="Arial" w:cs="Arial" w:eastAsia="Arial" w:hAnsi="Arial"/>
                <w:sz w:val="16"/>
                <w:szCs w:val="16"/>
                <w:color w:val="auto"/>
              </w:rPr>
              <w:t>153.5</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5940" w:type="dxa"/>
            <w:vAlign w:val="bottom"/>
          </w:tcPr>
          <w:p>
            <w:pPr>
              <w:spacing w:after="0"/>
              <w:rPr>
                <w:sz w:val="18"/>
                <w:szCs w:val="18"/>
                <w:color w:val="auto"/>
              </w:rPr>
            </w:pPr>
          </w:p>
        </w:tc>
        <w:tc>
          <w:tcPr>
            <w:tcW w:w="300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3"/>
        </w:trPr>
        <w:tc>
          <w:tcPr>
            <w:tcW w:w="20" w:type="dxa"/>
            <w:vAlign w:val="bottom"/>
            <w:vMerge w:val="continue"/>
          </w:tcPr>
          <w:p>
            <w:pPr>
              <w:spacing w:after="0"/>
              <w:rPr>
                <w:sz w:val="17"/>
                <w:szCs w:val="17"/>
                <w:color w:val="auto"/>
              </w:rPr>
            </w:pPr>
          </w:p>
        </w:tc>
        <w:tc>
          <w:tcPr>
            <w:tcW w:w="5940" w:type="dxa"/>
            <w:vAlign w:val="bottom"/>
            <w:shd w:val="clear" w:color="auto" w:fill="CCEEFF"/>
          </w:tcPr>
          <w:p>
            <w:pPr>
              <w:spacing w:after="0"/>
              <w:rPr>
                <w:sz w:val="20"/>
                <w:szCs w:val="20"/>
                <w:color w:val="auto"/>
              </w:rPr>
            </w:pPr>
            <w:r>
              <w:rPr>
                <w:rFonts w:ascii="Arial" w:cs="Arial" w:eastAsia="Arial" w:hAnsi="Arial"/>
                <w:sz w:val="16"/>
                <w:szCs w:val="16"/>
                <w:b w:val="1"/>
                <w:bCs w:val="1"/>
                <w:color w:val="auto"/>
              </w:rPr>
              <w:t>Non-Current Liabilities</w:t>
            </w:r>
          </w:p>
        </w:tc>
        <w:tc>
          <w:tcPr>
            <w:tcW w:w="3000" w:type="dxa"/>
            <w:vAlign w:val="bottom"/>
            <w:shd w:val="clear" w:color="auto" w:fill="CCEEFF"/>
          </w:tcPr>
          <w:p>
            <w:pPr>
              <w:spacing w:after="0"/>
              <w:rPr>
                <w:sz w:val="17"/>
                <w:szCs w:val="17"/>
                <w:color w:val="auto"/>
              </w:rPr>
            </w:pPr>
          </w:p>
        </w:tc>
        <w:tc>
          <w:tcPr>
            <w:tcW w:w="108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10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940" w:type="dxa"/>
            <w:vAlign w:val="bottom"/>
          </w:tcPr>
          <w:p>
            <w:pPr>
              <w:ind w:left="320"/>
              <w:spacing w:after="0"/>
              <w:rPr>
                <w:sz w:val="20"/>
                <w:szCs w:val="20"/>
                <w:color w:val="auto"/>
              </w:rPr>
            </w:pPr>
            <w:r>
              <w:rPr>
                <w:rFonts w:ascii="Arial" w:cs="Arial" w:eastAsia="Arial" w:hAnsi="Arial"/>
                <w:sz w:val="16"/>
                <w:szCs w:val="16"/>
                <w:color w:val="auto"/>
              </w:rPr>
              <w:t>Long-term debt</w:t>
            </w:r>
          </w:p>
        </w:tc>
        <w:tc>
          <w:tcPr>
            <w:tcW w:w="3000" w:type="dxa"/>
            <w:vAlign w:val="bottom"/>
          </w:tcPr>
          <w:p>
            <w:pPr>
              <w:spacing w:after="0"/>
              <w:rPr>
                <w:sz w:val="17"/>
                <w:szCs w:val="17"/>
                <w:color w:val="auto"/>
              </w:rPr>
            </w:pPr>
          </w:p>
        </w:tc>
        <w:tc>
          <w:tcPr>
            <w:tcW w:w="1080" w:type="dxa"/>
            <w:vAlign w:val="bottom"/>
          </w:tcPr>
          <w:p>
            <w:pPr>
              <w:jc w:val="right"/>
              <w:ind w:right="59"/>
              <w:spacing w:after="0"/>
              <w:rPr>
                <w:sz w:val="20"/>
                <w:szCs w:val="20"/>
                <w:color w:val="auto"/>
              </w:rPr>
            </w:pPr>
            <w:r>
              <w:rPr>
                <w:rFonts w:ascii="Arial" w:cs="Arial" w:eastAsia="Arial" w:hAnsi="Arial"/>
                <w:sz w:val="16"/>
                <w:szCs w:val="16"/>
                <w:b w:val="1"/>
                <w:bCs w:val="1"/>
                <w:color w:val="auto"/>
              </w:rPr>
              <w:t>30.2</w:t>
            </w:r>
          </w:p>
        </w:tc>
        <w:tc>
          <w:tcPr>
            <w:tcW w:w="340" w:type="dxa"/>
            <w:vAlign w:val="bottom"/>
          </w:tcPr>
          <w:p>
            <w:pPr>
              <w:spacing w:after="0"/>
              <w:rPr>
                <w:sz w:val="17"/>
                <w:szCs w:val="17"/>
                <w:color w:val="auto"/>
              </w:rPr>
            </w:pPr>
          </w:p>
        </w:tc>
        <w:tc>
          <w:tcPr>
            <w:tcW w:w="1040" w:type="dxa"/>
            <w:vAlign w:val="bottom"/>
          </w:tcPr>
          <w:p>
            <w:pPr>
              <w:jc w:val="right"/>
              <w:ind w:right="19"/>
              <w:spacing w:after="0"/>
              <w:rPr>
                <w:sz w:val="20"/>
                <w:szCs w:val="20"/>
                <w:color w:val="auto"/>
              </w:rPr>
            </w:pPr>
            <w:r>
              <w:rPr>
                <w:rFonts w:ascii="Arial" w:cs="Arial" w:eastAsia="Arial" w:hAnsi="Arial"/>
                <w:sz w:val="16"/>
                <w:szCs w:val="16"/>
                <w:color w:val="auto"/>
              </w:rPr>
              <w:t>30.2</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940" w:type="dxa"/>
            <w:vAlign w:val="bottom"/>
            <w:shd w:val="clear" w:color="auto" w:fill="CCEEFF"/>
          </w:tcPr>
          <w:p>
            <w:pPr>
              <w:ind w:left="320"/>
              <w:spacing w:after="0"/>
              <w:rPr>
                <w:sz w:val="20"/>
                <w:szCs w:val="20"/>
                <w:color w:val="auto"/>
              </w:rPr>
            </w:pPr>
            <w:r>
              <w:rPr>
                <w:rFonts w:ascii="Arial" w:cs="Arial" w:eastAsia="Arial" w:hAnsi="Arial"/>
                <w:sz w:val="16"/>
                <w:szCs w:val="16"/>
                <w:color w:val="auto"/>
              </w:rPr>
              <w:t>Deferred income taxes</w:t>
            </w:r>
          </w:p>
        </w:tc>
        <w:tc>
          <w:tcPr>
            <w:tcW w:w="3000" w:type="dxa"/>
            <w:vAlign w:val="bottom"/>
            <w:shd w:val="clear" w:color="auto" w:fill="CCEEFF"/>
          </w:tcPr>
          <w:p>
            <w:pPr>
              <w:spacing w:after="0"/>
              <w:rPr>
                <w:sz w:val="17"/>
                <w:szCs w:val="17"/>
                <w:color w:val="auto"/>
              </w:rPr>
            </w:pPr>
          </w:p>
        </w:tc>
        <w:tc>
          <w:tcPr>
            <w:tcW w:w="1080" w:type="dxa"/>
            <w:vAlign w:val="bottom"/>
            <w:shd w:val="clear" w:color="auto" w:fill="CCEEFF"/>
          </w:tcPr>
          <w:p>
            <w:pPr>
              <w:jc w:val="right"/>
              <w:ind w:right="59"/>
              <w:spacing w:after="0"/>
              <w:rPr>
                <w:sz w:val="20"/>
                <w:szCs w:val="20"/>
                <w:color w:val="auto"/>
              </w:rPr>
            </w:pPr>
            <w:r>
              <w:rPr>
                <w:rFonts w:ascii="Arial" w:cs="Arial" w:eastAsia="Arial" w:hAnsi="Arial"/>
                <w:sz w:val="16"/>
                <w:szCs w:val="16"/>
                <w:b w:val="1"/>
                <w:bCs w:val="1"/>
                <w:color w:val="auto"/>
              </w:rPr>
              <w:t>86.1</w:t>
            </w:r>
          </w:p>
        </w:tc>
        <w:tc>
          <w:tcPr>
            <w:tcW w:w="340" w:type="dxa"/>
            <w:vAlign w:val="bottom"/>
            <w:shd w:val="clear" w:color="auto" w:fill="CCEEFF"/>
          </w:tcPr>
          <w:p>
            <w:pPr>
              <w:spacing w:after="0"/>
              <w:rPr>
                <w:sz w:val="17"/>
                <w:szCs w:val="17"/>
                <w:color w:val="auto"/>
              </w:rPr>
            </w:pPr>
          </w:p>
        </w:tc>
        <w:tc>
          <w:tcPr>
            <w:tcW w:w="1040" w:type="dxa"/>
            <w:vAlign w:val="bottom"/>
            <w:shd w:val="clear" w:color="auto" w:fill="CCEEFF"/>
          </w:tcPr>
          <w:p>
            <w:pPr>
              <w:jc w:val="right"/>
              <w:ind w:right="19"/>
              <w:spacing w:after="0"/>
              <w:rPr>
                <w:sz w:val="20"/>
                <w:szCs w:val="20"/>
                <w:color w:val="auto"/>
              </w:rPr>
            </w:pPr>
            <w:r>
              <w:rPr>
                <w:rFonts w:ascii="Arial" w:cs="Arial" w:eastAsia="Arial" w:hAnsi="Arial"/>
                <w:sz w:val="16"/>
                <w:szCs w:val="16"/>
                <w:color w:val="auto"/>
              </w:rPr>
              <w:t>70.7</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940" w:type="dxa"/>
            <w:vAlign w:val="bottom"/>
            <w:tcBorders>
              <w:bottom w:val="single" w:sz="8" w:color="auto"/>
            </w:tcBorders>
          </w:tcPr>
          <w:p>
            <w:pPr>
              <w:ind w:left="320"/>
              <w:spacing w:after="0"/>
              <w:rPr>
                <w:sz w:val="20"/>
                <w:szCs w:val="20"/>
                <w:color w:val="auto"/>
              </w:rPr>
            </w:pPr>
            <w:r>
              <w:rPr>
                <w:rFonts w:ascii="Arial" w:cs="Arial" w:eastAsia="Arial" w:hAnsi="Arial"/>
                <w:sz w:val="16"/>
                <w:szCs w:val="16"/>
                <w:color w:val="auto"/>
              </w:rPr>
              <w:t>Other non-current liabilities</w:t>
            </w:r>
          </w:p>
        </w:tc>
        <w:tc>
          <w:tcPr>
            <w:tcW w:w="3000" w:type="dxa"/>
            <w:vAlign w:val="bottom"/>
            <w:tcBorders>
              <w:bottom w:val="single" w:sz="8" w:color="auto"/>
            </w:tcBorders>
          </w:tcPr>
          <w:p>
            <w:pPr>
              <w:spacing w:after="0"/>
              <w:rPr>
                <w:sz w:val="17"/>
                <w:szCs w:val="17"/>
                <w:color w:val="auto"/>
              </w:rPr>
            </w:pPr>
          </w:p>
        </w:tc>
        <w:tc>
          <w:tcPr>
            <w:tcW w:w="1080" w:type="dxa"/>
            <w:vAlign w:val="bottom"/>
            <w:tcBorders>
              <w:bottom w:val="single" w:sz="8" w:color="auto"/>
            </w:tcBorders>
          </w:tcPr>
          <w:p>
            <w:pPr>
              <w:jc w:val="right"/>
              <w:ind w:right="59"/>
              <w:spacing w:after="0"/>
              <w:rPr>
                <w:sz w:val="20"/>
                <w:szCs w:val="20"/>
                <w:color w:val="auto"/>
              </w:rPr>
            </w:pPr>
            <w:r>
              <w:rPr>
                <w:rFonts w:ascii="Arial" w:cs="Arial" w:eastAsia="Arial" w:hAnsi="Arial"/>
                <w:sz w:val="16"/>
                <w:szCs w:val="16"/>
                <w:b w:val="1"/>
                <w:bCs w:val="1"/>
                <w:color w:val="auto"/>
              </w:rPr>
              <w:t>6.8</w:t>
            </w:r>
          </w:p>
        </w:tc>
        <w:tc>
          <w:tcPr>
            <w:tcW w:w="340" w:type="dxa"/>
            <w:vAlign w:val="bottom"/>
            <w:tcBorders>
              <w:bottom w:val="single" w:sz="8" w:color="auto"/>
            </w:tcBorders>
          </w:tcPr>
          <w:p>
            <w:pPr>
              <w:spacing w:after="0"/>
              <w:rPr>
                <w:sz w:val="17"/>
                <w:szCs w:val="17"/>
                <w:color w:val="auto"/>
              </w:rPr>
            </w:pPr>
          </w:p>
        </w:tc>
        <w:tc>
          <w:tcPr>
            <w:tcW w:w="104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rPr>
              <w:t>6.5</w:t>
            </w: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5940" w:type="dxa"/>
            <w:vAlign w:val="bottom"/>
            <w:shd w:val="clear" w:color="auto" w:fill="CCEEFF"/>
          </w:tcPr>
          <w:p>
            <w:pPr>
              <w:spacing w:after="0"/>
              <w:rPr>
                <w:sz w:val="20"/>
                <w:szCs w:val="20"/>
                <w:color w:val="auto"/>
              </w:rPr>
            </w:pPr>
            <w:r>
              <w:rPr>
                <w:rFonts w:ascii="Arial" w:cs="Arial" w:eastAsia="Arial" w:hAnsi="Arial"/>
                <w:sz w:val="16"/>
                <w:szCs w:val="16"/>
                <w:b w:val="1"/>
                <w:bCs w:val="1"/>
                <w:color w:val="auto"/>
              </w:rPr>
              <w:t>Total Non-Current Liabilities</w:t>
            </w:r>
          </w:p>
        </w:tc>
        <w:tc>
          <w:tcPr>
            <w:tcW w:w="3000" w:type="dxa"/>
            <w:vAlign w:val="bottom"/>
            <w:shd w:val="clear" w:color="auto" w:fill="CCEEFF"/>
          </w:tcPr>
          <w:p>
            <w:pPr>
              <w:spacing w:after="0"/>
              <w:rPr>
                <w:sz w:val="17"/>
                <w:szCs w:val="17"/>
                <w:color w:val="auto"/>
              </w:rPr>
            </w:pPr>
          </w:p>
        </w:tc>
        <w:tc>
          <w:tcPr>
            <w:tcW w:w="1080" w:type="dxa"/>
            <w:vAlign w:val="bottom"/>
            <w:shd w:val="clear" w:color="auto" w:fill="CCEEFF"/>
          </w:tcPr>
          <w:p>
            <w:pPr>
              <w:jc w:val="right"/>
              <w:ind w:right="59"/>
              <w:spacing w:after="0"/>
              <w:rPr>
                <w:sz w:val="20"/>
                <w:szCs w:val="20"/>
                <w:color w:val="auto"/>
              </w:rPr>
            </w:pPr>
            <w:r>
              <w:rPr>
                <w:rFonts w:ascii="Arial" w:cs="Arial" w:eastAsia="Arial" w:hAnsi="Arial"/>
                <w:sz w:val="16"/>
                <w:szCs w:val="16"/>
                <w:b w:val="1"/>
                <w:bCs w:val="1"/>
                <w:color w:val="auto"/>
              </w:rPr>
              <w:t>123.1</w:t>
            </w:r>
          </w:p>
        </w:tc>
        <w:tc>
          <w:tcPr>
            <w:tcW w:w="340" w:type="dxa"/>
            <w:vAlign w:val="bottom"/>
            <w:shd w:val="clear" w:color="auto" w:fill="CCEEFF"/>
          </w:tcPr>
          <w:p>
            <w:pPr>
              <w:spacing w:after="0"/>
              <w:rPr>
                <w:sz w:val="17"/>
                <w:szCs w:val="17"/>
                <w:color w:val="auto"/>
              </w:rPr>
            </w:pPr>
          </w:p>
        </w:tc>
        <w:tc>
          <w:tcPr>
            <w:tcW w:w="1040" w:type="dxa"/>
            <w:vAlign w:val="bottom"/>
            <w:shd w:val="clear" w:color="auto" w:fill="CCEEFF"/>
          </w:tcPr>
          <w:p>
            <w:pPr>
              <w:jc w:val="right"/>
              <w:ind w:right="19"/>
              <w:spacing w:after="0"/>
              <w:rPr>
                <w:sz w:val="20"/>
                <w:szCs w:val="20"/>
                <w:color w:val="auto"/>
              </w:rPr>
            </w:pPr>
            <w:r>
              <w:rPr>
                <w:rFonts w:ascii="Arial" w:cs="Arial" w:eastAsia="Arial" w:hAnsi="Arial"/>
                <w:sz w:val="16"/>
                <w:szCs w:val="16"/>
                <w:color w:val="auto"/>
              </w:rPr>
              <w:t>107.4</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5940" w:type="dxa"/>
            <w:vAlign w:val="bottom"/>
          </w:tcPr>
          <w:p>
            <w:pPr>
              <w:spacing w:after="0"/>
              <w:rPr>
                <w:sz w:val="18"/>
                <w:szCs w:val="18"/>
                <w:color w:val="auto"/>
              </w:rPr>
            </w:pPr>
          </w:p>
        </w:tc>
        <w:tc>
          <w:tcPr>
            <w:tcW w:w="300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3"/>
        </w:trPr>
        <w:tc>
          <w:tcPr>
            <w:tcW w:w="20" w:type="dxa"/>
            <w:vAlign w:val="bottom"/>
            <w:vMerge w:val="continue"/>
          </w:tcPr>
          <w:p>
            <w:pPr>
              <w:spacing w:after="0"/>
              <w:rPr>
                <w:sz w:val="17"/>
                <w:szCs w:val="17"/>
                <w:color w:val="auto"/>
              </w:rPr>
            </w:pPr>
          </w:p>
        </w:tc>
        <w:tc>
          <w:tcPr>
            <w:tcW w:w="5940" w:type="dxa"/>
            <w:vAlign w:val="bottom"/>
            <w:shd w:val="clear" w:color="auto" w:fill="CCEEFF"/>
          </w:tcPr>
          <w:p>
            <w:pPr>
              <w:spacing w:after="0"/>
              <w:rPr>
                <w:sz w:val="20"/>
                <w:szCs w:val="20"/>
                <w:color w:val="auto"/>
              </w:rPr>
            </w:pPr>
            <w:r>
              <w:rPr>
                <w:rFonts w:ascii="Arial" w:cs="Arial" w:eastAsia="Arial" w:hAnsi="Arial"/>
                <w:sz w:val="16"/>
                <w:szCs w:val="16"/>
                <w:color w:val="auto"/>
              </w:rPr>
              <w:t>Commitments and contingencies</w:t>
            </w:r>
          </w:p>
        </w:tc>
        <w:tc>
          <w:tcPr>
            <w:tcW w:w="3000" w:type="dxa"/>
            <w:vAlign w:val="bottom"/>
            <w:shd w:val="clear" w:color="auto" w:fill="CCEEFF"/>
          </w:tcPr>
          <w:p>
            <w:pPr>
              <w:spacing w:after="0"/>
              <w:rPr>
                <w:sz w:val="17"/>
                <w:szCs w:val="17"/>
                <w:color w:val="auto"/>
              </w:rPr>
            </w:pPr>
          </w:p>
        </w:tc>
        <w:tc>
          <w:tcPr>
            <w:tcW w:w="1080" w:type="dxa"/>
            <w:vAlign w:val="bottom"/>
            <w:shd w:val="clear" w:color="auto" w:fill="CCEEFF"/>
          </w:tcPr>
          <w:p>
            <w:pPr>
              <w:jc w:val="right"/>
              <w:ind w:right="59"/>
              <w:spacing w:after="0"/>
              <w:rPr>
                <w:sz w:val="20"/>
                <w:szCs w:val="20"/>
                <w:color w:val="auto"/>
              </w:rPr>
            </w:pPr>
            <w:r>
              <w:rPr>
                <w:rFonts w:ascii="Arial" w:cs="Arial" w:eastAsia="Arial" w:hAnsi="Arial"/>
                <w:sz w:val="16"/>
                <w:szCs w:val="16"/>
                <w:b w:val="1"/>
                <w:bCs w:val="1"/>
                <w:color w:val="auto"/>
              </w:rPr>
              <w:t>—</w:t>
            </w:r>
          </w:p>
        </w:tc>
        <w:tc>
          <w:tcPr>
            <w:tcW w:w="340" w:type="dxa"/>
            <w:vAlign w:val="bottom"/>
            <w:shd w:val="clear" w:color="auto" w:fill="CCEEFF"/>
          </w:tcPr>
          <w:p>
            <w:pPr>
              <w:spacing w:after="0"/>
              <w:rPr>
                <w:sz w:val="17"/>
                <w:szCs w:val="17"/>
                <w:color w:val="auto"/>
              </w:rPr>
            </w:pPr>
          </w:p>
        </w:tc>
        <w:tc>
          <w:tcPr>
            <w:tcW w:w="1040" w:type="dxa"/>
            <w:vAlign w:val="bottom"/>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5940" w:type="dxa"/>
            <w:vAlign w:val="bottom"/>
          </w:tcPr>
          <w:p>
            <w:pPr>
              <w:spacing w:after="0"/>
              <w:rPr>
                <w:sz w:val="18"/>
                <w:szCs w:val="18"/>
                <w:color w:val="auto"/>
              </w:rPr>
            </w:pPr>
          </w:p>
        </w:tc>
        <w:tc>
          <w:tcPr>
            <w:tcW w:w="300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3"/>
        </w:trPr>
        <w:tc>
          <w:tcPr>
            <w:tcW w:w="20" w:type="dxa"/>
            <w:vAlign w:val="bottom"/>
            <w:vMerge w:val="continue"/>
          </w:tcPr>
          <w:p>
            <w:pPr>
              <w:spacing w:after="0"/>
              <w:rPr>
                <w:sz w:val="17"/>
                <w:szCs w:val="17"/>
                <w:color w:val="auto"/>
              </w:rPr>
            </w:pPr>
          </w:p>
        </w:tc>
        <w:tc>
          <w:tcPr>
            <w:tcW w:w="5940" w:type="dxa"/>
            <w:vAlign w:val="bottom"/>
            <w:shd w:val="clear" w:color="auto" w:fill="CCEEFF"/>
          </w:tcPr>
          <w:p>
            <w:pPr>
              <w:spacing w:after="0"/>
              <w:rPr>
                <w:sz w:val="20"/>
                <w:szCs w:val="20"/>
                <w:color w:val="auto"/>
              </w:rPr>
            </w:pPr>
            <w:r>
              <w:rPr>
                <w:rFonts w:ascii="Arial" w:cs="Arial" w:eastAsia="Arial" w:hAnsi="Arial"/>
                <w:sz w:val="16"/>
                <w:szCs w:val="16"/>
                <w:b w:val="1"/>
                <w:bCs w:val="1"/>
                <w:color w:val="auto"/>
              </w:rPr>
              <w:t>Parent Equity</w:t>
            </w:r>
          </w:p>
        </w:tc>
        <w:tc>
          <w:tcPr>
            <w:tcW w:w="3000" w:type="dxa"/>
            <w:vAlign w:val="bottom"/>
            <w:shd w:val="clear" w:color="auto" w:fill="CCEEFF"/>
          </w:tcPr>
          <w:p>
            <w:pPr>
              <w:spacing w:after="0"/>
              <w:rPr>
                <w:sz w:val="17"/>
                <w:szCs w:val="17"/>
                <w:color w:val="auto"/>
              </w:rPr>
            </w:pPr>
          </w:p>
        </w:tc>
        <w:tc>
          <w:tcPr>
            <w:tcW w:w="108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10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940" w:type="dxa"/>
            <w:vAlign w:val="bottom"/>
          </w:tcPr>
          <w:p>
            <w:pPr>
              <w:ind w:left="320"/>
              <w:spacing w:after="0"/>
              <w:rPr>
                <w:sz w:val="20"/>
                <w:szCs w:val="20"/>
                <w:color w:val="auto"/>
              </w:rPr>
            </w:pPr>
            <w:r>
              <w:rPr>
                <w:rFonts w:ascii="Arial" w:cs="Arial" w:eastAsia="Arial" w:hAnsi="Arial"/>
                <w:sz w:val="16"/>
                <w:szCs w:val="16"/>
                <w:color w:val="auto"/>
              </w:rPr>
              <w:t>Net parent investment</w:t>
            </w:r>
          </w:p>
        </w:tc>
        <w:tc>
          <w:tcPr>
            <w:tcW w:w="3000" w:type="dxa"/>
            <w:vAlign w:val="bottom"/>
          </w:tcPr>
          <w:p>
            <w:pPr>
              <w:spacing w:after="0"/>
              <w:rPr>
                <w:sz w:val="17"/>
                <w:szCs w:val="17"/>
                <w:color w:val="auto"/>
              </w:rPr>
            </w:pPr>
          </w:p>
        </w:tc>
        <w:tc>
          <w:tcPr>
            <w:tcW w:w="1080" w:type="dxa"/>
            <w:vAlign w:val="bottom"/>
          </w:tcPr>
          <w:p>
            <w:pPr>
              <w:jc w:val="right"/>
              <w:ind w:right="59"/>
              <w:spacing w:after="0"/>
              <w:rPr>
                <w:sz w:val="20"/>
                <w:szCs w:val="20"/>
                <w:color w:val="auto"/>
              </w:rPr>
            </w:pPr>
            <w:r>
              <w:rPr>
                <w:rFonts w:ascii="Arial" w:cs="Arial" w:eastAsia="Arial" w:hAnsi="Arial"/>
                <w:sz w:val="16"/>
                <w:szCs w:val="16"/>
                <w:b w:val="1"/>
                <w:bCs w:val="1"/>
                <w:color w:val="auto"/>
              </w:rPr>
              <w:t>801.2</w:t>
            </w:r>
          </w:p>
        </w:tc>
        <w:tc>
          <w:tcPr>
            <w:tcW w:w="340" w:type="dxa"/>
            <w:vAlign w:val="bottom"/>
          </w:tcPr>
          <w:p>
            <w:pPr>
              <w:spacing w:after="0"/>
              <w:rPr>
                <w:sz w:val="17"/>
                <w:szCs w:val="17"/>
                <w:color w:val="auto"/>
              </w:rPr>
            </w:pPr>
          </w:p>
        </w:tc>
        <w:tc>
          <w:tcPr>
            <w:tcW w:w="1040" w:type="dxa"/>
            <w:vAlign w:val="bottom"/>
          </w:tcPr>
          <w:p>
            <w:pPr>
              <w:jc w:val="right"/>
              <w:ind w:right="19"/>
              <w:spacing w:after="0"/>
              <w:rPr>
                <w:sz w:val="20"/>
                <w:szCs w:val="20"/>
                <w:color w:val="auto"/>
              </w:rPr>
            </w:pPr>
            <w:r>
              <w:rPr>
                <w:rFonts w:ascii="Arial" w:cs="Arial" w:eastAsia="Arial" w:hAnsi="Arial"/>
                <w:sz w:val="16"/>
                <w:szCs w:val="16"/>
                <w:color w:val="auto"/>
              </w:rPr>
              <w:t>700.4</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940" w:type="dxa"/>
            <w:vAlign w:val="bottom"/>
            <w:tcBorders>
              <w:bottom w:val="single" w:sz="8" w:color="auto"/>
            </w:tcBorders>
            <w:shd w:val="clear" w:color="auto" w:fill="CCEEFF"/>
          </w:tcPr>
          <w:p>
            <w:pPr>
              <w:ind w:left="320"/>
              <w:spacing w:after="0"/>
              <w:rPr>
                <w:sz w:val="20"/>
                <w:szCs w:val="20"/>
                <w:color w:val="auto"/>
              </w:rPr>
            </w:pPr>
            <w:r>
              <w:rPr>
                <w:rFonts w:ascii="Arial" w:cs="Arial" w:eastAsia="Arial" w:hAnsi="Arial"/>
                <w:sz w:val="16"/>
                <w:szCs w:val="16"/>
                <w:color w:val="auto"/>
              </w:rPr>
              <w:t>Accumulated other comprehensive loss</w:t>
            </w:r>
          </w:p>
        </w:tc>
        <w:tc>
          <w:tcPr>
            <w:tcW w:w="3000" w:type="dxa"/>
            <w:vAlign w:val="bottom"/>
            <w:tcBorders>
              <w:bottom w:val="single" w:sz="8" w:color="auto"/>
            </w:tcBorders>
            <w:shd w:val="clear" w:color="auto" w:fill="CCEEFF"/>
          </w:tcPr>
          <w:p>
            <w:pPr>
              <w:spacing w:after="0"/>
              <w:rPr>
                <w:sz w:val="17"/>
                <w:szCs w:val="17"/>
                <w:color w:val="auto"/>
              </w:rPr>
            </w:pPr>
          </w:p>
        </w:tc>
        <w:tc>
          <w:tcPr>
            <w:tcW w:w="10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(0.4)</w:t>
            </w:r>
          </w:p>
        </w:tc>
        <w:tc>
          <w:tcPr>
            <w:tcW w:w="340" w:type="dxa"/>
            <w:vAlign w:val="bottom"/>
            <w:tcBorders>
              <w:bottom w:val="single" w:sz="8" w:color="auto"/>
            </w:tcBorders>
            <w:shd w:val="clear" w:color="auto" w:fill="CCEEFF"/>
          </w:tcPr>
          <w:p>
            <w:pPr>
              <w:spacing w:after="0"/>
              <w:rPr>
                <w:sz w:val="17"/>
                <w:szCs w:val="17"/>
                <w:color w:val="auto"/>
              </w:rPr>
            </w:pP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(0.6)</w:t>
            </w: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5940" w:type="dxa"/>
            <w:vAlign w:val="bottom"/>
            <w:tcBorders>
              <w:bottom w:val="single" w:sz="8" w:color="auto"/>
            </w:tcBorders>
          </w:tcPr>
          <w:p>
            <w:pPr>
              <w:spacing w:after="0"/>
              <w:rPr>
                <w:sz w:val="20"/>
                <w:szCs w:val="20"/>
                <w:color w:val="auto"/>
              </w:rPr>
            </w:pPr>
            <w:r>
              <w:rPr>
                <w:rFonts w:ascii="Arial" w:cs="Arial" w:eastAsia="Arial" w:hAnsi="Arial"/>
                <w:sz w:val="16"/>
                <w:szCs w:val="16"/>
                <w:b w:val="1"/>
                <w:bCs w:val="1"/>
                <w:color w:val="auto"/>
              </w:rPr>
              <w:t>Total Parent Equity</w:t>
            </w:r>
          </w:p>
        </w:tc>
        <w:tc>
          <w:tcPr>
            <w:tcW w:w="3000" w:type="dxa"/>
            <w:vAlign w:val="bottom"/>
            <w:tcBorders>
              <w:bottom w:val="single" w:sz="8" w:color="auto"/>
            </w:tcBorders>
          </w:tcPr>
          <w:p>
            <w:pPr>
              <w:spacing w:after="0"/>
              <w:rPr>
                <w:sz w:val="17"/>
                <w:szCs w:val="17"/>
                <w:color w:val="auto"/>
              </w:rPr>
            </w:pPr>
          </w:p>
        </w:tc>
        <w:tc>
          <w:tcPr>
            <w:tcW w:w="1080" w:type="dxa"/>
            <w:vAlign w:val="bottom"/>
            <w:tcBorders>
              <w:bottom w:val="single" w:sz="8" w:color="auto"/>
            </w:tcBorders>
          </w:tcPr>
          <w:p>
            <w:pPr>
              <w:jc w:val="right"/>
              <w:ind w:right="59"/>
              <w:spacing w:after="0"/>
              <w:rPr>
                <w:sz w:val="20"/>
                <w:szCs w:val="20"/>
                <w:color w:val="auto"/>
              </w:rPr>
            </w:pPr>
            <w:r>
              <w:rPr>
                <w:rFonts w:ascii="Arial" w:cs="Arial" w:eastAsia="Arial" w:hAnsi="Arial"/>
                <w:sz w:val="16"/>
                <w:szCs w:val="16"/>
                <w:b w:val="1"/>
                <w:bCs w:val="1"/>
                <w:color w:val="auto"/>
              </w:rPr>
              <w:t>800.8</w:t>
            </w:r>
          </w:p>
        </w:tc>
        <w:tc>
          <w:tcPr>
            <w:tcW w:w="340" w:type="dxa"/>
            <w:vAlign w:val="bottom"/>
            <w:tcBorders>
              <w:bottom w:val="single" w:sz="8" w:color="auto"/>
            </w:tcBorders>
          </w:tcPr>
          <w:p>
            <w:pPr>
              <w:spacing w:after="0"/>
              <w:rPr>
                <w:sz w:val="17"/>
                <w:szCs w:val="17"/>
                <w:color w:val="auto"/>
              </w:rPr>
            </w:pPr>
          </w:p>
        </w:tc>
        <w:tc>
          <w:tcPr>
            <w:tcW w:w="104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rPr>
              <w:t>699.8</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94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6"/>
                <w:szCs w:val="16"/>
                <w:b w:val="1"/>
                <w:bCs w:val="1"/>
                <w:color w:val="auto"/>
              </w:rPr>
              <w:t>Total Liabilities and Equity</w:t>
            </w:r>
          </w:p>
        </w:tc>
        <w:tc>
          <w:tcPr>
            <w:tcW w:w="3000" w:type="dxa"/>
            <w:vAlign w:val="bottom"/>
            <w:tcBorders>
              <w:bottom w:val="single" w:sz="8" w:color="auto"/>
            </w:tcBorders>
            <w:shd w:val="clear" w:color="auto" w:fill="CCEEFF"/>
          </w:tcPr>
          <w:p>
            <w:pPr>
              <w:jc w:val="right"/>
              <w:ind w:right="99"/>
              <w:spacing w:after="0"/>
              <w:rPr>
                <w:sz w:val="20"/>
                <w:szCs w:val="20"/>
                <w:color w:val="auto"/>
              </w:rPr>
            </w:pPr>
            <w:r>
              <w:rPr>
                <w:rFonts w:ascii="Arial" w:cs="Arial" w:eastAsia="Arial" w:hAnsi="Arial"/>
                <w:sz w:val="16"/>
                <w:szCs w:val="16"/>
                <w:b w:val="1"/>
                <w:bCs w:val="1"/>
                <w:color w:val="auto"/>
              </w:rPr>
              <w:t>$</w:t>
            </w:r>
          </w:p>
        </w:tc>
        <w:tc>
          <w:tcPr>
            <w:tcW w:w="1080" w:type="dxa"/>
            <w:vAlign w:val="bottom"/>
            <w:tcBorders>
              <w:bottom w:val="single" w:sz="8" w:color="auto"/>
            </w:tcBorders>
            <w:shd w:val="clear" w:color="auto" w:fill="CCEEFF"/>
          </w:tcPr>
          <w:p>
            <w:pPr>
              <w:jc w:val="right"/>
              <w:ind w:right="59"/>
              <w:spacing w:after="0"/>
              <w:rPr>
                <w:sz w:val="20"/>
                <w:szCs w:val="20"/>
                <w:color w:val="auto"/>
              </w:rPr>
            </w:pPr>
            <w:r>
              <w:rPr>
                <w:rFonts w:ascii="Arial" w:cs="Arial" w:eastAsia="Arial" w:hAnsi="Arial"/>
                <w:sz w:val="16"/>
                <w:szCs w:val="16"/>
                <w:b w:val="1"/>
                <w:bCs w:val="1"/>
                <w:color w:val="auto"/>
              </w:rPr>
              <w:t>1,078.8</w:t>
            </w:r>
          </w:p>
        </w:tc>
        <w:tc>
          <w:tcPr>
            <w:tcW w:w="340" w:type="dxa"/>
            <w:vAlign w:val="bottom"/>
            <w:tcBorders>
              <w:bottom w:val="single" w:sz="8" w:color="auto"/>
            </w:tcBorders>
            <w:shd w:val="clear" w:color="auto" w:fill="CCEEFF"/>
          </w:tcPr>
          <w:p>
            <w:pPr>
              <w:jc w:val="right"/>
              <w:ind w:right="99"/>
              <w:spacing w:after="0"/>
              <w:rPr>
                <w:sz w:val="20"/>
                <w:szCs w:val="20"/>
                <w:color w:val="auto"/>
              </w:rPr>
            </w:pPr>
            <w:r>
              <w:rPr>
                <w:rFonts w:ascii="Arial" w:cs="Arial" w:eastAsia="Arial" w:hAnsi="Arial"/>
                <w:sz w:val="16"/>
                <w:szCs w:val="16"/>
                <w:color w:val="auto"/>
              </w:rPr>
              <w:t>$</w:t>
            </w:r>
          </w:p>
        </w:tc>
        <w:tc>
          <w:tcPr>
            <w:tcW w:w="104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960.7</w:t>
            </w:r>
          </w:p>
        </w:tc>
        <w:tc>
          <w:tcPr>
            <w:tcW w:w="0" w:type="dxa"/>
            <w:vAlign w:val="bottom"/>
          </w:tcPr>
          <w:p>
            <w:pPr>
              <w:spacing w:after="0"/>
              <w:rPr>
                <w:sz w:val="1"/>
                <w:szCs w:val="1"/>
                <w:color w:val="auto"/>
              </w:rPr>
            </w:pPr>
          </w:p>
        </w:tc>
      </w:tr>
    </w:tbl>
    <w:p>
      <w:pPr>
        <w:spacing w:after="0" w:line="62" w:lineRule="exact"/>
        <w:rPr>
          <w:sz w:val="20"/>
          <w:szCs w:val="20"/>
          <w:color w:val="auto"/>
        </w:rPr>
      </w:pPr>
    </w:p>
    <w:p>
      <w:pPr>
        <w:spacing w:after="0"/>
        <w:rPr>
          <w:sz w:val="20"/>
          <w:szCs w:val="20"/>
          <w:color w:val="auto"/>
        </w:rPr>
      </w:pPr>
      <w:r>
        <w:rPr>
          <w:rFonts w:ascii="Arial" w:cs="Arial" w:eastAsia="Arial" w:hAnsi="Arial"/>
          <w:sz w:val="14"/>
          <w:szCs w:val="14"/>
          <w:color w:val="auto"/>
        </w:rPr>
        <w:t>See accompanying Notes to the Audited Consolidated Financial Statements.</w:t>
      </w:r>
    </w:p>
    <w:p>
      <w:pPr>
        <w:spacing w:after="0" w:line="14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F-4</w:t>
      </w:r>
    </w:p>
    <w:p>
      <w:pPr>
        <w:sectPr>
          <w:pgSz w:w="11900" w:h="16838" w:orient="portrait"/>
          <w:cols w:equalWidth="0" w:num="1">
            <w:col w:w="11420"/>
          </w:cols>
          <w:pgMar w:left="240" w:top="459" w:right="239" w:bottom="1440" w:gutter="0" w:footer="0" w:header="0"/>
        </w:sectPr>
      </w:pPr>
    </w:p>
    <w:bookmarkStart w:id="111" w:name="page112"/>
    <w:bookmarkEnd w:id="11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39">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1" w:lineRule="exact"/>
        <w:rPr>
          <w:sz w:val="20"/>
          <w:szCs w:val="20"/>
          <w:color w:val="auto"/>
        </w:rPr>
      </w:pPr>
    </w:p>
    <w:p>
      <w:pPr>
        <w:jc w:val="center"/>
        <w:spacing w:after="0"/>
        <w:rPr>
          <w:sz w:val="20"/>
          <w:szCs w:val="20"/>
          <w:color w:val="auto"/>
        </w:rPr>
      </w:pPr>
      <w:r>
        <w:rPr>
          <w:rFonts w:ascii="Arial" w:cs="Arial" w:eastAsia="Arial" w:hAnsi="Arial"/>
          <w:sz w:val="25"/>
          <w:szCs w:val="25"/>
          <w:b w:val="1"/>
          <w:bCs w:val="1"/>
          <w:color w:val="auto"/>
        </w:rPr>
        <w:t>Consolidated Statements of Cash Flows</w:t>
      </w:r>
    </w:p>
    <w:p>
      <w:pPr>
        <w:spacing w:after="0" w:line="262" w:lineRule="exact"/>
        <w:rPr>
          <w:sz w:val="20"/>
          <w:szCs w:val="20"/>
          <w:color w:val="auto"/>
        </w:rPr>
      </w:pPr>
    </w:p>
    <w:p>
      <w:pPr>
        <w:ind w:left="8380"/>
        <w:spacing w:after="0"/>
        <w:rPr>
          <w:sz w:val="20"/>
          <w:szCs w:val="20"/>
          <w:color w:val="auto"/>
        </w:rPr>
      </w:pPr>
      <w:r>
        <w:rPr>
          <w:rFonts w:ascii="Arial" w:cs="Arial" w:eastAsia="Arial" w:hAnsi="Arial"/>
          <w:sz w:val="16"/>
          <w:szCs w:val="16"/>
          <w:b w:val="1"/>
          <w:bCs w:val="1"/>
          <w:color w:val="auto"/>
        </w:rPr>
        <w:t>Years Ended December 31,</w:t>
      </w:r>
    </w:p>
    <w:p>
      <w:pPr>
        <w:spacing w:after="0" w:line="26" w:lineRule="exact"/>
        <w:rPr>
          <w:sz w:val="20"/>
          <w:szCs w:val="20"/>
          <w:color w:val="auto"/>
        </w:rPr>
      </w:pPr>
    </w:p>
    <w:tbl>
      <w:tblPr>
        <w:tblLayout w:type="fixed"/>
        <w:tblInd w:w="0" w:type="dxa"/>
        <w:tblCellMar>
          <w:top w:w="0" w:type="dxa"/>
          <w:left w:w="0" w:type="dxa"/>
          <w:bottom w:w="0" w:type="dxa"/>
          <w:right w:w="0" w:type="dxa"/>
        </w:tblCellMar>
      </w:tblPr>
      <w:tr>
        <w:trPr>
          <w:trHeight w:val="209"/>
        </w:trPr>
        <w:tc>
          <w:tcPr>
            <w:tcW w:w="20" w:type="dxa"/>
            <w:vAlign w:val="bottom"/>
          </w:tcPr>
          <w:p>
            <w:pPr>
              <w:spacing w:after="0"/>
              <w:rPr>
                <w:sz w:val="18"/>
                <w:szCs w:val="18"/>
                <w:color w:val="auto"/>
              </w:rPr>
            </w:pPr>
          </w:p>
        </w:tc>
        <w:tc>
          <w:tcPr>
            <w:tcW w:w="6260" w:type="dxa"/>
            <w:vAlign w:val="bottom"/>
            <w:tcBorders>
              <w:top w:val="single" w:sz="8" w:color="auto"/>
              <w:bottom w:val="single" w:sz="8" w:color="auto"/>
            </w:tcBorders>
          </w:tcPr>
          <w:p>
            <w:pPr>
              <w:spacing w:after="0"/>
              <w:rPr>
                <w:sz w:val="18"/>
                <w:szCs w:val="18"/>
                <w:color w:val="auto"/>
              </w:rPr>
            </w:pPr>
          </w:p>
        </w:tc>
        <w:tc>
          <w:tcPr>
            <w:tcW w:w="1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b w:val="1"/>
                <w:bCs w:val="1"/>
                <w:color w:val="auto"/>
              </w:rPr>
              <w:t>2013</w:t>
            </w:r>
          </w:p>
        </w:tc>
        <w:tc>
          <w:tcPr>
            <w:tcW w:w="560" w:type="dxa"/>
            <w:vAlign w:val="bottom"/>
            <w:tcBorders>
              <w:top w:val="single" w:sz="8" w:color="auto"/>
              <w:bottom w:val="single" w:sz="8" w:color="auto"/>
            </w:tcBorders>
          </w:tcPr>
          <w:p>
            <w:pPr>
              <w:spacing w:after="0"/>
              <w:rPr>
                <w:sz w:val="18"/>
                <w:szCs w:val="18"/>
                <w:color w:val="auto"/>
              </w:rPr>
            </w:pPr>
          </w:p>
        </w:tc>
        <w:tc>
          <w:tcPr>
            <w:tcW w:w="320" w:type="dxa"/>
            <w:vAlign w:val="bottom"/>
            <w:tcBorders>
              <w:top w:val="single" w:sz="8" w:color="auto"/>
              <w:bottom w:val="single" w:sz="8" w:color="auto"/>
            </w:tcBorders>
          </w:tcPr>
          <w:p>
            <w:pPr>
              <w:spacing w:after="0"/>
              <w:rPr>
                <w:sz w:val="18"/>
                <w:szCs w:val="18"/>
                <w:color w:val="auto"/>
              </w:rPr>
            </w:pPr>
          </w:p>
        </w:tc>
        <w:tc>
          <w:tcPr>
            <w:tcW w:w="1080" w:type="dxa"/>
            <w:vAlign w:val="bottom"/>
            <w:tcBorders>
              <w:top w:val="single" w:sz="8" w:color="auto"/>
              <w:bottom w:val="single" w:sz="8" w:color="auto"/>
            </w:tcBorders>
          </w:tcPr>
          <w:p>
            <w:pPr>
              <w:jc w:val="right"/>
              <w:ind w:right="479"/>
              <w:spacing w:after="0"/>
              <w:rPr>
                <w:sz w:val="20"/>
                <w:szCs w:val="20"/>
                <w:color w:val="auto"/>
              </w:rPr>
            </w:pPr>
            <w:r>
              <w:rPr>
                <w:rFonts w:ascii="Arial" w:cs="Arial" w:eastAsia="Arial" w:hAnsi="Arial"/>
                <w:sz w:val="16"/>
                <w:szCs w:val="16"/>
                <w:color w:val="auto"/>
              </w:rPr>
              <w:t>2012</w:t>
            </w:r>
          </w:p>
        </w:tc>
        <w:tc>
          <w:tcPr>
            <w:tcW w:w="340" w:type="dxa"/>
            <w:vAlign w:val="bottom"/>
            <w:tcBorders>
              <w:top w:val="single" w:sz="8" w:color="auto"/>
              <w:bottom w:val="single" w:sz="8" w:color="auto"/>
            </w:tcBorders>
          </w:tcPr>
          <w:p>
            <w:pPr>
              <w:spacing w:after="0"/>
              <w:rPr>
                <w:sz w:val="18"/>
                <w:szCs w:val="18"/>
                <w:color w:val="auto"/>
              </w:rPr>
            </w:pPr>
          </w:p>
        </w:tc>
        <w:tc>
          <w:tcPr>
            <w:tcW w:w="1040" w:type="dxa"/>
            <w:vAlign w:val="bottom"/>
            <w:tcBorders>
              <w:top w:val="single" w:sz="8" w:color="auto"/>
              <w:bottom w:val="single" w:sz="8" w:color="auto"/>
            </w:tcBorders>
          </w:tcPr>
          <w:p>
            <w:pPr>
              <w:jc w:val="right"/>
              <w:ind w:right="459"/>
              <w:spacing w:after="0"/>
              <w:rPr>
                <w:sz w:val="20"/>
                <w:szCs w:val="20"/>
                <w:color w:val="auto"/>
              </w:rPr>
            </w:pPr>
            <w:r>
              <w:rPr>
                <w:rFonts w:ascii="Arial" w:cs="Arial" w:eastAsia="Arial" w:hAnsi="Arial"/>
                <w:sz w:val="16"/>
                <w:szCs w:val="16"/>
                <w:color w:val="auto"/>
              </w:rPr>
              <w:t>2011</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2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(Dollars in millions)</w:t>
            </w:r>
          </w:p>
        </w:tc>
        <w:tc>
          <w:tcPr>
            <w:tcW w:w="1800" w:type="dxa"/>
            <w:vAlign w:val="bottom"/>
            <w:shd w:val="clear" w:color="auto" w:fill="CCEEFF"/>
          </w:tcPr>
          <w:p>
            <w:pPr>
              <w:spacing w:after="0"/>
              <w:rPr>
                <w:sz w:val="12"/>
                <w:szCs w:val="12"/>
                <w:color w:val="auto"/>
              </w:rPr>
            </w:pPr>
          </w:p>
        </w:tc>
        <w:tc>
          <w:tcPr>
            <w:tcW w:w="56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1080" w:type="dxa"/>
            <w:vAlign w:val="bottom"/>
            <w:shd w:val="clear" w:color="auto" w:fill="CCEEFF"/>
          </w:tcPr>
          <w:p>
            <w:pPr>
              <w:spacing w:after="0"/>
              <w:rPr>
                <w:sz w:val="12"/>
                <w:szCs w:val="12"/>
                <w:color w:val="auto"/>
              </w:rPr>
            </w:pPr>
          </w:p>
        </w:tc>
        <w:tc>
          <w:tcPr>
            <w:tcW w:w="340" w:type="dxa"/>
            <w:vAlign w:val="bottom"/>
            <w:shd w:val="clear" w:color="auto" w:fill="CCEEFF"/>
          </w:tcPr>
          <w:p>
            <w:pPr>
              <w:spacing w:after="0"/>
              <w:rPr>
                <w:sz w:val="12"/>
                <w:szCs w:val="12"/>
                <w:color w:val="auto"/>
              </w:rPr>
            </w:pPr>
          </w:p>
        </w:tc>
        <w:tc>
          <w:tcPr>
            <w:tcW w:w="10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260" w:type="dxa"/>
            <w:vAlign w:val="bottom"/>
          </w:tcPr>
          <w:p>
            <w:pPr>
              <w:spacing w:after="0"/>
              <w:rPr>
                <w:sz w:val="20"/>
                <w:szCs w:val="20"/>
                <w:color w:val="auto"/>
              </w:rPr>
            </w:pPr>
            <w:r>
              <w:rPr>
                <w:rFonts w:ascii="Arial" w:cs="Arial" w:eastAsia="Arial" w:hAnsi="Arial"/>
                <w:sz w:val="16"/>
                <w:szCs w:val="16"/>
                <w:b w:val="1"/>
                <w:bCs w:val="1"/>
                <w:color w:val="auto"/>
              </w:rPr>
              <w:t>CASH PROVIDED (USED)</w:t>
            </w:r>
          </w:p>
        </w:tc>
        <w:tc>
          <w:tcPr>
            <w:tcW w:w="180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260" w:type="dxa"/>
            <w:vAlign w:val="bottom"/>
            <w:shd w:val="clear" w:color="auto" w:fill="CCEEFF"/>
          </w:tcPr>
          <w:p>
            <w:pPr>
              <w:spacing w:after="0"/>
              <w:rPr>
                <w:sz w:val="20"/>
                <w:szCs w:val="20"/>
                <w:color w:val="auto"/>
              </w:rPr>
            </w:pPr>
            <w:r>
              <w:rPr>
                <w:rFonts w:ascii="Arial" w:cs="Arial" w:eastAsia="Arial" w:hAnsi="Arial"/>
                <w:sz w:val="16"/>
                <w:szCs w:val="16"/>
                <w:b w:val="1"/>
                <w:bCs w:val="1"/>
                <w:color w:val="auto"/>
              </w:rPr>
              <w:t>Operating Activities</w:t>
            </w:r>
          </w:p>
        </w:tc>
        <w:tc>
          <w:tcPr>
            <w:tcW w:w="180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08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10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260" w:type="dxa"/>
            <w:vAlign w:val="bottom"/>
          </w:tcPr>
          <w:p>
            <w:pPr>
              <w:spacing w:after="0"/>
              <w:rPr>
                <w:sz w:val="20"/>
                <w:szCs w:val="20"/>
                <w:color w:val="auto"/>
              </w:rPr>
            </w:pPr>
            <w:r>
              <w:rPr>
                <w:rFonts w:ascii="Arial" w:cs="Arial" w:eastAsia="Arial" w:hAnsi="Arial"/>
                <w:sz w:val="16"/>
                <w:szCs w:val="16"/>
                <w:color w:val="auto"/>
              </w:rPr>
              <w:t>Net income</w:t>
            </w:r>
          </w:p>
        </w:tc>
        <w:tc>
          <w:tcPr>
            <w:tcW w:w="1800" w:type="dxa"/>
            <w:vAlign w:val="bottom"/>
          </w:tcPr>
          <w:p>
            <w:pPr>
              <w:jc w:val="right"/>
              <w:ind w:right="619"/>
              <w:spacing w:after="0"/>
              <w:rPr>
                <w:sz w:val="20"/>
                <w:szCs w:val="20"/>
                <w:color w:val="auto"/>
              </w:rPr>
            </w:pPr>
            <w:r>
              <w:rPr>
                <w:rFonts w:ascii="Arial" w:cs="Arial" w:eastAsia="Arial" w:hAnsi="Arial"/>
                <w:sz w:val="16"/>
                <w:szCs w:val="16"/>
                <w:b w:val="1"/>
                <w:bCs w:val="1"/>
                <w:color w:val="auto"/>
              </w:rPr>
              <w:t>$</w:t>
            </w:r>
          </w:p>
        </w:tc>
        <w:tc>
          <w:tcPr>
            <w:tcW w:w="560" w:type="dxa"/>
            <w:vAlign w:val="bottom"/>
          </w:tcPr>
          <w:p>
            <w:pPr>
              <w:jc w:val="right"/>
              <w:ind w:right="39"/>
              <w:spacing w:after="0"/>
              <w:rPr>
                <w:sz w:val="20"/>
                <w:szCs w:val="20"/>
                <w:color w:val="auto"/>
              </w:rPr>
            </w:pPr>
            <w:r>
              <w:rPr>
                <w:rFonts w:ascii="Arial" w:cs="Arial" w:eastAsia="Arial" w:hAnsi="Arial"/>
                <w:sz w:val="16"/>
                <w:szCs w:val="16"/>
                <w:b w:val="1"/>
                <w:bCs w:val="1"/>
                <w:color w:val="auto"/>
              </w:rPr>
              <w:t>89.5</w:t>
            </w:r>
          </w:p>
        </w:tc>
        <w:tc>
          <w:tcPr>
            <w:tcW w:w="320" w:type="dxa"/>
            <w:vAlign w:val="bottom"/>
          </w:tcPr>
          <w:p>
            <w:pPr>
              <w:jc w:val="right"/>
              <w:ind w:right="99"/>
              <w:spacing w:after="0"/>
              <w:rPr>
                <w:sz w:val="20"/>
                <w:szCs w:val="20"/>
                <w:color w:val="auto"/>
              </w:rPr>
            </w:pPr>
            <w:r>
              <w:rPr>
                <w:rFonts w:ascii="Arial" w:cs="Arial" w:eastAsia="Arial" w:hAnsi="Arial"/>
                <w:sz w:val="16"/>
                <w:szCs w:val="16"/>
                <w:color w:val="auto"/>
              </w:rPr>
              <w:t>$</w:t>
            </w:r>
          </w:p>
        </w:tc>
        <w:tc>
          <w:tcPr>
            <w:tcW w:w="1080" w:type="dxa"/>
            <w:vAlign w:val="bottom"/>
          </w:tcPr>
          <w:p>
            <w:pPr>
              <w:jc w:val="right"/>
              <w:ind w:right="39"/>
              <w:spacing w:after="0"/>
              <w:rPr>
                <w:sz w:val="20"/>
                <w:szCs w:val="20"/>
                <w:color w:val="auto"/>
              </w:rPr>
            </w:pPr>
            <w:r>
              <w:rPr>
                <w:rFonts w:ascii="Arial" w:cs="Arial" w:eastAsia="Arial" w:hAnsi="Arial"/>
                <w:sz w:val="16"/>
                <w:szCs w:val="16"/>
                <w:color w:val="auto"/>
              </w:rPr>
              <w:t>155.2</w:t>
            </w:r>
          </w:p>
        </w:tc>
        <w:tc>
          <w:tcPr>
            <w:tcW w:w="340" w:type="dxa"/>
            <w:vAlign w:val="bottom"/>
          </w:tcPr>
          <w:p>
            <w:pPr>
              <w:jc w:val="right"/>
              <w:ind w:right="99"/>
              <w:spacing w:after="0"/>
              <w:rPr>
                <w:sz w:val="20"/>
                <w:szCs w:val="20"/>
                <w:color w:val="auto"/>
              </w:rPr>
            </w:pPr>
            <w:r>
              <w:rPr>
                <w:rFonts w:ascii="Arial" w:cs="Arial" w:eastAsia="Arial" w:hAnsi="Arial"/>
                <w:sz w:val="16"/>
                <w:szCs w:val="16"/>
                <w:color w:val="auto"/>
              </w:rPr>
              <w:t>$</w:t>
            </w:r>
          </w:p>
        </w:tc>
        <w:tc>
          <w:tcPr>
            <w:tcW w:w="1040" w:type="dxa"/>
            <w:vAlign w:val="bottom"/>
          </w:tcPr>
          <w:p>
            <w:pPr>
              <w:jc w:val="right"/>
              <w:ind w:right="19"/>
              <w:spacing w:after="0"/>
              <w:rPr>
                <w:sz w:val="20"/>
                <w:szCs w:val="20"/>
                <w:color w:val="auto"/>
              </w:rPr>
            </w:pPr>
            <w:r>
              <w:rPr>
                <w:rFonts w:ascii="Arial" w:cs="Arial" w:eastAsia="Arial" w:hAnsi="Arial"/>
                <w:sz w:val="16"/>
                <w:szCs w:val="16"/>
                <w:color w:val="auto"/>
              </w:rPr>
              <w:t>167.2</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260" w:type="dxa"/>
            <w:vAlign w:val="bottom"/>
            <w:shd w:val="clear" w:color="auto" w:fill="CCEEFF"/>
          </w:tcPr>
          <w:p>
            <w:pPr>
              <w:spacing w:after="0"/>
              <w:rPr>
                <w:sz w:val="20"/>
                <w:szCs w:val="20"/>
                <w:color w:val="auto"/>
              </w:rPr>
            </w:pPr>
            <w:r>
              <w:rPr>
                <w:rFonts w:ascii="Arial" w:cs="Arial" w:eastAsia="Arial" w:hAnsi="Arial"/>
                <w:sz w:val="16"/>
                <w:szCs w:val="16"/>
                <w:color w:val="auto"/>
              </w:rPr>
              <w:t>Adjustments to reconcile net income to net cash provided by operating activities:</w:t>
            </w:r>
          </w:p>
        </w:tc>
        <w:tc>
          <w:tcPr>
            <w:tcW w:w="180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08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10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260" w:type="dxa"/>
            <w:vAlign w:val="bottom"/>
          </w:tcPr>
          <w:p>
            <w:pPr>
              <w:spacing w:after="0"/>
              <w:rPr>
                <w:sz w:val="20"/>
                <w:szCs w:val="20"/>
                <w:color w:val="auto"/>
              </w:rPr>
            </w:pPr>
            <w:r>
              <w:rPr>
                <w:rFonts w:ascii="Arial" w:cs="Arial" w:eastAsia="Arial" w:hAnsi="Arial"/>
                <w:sz w:val="16"/>
                <w:szCs w:val="16"/>
                <w:color w:val="auto"/>
              </w:rPr>
              <w:t>Depreciation and amortization</w:t>
            </w:r>
          </w:p>
        </w:tc>
        <w:tc>
          <w:tcPr>
            <w:tcW w:w="1800" w:type="dxa"/>
            <w:vAlign w:val="bottom"/>
          </w:tcPr>
          <w:p>
            <w:pPr>
              <w:spacing w:after="0"/>
              <w:rPr>
                <w:sz w:val="17"/>
                <w:szCs w:val="17"/>
                <w:color w:val="auto"/>
              </w:rPr>
            </w:pPr>
          </w:p>
        </w:tc>
        <w:tc>
          <w:tcPr>
            <w:tcW w:w="560" w:type="dxa"/>
            <w:vAlign w:val="bottom"/>
          </w:tcPr>
          <w:p>
            <w:pPr>
              <w:jc w:val="right"/>
              <w:ind w:right="39"/>
              <w:spacing w:after="0"/>
              <w:rPr>
                <w:sz w:val="20"/>
                <w:szCs w:val="20"/>
                <w:color w:val="auto"/>
              </w:rPr>
            </w:pPr>
            <w:r>
              <w:rPr>
                <w:rFonts w:ascii="Arial" w:cs="Arial" w:eastAsia="Arial" w:hAnsi="Arial"/>
                <w:sz w:val="16"/>
                <w:szCs w:val="16"/>
                <w:b w:val="1"/>
                <w:bCs w:val="1"/>
                <w:color w:val="auto"/>
              </w:rPr>
              <w:t>50.0</w:t>
            </w:r>
          </w:p>
        </w:tc>
        <w:tc>
          <w:tcPr>
            <w:tcW w:w="320" w:type="dxa"/>
            <w:vAlign w:val="bottom"/>
          </w:tcPr>
          <w:p>
            <w:pPr>
              <w:spacing w:after="0"/>
              <w:rPr>
                <w:sz w:val="17"/>
                <w:szCs w:val="17"/>
                <w:color w:val="auto"/>
              </w:rPr>
            </w:pPr>
          </w:p>
        </w:tc>
        <w:tc>
          <w:tcPr>
            <w:tcW w:w="1080" w:type="dxa"/>
            <w:vAlign w:val="bottom"/>
          </w:tcPr>
          <w:p>
            <w:pPr>
              <w:jc w:val="right"/>
              <w:ind w:right="39"/>
              <w:spacing w:after="0"/>
              <w:rPr>
                <w:sz w:val="20"/>
                <w:szCs w:val="20"/>
                <w:color w:val="auto"/>
              </w:rPr>
            </w:pPr>
            <w:r>
              <w:rPr>
                <w:rFonts w:ascii="Arial" w:cs="Arial" w:eastAsia="Arial" w:hAnsi="Arial"/>
                <w:sz w:val="16"/>
                <w:szCs w:val="16"/>
                <w:color w:val="auto"/>
              </w:rPr>
              <w:t>46.2</w:t>
            </w:r>
          </w:p>
        </w:tc>
        <w:tc>
          <w:tcPr>
            <w:tcW w:w="340" w:type="dxa"/>
            <w:vAlign w:val="bottom"/>
          </w:tcPr>
          <w:p>
            <w:pPr>
              <w:spacing w:after="0"/>
              <w:rPr>
                <w:sz w:val="17"/>
                <w:szCs w:val="17"/>
                <w:color w:val="auto"/>
              </w:rPr>
            </w:pPr>
          </w:p>
        </w:tc>
        <w:tc>
          <w:tcPr>
            <w:tcW w:w="1040" w:type="dxa"/>
            <w:vAlign w:val="bottom"/>
          </w:tcPr>
          <w:p>
            <w:pPr>
              <w:jc w:val="right"/>
              <w:ind w:right="19"/>
              <w:spacing w:after="0"/>
              <w:rPr>
                <w:sz w:val="20"/>
                <w:szCs w:val="20"/>
                <w:color w:val="auto"/>
              </w:rPr>
            </w:pPr>
            <w:r>
              <w:rPr>
                <w:rFonts w:ascii="Arial" w:cs="Arial" w:eastAsia="Arial" w:hAnsi="Arial"/>
                <w:sz w:val="16"/>
                <w:szCs w:val="16"/>
                <w:color w:val="auto"/>
              </w:rPr>
              <w:t>42.6</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260" w:type="dxa"/>
            <w:vAlign w:val="bottom"/>
            <w:shd w:val="clear" w:color="auto" w:fill="CCEEFF"/>
          </w:tcPr>
          <w:p>
            <w:pPr>
              <w:spacing w:after="0"/>
              <w:rPr>
                <w:sz w:val="20"/>
                <w:szCs w:val="20"/>
                <w:color w:val="auto"/>
              </w:rPr>
            </w:pPr>
            <w:r>
              <w:rPr>
                <w:rFonts w:ascii="Arial" w:cs="Arial" w:eastAsia="Arial" w:hAnsi="Arial"/>
                <w:sz w:val="16"/>
                <w:szCs w:val="16"/>
                <w:color w:val="auto"/>
              </w:rPr>
              <w:t>Impairment charges</w:t>
            </w:r>
          </w:p>
        </w:tc>
        <w:tc>
          <w:tcPr>
            <w:tcW w:w="1800" w:type="dxa"/>
            <w:vAlign w:val="bottom"/>
            <w:shd w:val="clear" w:color="auto" w:fill="CCEEFF"/>
          </w:tcPr>
          <w:p>
            <w:pPr>
              <w:spacing w:after="0"/>
              <w:rPr>
                <w:sz w:val="17"/>
                <w:szCs w:val="17"/>
                <w:color w:val="auto"/>
              </w:rPr>
            </w:pPr>
          </w:p>
        </w:tc>
        <w:tc>
          <w:tcPr>
            <w:tcW w:w="560" w:type="dxa"/>
            <w:vAlign w:val="bottom"/>
            <w:shd w:val="clear" w:color="auto" w:fill="CCEEFF"/>
          </w:tcPr>
          <w:p>
            <w:pPr>
              <w:jc w:val="right"/>
              <w:ind w:right="39"/>
              <w:spacing w:after="0"/>
              <w:rPr>
                <w:sz w:val="20"/>
                <w:szCs w:val="20"/>
                <w:color w:val="auto"/>
              </w:rPr>
            </w:pPr>
            <w:r>
              <w:rPr>
                <w:rFonts w:ascii="Arial" w:cs="Arial" w:eastAsia="Arial" w:hAnsi="Arial"/>
                <w:sz w:val="16"/>
                <w:szCs w:val="16"/>
                <w:b w:val="1"/>
                <w:bCs w:val="1"/>
                <w:color w:val="auto"/>
              </w:rPr>
              <w:t>0.6</w:t>
            </w:r>
          </w:p>
        </w:tc>
        <w:tc>
          <w:tcPr>
            <w:tcW w:w="320" w:type="dxa"/>
            <w:vAlign w:val="bottom"/>
            <w:shd w:val="clear" w:color="auto" w:fill="CCEEFF"/>
          </w:tcPr>
          <w:p>
            <w:pPr>
              <w:spacing w:after="0"/>
              <w:rPr>
                <w:sz w:val="17"/>
                <w:szCs w:val="17"/>
                <w:color w:val="auto"/>
              </w:rPr>
            </w:pPr>
          </w:p>
        </w:tc>
        <w:tc>
          <w:tcPr>
            <w:tcW w:w="1080" w:type="dxa"/>
            <w:vAlign w:val="bottom"/>
            <w:shd w:val="clear" w:color="auto" w:fill="CCEEFF"/>
          </w:tcPr>
          <w:p>
            <w:pPr>
              <w:jc w:val="right"/>
              <w:ind w:right="39"/>
              <w:spacing w:after="0"/>
              <w:rPr>
                <w:sz w:val="20"/>
                <w:szCs w:val="20"/>
                <w:color w:val="auto"/>
              </w:rPr>
            </w:pPr>
            <w:r>
              <w:rPr>
                <w:rFonts w:ascii="Arial" w:cs="Arial" w:eastAsia="Arial" w:hAnsi="Arial"/>
                <w:sz w:val="16"/>
                <w:szCs w:val="16"/>
                <w:color w:val="auto"/>
              </w:rPr>
              <w:t>—</w:t>
            </w:r>
          </w:p>
        </w:tc>
        <w:tc>
          <w:tcPr>
            <w:tcW w:w="340" w:type="dxa"/>
            <w:vAlign w:val="bottom"/>
            <w:shd w:val="clear" w:color="auto" w:fill="CCEEFF"/>
          </w:tcPr>
          <w:p>
            <w:pPr>
              <w:spacing w:after="0"/>
              <w:rPr>
                <w:sz w:val="17"/>
                <w:szCs w:val="17"/>
                <w:color w:val="auto"/>
              </w:rPr>
            </w:pPr>
          </w:p>
        </w:tc>
        <w:tc>
          <w:tcPr>
            <w:tcW w:w="1040" w:type="dxa"/>
            <w:vAlign w:val="bottom"/>
            <w:shd w:val="clear" w:color="auto" w:fill="CCEEFF"/>
          </w:tcPr>
          <w:p>
            <w:pPr>
              <w:jc w:val="right"/>
              <w:ind w:right="19"/>
              <w:spacing w:after="0"/>
              <w:rPr>
                <w:sz w:val="20"/>
                <w:szCs w:val="20"/>
                <w:color w:val="auto"/>
              </w:rPr>
            </w:pPr>
            <w:r>
              <w:rPr>
                <w:rFonts w:ascii="Arial" w:cs="Arial" w:eastAsia="Arial" w:hAnsi="Arial"/>
                <w:sz w:val="16"/>
                <w:szCs w:val="16"/>
                <w:color w:val="auto"/>
              </w:rPr>
              <w:t>2.9</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260" w:type="dxa"/>
            <w:vAlign w:val="bottom"/>
          </w:tcPr>
          <w:p>
            <w:pPr>
              <w:spacing w:after="0"/>
              <w:rPr>
                <w:sz w:val="20"/>
                <w:szCs w:val="20"/>
                <w:color w:val="auto"/>
              </w:rPr>
            </w:pPr>
            <w:r>
              <w:rPr>
                <w:rFonts w:ascii="Arial" w:cs="Arial" w:eastAsia="Arial" w:hAnsi="Arial"/>
                <w:sz w:val="16"/>
                <w:szCs w:val="16"/>
                <w:color w:val="auto"/>
              </w:rPr>
              <w:t>Loss on sale of assets</w:t>
            </w:r>
          </w:p>
        </w:tc>
        <w:tc>
          <w:tcPr>
            <w:tcW w:w="1800" w:type="dxa"/>
            <w:vAlign w:val="bottom"/>
          </w:tcPr>
          <w:p>
            <w:pPr>
              <w:spacing w:after="0"/>
              <w:rPr>
                <w:sz w:val="17"/>
                <w:szCs w:val="17"/>
                <w:color w:val="auto"/>
              </w:rPr>
            </w:pPr>
          </w:p>
        </w:tc>
        <w:tc>
          <w:tcPr>
            <w:tcW w:w="560" w:type="dxa"/>
            <w:vAlign w:val="bottom"/>
          </w:tcPr>
          <w:p>
            <w:pPr>
              <w:jc w:val="right"/>
              <w:ind w:right="39"/>
              <w:spacing w:after="0"/>
              <w:rPr>
                <w:sz w:val="20"/>
                <w:szCs w:val="20"/>
                <w:color w:val="auto"/>
              </w:rPr>
            </w:pPr>
            <w:r>
              <w:rPr>
                <w:rFonts w:ascii="Arial" w:cs="Arial" w:eastAsia="Arial" w:hAnsi="Arial"/>
                <w:sz w:val="16"/>
                <w:szCs w:val="16"/>
                <w:b w:val="1"/>
                <w:bCs w:val="1"/>
                <w:color w:val="auto"/>
              </w:rPr>
              <w:t>3.2</w:t>
            </w:r>
          </w:p>
        </w:tc>
        <w:tc>
          <w:tcPr>
            <w:tcW w:w="320" w:type="dxa"/>
            <w:vAlign w:val="bottom"/>
          </w:tcPr>
          <w:p>
            <w:pPr>
              <w:spacing w:after="0"/>
              <w:rPr>
                <w:sz w:val="17"/>
                <w:szCs w:val="17"/>
                <w:color w:val="auto"/>
              </w:rPr>
            </w:pPr>
          </w:p>
        </w:tc>
        <w:tc>
          <w:tcPr>
            <w:tcW w:w="1080" w:type="dxa"/>
            <w:vAlign w:val="bottom"/>
          </w:tcPr>
          <w:p>
            <w:pPr>
              <w:jc w:val="right"/>
              <w:ind w:right="39"/>
              <w:spacing w:after="0"/>
              <w:rPr>
                <w:sz w:val="20"/>
                <w:szCs w:val="20"/>
                <w:color w:val="auto"/>
              </w:rPr>
            </w:pPr>
            <w:r>
              <w:rPr>
                <w:rFonts w:ascii="Arial" w:cs="Arial" w:eastAsia="Arial" w:hAnsi="Arial"/>
                <w:sz w:val="16"/>
                <w:szCs w:val="16"/>
                <w:color w:val="auto"/>
              </w:rPr>
              <w:t>0.8</w:t>
            </w:r>
          </w:p>
        </w:tc>
        <w:tc>
          <w:tcPr>
            <w:tcW w:w="340" w:type="dxa"/>
            <w:vAlign w:val="bottom"/>
          </w:tcPr>
          <w:p>
            <w:pPr>
              <w:spacing w:after="0"/>
              <w:rPr>
                <w:sz w:val="17"/>
                <w:szCs w:val="17"/>
                <w:color w:val="auto"/>
              </w:rPr>
            </w:pPr>
          </w:p>
        </w:tc>
        <w:tc>
          <w:tcPr>
            <w:tcW w:w="1040" w:type="dxa"/>
            <w:vAlign w:val="bottom"/>
          </w:tcPr>
          <w:p>
            <w:pPr>
              <w:jc w:val="right"/>
              <w:ind w:right="19"/>
              <w:spacing w:after="0"/>
              <w:rPr>
                <w:sz w:val="20"/>
                <w:szCs w:val="20"/>
                <w:color w:val="auto"/>
              </w:rPr>
            </w:pPr>
            <w:r>
              <w:rPr>
                <w:rFonts w:ascii="Arial" w:cs="Arial" w:eastAsia="Arial" w:hAnsi="Arial"/>
                <w:sz w:val="16"/>
                <w:szCs w:val="16"/>
                <w:color w:val="auto"/>
              </w:rPr>
              <w:t>0.4</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260" w:type="dxa"/>
            <w:vAlign w:val="bottom"/>
            <w:shd w:val="clear" w:color="auto" w:fill="CCEEFF"/>
          </w:tcPr>
          <w:p>
            <w:pPr>
              <w:spacing w:after="0"/>
              <w:rPr>
                <w:sz w:val="20"/>
                <w:szCs w:val="20"/>
                <w:color w:val="auto"/>
              </w:rPr>
            </w:pPr>
            <w:r>
              <w:rPr>
                <w:rFonts w:ascii="Arial" w:cs="Arial" w:eastAsia="Arial" w:hAnsi="Arial"/>
                <w:sz w:val="16"/>
                <w:szCs w:val="16"/>
                <w:color w:val="auto"/>
              </w:rPr>
              <w:t>Deferred income tax provision</w:t>
            </w:r>
          </w:p>
        </w:tc>
        <w:tc>
          <w:tcPr>
            <w:tcW w:w="1800" w:type="dxa"/>
            <w:vAlign w:val="bottom"/>
            <w:shd w:val="clear" w:color="auto" w:fill="CCEEFF"/>
          </w:tcPr>
          <w:p>
            <w:pPr>
              <w:spacing w:after="0"/>
              <w:rPr>
                <w:sz w:val="17"/>
                <w:szCs w:val="17"/>
                <w:color w:val="auto"/>
              </w:rPr>
            </w:pPr>
          </w:p>
        </w:tc>
        <w:tc>
          <w:tcPr>
            <w:tcW w:w="560" w:type="dxa"/>
            <w:vAlign w:val="bottom"/>
            <w:shd w:val="clear" w:color="auto" w:fill="CCEEFF"/>
          </w:tcPr>
          <w:p>
            <w:pPr>
              <w:jc w:val="right"/>
              <w:ind w:right="39"/>
              <w:spacing w:after="0"/>
              <w:rPr>
                <w:sz w:val="20"/>
                <w:szCs w:val="20"/>
                <w:color w:val="auto"/>
              </w:rPr>
            </w:pPr>
            <w:r>
              <w:rPr>
                <w:rFonts w:ascii="Arial" w:cs="Arial" w:eastAsia="Arial" w:hAnsi="Arial"/>
                <w:sz w:val="16"/>
                <w:szCs w:val="16"/>
                <w:b w:val="1"/>
                <w:bCs w:val="1"/>
                <w:color w:val="auto"/>
              </w:rPr>
              <w:t>16.0</w:t>
            </w:r>
          </w:p>
        </w:tc>
        <w:tc>
          <w:tcPr>
            <w:tcW w:w="320" w:type="dxa"/>
            <w:vAlign w:val="bottom"/>
            <w:shd w:val="clear" w:color="auto" w:fill="CCEEFF"/>
          </w:tcPr>
          <w:p>
            <w:pPr>
              <w:spacing w:after="0"/>
              <w:rPr>
                <w:sz w:val="17"/>
                <w:szCs w:val="17"/>
                <w:color w:val="auto"/>
              </w:rPr>
            </w:pPr>
          </w:p>
        </w:tc>
        <w:tc>
          <w:tcPr>
            <w:tcW w:w="1080" w:type="dxa"/>
            <w:vAlign w:val="bottom"/>
            <w:shd w:val="clear" w:color="auto" w:fill="CCEEFF"/>
          </w:tcPr>
          <w:p>
            <w:pPr>
              <w:jc w:val="right"/>
              <w:ind w:right="39"/>
              <w:spacing w:after="0"/>
              <w:rPr>
                <w:sz w:val="20"/>
                <w:szCs w:val="20"/>
                <w:color w:val="auto"/>
              </w:rPr>
            </w:pPr>
            <w:r>
              <w:rPr>
                <w:rFonts w:ascii="Arial" w:cs="Arial" w:eastAsia="Arial" w:hAnsi="Arial"/>
                <w:sz w:val="16"/>
                <w:szCs w:val="16"/>
                <w:color w:val="auto"/>
              </w:rPr>
              <w:t>7.1</w:t>
            </w:r>
          </w:p>
        </w:tc>
        <w:tc>
          <w:tcPr>
            <w:tcW w:w="340" w:type="dxa"/>
            <w:vAlign w:val="bottom"/>
            <w:shd w:val="clear" w:color="auto" w:fill="CCEEFF"/>
          </w:tcPr>
          <w:p>
            <w:pPr>
              <w:spacing w:after="0"/>
              <w:rPr>
                <w:sz w:val="17"/>
                <w:szCs w:val="17"/>
                <w:color w:val="auto"/>
              </w:rPr>
            </w:pPr>
          </w:p>
        </w:tc>
        <w:tc>
          <w:tcPr>
            <w:tcW w:w="1040" w:type="dxa"/>
            <w:vAlign w:val="bottom"/>
            <w:shd w:val="clear" w:color="auto" w:fill="CCEEFF"/>
          </w:tcPr>
          <w:p>
            <w:pPr>
              <w:jc w:val="right"/>
              <w:ind w:right="19"/>
              <w:spacing w:after="0"/>
              <w:rPr>
                <w:sz w:val="20"/>
                <w:szCs w:val="20"/>
                <w:color w:val="auto"/>
              </w:rPr>
            </w:pPr>
            <w:r>
              <w:rPr>
                <w:rFonts w:ascii="Arial" w:cs="Arial" w:eastAsia="Arial" w:hAnsi="Arial"/>
                <w:sz w:val="16"/>
                <w:szCs w:val="16"/>
                <w:color w:val="auto"/>
              </w:rPr>
              <w:t>9.3</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260" w:type="dxa"/>
            <w:vAlign w:val="bottom"/>
          </w:tcPr>
          <w:p>
            <w:pPr>
              <w:spacing w:after="0"/>
              <w:rPr>
                <w:sz w:val="20"/>
                <w:szCs w:val="20"/>
                <w:color w:val="auto"/>
              </w:rPr>
            </w:pPr>
            <w:r>
              <w:rPr>
                <w:rFonts w:ascii="Arial" w:cs="Arial" w:eastAsia="Arial" w:hAnsi="Arial"/>
                <w:sz w:val="16"/>
                <w:szCs w:val="16"/>
                <w:color w:val="auto"/>
              </w:rPr>
              <w:t>Stock-based compensation expense</w:t>
            </w:r>
          </w:p>
        </w:tc>
        <w:tc>
          <w:tcPr>
            <w:tcW w:w="1800" w:type="dxa"/>
            <w:vAlign w:val="bottom"/>
          </w:tcPr>
          <w:p>
            <w:pPr>
              <w:spacing w:after="0"/>
              <w:rPr>
                <w:sz w:val="17"/>
                <w:szCs w:val="17"/>
                <w:color w:val="auto"/>
              </w:rPr>
            </w:pPr>
          </w:p>
        </w:tc>
        <w:tc>
          <w:tcPr>
            <w:tcW w:w="560" w:type="dxa"/>
            <w:vAlign w:val="bottom"/>
          </w:tcPr>
          <w:p>
            <w:pPr>
              <w:jc w:val="right"/>
              <w:ind w:right="39"/>
              <w:spacing w:after="0"/>
              <w:rPr>
                <w:sz w:val="20"/>
                <w:szCs w:val="20"/>
                <w:color w:val="auto"/>
              </w:rPr>
            </w:pPr>
            <w:r>
              <w:rPr>
                <w:rFonts w:ascii="Arial" w:cs="Arial" w:eastAsia="Arial" w:hAnsi="Arial"/>
                <w:sz w:val="16"/>
                <w:szCs w:val="16"/>
                <w:b w:val="1"/>
                <w:bCs w:val="1"/>
                <w:color w:val="auto"/>
              </w:rPr>
              <w:t>2.8</w:t>
            </w:r>
          </w:p>
        </w:tc>
        <w:tc>
          <w:tcPr>
            <w:tcW w:w="320" w:type="dxa"/>
            <w:vAlign w:val="bottom"/>
          </w:tcPr>
          <w:p>
            <w:pPr>
              <w:spacing w:after="0"/>
              <w:rPr>
                <w:sz w:val="17"/>
                <w:szCs w:val="17"/>
                <w:color w:val="auto"/>
              </w:rPr>
            </w:pPr>
          </w:p>
        </w:tc>
        <w:tc>
          <w:tcPr>
            <w:tcW w:w="1080" w:type="dxa"/>
            <w:vAlign w:val="bottom"/>
          </w:tcPr>
          <w:p>
            <w:pPr>
              <w:jc w:val="right"/>
              <w:ind w:right="39"/>
              <w:spacing w:after="0"/>
              <w:rPr>
                <w:sz w:val="20"/>
                <w:szCs w:val="20"/>
                <w:color w:val="auto"/>
              </w:rPr>
            </w:pPr>
            <w:r>
              <w:rPr>
                <w:rFonts w:ascii="Arial" w:cs="Arial" w:eastAsia="Arial" w:hAnsi="Arial"/>
                <w:sz w:val="16"/>
                <w:szCs w:val="16"/>
                <w:color w:val="auto"/>
              </w:rPr>
              <w:t>2.6</w:t>
            </w:r>
          </w:p>
        </w:tc>
        <w:tc>
          <w:tcPr>
            <w:tcW w:w="340" w:type="dxa"/>
            <w:vAlign w:val="bottom"/>
          </w:tcPr>
          <w:p>
            <w:pPr>
              <w:spacing w:after="0"/>
              <w:rPr>
                <w:sz w:val="17"/>
                <w:szCs w:val="17"/>
                <w:color w:val="auto"/>
              </w:rPr>
            </w:pPr>
          </w:p>
        </w:tc>
        <w:tc>
          <w:tcPr>
            <w:tcW w:w="1040" w:type="dxa"/>
            <w:vAlign w:val="bottom"/>
          </w:tcPr>
          <w:p>
            <w:pPr>
              <w:jc w:val="right"/>
              <w:ind w:right="19"/>
              <w:spacing w:after="0"/>
              <w:rPr>
                <w:sz w:val="20"/>
                <w:szCs w:val="20"/>
                <w:color w:val="auto"/>
              </w:rPr>
            </w:pPr>
            <w:r>
              <w:rPr>
                <w:rFonts w:ascii="Arial" w:cs="Arial" w:eastAsia="Arial" w:hAnsi="Arial"/>
                <w:sz w:val="16"/>
                <w:szCs w:val="16"/>
                <w:color w:val="auto"/>
              </w:rPr>
              <w:t>2.8</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260" w:type="dxa"/>
            <w:vAlign w:val="bottom"/>
            <w:shd w:val="clear" w:color="auto" w:fill="CCEEFF"/>
          </w:tcPr>
          <w:p>
            <w:pPr>
              <w:spacing w:after="0"/>
              <w:rPr>
                <w:sz w:val="20"/>
                <w:szCs w:val="20"/>
                <w:color w:val="auto"/>
              </w:rPr>
            </w:pPr>
            <w:r>
              <w:rPr>
                <w:rFonts w:ascii="Arial" w:cs="Arial" w:eastAsia="Arial" w:hAnsi="Arial"/>
                <w:sz w:val="16"/>
                <w:szCs w:val="16"/>
                <w:color w:val="auto"/>
              </w:rPr>
              <w:t>Changes in operating assets and liabilities:</w:t>
            </w:r>
          </w:p>
        </w:tc>
        <w:tc>
          <w:tcPr>
            <w:tcW w:w="180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08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10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260" w:type="dxa"/>
            <w:vAlign w:val="bottom"/>
          </w:tcPr>
          <w:p>
            <w:pPr>
              <w:ind w:left="320"/>
              <w:spacing w:after="0"/>
              <w:rPr>
                <w:sz w:val="20"/>
                <w:szCs w:val="20"/>
                <w:color w:val="auto"/>
              </w:rPr>
            </w:pPr>
            <w:r>
              <w:rPr>
                <w:rFonts w:ascii="Arial" w:cs="Arial" w:eastAsia="Arial" w:hAnsi="Arial"/>
                <w:sz w:val="16"/>
                <w:szCs w:val="16"/>
                <w:color w:val="auto"/>
              </w:rPr>
              <w:t>Accounts receivable</w:t>
            </w:r>
          </w:p>
        </w:tc>
        <w:tc>
          <w:tcPr>
            <w:tcW w:w="1800" w:type="dxa"/>
            <w:vAlign w:val="bottom"/>
          </w:tcPr>
          <w:p>
            <w:pPr>
              <w:spacing w:after="0"/>
              <w:rPr>
                <w:sz w:val="17"/>
                <w:szCs w:val="17"/>
                <w:color w:val="auto"/>
              </w:rPr>
            </w:pPr>
          </w:p>
        </w:tc>
        <w:tc>
          <w:tcPr>
            <w:tcW w:w="560" w:type="dxa"/>
            <w:vAlign w:val="bottom"/>
          </w:tcPr>
          <w:p>
            <w:pPr>
              <w:jc w:val="right"/>
              <w:spacing w:after="0"/>
              <w:rPr>
                <w:sz w:val="20"/>
                <w:szCs w:val="20"/>
                <w:color w:val="auto"/>
              </w:rPr>
            </w:pPr>
            <w:r>
              <w:rPr>
                <w:rFonts w:ascii="Arial" w:cs="Arial" w:eastAsia="Arial" w:hAnsi="Arial"/>
                <w:sz w:val="16"/>
                <w:szCs w:val="16"/>
                <w:b w:val="1"/>
                <w:bCs w:val="1"/>
                <w:color w:val="auto"/>
              </w:rPr>
              <w:t>(8.9)</w:t>
            </w:r>
          </w:p>
        </w:tc>
        <w:tc>
          <w:tcPr>
            <w:tcW w:w="320" w:type="dxa"/>
            <w:vAlign w:val="bottom"/>
          </w:tcPr>
          <w:p>
            <w:pPr>
              <w:spacing w:after="0"/>
              <w:rPr>
                <w:sz w:val="17"/>
                <w:szCs w:val="17"/>
                <w:color w:val="auto"/>
              </w:rPr>
            </w:pPr>
          </w:p>
        </w:tc>
        <w:tc>
          <w:tcPr>
            <w:tcW w:w="1080" w:type="dxa"/>
            <w:vAlign w:val="bottom"/>
          </w:tcPr>
          <w:p>
            <w:pPr>
              <w:jc w:val="right"/>
              <w:ind w:right="39"/>
              <w:spacing w:after="0"/>
              <w:rPr>
                <w:sz w:val="20"/>
                <w:szCs w:val="20"/>
                <w:color w:val="auto"/>
              </w:rPr>
            </w:pPr>
            <w:r>
              <w:rPr>
                <w:rFonts w:ascii="Arial" w:cs="Arial" w:eastAsia="Arial" w:hAnsi="Arial"/>
                <w:sz w:val="16"/>
                <w:szCs w:val="16"/>
                <w:color w:val="auto"/>
              </w:rPr>
              <w:t>94.7</w:t>
            </w:r>
          </w:p>
        </w:tc>
        <w:tc>
          <w:tcPr>
            <w:tcW w:w="340" w:type="dxa"/>
            <w:vAlign w:val="bottom"/>
          </w:tcPr>
          <w:p>
            <w:pPr>
              <w:spacing w:after="0"/>
              <w:rPr>
                <w:sz w:val="17"/>
                <w:szCs w:val="17"/>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(37.3)</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260" w:type="dxa"/>
            <w:vAlign w:val="bottom"/>
            <w:shd w:val="clear" w:color="auto" w:fill="CCEEFF"/>
          </w:tcPr>
          <w:p>
            <w:pPr>
              <w:ind w:left="320"/>
              <w:spacing w:after="0"/>
              <w:rPr>
                <w:sz w:val="20"/>
                <w:szCs w:val="20"/>
                <w:color w:val="auto"/>
              </w:rPr>
            </w:pPr>
            <w:r>
              <w:rPr>
                <w:rFonts w:ascii="Arial" w:cs="Arial" w:eastAsia="Arial" w:hAnsi="Arial"/>
                <w:sz w:val="16"/>
                <w:szCs w:val="16"/>
                <w:color w:val="auto"/>
              </w:rPr>
              <w:t>Accounts receivable due from related party</w:t>
            </w:r>
          </w:p>
        </w:tc>
        <w:tc>
          <w:tcPr>
            <w:tcW w:w="1800" w:type="dxa"/>
            <w:vAlign w:val="bottom"/>
            <w:shd w:val="clear" w:color="auto" w:fill="CCEEFF"/>
          </w:tcPr>
          <w:p>
            <w:pPr>
              <w:spacing w:after="0"/>
              <w:rPr>
                <w:sz w:val="17"/>
                <w:szCs w:val="17"/>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6"/>
                <w:szCs w:val="16"/>
                <w:b w:val="1"/>
                <w:bCs w:val="1"/>
                <w:color w:val="auto"/>
              </w:rPr>
              <w:t>(2.9)</w:t>
            </w:r>
          </w:p>
        </w:tc>
        <w:tc>
          <w:tcPr>
            <w:tcW w:w="320" w:type="dxa"/>
            <w:vAlign w:val="bottom"/>
            <w:shd w:val="clear" w:color="auto" w:fill="CCEEFF"/>
          </w:tcPr>
          <w:p>
            <w:pPr>
              <w:spacing w:after="0"/>
              <w:rPr>
                <w:sz w:val="17"/>
                <w:szCs w:val="17"/>
                <w:color w:val="auto"/>
              </w:rPr>
            </w:pPr>
          </w:p>
        </w:tc>
        <w:tc>
          <w:tcPr>
            <w:tcW w:w="1080" w:type="dxa"/>
            <w:vAlign w:val="bottom"/>
            <w:shd w:val="clear" w:color="auto" w:fill="CCEEFF"/>
          </w:tcPr>
          <w:p>
            <w:pPr>
              <w:jc w:val="right"/>
              <w:ind w:right="39"/>
              <w:spacing w:after="0"/>
              <w:rPr>
                <w:sz w:val="20"/>
                <w:szCs w:val="20"/>
                <w:color w:val="auto"/>
              </w:rPr>
            </w:pPr>
            <w:r>
              <w:rPr>
                <w:rFonts w:ascii="Arial" w:cs="Arial" w:eastAsia="Arial" w:hAnsi="Arial"/>
                <w:sz w:val="16"/>
                <w:szCs w:val="16"/>
                <w:color w:val="auto"/>
              </w:rPr>
              <w:t>7.6</w:t>
            </w:r>
          </w:p>
        </w:tc>
        <w:tc>
          <w:tcPr>
            <w:tcW w:w="340" w:type="dxa"/>
            <w:vAlign w:val="bottom"/>
            <w:shd w:val="clear" w:color="auto" w:fill="CCEEFF"/>
          </w:tcPr>
          <w:p>
            <w:pPr>
              <w:spacing w:after="0"/>
              <w:rPr>
                <w:sz w:val="17"/>
                <w:szCs w:val="17"/>
                <w:color w:val="auto"/>
              </w:rPr>
            </w:pPr>
          </w:p>
        </w:tc>
        <w:tc>
          <w:tcPr>
            <w:tcW w:w="1040" w:type="dxa"/>
            <w:vAlign w:val="bottom"/>
            <w:shd w:val="clear" w:color="auto" w:fill="CCEEFF"/>
          </w:tcPr>
          <w:p>
            <w:pPr>
              <w:jc w:val="right"/>
              <w:ind w:right="19"/>
              <w:spacing w:after="0"/>
              <w:rPr>
                <w:sz w:val="20"/>
                <w:szCs w:val="20"/>
                <w:color w:val="auto"/>
              </w:rPr>
            </w:pPr>
            <w:r>
              <w:rPr>
                <w:rFonts w:ascii="Arial" w:cs="Arial" w:eastAsia="Arial" w:hAnsi="Arial"/>
                <w:sz w:val="16"/>
                <w:szCs w:val="16"/>
                <w:color w:val="auto"/>
              </w:rPr>
              <w:t>2.0</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260" w:type="dxa"/>
            <w:vAlign w:val="bottom"/>
          </w:tcPr>
          <w:p>
            <w:pPr>
              <w:ind w:left="320"/>
              <w:spacing w:after="0"/>
              <w:rPr>
                <w:sz w:val="20"/>
                <w:szCs w:val="20"/>
                <w:color w:val="auto"/>
              </w:rPr>
            </w:pPr>
            <w:r>
              <w:rPr>
                <w:rFonts w:ascii="Arial" w:cs="Arial" w:eastAsia="Arial" w:hAnsi="Arial"/>
                <w:sz w:val="16"/>
                <w:szCs w:val="16"/>
                <w:color w:val="auto"/>
              </w:rPr>
              <w:t>Inventories</w:t>
            </w:r>
          </w:p>
        </w:tc>
        <w:tc>
          <w:tcPr>
            <w:tcW w:w="1800" w:type="dxa"/>
            <w:vAlign w:val="bottom"/>
          </w:tcPr>
          <w:p>
            <w:pPr>
              <w:spacing w:after="0"/>
              <w:rPr>
                <w:sz w:val="17"/>
                <w:szCs w:val="17"/>
                <w:color w:val="auto"/>
              </w:rPr>
            </w:pPr>
          </w:p>
        </w:tc>
        <w:tc>
          <w:tcPr>
            <w:tcW w:w="560" w:type="dxa"/>
            <w:vAlign w:val="bottom"/>
          </w:tcPr>
          <w:p>
            <w:pPr>
              <w:jc w:val="right"/>
              <w:ind w:right="39"/>
              <w:spacing w:after="0"/>
              <w:rPr>
                <w:sz w:val="20"/>
                <w:szCs w:val="20"/>
                <w:color w:val="auto"/>
              </w:rPr>
            </w:pPr>
            <w:r>
              <w:rPr>
                <w:rFonts w:ascii="Arial" w:cs="Arial" w:eastAsia="Arial" w:hAnsi="Arial"/>
                <w:sz w:val="16"/>
                <w:szCs w:val="16"/>
                <w:b w:val="1"/>
                <w:bCs w:val="1"/>
                <w:color w:val="auto"/>
              </w:rPr>
              <w:t>29.2</w:t>
            </w:r>
          </w:p>
        </w:tc>
        <w:tc>
          <w:tcPr>
            <w:tcW w:w="320" w:type="dxa"/>
            <w:vAlign w:val="bottom"/>
          </w:tcPr>
          <w:p>
            <w:pPr>
              <w:spacing w:after="0"/>
              <w:rPr>
                <w:sz w:val="17"/>
                <w:szCs w:val="17"/>
                <w:color w:val="auto"/>
              </w:rPr>
            </w:pPr>
          </w:p>
        </w:tc>
        <w:tc>
          <w:tcPr>
            <w:tcW w:w="1080" w:type="dxa"/>
            <w:vAlign w:val="bottom"/>
          </w:tcPr>
          <w:p>
            <w:pPr>
              <w:jc w:val="right"/>
              <w:ind w:right="39"/>
              <w:spacing w:after="0"/>
              <w:rPr>
                <w:sz w:val="20"/>
                <w:szCs w:val="20"/>
                <w:color w:val="auto"/>
              </w:rPr>
            </w:pPr>
            <w:r>
              <w:rPr>
                <w:rFonts w:ascii="Arial" w:cs="Arial" w:eastAsia="Arial" w:hAnsi="Arial"/>
                <w:sz w:val="16"/>
                <w:szCs w:val="16"/>
                <w:color w:val="auto"/>
              </w:rPr>
              <w:t>44.9</w:t>
            </w:r>
          </w:p>
        </w:tc>
        <w:tc>
          <w:tcPr>
            <w:tcW w:w="340" w:type="dxa"/>
            <w:vAlign w:val="bottom"/>
          </w:tcPr>
          <w:p>
            <w:pPr>
              <w:spacing w:after="0"/>
              <w:rPr>
                <w:sz w:val="17"/>
                <w:szCs w:val="17"/>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(70.1)</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260" w:type="dxa"/>
            <w:vAlign w:val="bottom"/>
            <w:shd w:val="clear" w:color="auto" w:fill="CCEEFF"/>
          </w:tcPr>
          <w:p>
            <w:pPr>
              <w:ind w:left="320"/>
              <w:spacing w:after="0"/>
              <w:rPr>
                <w:sz w:val="20"/>
                <w:szCs w:val="20"/>
                <w:color w:val="auto"/>
              </w:rPr>
            </w:pPr>
            <w:r>
              <w:rPr>
                <w:rFonts w:ascii="Arial" w:cs="Arial" w:eastAsia="Arial" w:hAnsi="Arial"/>
                <w:sz w:val="16"/>
                <w:szCs w:val="16"/>
                <w:color w:val="auto"/>
              </w:rPr>
              <w:t>Accounts payable, trade</w:t>
            </w:r>
          </w:p>
        </w:tc>
        <w:tc>
          <w:tcPr>
            <w:tcW w:w="1800" w:type="dxa"/>
            <w:vAlign w:val="bottom"/>
            <w:shd w:val="clear" w:color="auto" w:fill="CCEEFF"/>
          </w:tcPr>
          <w:p>
            <w:pPr>
              <w:spacing w:after="0"/>
              <w:rPr>
                <w:sz w:val="17"/>
                <w:szCs w:val="17"/>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6"/>
                <w:szCs w:val="16"/>
                <w:b w:val="1"/>
                <w:bCs w:val="1"/>
                <w:color w:val="auto"/>
              </w:rPr>
              <w:t>(6.4)</w:t>
            </w:r>
          </w:p>
        </w:tc>
        <w:tc>
          <w:tcPr>
            <w:tcW w:w="320" w:type="dxa"/>
            <w:vAlign w:val="bottom"/>
            <w:shd w:val="clear" w:color="auto" w:fill="CCEEFF"/>
          </w:tcPr>
          <w:p>
            <w:pPr>
              <w:spacing w:after="0"/>
              <w:rPr>
                <w:sz w:val="17"/>
                <w:szCs w:val="17"/>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(47.7)</w:t>
            </w:r>
          </w:p>
        </w:tc>
        <w:tc>
          <w:tcPr>
            <w:tcW w:w="340" w:type="dxa"/>
            <w:vAlign w:val="bottom"/>
            <w:shd w:val="clear" w:color="auto" w:fill="CCEEFF"/>
          </w:tcPr>
          <w:p>
            <w:pPr>
              <w:spacing w:after="0"/>
              <w:rPr>
                <w:sz w:val="17"/>
                <w:szCs w:val="17"/>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(0.8)</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260" w:type="dxa"/>
            <w:vAlign w:val="bottom"/>
          </w:tcPr>
          <w:p>
            <w:pPr>
              <w:ind w:left="320"/>
              <w:spacing w:after="0"/>
              <w:rPr>
                <w:sz w:val="20"/>
                <w:szCs w:val="20"/>
                <w:color w:val="auto"/>
              </w:rPr>
            </w:pPr>
            <w:r>
              <w:rPr>
                <w:rFonts w:ascii="Arial" w:cs="Arial" w:eastAsia="Arial" w:hAnsi="Arial"/>
                <w:sz w:val="16"/>
                <w:szCs w:val="16"/>
                <w:color w:val="auto"/>
              </w:rPr>
              <w:t>Accounts payable due to related party</w:t>
            </w:r>
          </w:p>
        </w:tc>
        <w:tc>
          <w:tcPr>
            <w:tcW w:w="1800" w:type="dxa"/>
            <w:vAlign w:val="bottom"/>
          </w:tcPr>
          <w:p>
            <w:pPr>
              <w:spacing w:after="0"/>
              <w:rPr>
                <w:sz w:val="17"/>
                <w:szCs w:val="17"/>
                <w:color w:val="auto"/>
              </w:rPr>
            </w:pPr>
          </w:p>
        </w:tc>
        <w:tc>
          <w:tcPr>
            <w:tcW w:w="560" w:type="dxa"/>
            <w:vAlign w:val="bottom"/>
          </w:tcPr>
          <w:p>
            <w:pPr>
              <w:jc w:val="right"/>
              <w:spacing w:after="0"/>
              <w:rPr>
                <w:sz w:val="20"/>
                <w:szCs w:val="20"/>
                <w:color w:val="auto"/>
              </w:rPr>
            </w:pPr>
            <w:r>
              <w:rPr>
                <w:rFonts w:ascii="Arial" w:cs="Arial" w:eastAsia="Arial" w:hAnsi="Arial"/>
                <w:sz w:val="16"/>
                <w:szCs w:val="16"/>
                <w:b w:val="1"/>
                <w:bCs w:val="1"/>
                <w:color w:val="auto"/>
              </w:rPr>
              <w:t>(1.7)</w:t>
            </w:r>
          </w:p>
        </w:tc>
        <w:tc>
          <w:tcPr>
            <w:tcW w:w="320" w:type="dxa"/>
            <w:vAlign w:val="bottom"/>
          </w:tcPr>
          <w:p>
            <w:pPr>
              <w:spacing w:after="0"/>
              <w:rPr>
                <w:sz w:val="17"/>
                <w:szCs w:val="17"/>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(2.5)</w:t>
            </w:r>
          </w:p>
        </w:tc>
        <w:tc>
          <w:tcPr>
            <w:tcW w:w="340" w:type="dxa"/>
            <w:vAlign w:val="bottom"/>
          </w:tcPr>
          <w:p>
            <w:pPr>
              <w:spacing w:after="0"/>
              <w:rPr>
                <w:sz w:val="17"/>
                <w:szCs w:val="17"/>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(3.5)</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260" w:type="dxa"/>
            <w:vAlign w:val="bottom"/>
            <w:shd w:val="clear" w:color="auto" w:fill="CCEEFF"/>
          </w:tcPr>
          <w:p>
            <w:pPr>
              <w:ind w:left="320"/>
              <w:spacing w:after="0"/>
              <w:rPr>
                <w:sz w:val="20"/>
                <w:szCs w:val="20"/>
                <w:color w:val="auto"/>
              </w:rPr>
            </w:pPr>
            <w:r>
              <w:rPr>
                <w:rFonts w:ascii="Arial" w:cs="Arial" w:eastAsia="Arial" w:hAnsi="Arial"/>
                <w:sz w:val="16"/>
                <w:szCs w:val="16"/>
                <w:color w:val="auto"/>
              </w:rPr>
              <w:t>Other accrued expenses</w:t>
            </w:r>
          </w:p>
        </w:tc>
        <w:tc>
          <w:tcPr>
            <w:tcW w:w="1800" w:type="dxa"/>
            <w:vAlign w:val="bottom"/>
            <w:shd w:val="clear" w:color="auto" w:fill="CCEEFF"/>
          </w:tcPr>
          <w:p>
            <w:pPr>
              <w:spacing w:after="0"/>
              <w:rPr>
                <w:sz w:val="17"/>
                <w:szCs w:val="17"/>
                <w:color w:val="auto"/>
              </w:rPr>
            </w:pPr>
          </w:p>
        </w:tc>
        <w:tc>
          <w:tcPr>
            <w:tcW w:w="560" w:type="dxa"/>
            <w:vAlign w:val="bottom"/>
            <w:shd w:val="clear" w:color="auto" w:fill="CCEEFF"/>
          </w:tcPr>
          <w:p>
            <w:pPr>
              <w:jc w:val="right"/>
              <w:ind w:right="39"/>
              <w:spacing w:after="0"/>
              <w:rPr>
                <w:sz w:val="20"/>
                <w:szCs w:val="20"/>
                <w:color w:val="auto"/>
              </w:rPr>
            </w:pPr>
            <w:r>
              <w:rPr>
                <w:rFonts w:ascii="Arial" w:cs="Arial" w:eastAsia="Arial" w:hAnsi="Arial"/>
                <w:sz w:val="16"/>
                <w:szCs w:val="16"/>
                <w:b w:val="1"/>
                <w:bCs w:val="1"/>
                <w:color w:val="auto"/>
              </w:rPr>
              <w:t>3.2</w:t>
            </w:r>
          </w:p>
        </w:tc>
        <w:tc>
          <w:tcPr>
            <w:tcW w:w="320" w:type="dxa"/>
            <w:vAlign w:val="bottom"/>
            <w:shd w:val="clear" w:color="auto" w:fill="CCEEFF"/>
          </w:tcPr>
          <w:p>
            <w:pPr>
              <w:spacing w:after="0"/>
              <w:rPr>
                <w:sz w:val="17"/>
                <w:szCs w:val="17"/>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(11.3)</w:t>
            </w:r>
          </w:p>
        </w:tc>
        <w:tc>
          <w:tcPr>
            <w:tcW w:w="340" w:type="dxa"/>
            <w:vAlign w:val="bottom"/>
            <w:shd w:val="clear" w:color="auto" w:fill="CCEEFF"/>
          </w:tcPr>
          <w:p>
            <w:pPr>
              <w:spacing w:after="0"/>
              <w:rPr>
                <w:sz w:val="17"/>
                <w:szCs w:val="17"/>
                <w:color w:val="auto"/>
              </w:rPr>
            </w:pPr>
          </w:p>
        </w:tc>
        <w:tc>
          <w:tcPr>
            <w:tcW w:w="1040" w:type="dxa"/>
            <w:vAlign w:val="bottom"/>
            <w:shd w:val="clear" w:color="auto" w:fill="CCEEFF"/>
          </w:tcPr>
          <w:p>
            <w:pPr>
              <w:jc w:val="right"/>
              <w:ind w:right="19"/>
              <w:spacing w:after="0"/>
              <w:rPr>
                <w:sz w:val="20"/>
                <w:szCs w:val="20"/>
                <w:color w:val="auto"/>
              </w:rPr>
            </w:pPr>
            <w:r>
              <w:rPr>
                <w:rFonts w:ascii="Arial" w:cs="Arial" w:eastAsia="Arial" w:hAnsi="Arial"/>
                <w:sz w:val="16"/>
                <w:szCs w:val="16"/>
                <w:color w:val="auto"/>
              </w:rPr>
              <w:t>18.0</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260" w:type="dxa"/>
            <w:vAlign w:val="bottom"/>
            <w:tcBorders>
              <w:bottom w:val="single" w:sz="8" w:color="auto"/>
            </w:tcBorders>
          </w:tcPr>
          <w:p>
            <w:pPr>
              <w:ind w:left="320"/>
              <w:spacing w:after="0"/>
              <w:rPr>
                <w:sz w:val="20"/>
                <w:szCs w:val="20"/>
                <w:color w:val="auto"/>
              </w:rPr>
            </w:pPr>
            <w:r>
              <w:rPr>
                <w:rFonts w:ascii="Arial" w:cs="Arial" w:eastAsia="Arial" w:hAnsi="Arial"/>
                <w:sz w:val="16"/>
                <w:szCs w:val="16"/>
                <w:color w:val="auto"/>
              </w:rPr>
              <w:t>Other, net</w:t>
            </w:r>
          </w:p>
        </w:tc>
        <w:tc>
          <w:tcPr>
            <w:tcW w:w="1800" w:type="dxa"/>
            <w:vAlign w:val="bottom"/>
            <w:tcBorders>
              <w:bottom w:val="single" w:sz="8" w:color="auto"/>
            </w:tcBorders>
          </w:tcPr>
          <w:p>
            <w:pPr>
              <w:spacing w:after="0"/>
              <w:rPr>
                <w:sz w:val="17"/>
                <w:szCs w:val="17"/>
                <w:color w:val="auto"/>
              </w:rPr>
            </w:pPr>
          </w:p>
        </w:tc>
        <w:tc>
          <w:tcPr>
            <w:tcW w:w="56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b w:val="1"/>
                <w:bCs w:val="1"/>
                <w:color w:val="auto"/>
              </w:rPr>
              <w:t>0.5</w:t>
            </w:r>
          </w:p>
        </w:tc>
        <w:tc>
          <w:tcPr>
            <w:tcW w:w="320" w:type="dxa"/>
            <w:vAlign w:val="bottom"/>
            <w:tcBorders>
              <w:bottom w:val="single" w:sz="8" w:color="auto"/>
            </w:tcBorders>
          </w:tcPr>
          <w:p>
            <w:pPr>
              <w:spacing w:after="0"/>
              <w:rPr>
                <w:sz w:val="17"/>
                <w:szCs w:val="17"/>
                <w:color w:val="auto"/>
              </w:rPr>
            </w:pPr>
          </w:p>
        </w:tc>
        <w:tc>
          <w:tcPr>
            <w:tcW w:w="10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(1.0)</w:t>
            </w:r>
          </w:p>
        </w:tc>
        <w:tc>
          <w:tcPr>
            <w:tcW w:w="340" w:type="dxa"/>
            <w:vAlign w:val="bottom"/>
            <w:tcBorders>
              <w:bottom w:val="single" w:sz="8" w:color="auto"/>
            </w:tcBorders>
          </w:tcPr>
          <w:p>
            <w:pPr>
              <w:spacing w:after="0"/>
              <w:rPr>
                <w:sz w:val="17"/>
                <w:szCs w:val="17"/>
                <w:color w:val="auto"/>
              </w:rPr>
            </w:pPr>
          </w:p>
        </w:tc>
        <w:tc>
          <w:tcPr>
            <w:tcW w:w="104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rPr>
              <w:t>2.1</w:t>
            </w: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6260" w:type="dxa"/>
            <w:vAlign w:val="bottom"/>
            <w:shd w:val="clear" w:color="auto" w:fill="CCEEFF"/>
          </w:tcPr>
          <w:p>
            <w:pPr>
              <w:ind w:left="320"/>
              <w:spacing w:after="0"/>
              <w:rPr>
                <w:sz w:val="20"/>
                <w:szCs w:val="20"/>
                <w:color w:val="auto"/>
              </w:rPr>
            </w:pPr>
            <w:r>
              <w:rPr>
                <w:rFonts w:ascii="Arial" w:cs="Arial" w:eastAsia="Arial" w:hAnsi="Arial"/>
                <w:sz w:val="16"/>
                <w:szCs w:val="16"/>
                <w:b w:val="1"/>
                <w:bCs w:val="1"/>
                <w:color w:val="auto"/>
              </w:rPr>
              <w:t>Net Cash Provided by Operating Activities</w:t>
            </w:r>
          </w:p>
        </w:tc>
        <w:tc>
          <w:tcPr>
            <w:tcW w:w="1800" w:type="dxa"/>
            <w:vAlign w:val="bottom"/>
            <w:shd w:val="clear" w:color="auto" w:fill="CCEEFF"/>
          </w:tcPr>
          <w:p>
            <w:pPr>
              <w:spacing w:after="0"/>
              <w:rPr>
                <w:sz w:val="17"/>
                <w:szCs w:val="17"/>
                <w:color w:val="auto"/>
              </w:rPr>
            </w:pPr>
          </w:p>
        </w:tc>
        <w:tc>
          <w:tcPr>
            <w:tcW w:w="560" w:type="dxa"/>
            <w:vAlign w:val="bottom"/>
            <w:shd w:val="clear" w:color="auto" w:fill="CCEEFF"/>
          </w:tcPr>
          <w:p>
            <w:pPr>
              <w:jc w:val="right"/>
              <w:ind w:right="39"/>
              <w:spacing w:after="0"/>
              <w:rPr>
                <w:sz w:val="20"/>
                <w:szCs w:val="20"/>
                <w:color w:val="auto"/>
              </w:rPr>
            </w:pPr>
            <w:r>
              <w:rPr>
                <w:rFonts w:ascii="Arial" w:cs="Arial" w:eastAsia="Arial" w:hAnsi="Arial"/>
                <w:sz w:val="16"/>
                <w:szCs w:val="16"/>
                <w:b w:val="1"/>
                <w:bCs w:val="1"/>
                <w:color w:val="auto"/>
              </w:rPr>
              <w:t>175.1</w:t>
            </w:r>
          </w:p>
        </w:tc>
        <w:tc>
          <w:tcPr>
            <w:tcW w:w="320" w:type="dxa"/>
            <w:vAlign w:val="bottom"/>
            <w:shd w:val="clear" w:color="auto" w:fill="CCEEFF"/>
          </w:tcPr>
          <w:p>
            <w:pPr>
              <w:spacing w:after="0"/>
              <w:rPr>
                <w:sz w:val="17"/>
                <w:szCs w:val="17"/>
                <w:color w:val="auto"/>
              </w:rPr>
            </w:pPr>
          </w:p>
        </w:tc>
        <w:tc>
          <w:tcPr>
            <w:tcW w:w="1080" w:type="dxa"/>
            <w:vAlign w:val="bottom"/>
            <w:shd w:val="clear" w:color="auto" w:fill="CCEEFF"/>
          </w:tcPr>
          <w:p>
            <w:pPr>
              <w:jc w:val="right"/>
              <w:ind w:right="39"/>
              <w:spacing w:after="0"/>
              <w:rPr>
                <w:sz w:val="20"/>
                <w:szCs w:val="20"/>
                <w:color w:val="auto"/>
              </w:rPr>
            </w:pPr>
            <w:r>
              <w:rPr>
                <w:rFonts w:ascii="Arial" w:cs="Arial" w:eastAsia="Arial" w:hAnsi="Arial"/>
                <w:sz w:val="16"/>
                <w:szCs w:val="16"/>
                <w:color w:val="auto"/>
              </w:rPr>
              <w:t>296.6</w:t>
            </w:r>
          </w:p>
        </w:tc>
        <w:tc>
          <w:tcPr>
            <w:tcW w:w="340" w:type="dxa"/>
            <w:vAlign w:val="bottom"/>
            <w:shd w:val="clear" w:color="auto" w:fill="CCEEFF"/>
          </w:tcPr>
          <w:p>
            <w:pPr>
              <w:spacing w:after="0"/>
              <w:rPr>
                <w:sz w:val="17"/>
                <w:szCs w:val="17"/>
                <w:color w:val="auto"/>
              </w:rPr>
            </w:pPr>
          </w:p>
        </w:tc>
        <w:tc>
          <w:tcPr>
            <w:tcW w:w="1040" w:type="dxa"/>
            <w:vAlign w:val="bottom"/>
            <w:shd w:val="clear" w:color="auto" w:fill="CCEEFF"/>
          </w:tcPr>
          <w:p>
            <w:pPr>
              <w:jc w:val="right"/>
              <w:ind w:right="19"/>
              <w:spacing w:after="0"/>
              <w:rPr>
                <w:sz w:val="20"/>
                <w:szCs w:val="20"/>
                <w:color w:val="auto"/>
              </w:rPr>
            </w:pPr>
            <w:r>
              <w:rPr>
                <w:rFonts w:ascii="Arial" w:cs="Arial" w:eastAsia="Arial" w:hAnsi="Arial"/>
                <w:sz w:val="16"/>
                <w:szCs w:val="16"/>
                <w:color w:val="auto"/>
              </w:rPr>
              <w:t>135.6</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6260" w:type="dxa"/>
            <w:vAlign w:val="bottom"/>
          </w:tcPr>
          <w:p>
            <w:pPr>
              <w:spacing w:after="0"/>
              <w:rPr>
                <w:sz w:val="18"/>
                <w:szCs w:val="18"/>
                <w:color w:val="auto"/>
              </w:rPr>
            </w:pPr>
          </w:p>
        </w:tc>
        <w:tc>
          <w:tcPr>
            <w:tcW w:w="18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3"/>
        </w:trPr>
        <w:tc>
          <w:tcPr>
            <w:tcW w:w="20" w:type="dxa"/>
            <w:vAlign w:val="bottom"/>
            <w:vMerge w:val="continue"/>
          </w:tcPr>
          <w:p>
            <w:pPr>
              <w:spacing w:after="0"/>
              <w:rPr>
                <w:sz w:val="17"/>
                <w:szCs w:val="17"/>
                <w:color w:val="auto"/>
              </w:rPr>
            </w:pPr>
          </w:p>
        </w:tc>
        <w:tc>
          <w:tcPr>
            <w:tcW w:w="6260" w:type="dxa"/>
            <w:vAlign w:val="bottom"/>
            <w:shd w:val="clear" w:color="auto" w:fill="CCEEFF"/>
          </w:tcPr>
          <w:p>
            <w:pPr>
              <w:spacing w:after="0"/>
              <w:rPr>
                <w:sz w:val="20"/>
                <w:szCs w:val="20"/>
                <w:color w:val="auto"/>
              </w:rPr>
            </w:pPr>
            <w:r>
              <w:rPr>
                <w:rFonts w:ascii="Arial" w:cs="Arial" w:eastAsia="Arial" w:hAnsi="Arial"/>
                <w:sz w:val="16"/>
                <w:szCs w:val="16"/>
                <w:b w:val="1"/>
                <w:bCs w:val="1"/>
                <w:color w:val="auto"/>
              </w:rPr>
              <w:t>Investing Activities</w:t>
            </w:r>
          </w:p>
        </w:tc>
        <w:tc>
          <w:tcPr>
            <w:tcW w:w="180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08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10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260" w:type="dxa"/>
            <w:vAlign w:val="bottom"/>
          </w:tcPr>
          <w:p>
            <w:pPr>
              <w:spacing w:after="0"/>
              <w:rPr>
                <w:sz w:val="20"/>
                <w:szCs w:val="20"/>
                <w:color w:val="auto"/>
              </w:rPr>
            </w:pPr>
            <w:r>
              <w:rPr>
                <w:rFonts w:ascii="Arial" w:cs="Arial" w:eastAsia="Arial" w:hAnsi="Arial"/>
                <w:sz w:val="16"/>
                <w:szCs w:val="16"/>
                <w:color w:val="auto"/>
              </w:rPr>
              <w:t>Capital expenditures</w:t>
            </w:r>
          </w:p>
        </w:tc>
        <w:tc>
          <w:tcPr>
            <w:tcW w:w="1800" w:type="dxa"/>
            <w:vAlign w:val="bottom"/>
          </w:tcPr>
          <w:p>
            <w:pPr>
              <w:spacing w:after="0"/>
              <w:rPr>
                <w:sz w:val="17"/>
                <w:szCs w:val="17"/>
                <w:color w:val="auto"/>
              </w:rPr>
            </w:pPr>
          </w:p>
        </w:tc>
        <w:tc>
          <w:tcPr>
            <w:tcW w:w="560" w:type="dxa"/>
            <w:vAlign w:val="bottom"/>
          </w:tcPr>
          <w:p>
            <w:pPr>
              <w:jc w:val="right"/>
              <w:spacing w:after="0"/>
              <w:rPr>
                <w:sz w:val="20"/>
                <w:szCs w:val="20"/>
                <w:color w:val="auto"/>
              </w:rPr>
            </w:pPr>
            <w:r>
              <w:rPr>
                <w:rFonts w:ascii="Arial" w:cs="Arial" w:eastAsia="Arial" w:hAnsi="Arial"/>
                <w:sz w:val="16"/>
                <w:szCs w:val="16"/>
                <w:b w:val="1"/>
                <w:bCs w:val="1"/>
                <w:color w:val="auto"/>
                <w:w w:val="94"/>
              </w:rPr>
              <w:t>(182.8)</w:t>
            </w:r>
          </w:p>
        </w:tc>
        <w:tc>
          <w:tcPr>
            <w:tcW w:w="320" w:type="dxa"/>
            <w:vAlign w:val="bottom"/>
          </w:tcPr>
          <w:p>
            <w:pPr>
              <w:spacing w:after="0"/>
              <w:rPr>
                <w:sz w:val="17"/>
                <w:szCs w:val="17"/>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(167.2)</w:t>
            </w:r>
          </w:p>
        </w:tc>
        <w:tc>
          <w:tcPr>
            <w:tcW w:w="340" w:type="dxa"/>
            <w:vAlign w:val="bottom"/>
          </w:tcPr>
          <w:p>
            <w:pPr>
              <w:spacing w:after="0"/>
              <w:rPr>
                <w:sz w:val="17"/>
                <w:szCs w:val="17"/>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(91.3)</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260" w:type="dxa"/>
            <w:vAlign w:val="bottom"/>
            <w:shd w:val="clear" w:color="auto" w:fill="CCEEFF"/>
          </w:tcPr>
          <w:p>
            <w:pPr>
              <w:spacing w:after="0"/>
              <w:rPr>
                <w:sz w:val="20"/>
                <w:szCs w:val="20"/>
                <w:color w:val="auto"/>
              </w:rPr>
            </w:pPr>
            <w:r>
              <w:rPr>
                <w:rFonts w:ascii="Arial" w:cs="Arial" w:eastAsia="Arial" w:hAnsi="Arial"/>
                <w:sz w:val="16"/>
                <w:szCs w:val="16"/>
                <w:color w:val="auto"/>
              </w:rPr>
              <w:t>Acquisitions</w:t>
            </w:r>
          </w:p>
        </w:tc>
        <w:tc>
          <w:tcPr>
            <w:tcW w:w="1800" w:type="dxa"/>
            <w:vAlign w:val="bottom"/>
            <w:shd w:val="clear" w:color="auto" w:fill="CCEEFF"/>
          </w:tcPr>
          <w:p>
            <w:pPr>
              <w:spacing w:after="0"/>
              <w:rPr>
                <w:sz w:val="17"/>
                <w:szCs w:val="17"/>
                <w:color w:val="auto"/>
              </w:rPr>
            </w:pPr>
          </w:p>
        </w:tc>
        <w:tc>
          <w:tcPr>
            <w:tcW w:w="560" w:type="dxa"/>
            <w:vAlign w:val="bottom"/>
            <w:shd w:val="clear" w:color="auto" w:fill="CCEEFF"/>
          </w:tcPr>
          <w:p>
            <w:pPr>
              <w:jc w:val="right"/>
              <w:ind w:right="39"/>
              <w:spacing w:after="0"/>
              <w:rPr>
                <w:sz w:val="20"/>
                <w:szCs w:val="20"/>
                <w:color w:val="auto"/>
              </w:rPr>
            </w:pPr>
            <w:r>
              <w:rPr>
                <w:rFonts w:ascii="Arial" w:cs="Arial" w:eastAsia="Arial" w:hAnsi="Arial"/>
                <w:sz w:val="16"/>
                <w:szCs w:val="16"/>
                <w:b w:val="1"/>
                <w:bCs w:val="1"/>
                <w:color w:val="auto"/>
              </w:rPr>
              <w:t>—</w:t>
            </w:r>
          </w:p>
        </w:tc>
        <w:tc>
          <w:tcPr>
            <w:tcW w:w="320" w:type="dxa"/>
            <w:vAlign w:val="bottom"/>
            <w:shd w:val="clear" w:color="auto" w:fill="CCEEFF"/>
          </w:tcPr>
          <w:p>
            <w:pPr>
              <w:spacing w:after="0"/>
              <w:rPr>
                <w:sz w:val="17"/>
                <w:szCs w:val="17"/>
                <w:color w:val="auto"/>
              </w:rPr>
            </w:pPr>
          </w:p>
        </w:tc>
        <w:tc>
          <w:tcPr>
            <w:tcW w:w="1080" w:type="dxa"/>
            <w:vAlign w:val="bottom"/>
            <w:shd w:val="clear" w:color="auto" w:fill="CCEEFF"/>
          </w:tcPr>
          <w:p>
            <w:pPr>
              <w:jc w:val="right"/>
              <w:ind w:right="39"/>
              <w:spacing w:after="0"/>
              <w:rPr>
                <w:sz w:val="20"/>
                <w:szCs w:val="20"/>
                <w:color w:val="auto"/>
              </w:rPr>
            </w:pPr>
            <w:r>
              <w:rPr>
                <w:rFonts w:ascii="Arial" w:cs="Arial" w:eastAsia="Arial" w:hAnsi="Arial"/>
                <w:sz w:val="16"/>
                <w:szCs w:val="16"/>
                <w:color w:val="auto"/>
              </w:rPr>
              <w:t>—</w:t>
            </w:r>
          </w:p>
        </w:tc>
        <w:tc>
          <w:tcPr>
            <w:tcW w:w="340" w:type="dxa"/>
            <w:vAlign w:val="bottom"/>
            <w:shd w:val="clear" w:color="auto" w:fill="CCEEFF"/>
          </w:tcPr>
          <w:p>
            <w:pPr>
              <w:spacing w:after="0"/>
              <w:rPr>
                <w:sz w:val="17"/>
                <w:szCs w:val="17"/>
                <w:color w:val="auto"/>
              </w:rPr>
            </w:pPr>
          </w:p>
        </w:tc>
        <w:tc>
          <w:tcPr>
            <w:tcW w:w="1040" w:type="dxa"/>
            <w:vAlign w:val="bottom"/>
            <w:shd w:val="clear" w:color="auto" w:fill="CCEEFF"/>
          </w:tcPr>
          <w:p>
            <w:pPr>
              <w:jc w:val="right"/>
              <w:ind w:right="19"/>
              <w:spacing w:after="0"/>
              <w:rPr>
                <w:sz w:val="20"/>
                <w:szCs w:val="20"/>
                <w:color w:val="auto"/>
              </w:rPr>
            </w:pPr>
            <w:r>
              <w:rPr>
                <w:rFonts w:ascii="Arial" w:cs="Arial" w:eastAsia="Arial" w:hAnsi="Arial"/>
                <w:sz w:val="16"/>
                <w:szCs w:val="16"/>
                <w:color w:val="auto"/>
              </w:rPr>
              <w:t>0.2</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260" w:type="dxa"/>
            <w:vAlign w:val="bottom"/>
          </w:tcPr>
          <w:p>
            <w:pPr>
              <w:spacing w:after="0"/>
              <w:rPr>
                <w:sz w:val="20"/>
                <w:szCs w:val="20"/>
                <w:color w:val="auto"/>
              </w:rPr>
            </w:pPr>
            <w:r>
              <w:rPr>
                <w:rFonts w:ascii="Arial" w:cs="Arial" w:eastAsia="Arial" w:hAnsi="Arial"/>
                <w:sz w:val="16"/>
                <w:szCs w:val="16"/>
                <w:color w:val="auto"/>
              </w:rPr>
              <w:t>Proceeds from disposals of property, plant and equipment</w:t>
            </w:r>
          </w:p>
        </w:tc>
        <w:tc>
          <w:tcPr>
            <w:tcW w:w="1800" w:type="dxa"/>
            <w:vAlign w:val="bottom"/>
          </w:tcPr>
          <w:p>
            <w:pPr>
              <w:spacing w:after="0"/>
              <w:rPr>
                <w:sz w:val="17"/>
                <w:szCs w:val="17"/>
                <w:color w:val="auto"/>
              </w:rPr>
            </w:pPr>
          </w:p>
        </w:tc>
        <w:tc>
          <w:tcPr>
            <w:tcW w:w="560" w:type="dxa"/>
            <w:vAlign w:val="bottom"/>
          </w:tcPr>
          <w:p>
            <w:pPr>
              <w:jc w:val="right"/>
              <w:ind w:right="39"/>
              <w:spacing w:after="0"/>
              <w:rPr>
                <w:sz w:val="20"/>
                <w:szCs w:val="20"/>
                <w:color w:val="auto"/>
              </w:rPr>
            </w:pPr>
            <w:r>
              <w:rPr>
                <w:rFonts w:ascii="Arial" w:cs="Arial" w:eastAsia="Arial" w:hAnsi="Arial"/>
                <w:sz w:val="16"/>
                <w:szCs w:val="16"/>
                <w:b w:val="1"/>
                <w:bCs w:val="1"/>
                <w:color w:val="auto"/>
              </w:rPr>
              <w:t>0.2</w:t>
            </w:r>
          </w:p>
        </w:tc>
        <w:tc>
          <w:tcPr>
            <w:tcW w:w="320" w:type="dxa"/>
            <w:vAlign w:val="bottom"/>
          </w:tcPr>
          <w:p>
            <w:pPr>
              <w:spacing w:after="0"/>
              <w:rPr>
                <w:sz w:val="17"/>
                <w:szCs w:val="17"/>
                <w:color w:val="auto"/>
              </w:rPr>
            </w:pPr>
          </w:p>
        </w:tc>
        <w:tc>
          <w:tcPr>
            <w:tcW w:w="1080" w:type="dxa"/>
            <w:vAlign w:val="bottom"/>
          </w:tcPr>
          <w:p>
            <w:pPr>
              <w:jc w:val="right"/>
              <w:ind w:right="39"/>
              <w:spacing w:after="0"/>
              <w:rPr>
                <w:sz w:val="20"/>
                <w:szCs w:val="20"/>
                <w:color w:val="auto"/>
              </w:rPr>
            </w:pPr>
            <w:r>
              <w:rPr>
                <w:rFonts w:ascii="Arial" w:cs="Arial" w:eastAsia="Arial" w:hAnsi="Arial"/>
                <w:sz w:val="16"/>
                <w:szCs w:val="16"/>
                <w:color w:val="auto"/>
              </w:rPr>
              <w:t>0.3</w:t>
            </w:r>
          </w:p>
        </w:tc>
        <w:tc>
          <w:tcPr>
            <w:tcW w:w="340" w:type="dxa"/>
            <w:vAlign w:val="bottom"/>
          </w:tcPr>
          <w:p>
            <w:pPr>
              <w:spacing w:after="0"/>
              <w:rPr>
                <w:sz w:val="17"/>
                <w:szCs w:val="17"/>
                <w:color w:val="auto"/>
              </w:rPr>
            </w:pPr>
          </w:p>
        </w:tc>
        <w:tc>
          <w:tcPr>
            <w:tcW w:w="1040" w:type="dxa"/>
            <w:vAlign w:val="bottom"/>
          </w:tcPr>
          <w:p>
            <w:pPr>
              <w:jc w:val="right"/>
              <w:ind w:right="19"/>
              <w:spacing w:after="0"/>
              <w:rPr>
                <w:sz w:val="20"/>
                <w:szCs w:val="20"/>
                <w:color w:val="auto"/>
              </w:rPr>
            </w:pPr>
            <w:r>
              <w:rPr>
                <w:rFonts w:ascii="Arial" w:cs="Arial" w:eastAsia="Arial" w:hAnsi="Arial"/>
                <w:sz w:val="16"/>
                <w:szCs w:val="16"/>
                <w:color w:val="auto"/>
              </w:rPr>
              <w:t>0.1</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26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6"/>
                <w:szCs w:val="16"/>
                <w:color w:val="auto"/>
              </w:rPr>
              <w:t>Other</w:t>
            </w:r>
          </w:p>
        </w:tc>
        <w:tc>
          <w:tcPr>
            <w:tcW w:w="1800" w:type="dxa"/>
            <w:vAlign w:val="bottom"/>
            <w:tcBorders>
              <w:bottom w:val="single" w:sz="8" w:color="auto"/>
            </w:tcBorders>
            <w:shd w:val="clear" w:color="auto" w:fill="CCEEFF"/>
          </w:tcPr>
          <w:p>
            <w:pPr>
              <w:spacing w:after="0"/>
              <w:rPr>
                <w:sz w:val="17"/>
                <w:szCs w:val="17"/>
                <w:color w:val="auto"/>
              </w:rPr>
            </w:pPr>
          </w:p>
        </w:tc>
        <w:tc>
          <w:tcPr>
            <w:tcW w:w="5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(1.0)</w:t>
            </w:r>
          </w:p>
        </w:tc>
        <w:tc>
          <w:tcPr>
            <w:tcW w:w="320" w:type="dxa"/>
            <w:vAlign w:val="bottom"/>
            <w:tcBorders>
              <w:bottom w:val="single" w:sz="8" w:color="auto"/>
            </w:tcBorders>
            <w:shd w:val="clear" w:color="auto" w:fill="CCEEFF"/>
          </w:tcPr>
          <w:p>
            <w:pPr>
              <w:spacing w:after="0"/>
              <w:rPr>
                <w:sz w:val="17"/>
                <w:szCs w:val="17"/>
                <w:color w:val="auto"/>
              </w:rPr>
            </w:pPr>
          </w:p>
        </w:tc>
        <w:tc>
          <w:tcPr>
            <w:tcW w:w="10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(0.1)</w:t>
            </w:r>
          </w:p>
        </w:tc>
        <w:tc>
          <w:tcPr>
            <w:tcW w:w="340" w:type="dxa"/>
            <w:vAlign w:val="bottom"/>
            <w:tcBorders>
              <w:bottom w:val="single" w:sz="8" w:color="auto"/>
            </w:tcBorders>
            <w:shd w:val="clear" w:color="auto" w:fill="CCEEFF"/>
          </w:tcPr>
          <w:p>
            <w:pPr>
              <w:spacing w:after="0"/>
              <w:rPr>
                <w:sz w:val="17"/>
                <w:szCs w:val="17"/>
                <w:color w:val="auto"/>
              </w:rPr>
            </w:pPr>
          </w:p>
        </w:tc>
        <w:tc>
          <w:tcPr>
            <w:tcW w:w="104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0.6</w:t>
            </w: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6260" w:type="dxa"/>
            <w:vAlign w:val="bottom"/>
          </w:tcPr>
          <w:p>
            <w:pPr>
              <w:ind w:left="320"/>
              <w:spacing w:after="0"/>
              <w:rPr>
                <w:sz w:val="20"/>
                <w:szCs w:val="20"/>
                <w:color w:val="auto"/>
              </w:rPr>
            </w:pPr>
            <w:r>
              <w:rPr>
                <w:rFonts w:ascii="Arial" w:cs="Arial" w:eastAsia="Arial" w:hAnsi="Arial"/>
                <w:sz w:val="16"/>
                <w:szCs w:val="16"/>
                <w:b w:val="1"/>
                <w:bCs w:val="1"/>
                <w:color w:val="auto"/>
              </w:rPr>
              <w:t>Net Cash Used by Investing Activities</w:t>
            </w:r>
          </w:p>
        </w:tc>
        <w:tc>
          <w:tcPr>
            <w:tcW w:w="1800" w:type="dxa"/>
            <w:vAlign w:val="bottom"/>
          </w:tcPr>
          <w:p>
            <w:pPr>
              <w:spacing w:after="0"/>
              <w:rPr>
                <w:sz w:val="17"/>
                <w:szCs w:val="17"/>
                <w:color w:val="auto"/>
              </w:rPr>
            </w:pPr>
          </w:p>
        </w:tc>
        <w:tc>
          <w:tcPr>
            <w:tcW w:w="560" w:type="dxa"/>
            <w:vAlign w:val="bottom"/>
          </w:tcPr>
          <w:p>
            <w:pPr>
              <w:jc w:val="right"/>
              <w:spacing w:after="0"/>
              <w:rPr>
                <w:sz w:val="20"/>
                <w:szCs w:val="20"/>
                <w:color w:val="auto"/>
              </w:rPr>
            </w:pPr>
            <w:r>
              <w:rPr>
                <w:rFonts w:ascii="Arial" w:cs="Arial" w:eastAsia="Arial" w:hAnsi="Arial"/>
                <w:sz w:val="16"/>
                <w:szCs w:val="16"/>
                <w:b w:val="1"/>
                <w:bCs w:val="1"/>
                <w:color w:val="auto"/>
                <w:w w:val="94"/>
              </w:rPr>
              <w:t>(183.6)</w:t>
            </w:r>
          </w:p>
        </w:tc>
        <w:tc>
          <w:tcPr>
            <w:tcW w:w="320" w:type="dxa"/>
            <w:vAlign w:val="bottom"/>
          </w:tcPr>
          <w:p>
            <w:pPr>
              <w:spacing w:after="0"/>
              <w:rPr>
                <w:sz w:val="17"/>
                <w:szCs w:val="17"/>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(167.0)</w:t>
            </w:r>
          </w:p>
        </w:tc>
        <w:tc>
          <w:tcPr>
            <w:tcW w:w="340" w:type="dxa"/>
            <w:vAlign w:val="bottom"/>
          </w:tcPr>
          <w:p>
            <w:pPr>
              <w:spacing w:after="0"/>
              <w:rPr>
                <w:sz w:val="17"/>
                <w:szCs w:val="17"/>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(90.4)</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6260" w:type="dxa"/>
            <w:vAlign w:val="bottom"/>
            <w:shd w:val="clear" w:color="auto" w:fill="CCEEFF"/>
          </w:tcPr>
          <w:p>
            <w:pPr>
              <w:spacing w:after="0"/>
              <w:rPr>
                <w:sz w:val="18"/>
                <w:szCs w:val="18"/>
                <w:color w:val="auto"/>
              </w:rPr>
            </w:pPr>
          </w:p>
        </w:tc>
        <w:tc>
          <w:tcPr>
            <w:tcW w:w="180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3"/>
        </w:trPr>
        <w:tc>
          <w:tcPr>
            <w:tcW w:w="20" w:type="dxa"/>
            <w:vAlign w:val="bottom"/>
            <w:vMerge w:val="continue"/>
          </w:tcPr>
          <w:p>
            <w:pPr>
              <w:spacing w:after="0"/>
              <w:rPr>
                <w:sz w:val="17"/>
                <w:szCs w:val="17"/>
                <w:color w:val="auto"/>
              </w:rPr>
            </w:pPr>
          </w:p>
        </w:tc>
        <w:tc>
          <w:tcPr>
            <w:tcW w:w="6260" w:type="dxa"/>
            <w:vAlign w:val="bottom"/>
          </w:tcPr>
          <w:p>
            <w:pPr>
              <w:spacing w:after="0"/>
              <w:rPr>
                <w:sz w:val="20"/>
                <w:szCs w:val="20"/>
                <w:color w:val="auto"/>
              </w:rPr>
            </w:pPr>
            <w:r>
              <w:rPr>
                <w:rFonts w:ascii="Arial" w:cs="Arial" w:eastAsia="Arial" w:hAnsi="Arial"/>
                <w:sz w:val="16"/>
                <w:szCs w:val="16"/>
                <w:b w:val="1"/>
                <w:bCs w:val="1"/>
                <w:color w:val="auto"/>
              </w:rPr>
              <w:t>Financing Activities</w:t>
            </w:r>
          </w:p>
        </w:tc>
        <w:tc>
          <w:tcPr>
            <w:tcW w:w="180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260" w:type="dxa"/>
            <w:vAlign w:val="bottom"/>
            <w:shd w:val="clear" w:color="auto" w:fill="CCEEFF"/>
          </w:tcPr>
          <w:p>
            <w:pPr>
              <w:spacing w:after="0"/>
              <w:rPr>
                <w:sz w:val="20"/>
                <w:szCs w:val="20"/>
                <w:color w:val="auto"/>
              </w:rPr>
            </w:pPr>
            <w:r>
              <w:rPr>
                <w:rFonts w:ascii="Arial" w:cs="Arial" w:eastAsia="Arial" w:hAnsi="Arial"/>
                <w:sz w:val="16"/>
                <w:szCs w:val="16"/>
                <w:color w:val="auto"/>
              </w:rPr>
              <w:t>Net transfers from (to) Parent and affiliates</w:t>
            </w:r>
          </w:p>
        </w:tc>
        <w:tc>
          <w:tcPr>
            <w:tcW w:w="1800" w:type="dxa"/>
            <w:vAlign w:val="bottom"/>
            <w:shd w:val="clear" w:color="auto" w:fill="CCEEFF"/>
          </w:tcPr>
          <w:p>
            <w:pPr>
              <w:spacing w:after="0"/>
              <w:rPr>
                <w:sz w:val="17"/>
                <w:szCs w:val="17"/>
                <w:color w:val="auto"/>
              </w:rPr>
            </w:pPr>
          </w:p>
        </w:tc>
        <w:tc>
          <w:tcPr>
            <w:tcW w:w="560" w:type="dxa"/>
            <w:vAlign w:val="bottom"/>
            <w:shd w:val="clear" w:color="auto" w:fill="CCEEFF"/>
          </w:tcPr>
          <w:p>
            <w:pPr>
              <w:jc w:val="right"/>
              <w:ind w:right="39"/>
              <w:spacing w:after="0"/>
              <w:rPr>
                <w:sz w:val="20"/>
                <w:szCs w:val="20"/>
                <w:color w:val="auto"/>
              </w:rPr>
            </w:pPr>
            <w:r>
              <w:rPr>
                <w:rFonts w:ascii="Arial" w:cs="Arial" w:eastAsia="Arial" w:hAnsi="Arial"/>
                <w:sz w:val="16"/>
                <w:szCs w:val="16"/>
                <w:b w:val="1"/>
                <w:bCs w:val="1"/>
                <w:color w:val="auto"/>
              </w:rPr>
              <w:t>8.5</w:t>
            </w:r>
          </w:p>
        </w:tc>
        <w:tc>
          <w:tcPr>
            <w:tcW w:w="320" w:type="dxa"/>
            <w:vAlign w:val="bottom"/>
            <w:shd w:val="clear" w:color="auto" w:fill="CCEEFF"/>
          </w:tcPr>
          <w:p>
            <w:pPr>
              <w:spacing w:after="0"/>
              <w:rPr>
                <w:sz w:val="17"/>
                <w:szCs w:val="17"/>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(121.1)</w:t>
            </w:r>
          </w:p>
        </w:tc>
        <w:tc>
          <w:tcPr>
            <w:tcW w:w="340" w:type="dxa"/>
            <w:vAlign w:val="bottom"/>
            <w:shd w:val="clear" w:color="auto" w:fill="CCEEFF"/>
          </w:tcPr>
          <w:p>
            <w:pPr>
              <w:spacing w:after="0"/>
              <w:rPr>
                <w:sz w:val="17"/>
                <w:szCs w:val="17"/>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(45.2)</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260" w:type="dxa"/>
            <w:vAlign w:val="bottom"/>
            <w:tcBorders>
              <w:bottom w:val="single" w:sz="8" w:color="auto"/>
            </w:tcBorders>
          </w:tcPr>
          <w:p>
            <w:pPr>
              <w:spacing w:after="0"/>
              <w:rPr>
                <w:sz w:val="20"/>
                <w:szCs w:val="20"/>
                <w:color w:val="auto"/>
              </w:rPr>
            </w:pPr>
            <w:r>
              <w:rPr>
                <w:rFonts w:ascii="Arial" w:cs="Arial" w:eastAsia="Arial" w:hAnsi="Arial"/>
                <w:sz w:val="16"/>
                <w:szCs w:val="16"/>
                <w:color w:val="auto"/>
              </w:rPr>
              <w:t>Payment on long-term debt</w:t>
            </w:r>
          </w:p>
        </w:tc>
        <w:tc>
          <w:tcPr>
            <w:tcW w:w="1800" w:type="dxa"/>
            <w:vAlign w:val="bottom"/>
            <w:tcBorders>
              <w:bottom w:val="single" w:sz="8" w:color="auto"/>
            </w:tcBorders>
          </w:tcPr>
          <w:p>
            <w:pPr>
              <w:spacing w:after="0"/>
              <w:rPr>
                <w:sz w:val="17"/>
                <w:szCs w:val="17"/>
                <w:color w:val="auto"/>
              </w:rPr>
            </w:pPr>
          </w:p>
        </w:tc>
        <w:tc>
          <w:tcPr>
            <w:tcW w:w="56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b w:val="1"/>
                <w:bCs w:val="1"/>
                <w:color w:val="auto"/>
              </w:rPr>
              <w:t>—</w:t>
            </w:r>
          </w:p>
        </w:tc>
        <w:tc>
          <w:tcPr>
            <w:tcW w:w="320" w:type="dxa"/>
            <w:vAlign w:val="bottom"/>
            <w:tcBorders>
              <w:bottom w:val="single" w:sz="8" w:color="auto"/>
            </w:tcBorders>
          </w:tcPr>
          <w:p>
            <w:pPr>
              <w:spacing w:after="0"/>
              <w:rPr>
                <w:sz w:val="17"/>
                <w:szCs w:val="17"/>
                <w:color w:val="auto"/>
              </w:rPr>
            </w:pPr>
          </w:p>
        </w:tc>
        <w:tc>
          <w:tcPr>
            <w:tcW w:w="10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(8.5)</w:t>
            </w:r>
          </w:p>
        </w:tc>
        <w:tc>
          <w:tcPr>
            <w:tcW w:w="340" w:type="dxa"/>
            <w:vAlign w:val="bottom"/>
            <w:tcBorders>
              <w:bottom w:val="single" w:sz="8" w:color="auto"/>
            </w:tcBorders>
          </w:tcPr>
          <w:p>
            <w:pPr>
              <w:spacing w:after="0"/>
              <w:rPr>
                <w:sz w:val="17"/>
                <w:szCs w:val="17"/>
                <w:color w:val="auto"/>
              </w:rPr>
            </w:pPr>
          </w:p>
        </w:tc>
        <w:tc>
          <w:tcPr>
            <w:tcW w:w="104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6260" w:type="dxa"/>
            <w:vAlign w:val="bottom"/>
            <w:tcBorders>
              <w:bottom w:val="single" w:sz="8" w:color="auto"/>
            </w:tcBorders>
            <w:shd w:val="clear" w:color="auto" w:fill="CCEEFF"/>
          </w:tcPr>
          <w:p>
            <w:pPr>
              <w:ind w:left="320"/>
              <w:spacing w:after="0"/>
              <w:rPr>
                <w:sz w:val="20"/>
                <w:szCs w:val="20"/>
                <w:color w:val="auto"/>
              </w:rPr>
            </w:pPr>
            <w:r>
              <w:rPr>
                <w:rFonts w:ascii="Arial" w:cs="Arial" w:eastAsia="Arial" w:hAnsi="Arial"/>
                <w:sz w:val="16"/>
                <w:szCs w:val="16"/>
                <w:b w:val="1"/>
                <w:bCs w:val="1"/>
                <w:color w:val="auto"/>
              </w:rPr>
              <w:t>Net Cash Provided (Used) by Financing Activities</w:t>
            </w:r>
          </w:p>
        </w:tc>
        <w:tc>
          <w:tcPr>
            <w:tcW w:w="1800" w:type="dxa"/>
            <w:vAlign w:val="bottom"/>
            <w:tcBorders>
              <w:bottom w:val="single" w:sz="8" w:color="auto"/>
            </w:tcBorders>
            <w:shd w:val="clear" w:color="auto" w:fill="CCEEFF"/>
          </w:tcPr>
          <w:p>
            <w:pPr>
              <w:spacing w:after="0"/>
              <w:rPr>
                <w:sz w:val="17"/>
                <w:szCs w:val="17"/>
                <w:color w:val="auto"/>
              </w:rPr>
            </w:pPr>
          </w:p>
        </w:tc>
        <w:tc>
          <w:tcPr>
            <w:tcW w:w="560" w:type="dxa"/>
            <w:vAlign w:val="bottom"/>
            <w:tcBorders>
              <w:bottom w:val="single" w:sz="8" w:color="auto"/>
            </w:tcBorders>
            <w:shd w:val="clear" w:color="auto" w:fill="CCEEFF"/>
          </w:tcPr>
          <w:p>
            <w:pPr>
              <w:jc w:val="right"/>
              <w:ind w:right="39"/>
              <w:spacing w:after="0"/>
              <w:rPr>
                <w:sz w:val="20"/>
                <w:szCs w:val="20"/>
                <w:color w:val="auto"/>
              </w:rPr>
            </w:pPr>
            <w:r>
              <w:rPr>
                <w:rFonts w:ascii="Arial" w:cs="Arial" w:eastAsia="Arial" w:hAnsi="Arial"/>
                <w:sz w:val="16"/>
                <w:szCs w:val="16"/>
                <w:b w:val="1"/>
                <w:bCs w:val="1"/>
                <w:color w:val="auto"/>
              </w:rPr>
              <w:t>8.5</w:t>
            </w:r>
          </w:p>
        </w:tc>
        <w:tc>
          <w:tcPr>
            <w:tcW w:w="320" w:type="dxa"/>
            <w:vAlign w:val="bottom"/>
            <w:tcBorders>
              <w:bottom w:val="single" w:sz="8" w:color="auto"/>
            </w:tcBorders>
            <w:shd w:val="clear" w:color="auto" w:fill="CCEEFF"/>
          </w:tcPr>
          <w:p>
            <w:pPr>
              <w:spacing w:after="0"/>
              <w:rPr>
                <w:sz w:val="17"/>
                <w:szCs w:val="17"/>
                <w:color w:val="auto"/>
              </w:rPr>
            </w:pPr>
          </w:p>
        </w:tc>
        <w:tc>
          <w:tcPr>
            <w:tcW w:w="10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(129.6)</w:t>
            </w:r>
          </w:p>
        </w:tc>
        <w:tc>
          <w:tcPr>
            <w:tcW w:w="340" w:type="dxa"/>
            <w:vAlign w:val="bottom"/>
            <w:tcBorders>
              <w:bottom w:val="single" w:sz="8" w:color="auto"/>
            </w:tcBorders>
            <w:shd w:val="clear" w:color="auto" w:fill="CCEEFF"/>
          </w:tcPr>
          <w:p>
            <w:pPr>
              <w:spacing w:after="0"/>
              <w:rPr>
                <w:sz w:val="17"/>
                <w:szCs w:val="17"/>
                <w:color w:val="auto"/>
              </w:rPr>
            </w:pP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(45.2)</w:t>
            </w: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6260" w:type="dxa"/>
            <w:vAlign w:val="bottom"/>
            <w:tcBorders>
              <w:bottom w:val="single" w:sz="8" w:color="auto"/>
            </w:tcBorders>
          </w:tcPr>
          <w:p>
            <w:pPr>
              <w:spacing w:after="0"/>
              <w:rPr>
                <w:sz w:val="20"/>
                <w:szCs w:val="20"/>
                <w:color w:val="auto"/>
              </w:rPr>
            </w:pPr>
            <w:r>
              <w:rPr>
                <w:rFonts w:ascii="Arial" w:cs="Arial" w:eastAsia="Arial" w:hAnsi="Arial"/>
                <w:sz w:val="16"/>
                <w:szCs w:val="16"/>
                <w:color w:val="auto"/>
              </w:rPr>
              <w:t>Effect of exchange rate changes on cash</w:t>
            </w:r>
          </w:p>
        </w:tc>
        <w:tc>
          <w:tcPr>
            <w:tcW w:w="1800" w:type="dxa"/>
            <w:vAlign w:val="bottom"/>
            <w:tcBorders>
              <w:bottom w:val="single" w:sz="8" w:color="auto"/>
            </w:tcBorders>
          </w:tcPr>
          <w:p>
            <w:pPr>
              <w:spacing w:after="0"/>
              <w:rPr>
                <w:sz w:val="17"/>
                <w:szCs w:val="17"/>
                <w:color w:val="auto"/>
              </w:rPr>
            </w:pPr>
          </w:p>
        </w:tc>
        <w:tc>
          <w:tcPr>
            <w:tcW w:w="56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b w:val="1"/>
                <w:bCs w:val="1"/>
                <w:color w:val="auto"/>
              </w:rPr>
              <w:t>—</w:t>
            </w:r>
          </w:p>
        </w:tc>
        <w:tc>
          <w:tcPr>
            <w:tcW w:w="320" w:type="dxa"/>
            <w:vAlign w:val="bottom"/>
            <w:tcBorders>
              <w:bottom w:val="single" w:sz="8" w:color="auto"/>
            </w:tcBorders>
          </w:tcPr>
          <w:p>
            <w:pPr>
              <w:spacing w:after="0"/>
              <w:rPr>
                <w:sz w:val="17"/>
                <w:szCs w:val="17"/>
                <w:color w:val="auto"/>
              </w:rPr>
            </w:pPr>
          </w:p>
        </w:tc>
        <w:tc>
          <w:tcPr>
            <w:tcW w:w="108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w:t>
            </w:r>
          </w:p>
        </w:tc>
        <w:tc>
          <w:tcPr>
            <w:tcW w:w="340" w:type="dxa"/>
            <w:vAlign w:val="bottom"/>
            <w:tcBorders>
              <w:bottom w:val="single" w:sz="8" w:color="auto"/>
            </w:tcBorders>
          </w:tcPr>
          <w:p>
            <w:pPr>
              <w:spacing w:after="0"/>
              <w:rPr>
                <w:sz w:val="17"/>
                <w:szCs w:val="17"/>
                <w:color w:val="auto"/>
              </w:rPr>
            </w:pPr>
          </w:p>
        </w:tc>
        <w:tc>
          <w:tcPr>
            <w:tcW w:w="104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6260" w:type="dxa"/>
            <w:vAlign w:val="bottom"/>
            <w:shd w:val="clear" w:color="auto" w:fill="CCEEFF"/>
          </w:tcPr>
          <w:p>
            <w:pPr>
              <w:ind w:left="320"/>
              <w:spacing w:after="0"/>
              <w:rPr>
                <w:sz w:val="20"/>
                <w:szCs w:val="20"/>
                <w:color w:val="auto"/>
              </w:rPr>
            </w:pPr>
            <w:r>
              <w:rPr>
                <w:rFonts w:ascii="Arial" w:cs="Arial" w:eastAsia="Arial" w:hAnsi="Arial"/>
                <w:sz w:val="16"/>
                <w:szCs w:val="16"/>
                <w:b w:val="1"/>
                <w:bCs w:val="1"/>
                <w:color w:val="auto"/>
              </w:rPr>
              <w:t>Increase (Decrease) In Cash and Cash Equivalents</w:t>
            </w:r>
          </w:p>
        </w:tc>
        <w:tc>
          <w:tcPr>
            <w:tcW w:w="1800" w:type="dxa"/>
            <w:vAlign w:val="bottom"/>
            <w:shd w:val="clear" w:color="auto" w:fill="CCEEFF"/>
          </w:tcPr>
          <w:p>
            <w:pPr>
              <w:spacing w:after="0"/>
              <w:rPr>
                <w:sz w:val="17"/>
                <w:szCs w:val="17"/>
                <w:color w:val="auto"/>
              </w:rPr>
            </w:pPr>
          </w:p>
        </w:tc>
        <w:tc>
          <w:tcPr>
            <w:tcW w:w="560" w:type="dxa"/>
            <w:vAlign w:val="bottom"/>
            <w:shd w:val="clear" w:color="auto" w:fill="CCEEFF"/>
          </w:tcPr>
          <w:p>
            <w:pPr>
              <w:jc w:val="right"/>
              <w:ind w:right="39"/>
              <w:spacing w:after="0"/>
              <w:rPr>
                <w:sz w:val="20"/>
                <w:szCs w:val="20"/>
                <w:color w:val="auto"/>
              </w:rPr>
            </w:pPr>
            <w:r>
              <w:rPr>
                <w:rFonts w:ascii="Arial" w:cs="Arial" w:eastAsia="Arial" w:hAnsi="Arial"/>
                <w:sz w:val="16"/>
                <w:szCs w:val="16"/>
                <w:b w:val="1"/>
                <w:bCs w:val="1"/>
                <w:color w:val="auto"/>
              </w:rPr>
              <w:t>—</w:t>
            </w:r>
          </w:p>
        </w:tc>
        <w:tc>
          <w:tcPr>
            <w:tcW w:w="320" w:type="dxa"/>
            <w:vAlign w:val="bottom"/>
            <w:shd w:val="clear" w:color="auto" w:fill="CCEEFF"/>
          </w:tcPr>
          <w:p>
            <w:pPr>
              <w:spacing w:after="0"/>
              <w:rPr>
                <w:sz w:val="17"/>
                <w:szCs w:val="17"/>
                <w:color w:val="auto"/>
              </w:rPr>
            </w:pPr>
          </w:p>
        </w:tc>
        <w:tc>
          <w:tcPr>
            <w:tcW w:w="1080" w:type="dxa"/>
            <w:vAlign w:val="bottom"/>
            <w:shd w:val="clear" w:color="auto" w:fill="CCEEFF"/>
          </w:tcPr>
          <w:p>
            <w:pPr>
              <w:jc w:val="right"/>
              <w:ind w:right="39"/>
              <w:spacing w:after="0"/>
              <w:rPr>
                <w:sz w:val="20"/>
                <w:szCs w:val="20"/>
                <w:color w:val="auto"/>
              </w:rPr>
            </w:pPr>
            <w:r>
              <w:rPr>
                <w:rFonts w:ascii="Arial" w:cs="Arial" w:eastAsia="Arial" w:hAnsi="Arial"/>
                <w:sz w:val="16"/>
                <w:szCs w:val="16"/>
                <w:color w:val="auto"/>
              </w:rPr>
              <w:t>—</w:t>
            </w:r>
          </w:p>
        </w:tc>
        <w:tc>
          <w:tcPr>
            <w:tcW w:w="340" w:type="dxa"/>
            <w:vAlign w:val="bottom"/>
            <w:shd w:val="clear" w:color="auto" w:fill="CCEEFF"/>
          </w:tcPr>
          <w:p>
            <w:pPr>
              <w:spacing w:after="0"/>
              <w:rPr>
                <w:sz w:val="17"/>
                <w:szCs w:val="17"/>
                <w:color w:val="auto"/>
              </w:rPr>
            </w:pPr>
          </w:p>
        </w:tc>
        <w:tc>
          <w:tcPr>
            <w:tcW w:w="1040" w:type="dxa"/>
            <w:vAlign w:val="bottom"/>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260" w:type="dxa"/>
            <w:vAlign w:val="bottom"/>
            <w:tcBorders>
              <w:bottom w:val="single" w:sz="8" w:color="auto"/>
            </w:tcBorders>
          </w:tcPr>
          <w:p>
            <w:pPr>
              <w:spacing w:after="0"/>
              <w:rPr>
                <w:sz w:val="20"/>
                <w:szCs w:val="20"/>
                <w:color w:val="auto"/>
              </w:rPr>
            </w:pPr>
            <w:r>
              <w:rPr>
                <w:rFonts w:ascii="Arial" w:cs="Arial" w:eastAsia="Arial" w:hAnsi="Arial"/>
                <w:sz w:val="16"/>
                <w:szCs w:val="16"/>
                <w:color w:val="auto"/>
              </w:rPr>
              <w:t>Cash and cash equivalents at beginning of year</w:t>
            </w:r>
          </w:p>
        </w:tc>
        <w:tc>
          <w:tcPr>
            <w:tcW w:w="1800" w:type="dxa"/>
            <w:vAlign w:val="bottom"/>
            <w:tcBorders>
              <w:bottom w:val="single" w:sz="8" w:color="auto"/>
            </w:tcBorders>
          </w:tcPr>
          <w:p>
            <w:pPr>
              <w:spacing w:after="0"/>
              <w:rPr>
                <w:sz w:val="17"/>
                <w:szCs w:val="17"/>
                <w:color w:val="auto"/>
              </w:rPr>
            </w:pPr>
          </w:p>
        </w:tc>
        <w:tc>
          <w:tcPr>
            <w:tcW w:w="56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b w:val="1"/>
                <w:bCs w:val="1"/>
                <w:color w:val="auto"/>
              </w:rPr>
              <w:t>—</w:t>
            </w:r>
          </w:p>
        </w:tc>
        <w:tc>
          <w:tcPr>
            <w:tcW w:w="320" w:type="dxa"/>
            <w:vAlign w:val="bottom"/>
            <w:tcBorders>
              <w:bottom w:val="single" w:sz="8" w:color="auto"/>
            </w:tcBorders>
          </w:tcPr>
          <w:p>
            <w:pPr>
              <w:spacing w:after="0"/>
              <w:rPr>
                <w:sz w:val="17"/>
                <w:szCs w:val="17"/>
                <w:color w:val="auto"/>
              </w:rPr>
            </w:pPr>
          </w:p>
        </w:tc>
        <w:tc>
          <w:tcPr>
            <w:tcW w:w="108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w:t>
            </w:r>
          </w:p>
        </w:tc>
        <w:tc>
          <w:tcPr>
            <w:tcW w:w="340" w:type="dxa"/>
            <w:vAlign w:val="bottom"/>
            <w:tcBorders>
              <w:bottom w:val="single" w:sz="8" w:color="auto"/>
            </w:tcBorders>
          </w:tcPr>
          <w:p>
            <w:pPr>
              <w:spacing w:after="0"/>
              <w:rPr>
                <w:sz w:val="17"/>
                <w:szCs w:val="17"/>
                <w:color w:val="auto"/>
              </w:rPr>
            </w:pPr>
          </w:p>
        </w:tc>
        <w:tc>
          <w:tcPr>
            <w:tcW w:w="104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260" w:type="dxa"/>
            <w:vAlign w:val="bottom"/>
            <w:tcBorders>
              <w:bottom w:val="single" w:sz="8" w:color="auto"/>
            </w:tcBorders>
            <w:shd w:val="clear" w:color="auto" w:fill="CCEEFF"/>
          </w:tcPr>
          <w:p>
            <w:pPr>
              <w:ind w:left="320"/>
              <w:spacing w:after="0"/>
              <w:rPr>
                <w:sz w:val="20"/>
                <w:szCs w:val="20"/>
                <w:color w:val="auto"/>
              </w:rPr>
            </w:pPr>
            <w:r>
              <w:rPr>
                <w:rFonts w:ascii="Arial" w:cs="Arial" w:eastAsia="Arial" w:hAnsi="Arial"/>
                <w:sz w:val="16"/>
                <w:szCs w:val="16"/>
                <w:b w:val="1"/>
                <w:bCs w:val="1"/>
                <w:color w:val="auto"/>
              </w:rPr>
              <w:t>Cash and Cash Equivalents at End of Year</w:t>
            </w:r>
          </w:p>
        </w:tc>
        <w:tc>
          <w:tcPr>
            <w:tcW w:w="1800" w:type="dxa"/>
            <w:vAlign w:val="bottom"/>
            <w:tcBorders>
              <w:bottom w:val="single" w:sz="8" w:color="auto"/>
            </w:tcBorders>
            <w:shd w:val="clear" w:color="auto" w:fill="CCEEFF"/>
          </w:tcPr>
          <w:p>
            <w:pPr>
              <w:jc w:val="right"/>
              <w:ind w:right="619"/>
              <w:spacing w:after="0"/>
              <w:rPr>
                <w:sz w:val="20"/>
                <w:szCs w:val="20"/>
                <w:color w:val="auto"/>
              </w:rPr>
            </w:pPr>
            <w:r>
              <w:rPr>
                <w:rFonts w:ascii="Arial" w:cs="Arial" w:eastAsia="Arial" w:hAnsi="Arial"/>
                <w:sz w:val="16"/>
                <w:szCs w:val="16"/>
                <w:b w:val="1"/>
                <w:bCs w:val="1"/>
                <w:color w:val="auto"/>
              </w:rPr>
              <w:t>$</w:t>
            </w:r>
          </w:p>
        </w:tc>
        <w:tc>
          <w:tcPr>
            <w:tcW w:w="560" w:type="dxa"/>
            <w:vAlign w:val="bottom"/>
            <w:tcBorders>
              <w:bottom w:val="single" w:sz="8" w:color="auto"/>
            </w:tcBorders>
            <w:shd w:val="clear" w:color="auto" w:fill="CCEEFF"/>
          </w:tcPr>
          <w:p>
            <w:pPr>
              <w:jc w:val="right"/>
              <w:ind w:right="39"/>
              <w:spacing w:after="0"/>
              <w:rPr>
                <w:sz w:val="20"/>
                <w:szCs w:val="20"/>
                <w:color w:val="auto"/>
              </w:rPr>
            </w:pPr>
            <w:r>
              <w:rPr>
                <w:rFonts w:ascii="Arial" w:cs="Arial" w:eastAsia="Arial" w:hAnsi="Arial"/>
                <w:sz w:val="16"/>
                <w:szCs w:val="16"/>
                <w:b w:val="1"/>
                <w:bCs w:val="1"/>
                <w:color w:val="auto"/>
              </w:rPr>
              <w:t>—</w:t>
            </w:r>
          </w:p>
        </w:tc>
        <w:tc>
          <w:tcPr>
            <w:tcW w:w="320" w:type="dxa"/>
            <w:vAlign w:val="bottom"/>
            <w:tcBorders>
              <w:bottom w:val="single" w:sz="8" w:color="auto"/>
            </w:tcBorders>
            <w:shd w:val="clear" w:color="auto" w:fill="CCEEFF"/>
          </w:tcPr>
          <w:p>
            <w:pPr>
              <w:jc w:val="right"/>
              <w:ind w:right="99"/>
              <w:spacing w:after="0"/>
              <w:rPr>
                <w:sz w:val="20"/>
                <w:szCs w:val="20"/>
                <w:color w:val="auto"/>
              </w:rPr>
            </w:pPr>
            <w:r>
              <w:rPr>
                <w:rFonts w:ascii="Arial" w:cs="Arial" w:eastAsia="Arial" w:hAnsi="Arial"/>
                <w:sz w:val="16"/>
                <w:szCs w:val="16"/>
                <w:color w:val="auto"/>
              </w:rPr>
              <w:t>$</w:t>
            </w:r>
          </w:p>
        </w:tc>
        <w:tc>
          <w:tcPr>
            <w:tcW w:w="1080" w:type="dxa"/>
            <w:vAlign w:val="bottom"/>
            <w:tcBorders>
              <w:bottom w:val="single" w:sz="8" w:color="auto"/>
            </w:tcBorders>
            <w:shd w:val="clear" w:color="auto" w:fill="CCEEFF"/>
          </w:tcPr>
          <w:p>
            <w:pPr>
              <w:jc w:val="right"/>
              <w:ind w:right="39"/>
              <w:spacing w:after="0"/>
              <w:rPr>
                <w:sz w:val="20"/>
                <w:szCs w:val="20"/>
                <w:color w:val="auto"/>
              </w:rPr>
            </w:pPr>
            <w:r>
              <w:rPr>
                <w:rFonts w:ascii="Arial" w:cs="Arial" w:eastAsia="Arial" w:hAnsi="Arial"/>
                <w:sz w:val="16"/>
                <w:szCs w:val="16"/>
                <w:color w:val="auto"/>
              </w:rPr>
              <w:t>—</w:t>
            </w:r>
          </w:p>
        </w:tc>
        <w:tc>
          <w:tcPr>
            <w:tcW w:w="340" w:type="dxa"/>
            <w:vAlign w:val="bottom"/>
            <w:tcBorders>
              <w:bottom w:val="single" w:sz="8" w:color="auto"/>
            </w:tcBorders>
            <w:shd w:val="clear" w:color="auto" w:fill="CCEEFF"/>
          </w:tcPr>
          <w:p>
            <w:pPr>
              <w:jc w:val="right"/>
              <w:ind w:right="99"/>
              <w:spacing w:after="0"/>
              <w:rPr>
                <w:sz w:val="20"/>
                <w:szCs w:val="20"/>
                <w:color w:val="auto"/>
              </w:rPr>
            </w:pPr>
            <w:r>
              <w:rPr>
                <w:rFonts w:ascii="Arial" w:cs="Arial" w:eastAsia="Arial" w:hAnsi="Arial"/>
                <w:sz w:val="16"/>
                <w:szCs w:val="16"/>
                <w:color w:val="auto"/>
              </w:rPr>
              <w:t>$</w:t>
            </w:r>
          </w:p>
        </w:tc>
        <w:tc>
          <w:tcPr>
            <w:tcW w:w="104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bl>
    <w:p>
      <w:pPr>
        <w:spacing w:after="0" w:line="62" w:lineRule="exact"/>
        <w:rPr>
          <w:sz w:val="20"/>
          <w:szCs w:val="20"/>
          <w:color w:val="auto"/>
        </w:rPr>
      </w:pPr>
    </w:p>
    <w:p>
      <w:pPr>
        <w:spacing w:after="0"/>
        <w:rPr>
          <w:sz w:val="20"/>
          <w:szCs w:val="20"/>
          <w:color w:val="auto"/>
        </w:rPr>
      </w:pPr>
      <w:r>
        <w:rPr>
          <w:rFonts w:ascii="Arial" w:cs="Arial" w:eastAsia="Arial" w:hAnsi="Arial"/>
          <w:sz w:val="14"/>
          <w:szCs w:val="14"/>
          <w:color w:val="auto"/>
        </w:rPr>
        <w:t>See accompanying Notes to the Audited Consolidated Financial Statements.</w:t>
      </w:r>
    </w:p>
    <w:p>
      <w:pPr>
        <w:spacing w:after="0" w:line="14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F-5</w:t>
      </w:r>
    </w:p>
    <w:p>
      <w:pPr>
        <w:sectPr>
          <w:pgSz w:w="11900" w:h="16838" w:orient="portrait"/>
          <w:cols w:equalWidth="0" w:num="1">
            <w:col w:w="11420"/>
          </w:cols>
          <w:pgMar w:left="240" w:top="459" w:right="239" w:bottom="1440" w:gutter="0" w:footer="0" w:header="0"/>
        </w:sectPr>
      </w:pPr>
    </w:p>
    <w:bookmarkStart w:id="112" w:name="page113"/>
    <w:bookmarkEnd w:id="11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40">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1" w:lineRule="exact"/>
        <w:rPr>
          <w:sz w:val="20"/>
          <w:szCs w:val="20"/>
          <w:color w:val="auto"/>
        </w:rPr>
      </w:pPr>
    </w:p>
    <w:p>
      <w:pPr>
        <w:jc w:val="center"/>
        <w:spacing w:after="0"/>
        <w:rPr>
          <w:sz w:val="20"/>
          <w:szCs w:val="20"/>
          <w:color w:val="auto"/>
        </w:rPr>
      </w:pPr>
      <w:r>
        <w:rPr>
          <w:rFonts w:ascii="Arial" w:cs="Arial" w:eastAsia="Arial" w:hAnsi="Arial"/>
          <w:sz w:val="25"/>
          <w:szCs w:val="25"/>
          <w:b w:val="1"/>
          <w:bCs w:val="1"/>
          <w:color w:val="auto"/>
        </w:rPr>
        <w:t>Consolidated Statements of Parent Equity</w:t>
      </w:r>
    </w:p>
    <w:p>
      <w:pPr>
        <w:spacing w:after="0" w:line="310" w:lineRule="exact"/>
        <w:rPr>
          <w:sz w:val="20"/>
          <w:szCs w:val="20"/>
          <w:color w:val="auto"/>
        </w:rPr>
      </w:pPr>
    </w:p>
    <w:tbl>
      <w:tblPr>
        <w:tblLayout w:type="fixed"/>
        <w:tblInd w:w="0" w:type="dxa"/>
        <w:tblCellMar>
          <w:top w:w="0" w:type="dxa"/>
          <w:left w:w="0" w:type="dxa"/>
          <w:bottom w:w="0" w:type="dxa"/>
          <w:right w:w="0" w:type="dxa"/>
        </w:tblCellMar>
      </w:tblPr>
      <w:tr>
        <w:trPr>
          <w:trHeight w:val="211"/>
        </w:trPr>
        <w:tc>
          <w:tcPr>
            <w:tcW w:w="4920" w:type="dxa"/>
            <w:vAlign w:val="bottom"/>
            <w:tcBorders>
              <w:top w:val="single" w:sz="8" w:color="auto"/>
            </w:tcBorders>
          </w:tcPr>
          <w:p>
            <w:pPr>
              <w:spacing w:after="0"/>
              <w:rPr>
                <w:sz w:val="18"/>
                <w:szCs w:val="18"/>
                <w:color w:val="auto"/>
              </w:rPr>
            </w:pPr>
          </w:p>
        </w:tc>
        <w:tc>
          <w:tcPr>
            <w:tcW w:w="2700" w:type="dxa"/>
            <w:vAlign w:val="bottom"/>
            <w:tcBorders>
              <w:top w:val="single" w:sz="8" w:color="auto"/>
            </w:tcBorders>
          </w:tcPr>
          <w:p>
            <w:pPr>
              <w:spacing w:after="0"/>
              <w:rPr>
                <w:sz w:val="18"/>
                <w:szCs w:val="18"/>
                <w:color w:val="auto"/>
              </w:rPr>
            </w:pPr>
          </w:p>
        </w:tc>
        <w:tc>
          <w:tcPr>
            <w:tcW w:w="600" w:type="dxa"/>
            <w:vAlign w:val="bottom"/>
            <w:tcBorders>
              <w:top w:val="single" w:sz="8" w:color="auto"/>
            </w:tcBorders>
          </w:tcPr>
          <w:p>
            <w:pPr>
              <w:spacing w:after="0"/>
              <w:rPr>
                <w:sz w:val="18"/>
                <w:szCs w:val="18"/>
                <w:color w:val="auto"/>
              </w:rPr>
            </w:pPr>
          </w:p>
        </w:tc>
        <w:tc>
          <w:tcPr>
            <w:tcW w:w="260" w:type="dxa"/>
            <w:vAlign w:val="bottom"/>
            <w:tcBorders>
              <w:top w:val="single" w:sz="8" w:color="auto"/>
            </w:tcBorders>
          </w:tcPr>
          <w:p>
            <w:pPr>
              <w:spacing w:after="0"/>
              <w:rPr>
                <w:sz w:val="18"/>
                <w:szCs w:val="18"/>
                <w:color w:val="auto"/>
              </w:rPr>
            </w:pPr>
          </w:p>
        </w:tc>
        <w:tc>
          <w:tcPr>
            <w:tcW w:w="1360" w:type="dxa"/>
            <w:vAlign w:val="bottom"/>
            <w:tcBorders>
              <w:top w:val="single" w:sz="8" w:color="auto"/>
            </w:tcBorders>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420" w:type="dxa"/>
            <w:vAlign w:val="bottom"/>
            <w:tcBorders>
              <w:top w:val="single" w:sz="8" w:color="auto"/>
            </w:tcBorders>
          </w:tcPr>
          <w:p>
            <w:pPr>
              <w:jc w:val="center"/>
              <w:ind w:right="110"/>
              <w:spacing w:after="0"/>
              <w:rPr>
                <w:sz w:val="20"/>
                <w:szCs w:val="20"/>
                <w:color w:val="auto"/>
              </w:rPr>
            </w:pPr>
            <w:r>
              <w:rPr>
                <w:rFonts w:ascii="Arial" w:cs="Arial" w:eastAsia="Arial" w:hAnsi="Arial"/>
                <w:sz w:val="18"/>
                <w:szCs w:val="18"/>
                <w:b w:val="1"/>
                <w:bCs w:val="1"/>
                <w:color w:val="auto"/>
                <w:w w:val="90"/>
              </w:rPr>
              <w:t>Accumulated</w:t>
            </w:r>
          </w:p>
        </w:tc>
      </w:tr>
      <w:tr>
        <w:trPr>
          <w:trHeight w:val="216"/>
        </w:trPr>
        <w:tc>
          <w:tcPr>
            <w:tcW w:w="4920" w:type="dxa"/>
            <w:vAlign w:val="bottom"/>
          </w:tcPr>
          <w:p>
            <w:pPr>
              <w:spacing w:after="0"/>
              <w:rPr>
                <w:sz w:val="18"/>
                <w:szCs w:val="18"/>
                <w:color w:val="auto"/>
              </w:rPr>
            </w:pPr>
          </w:p>
        </w:tc>
        <w:tc>
          <w:tcPr>
            <w:tcW w:w="27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20" w:type="dxa"/>
            <w:vAlign w:val="bottom"/>
          </w:tcPr>
          <w:p>
            <w:pPr>
              <w:jc w:val="center"/>
              <w:ind w:right="110"/>
              <w:spacing w:after="0"/>
              <w:rPr>
                <w:sz w:val="20"/>
                <w:szCs w:val="20"/>
                <w:color w:val="auto"/>
              </w:rPr>
            </w:pPr>
            <w:r>
              <w:rPr>
                <w:rFonts w:ascii="Arial" w:cs="Arial" w:eastAsia="Arial" w:hAnsi="Arial"/>
                <w:sz w:val="18"/>
                <w:szCs w:val="18"/>
                <w:b w:val="1"/>
                <w:bCs w:val="1"/>
                <w:color w:val="auto"/>
                <w:w w:val="95"/>
              </w:rPr>
              <w:t>Other</w:t>
            </w:r>
          </w:p>
        </w:tc>
      </w:tr>
      <w:tr>
        <w:trPr>
          <w:trHeight w:val="216"/>
        </w:trPr>
        <w:tc>
          <w:tcPr>
            <w:tcW w:w="4920" w:type="dxa"/>
            <w:vAlign w:val="bottom"/>
          </w:tcPr>
          <w:p>
            <w:pPr>
              <w:spacing w:after="0"/>
              <w:rPr>
                <w:sz w:val="18"/>
                <w:szCs w:val="18"/>
                <w:color w:val="auto"/>
              </w:rPr>
            </w:pPr>
          </w:p>
        </w:tc>
        <w:tc>
          <w:tcPr>
            <w:tcW w:w="27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360" w:type="dxa"/>
            <w:vAlign w:val="bottom"/>
          </w:tcPr>
          <w:p>
            <w:pPr>
              <w:jc w:val="right"/>
              <w:ind w:right="330"/>
              <w:spacing w:after="0"/>
              <w:rPr>
                <w:sz w:val="20"/>
                <w:szCs w:val="20"/>
                <w:color w:val="auto"/>
              </w:rPr>
            </w:pPr>
            <w:r>
              <w:rPr>
                <w:rFonts w:ascii="Arial" w:cs="Arial" w:eastAsia="Arial" w:hAnsi="Arial"/>
                <w:sz w:val="18"/>
                <w:szCs w:val="18"/>
                <w:b w:val="1"/>
                <w:bCs w:val="1"/>
                <w:color w:val="auto"/>
              </w:rPr>
              <w:t>Net Parent</w:t>
            </w:r>
          </w:p>
        </w:tc>
        <w:tc>
          <w:tcPr>
            <w:tcW w:w="160" w:type="dxa"/>
            <w:vAlign w:val="bottom"/>
          </w:tcPr>
          <w:p>
            <w:pPr>
              <w:spacing w:after="0"/>
              <w:rPr>
                <w:sz w:val="18"/>
                <w:szCs w:val="18"/>
                <w:color w:val="auto"/>
              </w:rPr>
            </w:pPr>
          </w:p>
        </w:tc>
        <w:tc>
          <w:tcPr>
            <w:tcW w:w="1420" w:type="dxa"/>
            <w:vAlign w:val="bottom"/>
          </w:tcPr>
          <w:p>
            <w:pPr>
              <w:jc w:val="center"/>
              <w:ind w:right="110"/>
              <w:spacing w:after="0"/>
              <w:rPr>
                <w:sz w:val="20"/>
                <w:szCs w:val="20"/>
                <w:color w:val="auto"/>
              </w:rPr>
            </w:pPr>
            <w:r>
              <w:rPr>
                <w:rFonts w:ascii="Arial" w:cs="Arial" w:eastAsia="Arial" w:hAnsi="Arial"/>
                <w:sz w:val="18"/>
                <w:szCs w:val="18"/>
                <w:b w:val="1"/>
                <w:bCs w:val="1"/>
                <w:color w:val="auto"/>
                <w:w w:val="87"/>
              </w:rPr>
              <w:t>Comprehensive</w:t>
            </w:r>
          </w:p>
        </w:tc>
      </w:tr>
      <w:tr>
        <w:trPr>
          <w:trHeight w:val="241"/>
        </w:trPr>
        <w:tc>
          <w:tcPr>
            <w:tcW w:w="4920" w:type="dxa"/>
            <w:vAlign w:val="bottom"/>
            <w:tcBorders>
              <w:bottom w:val="single" w:sz="8" w:color="auto"/>
            </w:tcBorders>
          </w:tcPr>
          <w:p>
            <w:pPr>
              <w:spacing w:after="0"/>
              <w:rPr>
                <w:sz w:val="20"/>
                <w:szCs w:val="20"/>
                <w:color w:val="auto"/>
              </w:rPr>
            </w:pPr>
          </w:p>
        </w:tc>
        <w:tc>
          <w:tcPr>
            <w:tcW w:w="270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Total</w:t>
            </w:r>
          </w:p>
        </w:tc>
        <w:tc>
          <w:tcPr>
            <w:tcW w:w="600" w:type="dxa"/>
            <w:vAlign w:val="bottom"/>
            <w:tcBorders>
              <w:bottom w:val="single" w:sz="8" w:color="auto"/>
            </w:tcBorders>
          </w:tcPr>
          <w:p>
            <w:pPr>
              <w:spacing w:after="0"/>
              <w:rPr>
                <w:sz w:val="20"/>
                <w:szCs w:val="20"/>
                <w:color w:val="auto"/>
              </w:rPr>
            </w:pPr>
          </w:p>
        </w:tc>
        <w:tc>
          <w:tcPr>
            <w:tcW w:w="260" w:type="dxa"/>
            <w:vAlign w:val="bottom"/>
            <w:tcBorders>
              <w:bottom w:val="single" w:sz="8" w:color="auto"/>
            </w:tcBorders>
          </w:tcPr>
          <w:p>
            <w:pPr>
              <w:spacing w:after="0"/>
              <w:rPr>
                <w:sz w:val="20"/>
                <w:szCs w:val="20"/>
                <w:color w:val="auto"/>
              </w:rPr>
            </w:pPr>
          </w:p>
        </w:tc>
        <w:tc>
          <w:tcPr>
            <w:tcW w:w="1360" w:type="dxa"/>
            <w:vAlign w:val="bottom"/>
            <w:tcBorders>
              <w:bottom w:val="single" w:sz="8" w:color="auto"/>
            </w:tcBorders>
          </w:tcPr>
          <w:p>
            <w:pPr>
              <w:jc w:val="right"/>
              <w:ind w:right="310"/>
              <w:spacing w:after="0"/>
              <w:rPr>
                <w:sz w:val="20"/>
                <w:szCs w:val="20"/>
                <w:color w:val="auto"/>
              </w:rPr>
            </w:pPr>
            <w:r>
              <w:rPr>
                <w:rFonts w:ascii="Arial" w:cs="Arial" w:eastAsia="Arial" w:hAnsi="Arial"/>
                <w:sz w:val="18"/>
                <w:szCs w:val="18"/>
                <w:b w:val="1"/>
                <w:bCs w:val="1"/>
                <w:color w:val="auto"/>
                <w:w w:val="98"/>
              </w:rPr>
              <w:t>Investment</w:t>
            </w:r>
          </w:p>
        </w:tc>
        <w:tc>
          <w:tcPr>
            <w:tcW w:w="160" w:type="dxa"/>
            <w:vAlign w:val="bottom"/>
            <w:tcBorders>
              <w:bottom w:val="single" w:sz="8" w:color="auto"/>
            </w:tcBorders>
          </w:tcPr>
          <w:p>
            <w:pPr>
              <w:spacing w:after="0"/>
              <w:rPr>
                <w:sz w:val="20"/>
                <w:szCs w:val="20"/>
                <w:color w:val="auto"/>
              </w:rPr>
            </w:pPr>
          </w:p>
        </w:tc>
        <w:tc>
          <w:tcPr>
            <w:tcW w:w="1420" w:type="dxa"/>
            <w:vAlign w:val="bottom"/>
            <w:tcBorders>
              <w:bottom w:val="single" w:sz="8" w:color="auto"/>
            </w:tcBorders>
          </w:tcPr>
          <w:p>
            <w:pPr>
              <w:jc w:val="center"/>
              <w:ind w:right="110"/>
              <w:spacing w:after="0"/>
              <w:rPr>
                <w:sz w:val="20"/>
                <w:szCs w:val="20"/>
                <w:color w:val="auto"/>
              </w:rPr>
            </w:pPr>
            <w:r>
              <w:rPr>
                <w:rFonts w:ascii="Arial" w:cs="Arial" w:eastAsia="Arial" w:hAnsi="Arial"/>
                <w:sz w:val="18"/>
                <w:szCs w:val="18"/>
                <w:b w:val="1"/>
                <w:bCs w:val="1"/>
                <w:color w:val="auto"/>
                <w:w w:val="80"/>
              </w:rPr>
              <w:t>Loss</w:t>
            </w:r>
          </w:p>
        </w:tc>
      </w:tr>
      <w:tr>
        <w:trPr>
          <w:trHeight w:val="149"/>
        </w:trPr>
        <w:tc>
          <w:tcPr>
            <w:tcW w:w="492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(Dollars in millions)</w:t>
            </w:r>
          </w:p>
        </w:tc>
        <w:tc>
          <w:tcPr>
            <w:tcW w:w="2700" w:type="dxa"/>
            <w:vAlign w:val="bottom"/>
            <w:shd w:val="clear" w:color="auto" w:fill="CCEEFF"/>
          </w:tcPr>
          <w:p>
            <w:pPr>
              <w:spacing w:after="0"/>
              <w:rPr>
                <w:sz w:val="12"/>
                <w:szCs w:val="12"/>
                <w:color w:val="auto"/>
              </w:rPr>
            </w:pPr>
          </w:p>
        </w:tc>
        <w:tc>
          <w:tcPr>
            <w:tcW w:w="60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13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420" w:type="dxa"/>
            <w:vAlign w:val="bottom"/>
            <w:shd w:val="clear" w:color="auto" w:fill="CCEEFF"/>
          </w:tcPr>
          <w:p>
            <w:pPr>
              <w:spacing w:after="0"/>
              <w:rPr>
                <w:sz w:val="12"/>
                <w:szCs w:val="12"/>
                <w:color w:val="auto"/>
              </w:rPr>
            </w:pPr>
          </w:p>
        </w:tc>
      </w:tr>
      <w:tr>
        <w:trPr>
          <w:trHeight w:val="216"/>
        </w:trPr>
        <w:tc>
          <w:tcPr>
            <w:tcW w:w="4920" w:type="dxa"/>
            <w:vAlign w:val="bottom"/>
          </w:tcPr>
          <w:p>
            <w:pPr>
              <w:spacing w:after="0"/>
              <w:rPr>
                <w:sz w:val="20"/>
                <w:szCs w:val="20"/>
                <w:color w:val="auto"/>
              </w:rPr>
            </w:pPr>
            <w:r>
              <w:rPr>
                <w:rFonts w:ascii="Arial" w:cs="Arial" w:eastAsia="Arial" w:hAnsi="Arial"/>
                <w:sz w:val="18"/>
                <w:szCs w:val="18"/>
                <w:color w:val="auto"/>
              </w:rPr>
              <w:t>Balance at January 1, 2011</w:t>
            </w:r>
          </w:p>
        </w:tc>
        <w:tc>
          <w:tcPr>
            <w:tcW w:w="2700" w:type="dxa"/>
            <w:vAlign w:val="bottom"/>
          </w:tcPr>
          <w:p>
            <w:pPr>
              <w:jc w:val="right"/>
              <w:ind w:right="750"/>
              <w:spacing w:after="0"/>
              <w:rPr>
                <w:sz w:val="20"/>
                <w:szCs w:val="20"/>
                <w:color w:val="auto"/>
              </w:rPr>
            </w:pPr>
            <w:r>
              <w:rPr>
                <w:rFonts w:ascii="Arial" w:cs="Arial" w:eastAsia="Arial" w:hAnsi="Arial"/>
                <w:sz w:val="18"/>
                <w:szCs w:val="18"/>
                <w:color w:val="auto"/>
              </w:rPr>
              <w:t>$</w:t>
            </w:r>
          </w:p>
        </w:tc>
        <w:tc>
          <w:tcPr>
            <w:tcW w:w="600" w:type="dxa"/>
            <w:vAlign w:val="bottom"/>
          </w:tcPr>
          <w:p>
            <w:pPr>
              <w:jc w:val="right"/>
              <w:ind w:right="30"/>
              <w:spacing w:after="0"/>
              <w:rPr>
                <w:sz w:val="20"/>
                <w:szCs w:val="20"/>
                <w:color w:val="auto"/>
              </w:rPr>
            </w:pPr>
            <w:r>
              <w:rPr>
                <w:rFonts w:ascii="Arial" w:cs="Arial" w:eastAsia="Arial" w:hAnsi="Arial"/>
                <w:sz w:val="18"/>
                <w:szCs w:val="18"/>
                <w:color w:val="auto"/>
              </w:rPr>
              <w:t>538.2</w:t>
            </w:r>
          </w:p>
        </w:tc>
        <w:tc>
          <w:tcPr>
            <w:tcW w:w="260" w:type="dxa"/>
            <w:vAlign w:val="bottom"/>
          </w:tcPr>
          <w:p>
            <w:pPr>
              <w:jc w:val="right"/>
              <w:spacing w:after="0"/>
              <w:rPr>
                <w:sz w:val="20"/>
                <w:szCs w:val="20"/>
                <w:color w:val="auto"/>
              </w:rPr>
            </w:pPr>
            <w:r>
              <w:rPr>
                <w:rFonts w:ascii="Arial" w:cs="Arial" w:eastAsia="Arial" w:hAnsi="Arial"/>
                <w:sz w:val="18"/>
                <w:szCs w:val="18"/>
                <w:color w:val="auto"/>
              </w:rPr>
              <w:t>$</w:t>
            </w:r>
          </w:p>
        </w:tc>
        <w:tc>
          <w:tcPr>
            <w:tcW w:w="1360" w:type="dxa"/>
            <w:vAlign w:val="bottom"/>
          </w:tcPr>
          <w:p>
            <w:pPr>
              <w:jc w:val="right"/>
              <w:ind w:right="50"/>
              <w:spacing w:after="0"/>
              <w:rPr>
                <w:sz w:val="20"/>
                <w:szCs w:val="20"/>
                <w:color w:val="auto"/>
              </w:rPr>
            </w:pPr>
            <w:r>
              <w:rPr>
                <w:rFonts w:ascii="Arial" w:cs="Arial" w:eastAsia="Arial" w:hAnsi="Arial"/>
                <w:sz w:val="18"/>
                <w:szCs w:val="18"/>
                <w:color w:val="auto"/>
              </w:rPr>
              <w:t>538.9</w:t>
            </w:r>
          </w:p>
        </w:tc>
        <w:tc>
          <w:tcPr>
            <w:tcW w:w="160" w:type="dxa"/>
            <w:vAlign w:val="bottom"/>
          </w:tcPr>
          <w:p>
            <w:pPr>
              <w:jc w:val="right"/>
              <w:spacing w:after="0"/>
              <w:rPr>
                <w:sz w:val="20"/>
                <w:szCs w:val="20"/>
                <w:color w:val="auto"/>
              </w:rPr>
            </w:pPr>
            <w:r>
              <w:rPr>
                <w:rFonts w:ascii="Arial" w:cs="Arial" w:eastAsia="Arial" w:hAnsi="Arial"/>
                <w:sz w:val="18"/>
                <w:szCs w:val="18"/>
                <w:color w:val="auto"/>
              </w:rPr>
              <w:t>$</w:t>
            </w:r>
          </w:p>
        </w:tc>
        <w:tc>
          <w:tcPr>
            <w:tcW w:w="1420" w:type="dxa"/>
            <w:vAlign w:val="bottom"/>
          </w:tcPr>
          <w:p>
            <w:pPr>
              <w:jc w:val="right"/>
              <w:spacing w:after="0"/>
              <w:rPr>
                <w:sz w:val="20"/>
                <w:szCs w:val="20"/>
                <w:color w:val="auto"/>
              </w:rPr>
            </w:pPr>
            <w:r>
              <w:rPr>
                <w:rFonts w:ascii="Arial" w:cs="Arial" w:eastAsia="Arial" w:hAnsi="Arial"/>
                <w:sz w:val="18"/>
                <w:szCs w:val="18"/>
                <w:color w:val="auto"/>
              </w:rPr>
              <w:t>(0.7)</w:t>
            </w:r>
          </w:p>
        </w:tc>
      </w:tr>
      <w:tr>
        <w:trPr>
          <w:trHeight w:val="216"/>
        </w:trPr>
        <w:tc>
          <w:tcPr>
            <w:tcW w:w="4920" w:type="dxa"/>
            <w:vAlign w:val="bottom"/>
            <w:shd w:val="clear" w:color="auto" w:fill="CCEEFF"/>
          </w:tcPr>
          <w:p>
            <w:pPr>
              <w:ind w:left="180"/>
              <w:spacing w:after="0"/>
              <w:rPr>
                <w:sz w:val="20"/>
                <w:szCs w:val="20"/>
                <w:color w:val="auto"/>
              </w:rPr>
            </w:pPr>
            <w:r>
              <w:rPr>
                <w:rFonts w:ascii="Arial" w:cs="Arial" w:eastAsia="Arial" w:hAnsi="Arial"/>
                <w:sz w:val="18"/>
                <w:szCs w:val="18"/>
                <w:color w:val="auto"/>
              </w:rPr>
              <w:t>Net income</w:t>
            </w:r>
          </w:p>
        </w:tc>
        <w:tc>
          <w:tcPr>
            <w:tcW w:w="2700" w:type="dxa"/>
            <w:vAlign w:val="bottom"/>
            <w:shd w:val="clear" w:color="auto" w:fill="CCEEFF"/>
          </w:tcPr>
          <w:p>
            <w:pPr>
              <w:spacing w:after="0"/>
              <w:rPr>
                <w:sz w:val="18"/>
                <w:szCs w:val="18"/>
                <w:color w:val="auto"/>
              </w:rPr>
            </w:pPr>
          </w:p>
        </w:tc>
        <w:tc>
          <w:tcPr>
            <w:tcW w:w="60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167.2</w:t>
            </w:r>
          </w:p>
        </w:tc>
        <w:tc>
          <w:tcPr>
            <w:tcW w:w="260" w:type="dxa"/>
            <w:vAlign w:val="bottom"/>
            <w:shd w:val="clear" w:color="auto" w:fill="CCEEFF"/>
          </w:tcPr>
          <w:p>
            <w:pPr>
              <w:spacing w:after="0"/>
              <w:rPr>
                <w:sz w:val="18"/>
                <w:szCs w:val="18"/>
                <w:color w:val="auto"/>
              </w:rPr>
            </w:pPr>
          </w:p>
        </w:tc>
        <w:tc>
          <w:tcPr>
            <w:tcW w:w="136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167.2</w:t>
            </w:r>
          </w:p>
        </w:tc>
        <w:tc>
          <w:tcPr>
            <w:tcW w:w="160" w:type="dxa"/>
            <w:vAlign w:val="bottom"/>
            <w:shd w:val="clear" w:color="auto" w:fill="CCEEFF"/>
          </w:tcPr>
          <w:p>
            <w:pPr>
              <w:spacing w:after="0"/>
              <w:rPr>
                <w:sz w:val="18"/>
                <w:szCs w:val="18"/>
                <w:color w:val="auto"/>
              </w:rPr>
            </w:pPr>
          </w:p>
        </w:tc>
        <w:tc>
          <w:tcPr>
            <w:tcW w:w="142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w:t>
            </w:r>
          </w:p>
        </w:tc>
      </w:tr>
      <w:tr>
        <w:trPr>
          <w:trHeight w:val="216"/>
        </w:trPr>
        <w:tc>
          <w:tcPr>
            <w:tcW w:w="4920" w:type="dxa"/>
            <w:vAlign w:val="bottom"/>
          </w:tcPr>
          <w:p>
            <w:pPr>
              <w:ind w:left="180"/>
              <w:spacing w:after="0"/>
              <w:rPr>
                <w:sz w:val="20"/>
                <w:szCs w:val="20"/>
                <w:color w:val="auto"/>
              </w:rPr>
            </w:pPr>
            <w:r>
              <w:rPr>
                <w:rFonts w:ascii="Arial" w:cs="Arial" w:eastAsia="Arial" w:hAnsi="Arial"/>
                <w:sz w:val="18"/>
                <w:szCs w:val="18"/>
                <w:color w:val="auto"/>
              </w:rPr>
              <w:t>Foreign currency translation adjustments</w:t>
            </w:r>
          </w:p>
        </w:tc>
        <w:tc>
          <w:tcPr>
            <w:tcW w:w="270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(0.8)</w:t>
            </w:r>
          </w:p>
        </w:tc>
        <w:tc>
          <w:tcPr>
            <w:tcW w:w="260" w:type="dxa"/>
            <w:vAlign w:val="bottom"/>
          </w:tcPr>
          <w:p>
            <w:pPr>
              <w:spacing w:after="0"/>
              <w:rPr>
                <w:sz w:val="18"/>
                <w:szCs w:val="18"/>
                <w:color w:val="auto"/>
              </w:rPr>
            </w:pPr>
          </w:p>
        </w:tc>
        <w:tc>
          <w:tcPr>
            <w:tcW w:w="1360" w:type="dxa"/>
            <w:vAlign w:val="bottom"/>
          </w:tcPr>
          <w:p>
            <w:pPr>
              <w:jc w:val="right"/>
              <w:ind w:right="5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1420" w:type="dxa"/>
            <w:vAlign w:val="bottom"/>
          </w:tcPr>
          <w:p>
            <w:pPr>
              <w:jc w:val="right"/>
              <w:spacing w:after="0"/>
              <w:rPr>
                <w:sz w:val="20"/>
                <w:szCs w:val="20"/>
                <w:color w:val="auto"/>
              </w:rPr>
            </w:pPr>
            <w:r>
              <w:rPr>
                <w:rFonts w:ascii="Arial" w:cs="Arial" w:eastAsia="Arial" w:hAnsi="Arial"/>
                <w:sz w:val="18"/>
                <w:szCs w:val="18"/>
                <w:color w:val="auto"/>
              </w:rPr>
              <w:t>(0.8)</w:t>
            </w:r>
          </w:p>
        </w:tc>
      </w:tr>
      <w:tr>
        <w:trPr>
          <w:trHeight w:val="216"/>
        </w:trPr>
        <w:tc>
          <w:tcPr>
            <w:tcW w:w="4920" w:type="dxa"/>
            <w:vAlign w:val="bottom"/>
            <w:shd w:val="clear" w:color="auto" w:fill="CCEEFF"/>
          </w:tcPr>
          <w:p>
            <w:pPr>
              <w:ind w:left="180"/>
              <w:spacing w:after="0"/>
              <w:rPr>
                <w:sz w:val="20"/>
                <w:szCs w:val="20"/>
                <w:color w:val="auto"/>
              </w:rPr>
            </w:pPr>
            <w:r>
              <w:rPr>
                <w:rFonts w:ascii="Arial" w:cs="Arial" w:eastAsia="Arial" w:hAnsi="Arial"/>
                <w:sz w:val="18"/>
                <w:szCs w:val="18"/>
                <w:color w:val="auto"/>
              </w:rPr>
              <w:t>Stock-based compensation expense</w:t>
            </w:r>
          </w:p>
        </w:tc>
        <w:tc>
          <w:tcPr>
            <w:tcW w:w="2700" w:type="dxa"/>
            <w:vAlign w:val="bottom"/>
            <w:shd w:val="clear" w:color="auto" w:fill="CCEEFF"/>
          </w:tcPr>
          <w:p>
            <w:pPr>
              <w:spacing w:after="0"/>
              <w:rPr>
                <w:sz w:val="18"/>
                <w:szCs w:val="18"/>
                <w:color w:val="auto"/>
              </w:rPr>
            </w:pPr>
          </w:p>
        </w:tc>
        <w:tc>
          <w:tcPr>
            <w:tcW w:w="60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2.8</w:t>
            </w:r>
          </w:p>
        </w:tc>
        <w:tc>
          <w:tcPr>
            <w:tcW w:w="260" w:type="dxa"/>
            <w:vAlign w:val="bottom"/>
            <w:shd w:val="clear" w:color="auto" w:fill="CCEEFF"/>
          </w:tcPr>
          <w:p>
            <w:pPr>
              <w:spacing w:after="0"/>
              <w:rPr>
                <w:sz w:val="18"/>
                <w:szCs w:val="18"/>
                <w:color w:val="auto"/>
              </w:rPr>
            </w:pPr>
          </w:p>
        </w:tc>
        <w:tc>
          <w:tcPr>
            <w:tcW w:w="136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2.8</w:t>
            </w:r>
          </w:p>
        </w:tc>
        <w:tc>
          <w:tcPr>
            <w:tcW w:w="160" w:type="dxa"/>
            <w:vAlign w:val="bottom"/>
            <w:shd w:val="clear" w:color="auto" w:fill="CCEEFF"/>
          </w:tcPr>
          <w:p>
            <w:pPr>
              <w:spacing w:after="0"/>
              <w:rPr>
                <w:sz w:val="18"/>
                <w:szCs w:val="18"/>
                <w:color w:val="auto"/>
              </w:rPr>
            </w:pPr>
          </w:p>
        </w:tc>
        <w:tc>
          <w:tcPr>
            <w:tcW w:w="142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w:t>
            </w:r>
          </w:p>
        </w:tc>
      </w:tr>
      <w:tr>
        <w:trPr>
          <w:trHeight w:val="216"/>
        </w:trPr>
        <w:tc>
          <w:tcPr>
            <w:tcW w:w="4920" w:type="dxa"/>
            <w:vAlign w:val="bottom"/>
            <w:tcBorders>
              <w:bottom w:val="single" w:sz="8" w:color="auto"/>
            </w:tcBorders>
          </w:tcPr>
          <w:p>
            <w:pPr>
              <w:ind w:left="180"/>
              <w:spacing w:after="0"/>
              <w:rPr>
                <w:sz w:val="20"/>
                <w:szCs w:val="20"/>
                <w:color w:val="auto"/>
              </w:rPr>
            </w:pPr>
            <w:r>
              <w:rPr>
                <w:rFonts w:ascii="Arial" w:cs="Arial" w:eastAsia="Arial" w:hAnsi="Arial"/>
                <w:sz w:val="18"/>
                <w:szCs w:val="18"/>
                <w:color w:val="auto"/>
              </w:rPr>
              <w:t>Net transfer to Parent and affiliates</w:t>
            </w:r>
          </w:p>
        </w:tc>
        <w:tc>
          <w:tcPr>
            <w:tcW w:w="2700" w:type="dxa"/>
            <w:vAlign w:val="bottom"/>
            <w:tcBorders>
              <w:bottom w:val="single" w:sz="8" w:color="auto"/>
            </w:tcBorders>
          </w:tcPr>
          <w:p>
            <w:pPr>
              <w:spacing w:after="0"/>
              <w:rPr>
                <w:sz w:val="18"/>
                <w:szCs w:val="18"/>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(45.2)</w:t>
            </w:r>
          </w:p>
        </w:tc>
        <w:tc>
          <w:tcPr>
            <w:tcW w:w="260" w:type="dxa"/>
            <w:vAlign w:val="bottom"/>
            <w:tcBorders>
              <w:bottom w:val="single" w:sz="8" w:color="auto"/>
            </w:tcBorders>
          </w:tcPr>
          <w:p>
            <w:pPr>
              <w:spacing w:after="0"/>
              <w:rPr>
                <w:sz w:val="18"/>
                <w:szCs w:val="18"/>
                <w:color w:val="auto"/>
              </w:rPr>
            </w:pPr>
          </w:p>
        </w:tc>
        <w:tc>
          <w:tcPr>
            <w:tcW w:w="13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(45.2)</w:t>
            </w:r>
          </w:p>
        </w:tc>
        <w:tc>
          <w:tcPr>
            <w:tcW w:w="160" w:type="dxa"/>
            <w:vAlign w:val="bottom"/>
            <w:tcBorders>
              <w:bottom w:val="single" w:sz="8" w:color="auto"/>
            </w:tcBorders>
          </w:tcPr>
          <w:p>
            <w:pPr>
              <w:spacing w:after="0"/>
              <w:rPr>
                <w:sz w:val="18"/>
                <w:szCs w:val="18"/>
                <w:color w:val="auto"/>
              </w:rPr>
            </w:pPr>
          </w:p>
        </w:tc>
        <w:tc>
          <w:tcPr>
            <w:tcW w:w="142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w:t>
            </w:r>
          </w:p>
        </w:tc>
      </w:tr>
      <w:tr>
        <w:trPr>
          <w:trHeight w:val="210"/>
        </w:trPr>
        <w:tc>
          <w:tcPr>
            <w:tcW w:w="4920" w:type="dxa"/>
            <w:vAlign w:val="bottom"/>
            <w:shd w:val="clear" w:color="auto" w:fill="CCEEFF"/>
          </w:tcPr>
          <w:p>
            <w:pPr>
              <w:spacing w:after="0"/>
              <w:rPr>
                <w:sz w:val="20"/>
                <w:szCs w:val="20"/>
                <w:color w:val="auto"/>
              </w:rPr>
            </w:pPr>
            <w:r>
              <w:rPr>
                <w:rFonts w:ascii="Arial" w:cs="Arial" w:eastAsia="Arial" w:hAnsi="Arial"/>
                <w:sz w:val="18"/>
                <w:szCs w:val="18"/>
                <w:color w:val="auto"/>
              </w:rPr>
              <w:t>Balance at December 31, 2011</w:t>
            </w:r>
          </w:p>
        </w:tc>
        <w:tc>
          <w:tcPr>
            <w:tcW w:w="2700" w:type="dxa"/>
            <w:vAlign w:val="bottom"/>
            <w:shd w:val="clear" w:color="auto" w:fill="CCEEFF"/>
          </w:tcPr>
          <w:p>
            <w:pPr>
              <w:jc w:val="right"/>
              <w:ind w:right="750"/>
              <w:spacing w:after="0"/>
              <w:rPr>
                <w:sz w:val="20"/>
                <w:szCs w:val="20"/>
                <w:color w:val="auto"/>
              </w:rPr>
            </w:pPr>
            <w:r>
              <w:rPr>
                <w:rFonts w:ascii="Arial" w:cs="Arial" w:eastAsia="Arial" w:hAnsi="Arial"/>
                <w:sz w:val="18"/>
                <w:szCs w:val="18"/>
                <w:color w:val="auto"/>
              </w:rPr>
              <w:t>$</w:t>
            </w:r>
          </w:p>
        </w:tc>
        <w:tc>
          <w:tcPr>
            <w:tcW w:w="60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662.2</w:t>
            </w:r>
          </w:p>
        </w:tc>
        <w:tc>
          <w:tcPr>
            <w:tcW w:w="2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36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663.7</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w:t>
            </w:r>
          </w:p>
        </w:tc>
      </w:tr>
      <w:tr>
        <w:trPr>
          <w:trHeight w:val="216"/>
        </w:trPr>
        <w:tc>
          <w:tcPr>
            <w:tcW w:w="4920" w:type="dxa"/>
            <w:vAlign w:val="bottom"/>
          </w:tcPr>
          <w:p>
            <w:pPr>
              <w:spacing w:after="0"/>
              <w:rPr>
                <w:sz w:val="18"/>
                <w:szCs w:val="18"/>
                <w:color w:val="auto"/>
              </w:rPr>
            </w:pPr>
          </w:p>
        </w:tc>
        <w:tc>
          <w:tcPr>
            <w:tcW w:w="27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20" w:type="dxa"/>
            <w:vAlign w:val="bottom"/>
          </w:tcPr>
          <w:p>
            <w:pPr>
              <w:spacing w:after="0"/>
              <w:rPr>
                <w:sz w:val="18"/>
                <w:szCs w:val="18"/>
                <w:color w:val="auto"/>
              </w:rPr>
            </w:pPr>
          </w:p>
        </w:tc>
      </w:tr>
      <w:tr>
        <w:trPr>
          <w:trHeight w:val="216"/>
        </w:trPr>
        <w:tc>
          <w:tcPr>
            <w:tcW w:w="4920" w:type="dxa"/>
            <w:vAlign w:val="bottom"/>
            <w:shd w:val="clear" w:color="auto" w:fill="CCEEFF"/>
          </w:tcPr>
          <w:p>
            <w:pPr>
              <w:spacing w:after="0"/>
              <w:rPr>
                <w:sz w:val="18"/>
                <w:szCs w:val="18"/>
                <w:color w:val="auto"/>
              </w:rPr>
            </w:pPr>
          </w:p>
        </w:tc>
        <w:tc>
          <w:tcPr>
            <w:tcW w:w="270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3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20" w:type="dxa"/>
            <w:vAlign w:val="bottom"/>
            <w:shd w:val="clear" w:color="auto" w:fill="CCEEFF"/>
          </w:tcPr>
          <w:p>
            <w:pPr>
              <w:spacing w:after="0"/>
              <w:rPr>
                <w:sz w:val="18"/>
                <w:szCs w:val="18"/>
                <w:color w:val="auto"/>
              </w:rPr>
            </w:pPr>
          </w:p>
        </w:tc>
      </w:tr>
      <w:tr>
        <w:trPr>
          <w:trHeight w:val="216"/>
        </w:trPr>
        <w:tc>
          <w:tcPr>
            <w:tcW w:w="4920" w:type="dxa"/>
            <w:vAlign w:val="bottom"/>
          </w:tcPr>
          <w:p>
            <w:pPr>
              <w:ind w:left="180"/>
              <w:spacing w:after="0"/>
              <w:rPr>
                <w:sz w:val="20"/>
                <w:szCs w:val="20"/>
                <w:color w:val="auto"/>
              </w:rPr>
            </w:pPr>
            <w:r>
              <w:rPr>
                <w:rFonts w:ascii="Arial" w:cs="Arial" w:eastAsia="Arial" w:hAnsi="Arial"/>
                <w:sz w:val="18"/>
                <w:szCs w:val="18"/>
                <w:color w:val="auto"/>
              </w:rPr>
              <w:t>Net income</w:t>
            </w:r>
          </w:p>
        </w:tc>
        <w:tc>
          <w:tcPr>
            <w:tcW w:w="2700" w:type="dxa"/>
            <w:vAlign w:val="bottom"/>
          </w:tcPr>
          <w:p>
            <w:pPr>
              <w:spacing w:after="0"/>
              <w:rPr>
                <w:sz w:val="18"/>
                <w:szCs w:val="18"/>
                <w:color w:val="auto"/>
              </w:rPr>
            </w:pPr>
          </w:p>
        </w:tc>
        <w:tc>
          <w:tcPr>
            <w:tcW w:w="600" w:type="dxa"/>
            <w:vAlign w:val="bottom"/>
          </w:tcPr>
          <w:p>
            <w:pPr>
              <w:jc w:val="right"/>
              <w:ind w:right="30"/>
              <w:spacing w:after="0"/>
              <w:rPr>
                <w:sz w:val="20"/>
                <w:szCs w:val="20"/>
                <w:color w:val="auto"/>
              </w:rPr>
            </w:pPr>
            <w:r>
              <w:rPr>
                <w:rFonts w:ascii="Arial" w:cs="Arial" w:eastAsia="Arial" w:hAnsi="Arial"/>
                <w:sz w:val="18"/>
                <w:szCs w:val="18"/>
                <w:color w:val="auto"/>
              </w:rPr>
              <w:t>155.2</w:t>
            </w:r>
          </w:p>
        </w:tc>
        <w:tc>
          <w:tcPr>
            <w:tcW w:w="260" w:type="dxa"/>
            <w:vAlign w:val="bottom"/>
          </w:tcPr>
          <w:p>
            <w:pPr>
              <w:spacing w:after="0"/>
              <w:rPr>
                <w:sz w:val="18"/>
                <w:szCs w:val="18"/>
                <w:color w:val="auto"/>
              </w:rPr>
            </w:pPr>
          </w:p>
        </w:tc>
        <w:tc>
          <w:tcPr>
            <w:tcW w:w="1360" w:type="dxa"/>
            <w:vAlign w:val="bottom"/>
          </w:tcPr>
          <w:p>
            <w:pPr>
              <w:jc w:val="right"/>
              <w:ind w:right="50"/>
              <w:spacing w:after="0"/>
              <w:rPr>
                <w:sz w:val="20"/>
                <w:szCs w:val="20"/>
                <w:color w:val="auto"/>
              </w:rPr>
            </w:pPr>
            <w:r>
              <w:rPr>
                <w:rFonts w:ascii="Arial" w:cs="Arial" w:eastAsia="Arial" w:hAnsi="Arial"/>
                <w:sz w:val="18"/>
                <w:szCs w:val="18"/>
                <w:color w:val="auto"/>
              </w:rPr>
              <w:t>155.2</w:t>
            </w:r>
          </w:p>
        </w:tc>
        <w:tc>
          <w:tcPr>
            <w:tcW w:w="160" w:type="dxa"/>
            <w:vAlign w:val="bottom"/>
          </w:tcPr>
          <w:p>
            <w:pPr>
              <w:spacing w:after="0"/>
              <w:rPr>
                <w:sz w:val="18"/>
                <w:szCs w:val="18"/>
                <w:color w:val="auto"/>
              </w:rPr>
            </w:pPr>
          </w:p>
        </w:tc>
        <w:tc>
          <w:tcPr>
            <w:tcW w:w="1420" w:type="dxa"/>
            <w:vAlign w:val="bottom"/>
          </w:tcPr>
          <w:p>
            <w:pPr>
              <w:jc w:val="right"/>
              <w:ind w:right="10"/>
              <w:spacing w:after="0"/>
              <w:rPr>
                <w:sz w:val="20"/>
                <w:szCs w:val="20"/>
                <w:color w:val="auto"/>
              </w:rPr>
            </w:pPr>
            <w:r>
              <w:rPr>
                <w:rFonts w:ascii="Arial" w:cs="Arial" w:eastAsia="Arial" w:hAnsi="Arial"/>
                <w:sz w:val="18"/>
                <w:szCs w:val="18"/>
                <w:color w:val="auto"/>
              </w:rPr>
              <w:t>—</w:t>
            </w:r>
          </w:p>
        </w:tc>
      </w:tr>
      <w:tr>
        <w:trPr>
          <w:trHeight w:val="216"/>
        </w:trPr>
        <w:tc>
          <w:tcPr>
            <w:tcW w:w="4920" w:type="dxa"/>
            <w:vAlign w:val="bottom"/>
            <w:shd w:val="clear" w:color="auto" w:fill="CCEEFF"/>
          </w:tcPr>
          <w:p>
            <w:pPr>
              <w:ind w:left="180"/>
              <w:spacing w:after="0"/>
              <w:rPr>
                <w:sz w:val="20"/>
                <w:szCs w:val="20"/>
                <w:color w:val="auto"/>
              </w:rPr>
            </w:pPr>
            <w:r>
              <w:rPr>
                <w:rFonts w:ascii="Arial" w:cs="Arial" w:eastAsia="Arial" w:hAnsi="Arial"/>
                <w:sz w:val="18"/>
                <w:szCs w:val="18"/>
                <w:color w:val="auto"/>
              </w:rPr>
              <w:t>Foreign currency translation adjustments</w:t>
            </w:r>
          </w:p>
        </w:tc>
        <w:tc>
          <w:tcPr>
            <w:tcW w:w="2700" w:type="dxa"/>
            <w:vAlign w:val="bottom"/>
            <w:shd w:val="clear" w:color="auto" w:fill="CCEEFF"/>
          </w:tcPr>
          <w:p>
            <w:pPr>
              <w:spacing w:after="0"/>
              <w:rPr>
                <w:sz w:val="18"/>
                <w:szCs w:val="18"/>
                <w:color w:val="auto"/>
              </w:rPr>
            </w:pPr>
          </w:p>
        </w:tc>
        <w:tc>
          <w:tcPr>
            <w:tcW w:w="60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0.9</w:t>
            </w:r>
          </w:p>
        </w:tc>
        <w:tc>
          <w:tcPr>
            <w:tcW w:w="260" w:type="dxa"/>
            <w:vAlign w:val="bottom"/>
            <w:shd w:val="clear" w:color="auto" w:fill="CCEEFF"/>
          </w:tcPr>
          <w:p>
            <w:pPr>
              <w:spacing w:after="0"/>
              <w:rPr>
                <w:sz w:val="18"/>
                <w:szCs w:val="18"/>
                <w:color w:val="auto"/>
              </w:rPr>
            </w:pPr>
          </w:p>
        </w:tc>
        <w:tc>
          <w:tcPr>
            <w:tcW w:w="136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142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0.9</w:t>
            </w:r>
          </w:p>
        </w:tc>
      </w:tr>
      <w:tr>
        <w:trPr>
          <w:trHeight w:val="216"/>
        </w:trPr>
        <w:tc>
          <w:tcPr>
            <w:tcW w:w="4920" w:type="dxa"/>
            <w:vAlign w:val="bottom"/>
          </w:tcPr>
          <w:p>
            <w:pPr>
              <w:ind w:left="180"/>
              <w:spacing w:after="0"/>
              <w:rPr>
                <w:sz w:val="20"/>
                <w:szCs w:val="20"/>
                <w:color w:val="auto"/>
              </w:rPr>
            </w:pPr>
            <w:r>
              <w:rPr>
                <w:rFonts w:ascii="Arial" w:cs="Arial" w:eastAsia="Arial" w:hAnsi="Arial"/>
                <w:sz w:val="18"/>
                <w:szCs w:val="18"/>
                <w:color w:val="auto"/>
              </w:rPr>
              <w:t>Stock-based compensation expense</w:t>
            </w:r>
          </w:p>
        </w:tc>
        <w:tc>
          <w:tcPr>
            <w:tcW w:w="2700" w:type="dxa"/>
            <w:vAlign w:val="bottom"/>
          </w:tcPr>
          <w:p>
            <w:pPr>
              <w:spacing w:after="0"/>
              <w:rPr>
                <w:sz w:val="18"/>
                <w:szCs w:val="18"/>
                <w:color w:val="auto"/>
              </w:rPr>
            </w:pPr>
          </w:p>
        </w:tc>
        <w:tc>
          <w:tcPr>
            <w:tcW w:w="600" w:type="dxa"/>
            <w:vAlign w:val="bottom"/>
          </w:tcPr>
          <w:p>
            <w:pPr>
              <w:jc w:val="right"/>
              <w:ind w:right="30"/>
              <w:spacing w:after="0"/>
              <w:rPr>
                <w:sz w:val="20"/>
                <w:szCs w:val="20"/>
                <w:color w:val="auto"/>
              </w:rPr>
            </w:pPr>
            <w:r>
              <w:rPr>
                <w:rFonts w:ascii="Arial" w:cs="Arial" w:eastAsia="Arial" w:hAnsi="Arial"/>
                <w:sz w:val="18"/>
                <w:szCs w:val="18"/>
                <w:color w:val="auto"/>
              </w:rPr>
              <w:t>2.6</w:t>
            </w:r>
          </w:p>
        </w:tc>
        <w:tc>
          <w:tcPr>
            <w:tcW w:w="260" w:type="dxa"/>
            <w:vAlign w:val="bottom"/>
          </w:tcPr>
          <w:p>
            <w:pPr>
              <w:spacing w:after="0"/>
              <w:rPr>
                <w:sz w:val="18"/>
                <w:szCs w:val="18"/>
                <w:color w:val="auto"/>
              </w:rPr>
            </w:pPr>
          </w:p>
        </w:tc>
        <w:tc>
          <w:tcPr>
            <w:tcW w:w="1360" w:type="dxa"/>
            <w:vAlign w:val="bottom"/>
          </w:tcPr>
          <w:p>
            <w:pPr>
              <w:jc w:val="right"/>
              <w:ind w:right="50"/>
              <w:spacing w:after="0"/>
              <w:rPr>
                <w:sz w:val="20"/>
                <w:szCs w:val="20"/>
                <w:color w:val="auto"/>
              </w:rPr>
            </w:pPr>
            <w:r>
              <w:rPr>
                <w:rFonts w:ascii="Arial" w:cs="Arial" w:eastAsia="Arial" w:hAnsi="Arial"/>
                <w:sz w:val="18"/>
                <w:szCs w:val="18"/>
                <w:color w:val="auto"/>
              </w:rPr>
              <w:t>2.6</w:t>
            </w:r>
          </w:p>
        </w:tc>
        <w:tc>
          <w:tcPr>
            <w:tcW w:w="160" w:type="dxa"/>
            <w:vAlign w:val="bottom"/>
          </w:tcPr>
          <w:p>
            <w:pPr>
              <w:spacing w:after="0"/>
              <w:rPr>
                <w:sz w:val="18"/>
                <w:szCs w:val="18"/>
                <w:color w:val="auto"/>
              </w:rPr>
            </w:pPr>
          </w:p>
        </w:tc>
        <w:tc>
          <w:tcPr>
            <w:tcW w:w="1420" w:type="dxa"/>
            <w:vAlign w:val="bottom"/>
          </w:tcPr>
          <w:p>
            <w:pPr>
              <w:jc w:val="right"/>
              <w:ind w:right="10"/>
              <w:spacing w:after="0"/>
              <w:rPr>
                <w:sz w:val="20"/>
                <w:szCs w:val="20"/>
                <w:color w:val="auto"/>
              </w:rPr>
            </w:pPr>
            <w:r>
              <w:rPr>
                <w:rFonts w:ascii="Arial" w:cs="Arial" w:eastAsia="Arial" w:hAnsi="Arial"/>
                <w:sz w:val="18"/>
                <w:szCs w:val="18"/>
                <w:color w:val="auto"/>
              </w:rPr>
              <w:t>—</w:t>
            </w:r>
          </w:p>
        </w:tc>
      </w:tr>
      <w:tr>
        <w:trPr>
          <w:trHeight w:val="216"/>
        </w:trPr>
        <w:tc>
          <w:tcPr>
            <w:tcW w:w="4920" w:type="dxa"/>
            <w:vAlign w:val="bottom"/>
            <w:tcBorders>
              <w:bottom w:val="single" w:sz="8" w:color="auto"/>
            </w:tcBorders>
            <w:shd w:val="clear" w:color="auto" w:fill="CCEEFF"/>
          </w:tcPr>
          <w:p>
            <w:pPr>
              <w:ind w:left="180"/>
              <w:spacing w:after="0"/>
              <w:rPr>
                <w:sz w:val="20"/>
                <w:szCs w:val="20"/>
                <w:color w:val="auto"/>
              </w:rPr>
            </w:pPr>
            <w:r>
              <w:rPr>
                <w:rFonts w:ascii="Arial" w:cs="Arial" w:eastAsia="Arial" w:hAnsi="Arial"/>
                <w:sz w:val="18"/>
                <w:szCs w:val="18"/>
                <w:color w:val="auto"/>
              </w:rPr>
              <w:t>Net transfer to Parent and affiliates</w:t>
            </w:r>
          </w:p>
        </w:tc>
        <w:tc>
          <w:tcPr>
            <w:tcW w:w="2700" w:type="dxa"/>
            <w:vAlign w:val="bottom"/>
            <w:tcBorders>
              <w:bottom w:val="single" w:sz="8" w:color="auto"/>
            </w:tcBorders>
            <w:shd w:val="clear" w:color="auto" w:fill="CCEEFF"/>
          </w:tcPr>
          <w:p>
            <w:pPr>
              <w:spacing w:after="0"/>
              <w:rPr>
                <w:sz w:val="18"/>
                <w:szCs w:val="18"/>
                <w:color w:val="auto"/>
              </w:rPr>
            </w:pP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1"/>
              </w:rPr>
              <w:t>(121.1)</w:t>
            </w:r>
          </w:p>
        </w:tc>
        <w:tc>
          <w:tcPr>
            <w:tcW w:w="260" w:type="dxa"/>
            <w:vAlign w:val="bottom"/>
            <w:tcBorders>
              <w:bottom w:val="single" w:sz="8" w:color="auto"/>
            </w:tcBorders>
            <w:shd w:val="clear" w:color="auto" w:fill="CCEEFF"/>
          </w:tcPr>
          <w:p>
            <w:pPr>
              <w:spacing w:after="0"/>
              <w:rPr>
                <w:sz w:val="18"/>
                <w:szCs w:val="18"/>
                <w:color w:val="auto"/>
              </w:rPr>
            </w:pPr>
          </w:p>
        </w:tc>
        <w:tc>
          <w:tcPr>
            <w:tcW w:w="13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(121.1)</w:t>
            </w:r>
          </w:p>
        </w:tc>
        <w:tc>
          <w:tcPr>
            <w:tcW w:w="160" w:type="dxa"/>
            <w:vAlign w:val="bottom"/>
            <w:tcBorders>
              <w:bottom w:val="single" w:sz="8" w:color="auto"/>
            </w:tcBorders>
            <w:shd w:val="clear" w:color="auto" w:fill="CCEEFF"/>
          </w:tcPr>
          <w:p>
            <w:pPr>
              <w:spacing w:after="0"/>
              <w:rPr>
                <w:sz w:val="18"/>
                <w:szCs w:val="18"/>
                <w:color w:val="auto"/>
              </w:rPr>
            </w:pPr>
          </w:p>
        </w:tc>
        <w:tc>
          <w:tcPr>
            <w:tcW w:w="14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r>
      <w:tr>
        <w:trPr>
          <w:trHeight w:val="210"/>
        </w:trPr>
        <w:tc>
          <w:tcPr>
            <w:tcW w:w="4920" w:type="dxa"/>
            <w:vAlign w:val="bottom"/>
          </w:tcPr>
          <w:p>
            <w:pPr>
              <w:spacing w:after="0"/>
              <w:rPr>
                <w:sz w:val="20"/>
                <w:szCs w:val="20"/>
                <w:color w:val="auto"/>
              </w:rPr>
            </w:pPr>
            <w:r>
              <w:rPr>
                <w:rFonts w:ascii="Arial" w:cs="Arial" w:eastAsia="Arial" w:hAnsi="Arial"/>
                <w:sz w:val="18"/>
                <w:szCs w:val="18"/>
                <w:color w:val="auto"/>
              </w:rPr>
              <w:t>Balance at December 31, 2012</w:t>
            </w:r>
          </w:p>
        </w:tc>
        <w:tc>
          <w:tcPr>
            <w:tcW w:w="2700" w:type="dxa"/>
            <w:vAlign w:val="bottom"/>
          </w:tcPr>
          <w:p>
            <w:pPr>
              <w:jc w:val="right"/>
              <w:ind w:right="750"/>
              <w:spacing w:after="0"/>
              <w:rPr>
                <w:sz w:val="20"/>
                <w:szCs w:val="20"/>
                <w:color w:val="auto"/>
              </w:rPr>
            </w:pPr>
            <w:r>
              <w:rPr>
                <w:rFonts w:ascii="Arial" w:cs="Arial" w:eastAsia="Arial" w:hAnsi="Arial"/>
                <w:sz w:val="18"/>
                <w:szCs w:val="18"/>
                <w:color w:val="auto"/>
              </w:rPr>
              <w:t>$</w:t>
            </w:r>
          </w:p>
        </w:tc>
        <w:tc>
          <w:tcPr>
            <w:tcW w:w="600" w:type="dxa"/>
            <w:vAlign w:val="bottom"/>
          </w:tcPr>
          <w:p>
            <w:pPr>
              <w:jc w:val="right"/>
              <w:ind w:right="30"/>
              <w:spacing w:after="0"/>
              <w:rPr>
                <w:sz w:val="20"/>
                <w:szCs w:val="20"/>
                <w:color w:val="auto"/>
              </w:rPr>
            </w:pPr>
            <w:r>
              <w:rPr>
                <w:rFonts w:ascii="Arial" w:cs="Arial" w:eastAsia="Arial" w:hAnsi="Arial"/>
                <w:sz w:val="18"/>
                <w:szCs w:val="18"/>
                <w:color w:val="auto"/>
              </w:rPr>
              <w:t>699.8</w:t>
            </w:r>
          </w:p>
        </w:tc>
        <w:tc>
          <w:tcPr>
            <w:tcW w:w="260" w:type="dxa"/>
            <w:vAlign w:val="bottom"/>
          </w:tcPr>
          <w:p>
            <w:pPr>
              <w:jc w:val="right"/>
              <w:spacing w:after="0"/>
              <w:rPr>
                <w:sz w:val="20"/>
                <w:szCs w:val="20"/>
                <w:color w:val="auto"/>
              </w:rPr>
            </w:pPr>
            <w:r>
              <w:rPr>
                <w:rFonts w:ascii="Arial" w:cs="Arial" w:eastAsia="Arial" w:hAnsi="Arial"/>
                <w:sz w:val="18"/>
                <w:szCs w:val="18"/>
                <w:color w:val="auto"/>
              </w:rPr>
              <w:t>$</w:t>
            </w:r>
          </w:p>
        </w:tc>
        <w:tc>
          <w:tcPr>
            <w:tcW w:w="1360" w:type="dxa"/>
            <w:vAlign w:val="bottom"/>
          </w:tcPr>
          <w:p>
            <w:pPr>
              <w:jc w:val="right"/>
              <w:ind w:right="50"/>
              <w:spacing w:after="0"/>
              <w:rPr>
                <w:sz w:val="20"/>
                <w:szCs w:val="20"/>
                <w:color w:val="auto"/>
              </w:rPr>
            </w:pPr>
            <w:r>
              <w:rPr>
                <w:rFonts w:ascii="Arial" w:cs="Arial" w:eastAsia="Arial" w:hAnsi="Arial"/>
                <w:sz w:val="18"/>
                <w:szCs w:val="18"/>
                <w:color w:val="auto"/>
              </w:rPr>
              <w:t>700.4</w:t>
            </w:r>
          </w:p>
        </w:tc>
        <w:tc>
          <w:tcPr>
            <w:tcW w:w="160" w:type="dxa"/>
            <w:vAlign w:val="bottom"/>
          </w:tcPr>
          <w:p>
            <w:pPr>
              <w:jc w:val="right"/>
              <w:spacing w:after="0"/>
              <w:rPr>
                <w:sz w:val="20"/>
                <w:szCs w:val="20"/>
                <w:color w:val="auto"/>
              </w:rPr>
            </w:pPr>
            <w:r>
              <w:rPr>
                <w:rFonts w:ascii="Arial" w:cs="Arial" w:eastAsia="Arial" w:hAnsi="Arial"/>
                <w:sz w:val="18"/>
                <w:szCs w:val="18"/>
                <w:color w:val="auto"/>
              </w:rPr>
              <w:t>$</w:t>
            </w:r>
          </w:p>
        </w:tc>
        <w:tc>
          <w:tcPr>
            <w:tcW w:w="1420" w:type="dxa"/>
            <w:vAlign w:val="bottom"/>
          </w:tcPr>
          <w:p>
            <w:pPr>
              <w:jc w:val="right"/>
              <w:spacing w:after="0"/>
              <w:rPr>
                <w:sz w:val="20"/>
                <w:szCs w:val="20"/>
                <w:color w:val="auto"/>
              </w:rPr>
            </w:pPr>
            <w:r>
              <w:rPr>
                <w:rFonts w:ascii="Arial" w:cs="Arial" w:eastAsia="Arial" w:hAnsi="Arial"/>
                <w:sz w:val="18"/>
                <w:szCs w:val="18"/>
                <w:color w:val="auto"/>
              </w:rPr>
              <w:t>(0.6)</w:t>
            </w:r>
          </w:p>
        </w:tc>
      </w:tr>
      <w:tr>
        <w:trPr>
          <w:trHeight w:val="216"/>
        </w:trPr>
        <w:tc>
          <w:tcPr>
            <w:tcW w:w="4920" w:type="dxa"/>
            <w:vAlign w:val="bottom"/>
            <w:shd w:val="clear" w:color="auto" w:fill="CCEEFF"/>
          </w:tcPr>
          <w:p>
            <w:pPr>
              <w:spacing w:after="0"/>
              <w:rPr>
                <w:sz w:val="18"/>
                <w:szCs w:val="18"/>
                <w:color w:val="auto"/>
              </w:rPr>
            </w:pPr>
          </w:p>
        </w:tc>
        <w:tc>
          <w:tcPr>
            <w:tcW w:w="270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3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20" w:type="dxa"/>
            <w:vAlign w:val="bottom"/>
            <w:shd w:val="clear" w:color="auto" w:fill="CCEEFF"/>
          </w:tcPr>
          <w:p>
            <w:pPr>
              <w:spacing w:after="0"/>
              <w:rPr>
                <w:sz w:val="18"/>
                <w:szCs w:val="18"/>
                <w:color w:val="auto"/>
              </w:rPr>
            </w:pPr>
          </w:p>
        </w:tc>
      </w:tr>
      <w:tr>
        <w:trPr>
          <w:trHeight w:val="216"/>
        </w:trPr>
        <w:tc>
          <w:tcPr>
            <w:tcW w:w="4920" w:type="dxa"/>
            <w:vAlign w:val="bottom"/>
          </w:tcPr>
          <w:p>
            <w:pPr>
              <w:spacing w:after="0"/>
              <w:rPr>
                <w:sz w:val="18"/>
                <w:szCs w:val="18"/>
                <w:color w:val="auto"/>
              </w:rPr>
            </w:pPr>
          </w:p>
        </w:tc>
        <w:tc>
          <w:tcPr>
            <w:tcW w:w="27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20" w:type="dxa"/>
            <w:vAlign w:val="bottom"/>
          </w:tcPr>
          <w:p>
            <w:pPr>
              <w:spacing w:after="0"/>
              <w:rPr>
                <w:sz w:val="18"/>
                <w:szCs w:val="18"/>
                <w:color w:val="auto"/>
              </w:rPr>
            </w:pPr>
          </w:p>
        </w:tc>
      </w:tr>
      <w:tr>
        <w:trPr>
          <w:trHeight w:val="216"/>
        </w:trPr>
        <w:tc>
          <w:tcPr>
            <w:tcW w:w="4920" w:type="dxa"/>
            <w:vAlign w:val="bottom"/>
            <w:shd w:val="clear" w:color="auto" w:fill="CCEEFF"/>
          </w:tcPr>
          <w:p>
            <w:pPr>
              <w:ind w:left="180"/>
              <w:spacing w:after="0"/>
              <w:rPr>
                <w:sz w:val="20"/>
                <w:szCs w:val="20"/>
                <w:color w:val="auto"/>
              </w:rPr>
            </w:pPr>
            <w:r>
              <w:rPr>
                <w:rFonts w:ascii="Arial" w:cs="Arial" w:eastAsia="Arial" w:hAnsi="Arial"/>
                <w:sz w:val="18"/>
                <w:szCs w:val="18"/>
                <w:color w:val="auto"/>
              </w:rPr>
              <w:t>Net income</w:t>
            </w:r>
          </w:p>
        </w:tc>
        <w:tc>
          <w:tcPr>
            <w:tcW w:w="2700" w:type="dxa"/>
            <w:vAlign w:val="bottom"/>
            <w:shd w:val="clear" w:color="auto" w:fill="CCEEFF"/>
          </w:tcPr>
          <w:p>
            <w:pPr>
              <w:spacing w:after="0"/>
              <w:rPr>
                <w:sz w:val="18"/>
                <w:szCs w:val="18"/>
                <w:color w:val="auto"/>
              </w:rPr>
            </w:pPr>
          </w:p>
        </w:tc>
        <w:tc>
          <w:tcPr>
            <w:tcW w:w="600" w:type="dxa"/>
            <w:vAlign w:val="bottom"/>
            <w:shd w:val="clear" w:color="auto" w:fill="CCEEFF"/>
          </w:tcPr>
          <w:p>
            <w:pPr>
              <w:jc w:val="right"/>
              <w:ind w:right="30"/>
              <w:spacing w:after="0"/>
              <w:rPr>
                <w:sz w:val="20"/>
                <w:szCs w:val="20"/>
                <w:color w:val="auto"/>
              </w:rPr>
            </w:pPr>
            <w:r>
              <w:rPr>
                <w:rFonts w:ascii="Arial" w:cs="Arial" w:eastAsia="Arial" w:hAnsi="Arial"/>
                <w:sz w:val="18"/>
                <w:szCs w:val="18"/>
                <w:b w:val="1"/>
                <w:bCs w:val="1"/>
                <w:color w:val="auto"/>
              </w:rPr>
              <w:t>89.5</w:t>
            </w:r>
          </w:p>
        </w:tc>
        <w:tc>
          <w:tcPr>
            <w:tcW w:w="260" w:type="dxa"/>
            <w:vAlign w:val="bottom"/>
            <w:shd w:val="clear" w:color="auto" w:fill="CCEEFF"/>
          </w:tcPr>
          <w:p>
            <w:pPr>
              <w:spacing w:after="0"/>
              <w:rPr>
                <w:sz w:val="18"/>
                <w:szCs w:val="18"/>
                <w:color w:val="auto"/>
              </w:rPr>
            </w:pPr>
          </w:p>
        </w:tc>
        <w:tc>
          <w:tcPr>
            <w:tcW w:w="1360" w:type="dxa"/>
            <w:vAlign w:val="bottom"/>
            <w:shd w:val="clear" w:color="auto" w:fill="CCEEFF"/>
          </w:tcPr>
          <w:p>
            <w:pPr>
              <w:jc w:val="right"/>
              <w:ind w:right="50"/>
              <w:spacing w:after="0"/>
              <w:rPr>
                <w:sz w:val="20"/>
                <w:szCs w:val="20"/>
                <w:color w:val="auto"/>
              </w:rPr>
            </w:pPr>
            <w:r>
              <w:rPr>
                <w:rFonts w:ascii="Arial" w:cs="Arial" w:eastAsia="Arial" w:hAnsi="Arial"/>
                <w:sz w:val="18"/>
                <w:szCs w:val="18"/>
                <w:b w:val="1"/>
                <w:bCs w:val="1"/>
                <w:color w:val="auto"/>
              </w:rPr>
              <w:t>89.5</w:t>
            </w:r>
          </w:p>
        </w:tc>
        <w:tc>
          <w:tcPr>
            <w:tcW w:w="160" w:type="dxa"/>
            <w:vAlign w:val="bottom"/>
            <w:shd w:val="clear" w:color="auto" w:fill="CCEEFF"/>
          </w:tcPr>
          <w:p>
            <w:pPr>
              <w:spacing w:after="0"/>
              <w:rPr>
                <w:sz w:val="18"/>
                <w:szCs w:val="18"/>
                <w:color w:val="auto"/>
              </w:rPr>
            </w:pPr>
          </w:p>
        </w:tc>
        <w:tc>
          <w:tcPr>
            <w:tcW w:w="1420" w:type="dxa"/>
            <w:vAlign w:val="bottom"/>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w:t>
            </w:r>
          </w:p>
        </w:tc>
      </w:tr>
      <w:tr>
        <w:trPr>
          <w:trHeight w:val="216"/>
        </w:trPr>
        <w:tc>
          <w:tcPr>
            <w:tcW w:w="4920" w:type="dxa"/>
            <w:vAlign w:val="bottom"/>
          </w:tcPr>
          <w:p>
            <w:pPr>
              <w:ind w:left="180"/>
              <w:spacing w:after="0"/>
              <w:rPr>
                <w:sz w:val="20"/>
                <w:szCs w:val="20"/>
                <w:color w:val="auto"/>
              </w:rPr>
            </w:pPr>
            <w:r>
              <w:rPr>
                <w:rFonts w:ascii="Arial" w:cs="Arial" w:eastAsia="Arial" w:hAnsi="Arial"/>
                <w:sz w:val="18"/>
                <w:szCs w:val="18"/>
                <w:color w:val="auto"/>
              </w:rPr>
              <w:t>Foreign currency translation adjustments</w:t>
            </w:r>
          </w:p>
        </w:tc>
        <w:tc>
          <w:tcPr>
            <w:tcW w:w="2700" w:type="dxa"/>
            <w:vAlign w:val="bottom"/>
          </w:tcPr>
          <w:p>
            <w:pPr>
              <w:spacing w:after="0"/>
              <w:rPr>
                <w:sz w:val="18"/>
                <w:szCs w:val="18"/>
                <w:color w:val="auto"/>
              </w:rPr>
            </w:pPr>
          </w:p>
        </w:tc>
        <w:tc>
          <w:tcPr>
            <w:tcW w:w="600" w:type="dxa"/>
            <w:vAlign w:val="bottom"/>
          </w:tcPr>
          <w:p>
            <w:pPr>
              <w:jc w:val="right"/>
              <w:ind w:right="30"/>
              <w:spacing w:after="0"/>
              <w:rPr>
                <w:sz w:val="20"/>
                <w:szCs w:val="20"/>
                <w:color w:val="auto"/>
              </w:rPr>
            </w:pPr>
            <w:r>
              <w:rPr>
                <w:rFonts w:ascii="Arial" w:cs="Arial" w:eastAsia="Arial" w:hAnsi="Arial"/>
                <w:sz w:val="18"/>
                <w:szCs w:val="18"/>
                <w:b w:val="1"/>
                <w:bCs w:val="1"/>
                <w:color w:val="auto"/>
              </w:rPr>
              <w:t>0.2</w:t>
            </w:r>
          </w:p>
        </w:tc>
        <w:tc>
          <w:tcPr>
            <w:tcW w:w="260" w:type="dxa"/>
            <w:vAlign w:val="bottom"/>
          </w:tcPr>
          <w:p>
            <w:pPr>
              <w:spacing w:after="0"/>
              <w:rPr>
                <w:sz w:val="18"/>
                <w:szCs w:val="18"/>
                <w:color w:val="auto"/>
              </w:rPr>
            </w:pPr>
          </w:p>
        </w:tc>
        <w:tc>
          <w:tcPr>
            <w:tcW w:w="1360" w:type="dxa"/>
            <w:vAlign w:val="bottom"/>
          </w:tcPr>
          <w:p>
            <w:pPr>
              <w:jc w:val="right"/>
              <w:ind w:right="50"/>
              <w:spacing w:after="0"/>
              <w:rPr>
                <w:sz w:val="20"/>
                <w:szCs w:val="20"/>
                <w:color w:val="auto"/>
              </w:rPr>
            </w:pPr>
            <w:r>
              <w:rPr>
                <w:rFonts w:ascii="Arial" w:cs="Arial" w:eastAsia="Arial" w:hAnsi="Arial"/>
                <w:sz w:val="18"/>
                <w:szCs w:val="18"/>
                <w:b w:val="1"/>
                <w:bCs w:val="1"/>
                <w:color w:val="auto"/>
              </w:rPr>
              <w:t>—</w:t>
            </w:r>
          </w:p>
        </w:tc>
        <w:tc>
          <w:tcPr>
            <w:tcW w:w="160" w:type="dxa"/>
            <w:vAlign w:val="bottom"/>
          </w:tcPr>
          <w:p>
            <w:pPr>
              <w:spacing w:after="0"/>
              <w:rPr>
                <w:sz w:val="18"/>
                <w:szCs w:val="18"/>
                <w:color w:val="auto"/>
              </w:rPr>
            </w:pPr>
          </w:p>
        </w:tc>
        <w:tc>
          <w:tcPr>
            <w:tcW w:w="1420" w:type="dxa"/>
            <w:vAlign w:val="bottom"/>
          </w:tcPr>
          <w:p>
            <w:pPr>
              <w:jc w:val="right"/>
              <w:ind w:right="10"/>
              <w:spacing w:after="0"/>
              <w:rPr>
                <w:sz w:val="20"/>
                <w:szCs w:val="20"/>
                <w:color w:val="auto"/>
              </w:rPr>
            </w:pPr>
            <w:r>
              <w:rPr>
                <w:rFonts w:ascii="Arial" w:cs="Arial" w:eastAsia="Arial" w:hAnsi="Arial"/>
                <w:sz w:val="18"/>
                <w:szCs w:val="18"/>
                <w:b w:val="1"/>
                <w:bCs w:val="1"/>
                <w:color w:val="auto"/>
              </w:rPr>
              <w:t>0.2</w:t>
            </w:r>
          </w:p>
        </w:tc>
      </w:tr>
      <w:tr>
        <w:trPr>
          <w:trHeight w:val="216"/>
        </w:trPr>
        <w:tc>
          <w:tcPr>
            <w:tcW w:w="4920" w:type="dxa"/>
            <w:vAlign w:val="bottom"/>
            <w:shd w:val="clear" w:color="auto" w:fill="CCEEFF"/>
          </w:tcPr>
          <w:p>
            <w:pPr>
              <w:ind w:left="180"/>
              <w:spacing w:after="0"/>
              <w:rPr>
                <w:sz w:val="20"/>
                <w:szCs w:val="20"/>
                <w:color w:val="auto"/>
              </w:rPr>
            </w:pPr>
            <w:r>
              <w:rPr>
                <w:rFonts w:ascii="Arial" w:cs="Arial" w:eastAsia="Arial" w:hAnsi="Arial"/>
                <w:sz w:val="18"/>
                <w:szCs w:val="18"/>
                <w:color w:val="auto"/>
              </w:rPr>
              <w:t>Stock-based compensation expense</w:t>
            </w:r>
          </w:p>
        </w:tc>
        <w:tc>
          <w:tcPr>
            <w:tcW w:w="2700" w:type="dxa"/>
            <w:vAlign w:val="bottom"/>
            <w:shd w:val="clear" w:color="auto" w:fill="CCEEFF"/>
          </w:tcPr>
          <w:p>
            <w:pPr>
              <w:spacing w:after="0"/>
              <w:rPr>
                <w:sz w:val="18"/>
                <w:szCs w:val="18"/>
                <w:color w:val="auto"/>
              </w:rPr>
            </w:pPr>
          </w:p>
        </w:tc>
        <w:tc>
          <w:tcPr>
            <w:tcW w:w="600" w:type="dxa"/>
            <w:vAlign w:val="bottom"/>
            <w:shd w:val="clear" w:color="auto" w:fill="CCEEFF"/>
          </w:tcPr>
          <w:p>
            <w:pPr>
              <w:jc w:val="right"/>
              <w:ind w:right="30"/>
              <w:spacing w:after="0"/>
              <w:rPr>
                <w:sz w:val="20"/>
                <w:szCs w:val="20"/>
                <w:color w:val="auto"/>
              </w:rPr>
            </w:pPr>
            <w:r>
              <w:rPr>
                <w:rFonts w:ascii="Arial" w:cs="Arial" w:eastAsia="Arial" w:hAnsi="Arial"/>
                <w:sz w:val="18"/>
                <w:szCs w:val="18"/>
                <w:b w:val="1"/>
                <w:bCs w:val="1"/>
                <w:color w:val="auto"/>
              </w:rPr>
              <w:t>2.8</w:t>
            </w:r>
          </w:p>
        </w:tc>
        <w:tc>
          <w:tcPr>
            <w:tcW w:w="260" w:type="dxa"/>
            <w:vAlign w:val="bottom"/>
            <w:shd w:val="clear" w:color="auto" w:fill="CCEEFF"/>
          </w:tcPr>
          <w:p>
            <w:pPr>
              <w:spacing w:after="0"/>
              <w:rPr>
                <w:sz w:val="18"/>
                <w:szCs w:val="18"/>
                <w:color w:val="auto"/>
              </w:rPr>
            </w:pPr>
          </w:p>
        </w:tc>
        <w:tc>
          <w:tcPr>
            <w:tcW w:w="1360" w:type="dxa"/>
            <w:vAlign w:val="bottom"/>
            <w:shd w:val="clear" w:color="auto" w:fill="CCEEFF"/>
          </w:tcPr>
          <w:p>
            <w:pPr>
              <w:jc w:val="right"/>
              <w:ind w:right="50"/>
              <w:spacing w:after="0"/>
              <w:rPr>
                <w:sz w:val="20"/>
                <w:szCs w:val="20"/>
                <w:color w:val="auto"/>
              </w:rPr>
            </w:pPr>
            <w:r>
              <w:rPr>
                <w:rFonts w:ascii="Arial" w:cs="Arial" w:eastAsia="Arial" w:hAnsi="Arial"/>
                <w:sz w:val="18"/>
                <w:szCs w:val="18"/>
                <w:b w:val="1"/>
                <w:bCs w:val="1"/>
                <w:color w:val="auto"/>
              </w:rPr>
              <w:t>2.8</w:t>
            </w:r>
          </w:p>
        </w:tc>
        <w:tc>
          <w:tcPr>
            <w:tcW w:w="160" w:type="dxa"/>
            <w:vAlign w:val="bottom"/>
            <w:shd w:val="clear" w:color="auto" w:fill="CCEEFF"/>
          </w:tcPr>
          <w:p>
            <w:pPr>
              <w:spacing w:after="0"/>
              <w:rPr>
                <w:sz w:val="18"/>
                <w:szCs w:val="18"/>
                <w:color w:val="auto"/>
              </w:rPr>
            </w:pPr>
          </w:p>
        </w:tc>
        <w:tc>
          <w:tcPr>
            <w:tcW w:w="1420" w:type="dxa"/>
            <w:vAlign w:val="bottom"/>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w:t>
            </w:r>
          </w:p>
        </w:tc>
      </w:tr>
      <w:tr>
        <w:trPr>
          <w:trHeight w:val="216"/>
        </w:trPr>
        <w:tc>
          <w:tcPr>
            <w:tcW w:w="4920" w:type="dxa"/>
            <w:vAlign w:val="bottom"/>
            <w:tcBorders>
              <w:bottom w:val="single" w:sz="8" w:color="auto"/>
            </w:tcBorders>
          </w:tcPr>
          <w:p>
            <w:pPr>
              <w:ind w:left="180"/>
              <w:spacing w:after="0"/>
              <w:rPr>
                <w:sz w:val="20"/>
                <w:szCs w:val="20"/>
                <w:color w:val="auto"/>
              </w:rPr>
            </w:pPr>
            <w:r>
              <w:rPr>
                <w:rFonts w:ascii="Arial" w:cs="Arial" w:eastAsia="Arial" w:hAnsi="Arial"/>
                <w:sz w:val="18"/>
                <w:szCs w:val="18"/>
                <w:color w:val="auto"/>
              </w:rPr>
              <w:t>Net transfer from Parent and affiliates</w:t>
            </w:r>
          </w:p>
        </w:tc>
        <w:tc>
          <w:tcPr>
            <w:tcW w:w="2700" w:type="dxa"/>
            <w:vAlign w:val="bottom"/>
            <w:tcBorders>
              <w:bottom w:val="single" w:sz="8" w:color="auto"/>
            </w:tcBorders>
          </w:tcPr>
          <w:p>
            <w:pPr>
              <w:spacing w:after="0"/>
              <w:rPr>
                <w:sz w:val="18"/>
                <w:szCs w:val="18"/>
                <w:color w:val="auto"/>
              </w:rPr>
            </w:pPr>
          </w:p>
        </w:tc>
        <w:tc>
          <w:tcPr>
            <w:tcW w:w="60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b w:val="1"/>
                <w:bCs w:val="1"/>
                <w:color w:val="auto"/>
              </w:rPr>
              <w:t>8.5</w:t>
            </w:r>
          </w:p>
        </w:tc>
        <w:tc>
          <w:tcPr>
            <w:tcW w:w="260" w:type="dxa"/>
            <w:vAlign w:val="bottom"/>
            <w:tcBorders>
              <w:bottom w:val="single" w:sz="8" w:color="auto"/>
            </w:tcBorders>
          </w:tcPr>
          <w:p>
            <w:pPr>
              <w:spacing w:after="0"/>
              <w:rPr>
                <w:sz w:val="18"/>
                <w:szCs w:val="18"/>
                <w:color w:val="auto"/>
              </w:rPr>
            </w:pPr>
          </w:p>
        </w:tc>
        <w:tc>
          <w:tcPr>
            <w:tcW w:w="136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b w:val="1"/>
                <w:bCs w:val="1"/>
                <w:color w:val="auto"/>
              </w:rPr>
              <w:t>8.5</w:t>
            </w:r>
          </w:p>
        </w:tc>
        <w:tc>
          <w:tcPr>
            <w:tcW w:w="160" w:type="dxa"/>
            <w:vAlign w:val="bottom"/>
            <w:tcBorders>
              <w:bottom w:val="single" w:sz="8" w:color="auto"/>
            </w:tcBorders>
          </w:tcPr>
          <w:p>
            <w:pPr>
              <w:spacing w:after="0"/>
              <w:rPr>
                <w:sz w:val="18"/>
                <w:szCs w:val="18"/>
                <w:color w:val="auto"/>
              </w:rPr>
            </w:pPr>
          </w:p>
        </w:tc>
        <w:tc>
          <w:tcPr>
            <w:tcW w:w="142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b w:val="1"/>
                <w:bCs w:val="1"/>
                <w:color w:val="auto"/>
              </w:rPr>
              <w:t>—</w:t>
            </w:r>
          </w:p>
        </w:tc>
      </w:tr>
      <w:tr>
        <w:trPr>
          <w:trHeight w:val="217"/>
        </w:trPr>
        <w:tc>
          <w:tcPr>
            <w:tcW w:w="492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color w:val="auto"/>
              </w:rPr>
              <w:t>Balance at December 31, 2013</w:t>
            </w:r>
          </w:p>
        </w:tc>
        <w:tc>
          <w:tcPr>
            <w:tcW w:w="2700" w:type="dxa"/>
            <w:vAlign w:val="bottom"/>
            <w:tcBorders>
              <w:bottom w:val="single" w:sz="8" w:color="auto"/>
            </w:tcBorders>
            <w:shd w:val="clear" w:color="auto" w:fill="CCEEFF"/>
          </w:tcPr>
          <w:p>
            <w:pPr>
              <w:jc w:val="right"/>
              <w:ind w:right="750"/>
              <w:spacing w:after="0"/>
              <w:rPr>
                <w:sz w:val="20"/>
                <w:szCs w:val="20"/>
                <w:color w:val="auto"/>
              </w:rPr>
            </w:pPr>
            <w:r>
              <w:rPr>
                <w:rFonts w:ascii="Arial" w:cs="Arial" w:eastAsia="Arial" w:hAnsi="Arial"/>
                <w:sz w:val="18"/>
                <w:szCs w:val="18"/>
                <w:b w:val="1"/>
                <w:bCs w:val="1"/>
                <w:color w:val="auto"/>
              </w:rPr>
              <w:t>$</w:t>
            </w:r>
          </w:p>
        </w:tc>
        <w:tc>
          <w:tcPr>
            <w:tcW w:w="60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b w:val="1"/>
                <w:bCs w:val="1"/>
                <w:color w:val="auto"/>
              </w:rPr>
              <w:t>800.8</w:t>
            </w:r>
          </w:p>
        </w:tc>
        <w:tc>
          <w:tcPr>
            <w:tcW w:w="2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136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b w:val="1"/>
                <w:bCs w:val="1"/>
                <w:color w:val="auto"/>
              </w:rPr>
              <w:t>801.2</w:t>
            </w: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14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(0.4)</w:t>
            </w:r>
          </w:p>
        </w:tc>
      </w:tr>
    </w:tbl>
    <w:p>
      <w:pPr>
        <w:spacing w:after="0" w:line="62" w:lineRule="exact"/>
        <w:rPr>
          <w:sz w:val="20"/>
          <w:szCs w:val="20"/>
          <w:color w:val="auto"/>
        </w:rPr>
      </w:pPr>
    </w:p>
    <w:p>
      <w:pPr>
        <w:spacing w:after="0"/>
        <w:rPr>
          <w:sz w:val="20"/>
          <w:szCs w:val="20"/>
          <w:color w:val="auto"/>
        </w:rPr>
      </w:pPr>
      <w:r>
        <w:rPr>
          <w:rFonts w:ascii="Arial" w:cs="Arial" w:eastAsia="Arial" w:hAnsi="Arial"/>
          <w:sz w:val="14"/>
          <w:szCs w:val="14"/>
          <w:color w:val="auto"/>
        </w:rPr>
        <w:t>See accompanying Notes to the Audited Consolidated Financial Statements.</w:t>
      </w:r>
    </w:p>
    <w:p>
      <w:pPr>
        <w:spacing w:after="0" w:line="14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F-6</w:t>
      </w:r>
    </w:p>
    <w:p>
      <w:pPr>
        <w:sectPr>
          <w:pgSz w:w="11900" w:h="16838" w:orient="portrait"/>
          <w:cols w:equalWidth="0" w:num="1">
            <w:col w:w="11420"/>
          </w:cols>
          <w:pgMar w:left="240" w:top="459" w:right="239" w:bottom="1440" w:gutter="0" w:footer="0" w:header="0"/>
        </w:sectPr>
      </w:pPr>
    </w:p>
    <w:bookmarkStart w:id="113" w:name="page114"/>
    <w:bookmarkEnd w:id="11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41">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1" w:lineRule="exact"/>
        <w:rPr>
          <w:sz w:val="20"/>
          <w:szCs w:val="20"/>
          <w:color w:val="auto"/>
        </w:rPr>
      </w:pPr>
    </w:p>
    <w:p>
      <w:pPr>
        <w:jc w:val="center"/>
        <w:ind w:right="-19"/>
        <w:spacing w:after="0"/>
        <w:rPr>
          <w:sz w:val="20"/>
          <w:szCs w:val="20"/>
          <w:color w:val="auto"/>
        </w:rPr>
      </w:pPr>
      <w:r>
        <w:rPr>
          <w:rFonts w:ascii="Arial" w:cs="Arial" w:eastAsia="Arial" w:hAnsi="Arial"/>
          <w:sz w:val="25"/>
          <w:szCs w:val="25"/>
          <w:b w:val="1"/>
          <w:bCs w:val="1"/>
          <w:color w:val="auto"/>
        </w:rPr>
        <w:t>Notes to Audited Consolidated Financial Statements</w:t>
      </w:r>
    </w:p>
    <w:p>
      <w:pPr>
        <w:spacing w:after="0" w:line="32" w:lineRule="exact"/>
        <w:rPr>
          <w:sz w:val="20"/>
          <w:szCs w:val="20"/>
          <w:color w:val="auto"/>
        </w:rPr>
      </w:pPr>
    </w:p>
    <w:p>
      <w:pPr>
        <w:jc w:val="center"/>
        <w:ind w:right="-19"/>
        <w:spacing w:after="0"/>
        <w:rPr>
          <w:sz w:val="20"/>
          <w:szCs w:val="20"/>
          <w:color w:val="auto"/>
        </w:rPr>
      </w:pPr>
      <w:r>
        <w:rPr>
          <w:rFonts w:ascii="Arial" w:cs="Arial" w:eastAsia="Arial" w:hAnsi="Arial"/>
          <w:sz w:val="20"/>
          <w:szCs w:val="20"/>
          <w:i w:val="1"/>
          <w:iCs w:val="1"/>
          <w:color w:val="auto"/>
        </w:rPr>
        <w:t>(Dollars in millions, except per share data)</w:t>
      </w:r>
    </w:p>
    <w:p>
      <w:pPr>
        <w:spacing w:after="0" w:line="200" w:lineRule="exact"/>
        <w:rPr>
          <w:sz w:val="20"/>
          <w:szCs w:val="20"/>
          <w:color w:val="auto"/>
        </w:rPr>
      </w:pPr>
    </w:p>
    <w:p>
      <w:pPr>
        <w:spacing w:after="0" w:line="201" w:lineRule="exact"/>
        <w:rPr>
          <w:sz w:val="20"/>
          <w:szCs w:val="20"/>
          <w:color w:val="auto"/>
        </w:rPr>
      </w:pPr>
    </w:p>
    <w:p>
      <w:pPr>
        <w:spacing w:after="0"/>
        <w:rPr>
          <w:sz w:val="20"/>
          <w:szCs w:val="20"/>
          <w:color w:val="auto"/>
        </w:rPr>
      </w:pPr>
      <w:r>
        <w:rPr>
          <w:rFonts w:ascii="Arial" w:cs="Arial" w:eastAsia="Arial" w:hAnsi="Arial"/>
          <w:sz w:val="23"/>
          <w:szCs w:val="23"/>
          <w:b w:val="1"/>
          <w:bCs w:val="1"/>
          <w:color w:val="auto"/>
        </w:rPr>
        <w:t>Note 1 - Basis of Presentation</w:t>
      </w:r>
    </w:p>
    <w:p>
      <w:pPr>
        <w:spacing w:after="0" w:line="239" w:lineRule="exact"/>
        <w:rPr>
          <w:sz w:val="20"/>
          <w:szCs w:val="20"/>
          <w:color w:val="auto"/>
        </w:rPr>
      </w:pPr>
    </w:p>
    <w:p>
      <w:pPr>
        <w:ind w:right="20" w:firstLine="913"/>
        <w:spacing w:after="0" w:line="276" w:lineRule="auto"/>
        <w:rPr>
          <w:sz w:val="20"/>
          <w:szCs w:val="20"/>
          <w:color w:val="auto"/>
        </w:rPr>
      </w:pPr>
      <w:r>
        <w:rPr>
          <w:rFonts w:ascii="Arial" w:cs="Arial" w:eastAsia="Arial" w:hAnsi="Arial"/>
          <w:sz w:val="17"/>
          <w:szCs w:val="17"/>
          <w:color w:val="auto"/>
        </w:rPr>
        <w:t>On September 5, 2013, The Timken Company (Timken), an Ohio corporation, announced a plan to pursue a separation of its steel business into a separate public company, TimkenSteel Corporation and its subsidiaries (TimkenSteel), through a spinoff. Among other conditions, the planned spinoff is subject to final approval by Timken’s Board of Directors, receipt of an opinion of our tax counsel, Covington &amp; Burling LLP, regarding the tax-free nature of the spinoff and the effectiveness of a registration statement on Form 10 relating to the spinoff filed with the Securities and Exchange Commission. Upon completion of the spinoff, TimkenSteel will operate its business as an independent, publicly traded company.</w:t>
      </w:r>
    </w:p>
    <w:p>
      <w:pPr>
        <w:spacing w:after="0" w:line="173" w:lineRule="exact"/>
        <w:rPr>
          <w:sz w:val="20"/>
          <w:szCs w:val="20"/>
          <w:color w:val="auto"/>
        </w:rPr>
      </w:pPr>
    </w:p>
    <w:p>
      <w:pPr>
        <w:ind w:right="160" w:firstLine="913"/>
        <w:spacing w:after="0" w:line="312" w:lineRule="auto"/>
        <w:rPr>
          <w:sz w:val="20"/>
          <w:szCs w:val="20"/>
          <w:color w:val="auto"/>
        </w:rPr>
      </w:pPr>
      <w:r>
        <w:rPr>
          <w:rFonts w:ascii="Arial" w:cs="Arial" w:eastAsia="Arial" w:hAnsi="Arial"/>
          <w:sz w:val="16"/>
          <w:szCs w:val="16"/>
          <w:color w:val="auto"/>
        </w:rPr>
        <w:t>TimkenSteel manufactures alloy steel, as well as carbon and micro-alloy steel, with an annual melt capacity of approximately 2 million tons. TimkenSteel’s portfolio includes special bar quality (SBQ) steel bars, seamless mechanical tubing and precision steel components. In addition, TimkenSteel supplies machining and thermal treatment services and manages raw material recycling programs, which are done as a feeder system for its operations.</w:t>
      </w:r>
    </w:p>
    <w:p>
      <w:pPr>
        <w:spacing w:after="0" w:line="147" w:lineRule="exact"/>
        <w:rPr>
          <w:sz w:val="20"/>
          <w:szCs w:val="20"/>
          <w:color w:val="auto"/>
        </w:rPr>
      </w:pPr>
    </w:p>
    <w:p>
      <w:pPr>
        <w:ind w:right="320" w:firstLine="913"/>
        <w:spacing w:after="0" w:line="277" w:lineRule="auto"/>
        <w:rPr>
          <w:sz w:val="20"/>
          <w:szCs w:val="20"/>
          <w:color w:val="auto"/>
        </w:rPr>
      </w:pPr>
      <w:r>
        <w:rPr>
          <w:rFonts w:ascii="Arial" w:cs="Arial" w:eastAsia="Arial" w:hAnsi="Arial"/>
          <w:sz w:val="18"/>
          <w:szCs w:val="18"/>
          <w:color w:val="auto"/>
        </w:rPr>
        <w:t>At December 31, 2013, TimkenSteel had approximately 2,700 employees. Approximately 61% of its employees are covered under collective bargaining agreements.</w:t>
      </w:r>
    </w:p>
    <w:p>
      <w:pPr>
        <w:spacing w:after="0" w:line="170" w:lineRule="exact"/>
        <w:rPr>
          <w:sz w:val="20"/>
          <w:szCs w:val="20"/>
          <w:color w:val="auto"/>
        </w:rPr>
      </w:pPr>
    </w:p>
    <w:p>
      <w:pPr>
        <w:ind w:firstLine="913"/>
        <w:spacing w:after="0" w:line="254" w:lineRule="auto"/>
        <w:rPr>
          <w:sz w:val="20"/>
          <w:szCs w:val="20"/>
          <w:color w:val="auto"/>
        </w:rPr>
      </w:pPr>
      <w:r>
        <w:rPr>
          <w:rFonts w:ascii="Arial" w:cs="Arial" w:eastAsia="Arial" w:hAnsi="Arial"/>
          <w:sz w:val="18"/>
          <w:szCs w:val="18"/>
          <w:color w:val="auto"/>
        </w:rPr>
        <w:t>Throughout the periods covered by the Audited Consolidated Financial Statements, TimkenSteel operated as a reportable segment within Timken. The accompanying Audited Consolidated Financial Statements have been prepared from Timken’s historical accounting records and are presented on a stand-alone basis as if the operations had been conducted independently from Timken. Accordingly, Timken and its subsidiaries, net investment in these operations (Parent Equity) is shown in lieu of stockholder’s equity in the Audited Consolidated Financial Statements. The Audited Consolidated Financial Statements include the historical operations, assets, and liabilities of the legal entities that are considered to comprise TimkenSteel. The historical results of operations, financial position and cash flows of TimkenSteel represented in the financial statements may not be indicative of what they would have been had TimkenSteel actually been a separate stand-alone entity during such periods, nor are they necessarily indicative of TimkenSteel’s future results of operations, financial position and cash flows.</w:t>
      </w:r>
    </w:p>
    <w:p>
      <w:pPr>
        <w:spacing w:after="0" w:line="192" w:lineRule="exact"/>
        <w:rPr>
          <w:sz w:val="20"/>
          <w:szCs w:val="20"/>
          <w:color w:val="auto"/>
        </w:rPr>
      </w:pPr>
    </w:p>
    <w:p>
      <w:pPr>
        <w:ind w:firstLine="913"/>
        <w:spacing w:after="0" w:line="297" w:lineRule="auto"/>
        <w:rPr>
          <w:sz w:val="20"/>
          <w:szCs w:val="20"/>
          <w:color w:val="auto"/>
        </w:rPr>
      </w:pPr>
      <w:r>
        <w:rPr>
          <w:rFonts w:ascii="Arial" w:cs="Arial" w:eastAsia="Arial" w:hAnsi="Arial"/>
          <w:sz w:val="16"/>
          <w:szCs w:val="16"/>
          <w:color w:val="auto"/>
        </w:rPr>
        <w:t>TimkenSteel is comprised of certain stand-alone legal entities for which discrete financial information is available, as well as portions of legal entities for which discrete financial information is not available (shared entities). In some cases, discrete financial information was not available for TimkenSteel within these shared entities as Timken does not record every transaction at the TimkenSteel level, but rather at the legal entity level. For the shared entities for which discrete financial information was not available, such as shared utilities, taxes, and other shared costs, allocation methodologies were applied to certain accounts to allocate amounts to TimkenSteel as discussed further in Note 14 - Relationship with Parent and Related Entities.</w:t>
      </w:r>
    </w:p>
    <w:p>
      <w:pPr>
        <w:spacing w:after="0" w:line="158" w:lineRule="exact"/>
        <w:rPr>
          <w:sz w:val="20"/>
          <w:szCs w:val="20"/>
          <w:color w:val="auto"/>
        </w:rPr>
      </w:pPr>
    </w:p>
    <w:p>
      <w:pPr>
        <w:ind w:right="180" w:firstLine="913"/>
        <w:spacing w:after="0" w:line="271" w:lineRule="auto"/>
        <w:rPr>
          <w:sz w:val="20"/>
          <w:szCs w:val="20"/>
          <w:color w:val="auto"/>
        </w:rPr>
      </w:pPr>
      <w:r>
        <w:rPr>
          <w:rFonts w:ascii="Arial" w:cs="Arial" w:eastAsia="Arial" w:hAnsi="Arial"/>
          <w:sz w:val="17"/>
          <w:szCs w:val="17"/>
          <w:color w:val="auto"/>
        </w:rPr>
        <w:t>The Consolidated Statements of Comprehensive Income include all revenues and costs directly attributable to TimkenSteel, including costs for facilities, functions and services used by TimkenSteel. Certain shared costs have been directly charged to TimkenSteel based on usage or other allocation methods. The results of operations also include allocations of (i) costs for administrative functions and services performed on behalf of TimkenSteel by centralized staff groups within Timken, (ii) Timken’s general corporate expenses and (iii) certain pension and other retirement benefit costs (See Note 10 - Retirement Benefit Plans for a description of the allocation methodologies employed). As more fully described in Note 12 - Income Taxes, current and deferred income taxes and related tax expense have been determined based on the stand-alone results of TimkenSteel by applying Financial Accounting Standards Board (FASB) Accounting Standards Codification (ASC) No. 740, “Income Taxes,” to the TimkenSteel operations in each country as if it were a separate taxpayer (i.e., following the separate return methodology).</w:t>
      </w:r>
    </w:p>
    <w:p>
      <w:pPr>
        <w:spacing w:after="0" w:line="179" w:lineRule="exact"/>
        <w:rPr>
          <w:sz w:val="20"/>
          <w:szCs w:val="20"/>
          <w:color w:val="auto"/>
        </w:rPr>
      </w:pPr>
    </w:p>
    <w:p>
      <w:pPr>
        <w:ind w:right="180" w:firstLine="913"/>
        <w:spacing w:after="0" w:line="255" w:lineRule="auto"/>
        <w:rPr>
          <w:sz w:val="20"/>
          <w:szCs w:val="20"/>
          <w:color w:val="auto"/>
        </w:rPr>
      </w:pPr>
      <w:r>
        <w:rPr>
          <w:rFonts w:ascii="Arial" w:cs="Arial" w:eastAsia="Arial" w:hAnsi="Arial"/>
          <w:sz w:val="18"/>
          <w:szCs w:val="18"/>
          <w:color w:val="auto"/>
        </w:rPr>
        <w:t>All charges and allocations of cost for facilities, functions and services performed by Timken organizations have been deemed paid by TimkenSteel to Timken, in cash, in the period in which the cost was recorded in the Consolidated Statements of Comprehensive Income. Allocations to TimkenSteel of current income taxes payable are deemed to have been remitted, in cash, to Timken in the period the related tax expense was recorded. Allocations of current income taxes receivable are deemed to have been remitted to TimkenSteel, in cash, by Timken in the period to which the receivable applies only to the extent that a refund of such taxes could have been recognized by TimkenSteel on a stand-alone basis under the law of the relevant taxing jurisdiction.</w:t>
      </w:r>
    </w:p>
    <w:p>
      <w:pPr>
        <w:spacing w:after="0" w:line="12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F-7</w:t>
      </w:r>
    </w:p>
    <w:p>
      <w:pPr>
        <w:sectPr>
          <w:pgSz w:w="11900" w:h="16838" w:orient="portrait"/>
          <w:cols w:equalWidth="0" w:num="1">
            <w:col w:w="11400"/>
          </w:cols>
          <w:pgMar w:left="240" w:top="459" w:right="259" w:bottom="1440" w:gutter="0" w:footer="0" w:header="0"/>
        </w:sectPr>
      </w:pPr>
    </w:p>
    <w:bookmarkStart w:id="114" w:name="page115"/>
    <w:bookmarkEnd w:id="11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42">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firstLine="913"/>
        <w:spacing w:after="0" w:line="257" w:lineRule="auto"/>
        <w:rPr>
          <w:sz w:val="20"/>
          <w:szCs w:val="20"/>
          <w:color w:val="auto"/>
        </w:rPr>
      </w:pPr>
      <w:r>
        <w:rPr>
          <w:rFonts w:ascii="Arial" w:cs="Arial" w:eastAsia="Arial" w:hAnsi="Arial"/>
          <w:sz w:val="18"/>
          <w:szCs w:val="18"/>
          <w:color w:val="auto"/>
        </w:rPr>
        <w:t>Timken uses a centralized approach to cash management and financing its operations, including the operations of TimkenSteel. Accordingly, none of the cash and cash equivalents has been allocated to TimkenSteel in the Audited Consolidated Financial Statements. Transactions between Timken and TimkenSteel are accounted for through Net Parent Investment. Timken’s short- and long-term debt has been allocated to TimkenSteel’s Audited Consolidated Financial Statements where it is specifically identifiable to TimkenSteel. See Note 14 - Relationship with Parent and Related Entities, for a further description of related party transactions between Timken and TimkenSteel.</w:t>
      </w:r>
    </w:p>
    <w:p>
      <w:pPr>
        <w:spacing w:after="0" w:line="188" w:lineRule="exact"/>
        <w:rPr>
          <w:sz w:val="20"/>
          <w:szCs w:val="20"/>
          <w:color w:val="auto"/>
        </w:rPr>
      </w:pPr>
    </w:p>
    <w:p>
      <w:pPr>
        <w:jc w:val="both"/>
        <w:ind w:right="40" w:firstLine="913"/>
        <w:spacing w:after="0" w:line="312" w:lineRule="auto"/>
        <w:rPr>
          <w:sz w:val="20"/>
          <w:szCs w:val="20"/>
          <w:color w:val="auto"/>
        </w:rPr>
      </w:pPr>
      <w:r>
        <w:rPr>
          <w:rFonts w:ascii="Arial" w:cs="Arial" w:eastAsia="Arial" w:hAnsi="Arial"/>
          <w:sz w:val="16"/>
          <w:szCs w:val="16"/>
          <w:color w:val="auto"/>
        </w:rPr>
        <w:t>All of the allocations and estimates in the Audited Consolidated Financial Statements are based on assumptions that management of Timken and TimkenSteel believe are reasonable. However, the Audited Consolidated Financial Statements included herein may not be indicative of the financial position, results of operations and cash flows of TimkenSteel in the future or if TimkenSteel had been a separate, stand-alone entity during the periods presented.</w:t>
      </w:r>
    </w:p>
    <w:p>
      <w:pPr>
        <w:spacing w:after="0" w:line="345" w:lineRule="exact"/>
        <w:rPr>
          <w:sz w:val="20"/>
          <w:szCs w:val="20"/>
          <w:color w:val="auto"/>
        </w:rPr>
      </w:pPr>
    </w:p>
    <w:p>
      <w:pPr>
        <w:spacing w:after="0"/>
        <w:rPr>
          <w:sz w:val="20"/>
          <w:szCs w:val="20"/>
          <w:color w:val="auto"/>
        </w:rPr>
      </w:pPr>
      <w:r>
        <w:rPr>
          <w:rFonts w:ascii="Arial" w:cs="Arial" w:eastAsia="Arial" w:hAnsi="Arial"/>
          <w:sz w:val="23"/>
          <w:szCs w:val="23"/>
          <w:b w:val="1"/>
          <w:bCs w:val="1"/>
          <w:color w:val="auto"/>
        </w:rPr>
        <w:t>Note 2 - Significant Accounting Policies</w:t>
      </w:r>
    </w:p>
    <w:p>
      <w:pPr>
        <w:spacing w:after="0" w:line="23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Basis of Combination:</w:t>
      </w:r>
    </w:p>
    <w:p>
      <w:pPr>
        <w:spacing w:after="0" w:line="225" w:lineRule="exact"/>
        <w:rPr>
          <w:sz w:val="20"/>
          <w:szCs w:val="20"/>
          <w:color w:val="auto"/>
        </w:rPr>
      </w:pPr>
    </w:p>
    <w:p>
      <w:pPr>
        <w:ind w:right="380" w:firstLine="913"/>
        <w:spacing w:after="0" w:line="279" w:lineRule="auto"/>
        <w:rPr>
          <w:sz w:val="20"/>
          <w:szCs w:val="20"/>
          <w:color w:val="auto"/>
        </w:rPr>
      </w:pPr>
      <w:r>
        <w:rPr>
          <w:rFonts w:ascii="Arial" w:cs="Arial" w:eastAsia="Arial" w:hAnsi="Arial"/>
          <w:sz w:val="17"/>
          <w:szCs w:val="17"/>
          <w:color w:val="auto"/>
        </w:rPr>
        <w:t>The Audited Consolidated Financial Statements include the combined assets, liabilities, revenues and expenses related to TimkenSteel as of December 31, 2013 and 2012 and for the years ended December 31, 2013, 2012 and 2011. All significant intercompany accounts and transactions within TimkenSteel have been eliminated in the preparation of the Audited Consolidated Financial Statements. All significant intercompany transactions with Timken are deemed to have been paid in the period the cost was incurred.</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Revenue Recognition:</w:t>
      </w:r>
    </w:p>
    <w:p>
      <w:pPr>
        <w:spacing w:after="0" w:line="225" w:lineRule="exact"/>
        <w:rPr>
          <w:sz w:val="20"/>
          <w:szCs w:val="20"/>
          <w:color w:val="auto"/>
        </w:rPr>
      </w:pPr>
    </w:p>
    <w:p>
      <w:pPr>
        <w:ind w:firstLine="913"/>
        <w:spacing w:after="0" w:line="279" w:lineRule="auto"/>
        <w:rPr>
          <w:sz w:val="20"/>
          <w:szCs w:val="20"/>
          <w:color w:val="auto"/>
        </w:rPr>
      </w:pPr>
      <w:r>
        <w:rPr>
          <w:rFonts w:ascii="Arial" w:cs="Arial" w:eastAsia="Arial" w:hAnsi="Arial"/>
          <w:sz w:val="17"/>
          <w:szCs w:val="17"/>
          <w:color w:val="auto"/>
        </w:rPr>
        <w:t>TimkenSteel recognizes revenue when title passes to the customer, which includes related party sales to other subsidiaries of Timken. This occurs at the shipping point except for goods sold by certain foreign entities and certain exported goods, where title passes when the goods reach their destination. Selling prices are fixed based on purchase orders or contractual arrangements. Shipping and handling costs billed to customers are included in net sales and the related costs are included in cost of products sold in the Consolidated Statements of Comprehensive Income.</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Cash Equivalents:</w:t>
      </w:r>
    </w:p>
    <w:p>
      <w:pPr>
        <w:spacing w:after="0" w:line="225" w:lineRule="exact"/>
        <w:rPr>
          <w:sz w:val="20"/>
          <w:szCs w:val="20"/>
          <w:color w:val="auto"/>
        </w:rPr>
      </w:pPr>
    </w:p>
    <w:p>
      <w:pPr>
        <w:ind w:left="920"/>
        <w:spacing w:after="0"/>
        <w:rPr>
          <w:sz w:val="20"/>
          <w:szCs w:val="20"/>
          <w:color w:val="auto"/>
        </w:rPr>
      </w:pPr>
      <w:r>
        <w:rPr>
          <w:rFonts w:ascii="Arial" w:cs="Arial" w:eastAsia="Arial" w:hAnsi="Arial"/>
          <w:sz w:val="18"/>
          <w:szCs w:val="18"/>
          <w:color w:val="auto"/>
        </w:rPr>
        <w:t>TimkenSteel considers all highly liquid investments with a maturity of three months or less when purchased to be cash equivalents.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Allowance for Doubtful Accounts:</w:t>
      </w:r>
    </w:p>
    <w:p>
      <w:pPr>
        <w:spacing w:after="0" w:line="225" w:lineRule="exact"/>
        <w:rPr>
          <w:sz w:val="20"/>
          <w:szCs w:val="20"/>
          <w:color w:val="auto"/>
        </w:rPr>
      </w:pPr>
    </w:p>
    <w:p>
      <w:pPr>
        <w:ind w:right="340" w:firstLine="913"/>
        <w:spacing w:after="0" w:line="302" w:lineRule="auto"/>
        <w:rPr>
          <w:sz w:val="20"/>
          <w:szCs w:val="20"/>
          <w:color w:val="auto"/>
        </w:rPr>
      </w:pPr>
      <w:r>
        <w:rPr>
          <w:rFonts w:ascii="Arial" w:cs="Arial" w:eastAsia="Arial" w:hAnsi="Arial"/>
          <w:sz w:val="16"/>
          <w:szCs w:val="16"/>
          <w:color w:val="auto"/>
        </w:rPr>
        <w:t>TimkenSteel maintains an allowance for doubtful accounts, which represents an estimate of the losses expected from the accounts receivable portfolio, to reduce accounts receivable to their net realizable value. The allowance was based upon historical trends in collections and write-offs, management’s judgment of the probability of collecting accounts and management’s evaluation of business risk. TimkenSteel extends credit to customers satisfying pre-defined credit criteria. TimkenSteel believes it has limited concentration of credit risk due to the diversity of its customer base.</w:t>
      </w:r>
    </w:p>
    <w:p>
      <w:pPr>
        <w:spacing w:after="0" w:line="15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Inventories:</w:t>
      </w:r>
    </w:p>
    <w:p>
      <w:pPr>
        <w:spacing w:after="0" w:line="225" w:lineRule="exact"/>
        <w:rPr>
          <w:sz w:val="20"/>
          <w:szCs w:val="20"/>
          <w:color w:val="auto"/>
        </w:rPr>
      </w:pPr>
    </w:p>
    <w:p>
      <w:pPr>
        <w:ind w:right="60" w:firstLine="913"/>
        <w:spacing w:after="0" w:line="277" w:lineRule="auto"/>
        <w:rPr>
          <w:sz w:val="20"/>
          <w:szCs w:val="20"/>
          <w:color w:val="auto"/>
        </w:rPr>
      </w:pPr>
      <w:r>
        <w:rPr>
          <w:rFonts w:ascii="Arial" w:cs="Arial" w:eastAsia="Arial" w:hAnsi="Arial"/>
          <w:sz w:val="18"/>
          <w:szCs w:val="18"/>
          <w:color w:val="auto"/>
        </w:rPr>
        <w:t>Inventories are valued at the lower of cost or market. The majority of domestic inventories are valued by the last-in, first-out (LIFO) method and the balance of TimkenSteel’s inventories is valued by the first-in, first-out (FIFO) method.</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Property, Plant and Equipment, Net:</w:t>
      </w:r>
    </w:p>
    <w:p>
      <w:pPr>
        <w:spacing w:after="0" w:line="225" w:lineRule="exact"/>
        <w:rPr>
          <w:sz w:val="20"/>
          <w:szCs w:val="20"/>
          <w:color w:val="auto"/>
        </w:rPr>
      </w:pPr>
    </w:p>
    <w:p>
      <w:pPr>
        <w:ind w:right="60" w:firstLine="913"/>
        <w:spacing w:after="0" w:line="264" w:lineRule="auto"/>
        <w:rPr>
          <w:sz w:val="20"/>
          <w:szCs w:val="20"/>
          <w:color w:val="auto"/>
        </w:rPr>
      </w:pPr>
      <w:r>
        <w:rPr>
          <w:rFonts w:ascii="Arial" w:cs="Arial" w:eastAsia="Arial" w:hAnsi="Arial"/>
          <w:sz w:val="18"/>
          <w:szCs w:val="18"/>
          <w:color w:val="auto"/>
        </w:rPr>
        <w:t>Property, plant and equipment, net are valued at cost less accumulated depreciation. Maintenance and repairs are charged to expense as incurred. The provision for depreciation is computed principally by the straight-line method based upon the estimated useful lives of the assets. The useful lives are approximately 30 years for buildings and three to 20 years for machinery and equipment.</w:t>
      </w:r>
    </w:p>
    <w:p>
      <w:pPr>
        <w:spacing w:after="0" w:line="11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F-8</w:t>
      </w:r>
    </w:p>
    <w:p>
      <w:pPr>
        <w:sectPr>
          <w:pgSz w:w="11900" w:h="16838" w:orient="portrait"/>
          <w:cols w:equalWidth="0" w:num="1">
            <w:col w:w="11400"/>
          </w:cols>
          <w:pgMar w:left="240" w:top="459" w:right="259" w:bottom="1440" w:gutter="0" w:footer="0" w:header="0"/>
        </w:sectPr>
      </w:pPr>
    </w:p>
    <w:bookmarkStart w:id="115" w:name="page116"/>
    <w:bookmarkEnd w:id="11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43">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Goodwill and Other Intangible Assets:</w:t>
      </w:r>
    </w:p>
    <w:p>
      <w:pPr>
        <w:spacing w:after="0" w:line="225" w:lineRule="exact"/>
        <w:rPr>
          <w:sz w:val="20"/>
          <w:szCs w:val="20"/>
          <w:color w:val="auto"/>
        </w:rPr>
      </w:pPr>
    </w:p>
    <w:p>
      <w:pPr>
        <w:ind w:right="20" w:firstLine="913"/>
        <w:spacing w:after="0" w:line="257" w:lineRule="auto"/>
        <w:rPr>
          <w:sz w:val="20"/>
          <w:szCs w:val="20"/>
          <w:color w:val="auto"/>
        </w:rPr>
      </w:pPr>
      <w:r>
        <w:rPr>
          <w:rFonts w:ascii="Arial" w:cs="Arial" w:eastAsia="Arial" w:hAnsi="Arial"/>
          <w:sz w:val="18"/>
          <w:szCs w:val="18"/>
          <w:color w:val="auto"/>
        </w:rPr>
        <w:t>Intangible assets subject to amortization are amortized on a straight-line method over their legal or estimated useful lives, with useful lives ranging from five to 20 years. Goodwill and indefinite-lived intangible assets not subject to amortization are tested for impairment at least annually. TimkenSteel performs its annual impairment test as of October 1 after the annual forecasting process is completed. Furthermore, goodwill and indefinite-lived intangible assets are reviewed for impairment whenever events or changes in circumstances indicate that the carrying value may not be recoverable in accordance with accounting rules related to goodwill and other intangible assets.</w:t>
      </w:r>
    </w:p>
    <w:p>
      <w:pPr>
        <w:spacing w:after="0" w:line="188" w:lineRule="exact"/>
        <w:rPr>
          <w:sz w:val="20"/>
          <w:szCs w:val="20"/>
          <w:color w:val="auto"/>
        </w:rPr>
      </w:pPr>
    </w:p>
    <w:p>
      <w:pPr>
        <w:ind w:firstLine="913"/>
        <w:spacing w:after="0" w:line="255" w:lineRule="auto"/>
        <w:rPr>
          <w:sz w:val="20"/>
          <w:szCs w:val="20"/>
          <w:color w:val="auto"/>
        </w:rPr>
      </w:pPr>
      <w:r>
        <w:rPr>
          <w:rFonts w:ascii="Arial" w:cs="Arial" w:eastAsia="Arial" w:hAnsi="Arial"/>
          <w:sz w:val="18"/>
          <w:szCs w:val="18"/>
          <w:color w:val="auto"/>
        </w:rPr>
        <w:t>Effective October 1, 2011, TimkenSteel adopted the provisions of Financial Accounting Standards Board (FASB) Accounting Standards Update (ASU) No. 2011-08, “Intangibles-Goodwill and Other (Topic 350): Testing Goodwill for Impairment,” which allows companies to assess qualitative factors to determine if goodwill might be impaired and whether it is necessary to perform the two-step goodwill impairment test. Effective October 1, 2012, TimkenSteel adopted the provisions of ASU No. 2012-02, “Intangibles-Goodwill and Other (Topic 350): Testing Indefinite-Lived Intangible Assets for Impairment,” which allows companies to assess qualitative factors to determine if indefinite-lived intangibles might be impaired and whether it is necessary to perform the two-step impairment test.</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Long-lived Asset Impairment:</w:t>
      </w:r>
    </w:p>
    <w:p>
      <w:pPr>
        <w:spacing w:after="0" w:line="225" w:lineRule="exact"/>
        <w:rPr>
          <w:sz w:val="20"/>
          <w:szCs w:val="20"/>
          <w:color w:val="auto"/>
        </w:rPr>
      </w:pPr>
    </w:p>
    <w:p>
      <w:pPr>
        <w:ind w:right="20" w:firstLine="913"/>
        <w:spacing w:after="0" w:line="277" w:lineRule="auto"/>
        <w:rPr>
          <w:sz w:val="20"/>
          <w:szCs w:val="20"/>
          <w:color w:val="auto"/>
        </w:rPr>
      </w:pPr>
      <w:r>
        <w:rPr>
          <w:rFonts w:ascii="Arial" w:cs="Arial" w:eastAsia="Arial" w:hAnsi="Arial"/>
          <w:sz w:val="18"/>
          <w:szCs w:val="18"/>
          <w:color w:val="auto"/>
        </w:rPr>
        <w:t>Long-lived assets (including tangible assets and intangible assets subject to amortization) are reviewed for impairment when events or changes in circumstances have occurred indicating that the carrying value of the assets may not be recoverable.</w:t>
      </w:r>
    </w:p>
    <w:p>
      <w:pPr>
        <w:spacing w:after="0" w:line="170" w:lineRule="exact"/>
        <w:rPr>
          <w:sz w:val="20"/>
          <w:szCs w:val="20"/>
          <w:color w:val="auto"/>
        </w:rPr>
      </w:pPr>
    </w:p>
    <w:p>
      <w:pPr>
        <w:ind w:right="140" w:firstLine="913"/>
        <w:spacing w:after="0" w:line="259" w:lineRule="auto"/>
        <w:rPr>
          <w:sz w:val="20"/>
          <w:szCs w:val="20"/>
          <w:color w:val="auto"/>
        </w:rPr>
      </w:pPr>
      <w:r>
        <w:rPr>
          <w:rFonts w:ascii="Arial" w:cs="Arial" w:eastAsia="Arial" w:hAnsi="Arial"/>
          <w:sz w:val="18"/>
          <w:szCs w:val="18"/>
          <w:color w:val="auto"/>
        </w:rPr>
        <w:t>TimkenSteel tests recoverability of long-lived assets at the lowest level for which there are identifiable cash flows that are independent from the cash flows of other assets. TimkenSteel reviews product lines, plants, and subsidiaries, as well as individual assets for impairment. Assets and asset groups held and used are measured for recoverability by comparing the carrying amount of the asset or asset group to the sum of future undiscounted net cash flows expected to be generated by the asset or asset group.</w:t>
      </w:r>
    </w:p>
    <w:p>
      <w:pPr>
        <w:spacing w:after="0" w:line="187" w:lineRule="exact"/>
        <w:rPr>
          <w:sz w:val="20"/>
          <w:szCs w:val="20"/>
          <w:color w:val="auto"/>
        </w:rPr>
      </w:pPr>
    </w:p>
    <w:p>
      <w:pPr>
        <w:ind w:right="180" w:firstLine="913"/>
        <w:spacing w:after="0" w:line="264" w:lineRule="auto"/>
        <w:rPr>
          <w:sz w:val="20"/>
          <w:szCs w:val="20"/>
          <w:color w:val="auto"/>
        </w:rPr>
      </w:pPr>
      <w:r>
        <w:rPr>
          <w:rFonts w:ascii="Arial" w:cs="Arial" w:eastAsia="Arial" w:hAnsi="Arial"/>
          <w:sz w:val="18"/>
          <w:szCs w:val="18"/>
          <w:color w:val="auto"/>
        </w:rPr>
        <w:t>Assumptions and estimates about future values and remaining useful lives of our long-lived assets are complex and subjective. They can be affected by a variety of factors, including external factors such as industry and economic trends and internal factors such as changes in our business strategy and our internal forecasts.</w:t>
      </w:r>
    </w:p>
    <w:p>
      <w:pPr>
        <w:spacing w:after="0" w:line="181" w:lineRule="exact"/>
        <w:rPr>
          <w:sz w:val="20"/>
          <w:szCs w:val="20"/>
          <w:color w:val="auto"/>
        </w:rPr>
      </w:pPr>
    </w:p>
    <w:p>
      <w:pPr>
        <w:jc w:val="both"/>
        <w:ind w:right="60" w:firstLine="913"/>
        <w:spacing w:after="0" w:line="286" w:lineRule="auto"/>
        <w:rPr>
          <w:sz w:val="20"/>
          <w:szCs w:val="20"/>
          <w:color w:val="auto"/>
        </w:rPr>
      </w:pPr>
      <w:r>
        <w:rPr>
          <w:rFonts w:ascii="Arial" w:cs="Arial" w:eastAsia="Arial" w:hAnsi="Arial"/>
          <w:sz w:val="17"/>
          <w:szCs w:val="17"/>
          <w:color w:val="auto"/>
        </w:rPr>
        <w:t>If an asset or asset group is considered to be impaired, the impairment loss that would be recognized is the amount by which the carrying amount of the assets exceeds the fair value of the assets. To determine fair value, TimkenSteel would use its internal cash flow estimates discounted at an appropriate interest rate, third party appraisals, as appropriate, and/or market prices of similar assets, when available.</w:t>
      </w:r>
    </w:p>
    <w:p>
      <w:pPr>
        <w:spacing w:after="0" w:line="166" w:lineRule="exact"/>
        <w:rPr>
          <w:sz w:val="20"/>
          <w:szCs w:val="20"/>
          <w:color w:val="auto"/>
        </w:rPr>
      </w:pPr>
    </w:p>
    <w:p>
      <w:pPr>
        <w:ind w:right="100" w:firstLine="913"/>
        <w:spacing w:after="0" w:line="264" w:lineRule="auto"/>
        <w:rPr>
          <w:sz w:val="20"/>
          <w:szCs w:val="20"/>
          <w:color w:val="auto"/>
        </w:rPr>
      </w:pPr>
      <w:r>
        <w:rPr>
          <w:rFonts w:ascii="Arial" w:cs="Arial" w:eastAsia="Arial" w:hAnsi="Arial"/>
          <w:sz w:val="18"/>
          <w:szCs w:val="18"/>
          <w:color w:val="auto"/>
        </w:rPr>
        <w:t>In 2013, TimkenSteel recorded a write-down of $0.6 million related to the discontinued use of certain machinery and equipment. In 2012 and 2011, there were no events or circumstances that occurred indicating that the carrying value of the assets may not be recoverable, and therefore no long-lived assets were reviewed for impairment.</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Product Warranties:</w:t>
      </w:r>
    </w:p>
    <w:p>
      <w:pPr>
        <w:spacing w:after="0" w:line="225" w:lineRule="exact"/>
        <w:rPr>
          <w:sz w:val="20"/>
          <w:szCs w:val="20"/>
          <w:color w:val="auto"/>
        </w:rPr>
      </w:pPr>
    </w:p>
    <w:p>
      <w:pPr>
        <w:ind w:right="40" w:firstLine="913"/>
        <w:spacing w:after="0" w:line="286" w:lineRule="auto"/>
        <w:rPr>
          <w:sz w:val="20"/>
          <w:szCs w:val="20"/>
          <w:color w:val="auto"/>
        </w:rPr>
      </w:pPr>
      <w:r>
        <w:rPr>
          <w:rFonts w:ascii="Arial" w:cs="Arial" w:eastAsia="Arial" w:hAnsi="Arial"/>
          <w:sz w:val="17"/>
          <w:szCs w:val="17"/>
          <w:color w:val="auto"/>
        </w:rPr>
        <w:t>TimkenSteel accrues liabilities for warranties based upon specific claim incidents in accordance with accounting rules relating to contingent liabilities. Should TimkenSteel become aware of a specific potential warranty claim for which liability is probable and reasonably estimable, a specific charge is recorded and accounted for accordingly. Adjustments are made quarterly to the accruals as claim data and historical experience change.</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Income Taxes:</w:t>
      </w:r>
    </w:p>
    <w:p>
      <w:pPr>
        <w:spacing w:after="0" w:line="225" w:lineRule="exact"/>
        <w:rPr>
          <w:sz w:val="20"/>
          <w:szCs w:val="20"/>
          <w:color w:val="auto"/>
        </w:rPr>
      </w:pPr>
    </w:p>
    <w:p>
      <w:pPr>
        <w:ind w:right="20" w:firstLine="913"/>
        <w:spacing w:after="0" w:line="290" w:lineRule="auto"/>
        <w:rPr>
          <w:sz w:val="20"/>
          <w:szCs w:val="20"/>
          <w:color w:val="auto"/>
        </w:rPr>
      </w:pPr>
      <w:r>
        <w:rPr>
          <w:rFonts w:ascii="Arial" w:cs="Arial" w:eastAsia="Arial" w:hAnsi="Arial"/>
          <w:sz w:val="16"/>
          <w:szCs w:val="16"/>
          <w:color w:val="auto"/>
        </w:rPr>
        <w:t>Income taxes, as presented herein, attribute current and deferred income taxes of Timken to the TimkenSteel stand-alone financial statements in a manner that is systematic, rational and consistent with the asset and liability method prescribed by ASC No. 740. Accordingly, the TimkenSteel income tax provision was prepared following the “separate return method.” The separate return method applies ASC No. 740 to the stand-alone financial statements of each member of the consolidated group as if the group member were a separate taxpayer and a stand-alone enterprise. As a result, actual tax transactions included in the Audited Consolidated Financial Statements of Timken may not be included in the separate financial statements of TimkenSteel. Similarly, the tax treatment of certain items reflected in the separate financial statements of TimkenSteel may not be reflected in the Audited Consolidated Financial Statements and tax returns of Timken; therefore, items such as alternative minimum tax, net operating losses, credit carryforwards, and valuation allowances may exist in the stand-alone financial statements that may or may not exist in Timken’s Consolidated Financial Statements.</w:t>
      </w:r>
    </w:p>
    <w:p>
      <w:pPr>
        <w:spacing w:after="0" w:line="9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F-9</w:t>
      </w:r>
    </w:p>
    <w:p>
      <w:pPr>
        <w:sectPr>
          <w:pgSz w:w="11900" w:h="16838" w:orient="portrait"/>
          <w:cols w:equalWidth="0" w:num="1">
            <w:col w:w="11420"/>
          </w:cols>
          <w:pgMar w:left="240" w:top="459" w:right="239" w:bottom="1440" w:gutter="0" w:footer="0" w:header="0"/>
        </w:sectPr>
      </w:pPr>
    </w:p>
    <w:bookmarkStart w:id="116" w:name="page117"/>
    <w:bookmarkEnd w:id="11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44">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firstLine="913"/>
        <w:spacing w:after="0" w:line="257" w:lineRule="auto"/>
        <w:rPr>
          <w:sz w:val="20"/>
          <w:szCs w:val="20"/>
          <w:color w:val="auto"/>
        </w:rPr>
      </w:pPr>
      <w:r>
        <w:rPr>
          <w:rFonts w:ascii="Arial" w:cs="Arial" w:eastAsia="Arial" w:hAnsi="Arial"/>
          <w:sz w:val="18"/>
          <w:szCs w:val="18"/>
          <w:color w:val="auto"/>
        </w:rPr>
        <w:t>Deferred tax assets and liabilities are recorded for the future tax consequences attributable to differences between financial statement carrying amounts of existing assets and liabilities and their respective tax bases, as well as net operating loss and tax credit carryforwards. TimkenSteel recognizes valuation allowances against deferred tax assets by tax jurisdiction when it is more likely than not that such assets will not be realized. Accruals for uncertain tax positions are provided for in accordance with ASC No. 740-10. TimkenSteel recognizes interest and penalties related to uncertain tax positions as a component of income tax expense.</w:t>
      </w:r>
    </w:p>
    <w:p>
      <w:pPr>
        <w:spacing w:after="0" w:line="188" w:lineRule="exact"/>
        <w:rPr>
          <w:sz w:val="20"/>
          <w:szCs w:val="20"/>
          <w:color w:val="auto"/>
        </w:rPr>
      </w:pPr>
    </w:p>
    <w:p>
      <w:pPr>
        <w:ind w:right="20" w:firstLine="913"/>
        <w:spacing w:after="0" w:line="302" w:lineRule="auto"/>
        <w:rPr>
          <w:sz w:val="20"/>
          <w:szCs w:val="20"/>
          <w:color w:val="auto"/>
        </w:rPr>
      </w:pPr>
      <w:r>
        <w:rPr>
          <w:rFonts w:ascii="Arial" w:cs="Arial" w:eastAsia="Arial" w:hAnsi="Arial"/>
          <w:sz w:val="16"/>
          <w:szCs w:val="16"/>
          <w:color w:val="auto"/>
        </w:rPr>
        <w:t>In general, the taxable income (loss) of various TimkenSteel entities was included in Timken’s consolidated tax returns, where applicable, in jurisdictions around the world. As such, separate income tax returns were not prepared for any entities of TimkenSteel. Consequently, income taxes currently payable are deemed to have been remitted to Timken, in cash, in the period the liability arose and income taxes currently receivable are deemed to have been received from Timken in the period that a refund could have been recognized by TimkenSteel had TimkenSteel been a separate taxpayer.</w:t>
      </w:r>
    </w:p>
    <w:p>
      <w:pPr>
        <w:spacing w:after="0" w:line="15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Foreign Currency Translation:</w:t>
      </w:r>
    </w:p>
    <w:p>
      <w:pPr>
        <w:spacing w:after="0" w:line="225" w:lineRule="exact"/>
        <w:rPr>
          <w:sz w:val="20"/>
          <w:szCs w:val="20"/>
          <w:color w:val="auto"/>
        </w:rPr>
      </w:pPr>
    </w:p>
    <w:p>
      <w:pPr>
        <w:ind w:right="40" w:firstLine="913"/>
        <w:spacing w:after="0" w:line="302" w:lineRule="auto"/>
        <w:rPr>
          <w:sz w:val="20"/>
          <w:szCs w:val="20"/>
          <w:color w:val="auto"/>
        </w:rPr>
      </w:pPr>
      <w:r>
        <w:rPr>
          <w:rFonts w:ascii="Arial" w:cs="Arial" w:eastAsia="Arial" w:hAnsi="Arial"/>
          <w:sz w:val="16"/>
          <w:szCs w:val="16"/>
          <w:color w:val="auto"/>
        </w:rPr>
        <w:t>Assets and liabilities of subsidiaries are translated at the rate of exchange in effect on the balance sheet date; income and expenses are translated at the average rates of exchange prevailing during the year. The related translation adjustments are reflected as a separate component of accumulated other comprehensive income (loss). Gains and losses resulting from foreign currency transactions are included in the Consolidated Statements of Comprehensive Income. TimkenSteel realized a foreign currency exchange loss of $0.1 million in 2013, a loss of $0.4 million in 2012 and a gain of $0.3 million in 2011.</w:t>
      </w:r>
    </w:p>
    <w:p>
      <w:pPr>
        <w:spacing w:after="0" w:line="15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Parent Equity:</w:t>
      </w:r>
    </w:p>
    <w:p>
      <w:pPr>
        <w:spacing w:after="0" w:line="225" w:lineRule="exact"/>
        <w:rPr>
          <w:sz w:val="20"/>
          <w:szCs w:val="20"/>
          <w:color w:val="auto"/>
        </w:rPr>
      </w:pPr>
    </w:p>
    <w:p>
      <w:pPr>
        <w:ind w:right="20" w:firstLine="913"/>
        <w:spacing w:after="0" w:line="255" w:lineRule="auto"/>
        <w:rPr>
          <w:sz w:val="20"/>
          <w:szCs w:val="20"/>
          <w:color w:val="auto"/>
        </w:rPr>
      </w:pPr>
      <w:r>
        <w:rPr>
          <w:rFonts w:ascii="Arial" w:cs="Arial" w:eastAsia="Arial" w:hAnsi="Arial"/>
          <w:sz w:val="18"/>
          <w:szCs w:val="18"/>
          <w:color w:val="auto"/>
        </w:rPr>
        <w:t>Parent Equity on the Consolidated Balance Sheets represents Timken’s net investment in TimkenSteel and is presented as “Net Parent Investment” in lieu of stockholder’s equity. The Consolidated Statements of Parent Equity include net cash transfers and other property transfers between Timken and TimkenSteel. Timken performs cash management and other treasury related functions on a centralized basis for nearly all of its legal entities, which includes TimkenSteel. The Net Parent Investment account includes assets and liabilities incurred by Timken on behalf of TimkenSteel such as accrued liabilities related to corporate allocations including administrative expenses for legal, accounting, treasury, information technology, human resources and other services. Other assets and liabilities recorded by Timken, whose related incomes and expenses have been pushed down to TimkenSteel, are also included in Net Parent Investment.</w:t>
      </w:r>
    </w:p>
    <w:p>
      <w:pPr>
        <w:spacing w:after="0" w:line="189" w:lineRule="exact"/>
        <w:rPr>
          <w:sz w:val="20"/>
          <w:szCs w:val="20"/>
          <w:color w:val="auto"/>
        </w:rPr>
      </w:pPr>
    </w:p>
    <w:p>
      <w:pPr>
        <w:ind w:right="100" w:firstLine="913"/>
        <w:spacing w:after="0" w:line="308" w:lineRule="auto"/>
        <w:rPr>
          <w:sz w:val="20"/>
          <w:szCs w:val="20"/>
          <w:color w:val="auto"/>
        </w:rPr>
      </w:pPr>
      <w:r>
        <w:rPr>
          <w:rFonts w:ascii="Arial" w:cs="Arial" w:eastAsia="Arial" w:hAnsi="Arial"/>
          <w:sz w:val="17"/>
          <w:szCs w:val="17"/>
          <w:color w:val="auto"/>
        </w:rPr>
        <w:t>All intercompany transactions effected through Net Parent Investment in the accompanying Consolidated Balance Sheets were considered cash receipts and payments and are reflected in financing activities in the accompanying Consolidated Statements of Cash Flows.</w:t>
      </w:r>
    </w:p>
    <w:p>
      <w:pPr>
        <w:spacing w:after="0" w:line="147" w:lineRule="exact"/>
        <w:rPr>
          <w:sz w:val="20"/>
          <w:szCs w:val="20"/>
          <w:color w:val="auto"/>
        </w:rPr>
      </w:pPr>
    </w:p>
    <w:p>
      <w:pPr>
        <w:ind w:right="40" w:firstLine="913"/>
        <w:spacing w:after="0" w:line="277" w:lineRule="auto"/>
        <w:rPr>
          <w:sz w:val="20"/>
          <w:szCs w:val="20"/>
          <w:color w:val="auto"/>
        </w:rPr>
      </w:pPr>
      <w:r>
        <w:rPr>
          <w:rFonts w:ascii="Arial" w:cs="Arial" w:eastAsia="Arial" w:hAnsi="Arial"/>
          <w:sz w:val="18"/>
          <w:szCs w:val="18"/>
          <w:color w:val="auto"/>
        </w:rPr>
        <w:t>Earnings per share data is not presented in the accompanying Audited Consolidated Financial Statements because TimkenSteel does not operate as a separate legal entity with its own capital structure.</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Pension and Other Postretirement Benefits:</w:t>
      </w:r>
    </w:p>
    <w:p>
      <w:pPr>
        <w:spacing w:after="0" w:line="225" w:lineRule="exact"/>
        <w:rPr>
          <w:sz w:val="20"/>
          <w:szCs w:val="20"/>
          <w:color w:val="auto"/>
        </w:rPr>
      </w:pPr>
    </w:p>
    <w:p>
      <w:pPr>
        <w:ind w:firstLine="913"/>
        <w:spacing w:after="0" w:line="302" w:lineRule="auto"/>
        <w:rPr>
          <w:sz w:val="20"/>
          <w:szCs w:val="20"/>
          <w:color w:val="auto"/>
        </w:rPr>
      </w:pPr>
      <w:r>
        <w:rPr>
          <w:rFonts w:ascii="Arial" w:cs="Arial" w:eastAsia="Arial" w:hAnsi="Arial"/>
          <w:sz w:val="16"/>
          <w:szCs w:val="16"/>
          <w:color w:val="auto"/>
        </w:rPr>
        <w:t>Certain of TimkenSteel’s employees participate in defined benefit pension and other postretirement benefit plans (Plans) sponsored by Timken and accounted for by Timken in accordance with accounting guidance for defined benefit pension and other postretirement benefit plans. Expense allocations for these benefits were determined based on a review of personnel by business unit and based on allocations of corporate and other shared functional personnel and reported within Note 10 - Retirement Benefit Plans and in the Consolidated Statements of Comprehensive Income.</w:t>
      </w:r>
    </w:p>
    <w:p>
      <w:pPr>
        <w:spacing w:after="0" w:line="15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Stock-Based Compensation:</w:t>
      </w:r>
    </w:p>
    <w:p>
      <w:pPr>
        <w:spacing w:after="0" w:line="225" w:lineRule="exact"/>
        <w:rPr>
          <w:sz w:val="20"/>
          <w:szCs w:val="20"/>
          <w:color w:val="auto"/>
        </w:rPr>
      </w:pPr>
    </w:p>
    <w:p>
      <w:pPr>
        <w:ind w:firstLine="913"/>
        <w:spacing w:after="0" w:line="272" w:lineRule="auto"/>
        <w:rPr>
          <w:sz w:val="20"/>
          <w:szCs w:val="20"/>
          <w:color w:val="auto"/>
        </w:rPr>
      </w:pPr>
      <w:r>
        <w:rPr>
          <w:rFonts w:ascii="Arial" w:cs="Arial" w:eastAsia="Arial" w:hAnsi="Arial"/>
          <w:sz w:val="17"/>
          <w:szCs w:val="17"/>
          <w:color w:val="auto"/>
        </w:rPr>
        <w:t>Timken maintains certain stock compensation plans for the benefit of certain of its officers, directors and employees, including TimkenSteel’s employees. TimkenSteel recognizes stock-based compensation expense based on the grant date fair value of the stock-based awards over their required vesting period. Stock options are issued with an exercise price equal to the opening market price of Timken common shares on the date of grant. The fair value of stock options is determined using a Black-Scholes option pricing model, which incorporates assumptions regarding the expected volatility, the expected option life, the risk-free interest rate and the expected dividend yield. The fair value of stock-based awards that will settle in Timken common shares, other than stock options, is based on the opening market price of Timken common shares on the grant date. The fair values of stock-based awards that will settle in cash are remeasured at each reporting period until settlement of the awards.</w:t>
      </w:r>
    </w:p>
    <w:p>
      <w:pPr>
        <w:spacing w:after="0" w:line="110"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F-10</w:t>
      </w:r>
    </w:p>
    <w:p>
      <w:pPr>
        <w:sectPr>
          <w:pgSz w:w="11900" w:h="16838" w:orient="portrait"/>
          <w:cols w:equalWidth="0" w:num="1">
            <w:col w:w="11340"/>
          </w:cols>
          <w:pgMar w:left="240" w:top="459" w:right="319" w:bottom="1440" w:gutter="0" w:footer="0" w:header="0"/>
        </w:sectPr>
      </w:pPr>
    </w:p>
    <w:bookmarkStart w:id="117" w:name="page118"/>
    <w:bookmarkEnd w:id="11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45">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Debt:</w:t>
      </w:r>
    </w:p>
    <w:p>
      <w:pPr>
        <w:spacing w:after="0" w:line="225" w:lineRule="exact"/>
        <w:rPr>
          <w:sz w:val="20"/>
          <w:szCs w:val="20"/>
          <w:color w:val="auto"/>
        </w:rPr>
      </w:pPr>
    </w:p>
    <w:p>
      <w:pPr>
        <w:ind w:right="160" w:firstLine="913"/>
        <w:spacing w:after="0" w:line="264" w:lineRule="auto"/>
        <w:rPr>
          <w:sz w:val="20"/>
          <w:szCs w:val="20"/>
          <w:color w:val="auto"/>
        </w:rPr>
      </w:pPr>
      <w:r>
        <w:rPr>
          <w:rFonts w:ascii="Arial" w:cs="Arial" w:eastAsia="Arial" w:hAnsi="Arial"/>
          <w:sz w:val="18"/>
          <w:szCs w:val="18"/>
          <w:color w:val="auto"/>
        </w:rPr>
        <w:t>Short- and long-term debt is financed by Timken, and the financing decisions relating to TimkenSteel are determined by Timken’s corporate treasury operations. Debt that is identifiable as specific to TimkenSteel, guaranteed by the assets of TimkenSteel or predominantly for the purchase of assets for TimkenSteel, has been allocated to TimkenSteel.</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Derivative Instruments:</w:t>
      </w:r>
    </w:p>
    <w:p>
      <w:pPr>
        <w:spacing w:after="0" w:line="225" w:lineRule="exact"/>
        <w:rPr>
          <w:sz w:val="20"/>
          <w:szCs w:val="20"/>
          <w:color w:val="auto"/>
        </w:rPr>
      </w:pPr>
    </w:p>
    <w:p>
      <w:pPr>
        <w:ind w:right="140" w:firstLine="913"/>
        <w:spacing w:after="0" w:line="302" w:lineRule="auto"/>
        <w:rPr>
          <w:sz w:val="20"/>
          <w:szCs w:val="20"/>
          <w:color w:val="auto"/>
        </w:rPr>
      </w:pPr>
      <w:r>
        <w:rPr>
          <w:rFonts w:ascii="Arial" w:cs="Arial" w:eastAsia="Arial" w:hAnsi="Arial"/>
          <w:sz w:val="16"/>
          <w:szCs w:val="16"/>
          <w:color w:val="auto"/>
        </w:rPr>
        <w:t>TimkenSteel recognizes all derivatives on the Consolidated Balance Sheets at fair value. Derivatives that are not designated as hedges must be adjusted to fair value through earnings. Forward contracts on various foreign currencies may be entered into in order to manage the foreign currency exchange rate risk on forecasted revenue denominated in foreign currencies. Other forward exchange contracts on various foreign currencies may be entered into in order to manage the foreign currency exchange rate risk associated with certain of TimkenSteel’s commitments denominated in foreign currencies.</w:t>
      </w:r>
    </w:p>
    <w:p>
      <w:pPr>
        <w:spacing w:after="0" w:line="154" w:lineRule="exact"/>
        <w:rPr>
          <w:sz w:val="20"/>
          <w:szCs w:val="20"/>
          <w:color w:val="auto"/>
        </w:rPr>
      </w:pPr>
    </w:p>
    <w:p>
      <w:pPr>
        <w:ind w:right="380" w:firstLine="913"/>
        <w:spacing w:after="0" w:line="277" w:lineRule="auto"/>
        <w:rPr>
          <w:sz w:val="20"/>
          <w:szCs w:val="20"/>
          <w:color w:val="auto"/>
        </w:rPr>
      </w:pPr>
      <w:r>
        <w:rPr>
          <w:rFonts w:ascii="Arial" w:cs="Arial" w:eastAsia="Arial" w:hAnsi="Arial"/>
          <w:sz w:val="18"/>
          <w:szCs w:val="18"/>
          <w:color w:val="auto"/>
        </w:rPr>
        <w:t>As of December 31, 2013 and 2012, TimkenSteel had foreign currency forward contracts with a fair value of less than $0.1 million based on level 2 inputs.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Recent Accounting Pronouncements:</w:t>
      </w:r>
    </w:p>
    <w:p>
      <w:pPr>
        <w:spacing w:after="0" w:line="225" w:lineRule="exact"/>
        <w:rPr>
          <w:sz w:val="20"/>
          <w:szCs w:val="20"/>
          <w:color w:val="auto"/>
        </w:rPr>
      </w:pPr>
    </w:p>
    <w:p>
      <w:pPr>
        <w:ind w:right="180" w:firstLine="913"/>
        <w:spacing w:after="0" w:line="273" w:lineRule="auto"/>
        <w:rPr>
          <w:sz w:val="20"/>
          <w:szCs w:val="20"/>
          <w:color w:val="auto"/>
        </w:rPr>
      </w:pPr>
      <w:r>
        <w:rPr>
          <w:rFonts w:ascii="Arial" w:cs="Arial" w:eastAsia="Arial" w:hAnsi="Arial"/>
          <w:sz w:val="17"/>
          <w:szCs w:val="17"/>
          <w:color w:val="auto"/>
        </w:rPr>
        <w:t>In February 2013, the FASB issued ASU No. 2013-02, Comprehensive Income (Topic 220): “Reporting of Amounts Reclassified out of Accumulated Other Comprehensive Income,” effective for annual and interim reporting periods beginning after December 15, 2012. The new accounting rules require all U.S. public companies to report the effect of items reclassified out of accumulated other comprehensive income on the respective line items of net income, net of tax, either on the face of the financial statements where net income is presented or in a tabular format in the notes to the financial statements. Effective January 1, 2013, TimkenSteel adopted ASU No. 2013-02. The new accounting rules expand the disclosure of other comprehensive income and had no impact on the results of operations and financial condition of TimkenSteel.</w:t>
      </w:r>
    </w:p>
    <w:p>
      <w:pPr>
        <w:spacing w:after="0" w:line="178" w:lineRule="exact"/>
        <w:rPr>
          <w:sz w:val="20"/>
          <w:szCs w:val="20"/>
          <w:color w:val="auto"/>
        </w:rPr>
      </w:pPr>
    </w:p>
    <w:p>
      <w:pPr>
        <w:ind w:right="180" w:firstLine="913"/>
        <w:spacing w:after="0" w:line="276" w:lineRule="auto"/>
        <w:rPr>
          <w:sz w:val="20"/>
          <w:szCs w:val="20"/>
          <w:color w:val="auto"/>
        </w:rPr>
      </w:pPr>
      <w:r>
        <w:rPr>
          <w:rFonts w:ascii="Arial" w:cs="Arial" w:eastAsia="Arial" w:hAnsi="Arial"/>
          <w:sz w:val="17"/>
          <w:szCs w:val="17"/>
          <w:color w:val="auto"/>
        </w:rPr>
        <w:t>In July 2013, the FASB issued ASU 2013-11, Income Taxes (Topic 740): “Presentation of an Unrecognized Tax Benefit When a Net Operating Loss Carryforward, a Similar Tax Loss, or a Tax Credit Carryforward Exists.” ASU 2013-11 clarifies guidance and eliminates diversity in practice on the presentation of unrecognized tax benefits when a net operating loss carryforward, a similar tax loss, or a tax credit carryforward exists at the reporting date. The new accounting rules are effective for annual and interim reporting periods beginning after December 15, 2013. TimkenSteel is currently evaluating the impact of adopting ASU 2013-11, if any, on the results of operations and financial condition of TimkenSteel.</w:t>
      </w:r>
    </w:p>
    <w:p>
      <w:pPr>
        <w:spacing w:after="0" w:line="17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Use of Estimates:</w:t>
      </w:r>
    </w:p>
    <w:p>
      <w:pPr>
        <w:spacing w:after="0" w:line="225" w:lineRule="exact"/>
        <w:rPr>
          <w:sz w:val="20"/>
          <w:szCs w:val="20"/>
          <w:color w:val="auto"/>
        </w:rPr>
      </w:pPr>
    </w:p>
    <w:p>
      <w:pPr>
        <w:jc w:val="both"/>
        <w:ind w:firstLine="913"/>
        <w:spacing w:after="0" w:line="264" w:lineRule="auto"/>
        <w:rPr>
          <w:sz w:val="20"/>
          <w:szCs w:val="20"/>
          <w:color w:val="auto"/>
        </w:rPr>
      </w:pPr>
      <w:r>
        <w:rPr>
          <w:rFonts w:ascii="Arial" w:cs="Arial" w:eastAsia="Arial" w:hAnsi="Arial"/>
          <w:sz w:val="18"/>
          <w:szCs w:val="18"/>
          <w:color w:val="auto"/>
        </w:rPr>
        <w:t>The preparation of these Audited Consolidated Financial Statements in conformity with U.S. GAAP requires management to make estimates and assumptions that affect the amounts reported in the Audited Consolidated Financial Statements and accompanying notes. These estimates and assumptions are reviewed and updated regularly to reflect recent experience.</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Reclassifications:</w:t>
      </w:r>
    </w:p>
    <w:p>
      <w:pPr>
        <w:spacing w:after="0" w:line="225" w:lineRule="exact"/>
        <w:rPr>
          <w:sz w:val="20"/>
          <w:szCs w:val="20"/>
          <w:color w:val="auto"/>
        </w:rPr>
      </w:pPr>
    </w:p>
    <w:p>
      <w:pPr>
        <w:ind w:right="40" w:firstLine="913"/>
        <w:spacing w:after="0" w:line="308" w:lineRule="auto"/>
        <w:rPr>
          <w:sz w:val="20"/>
          <w:szCs w:val="20"/>
          <w:color w:val="auto"/>
        </w:rPr>
      </w:pPr>
      <w:r>
        <w:rPr>
          <w:rFonts w:ascii="Arial" w:cs="Arial" w:eastAsia="Arial" w:hAnsi="Arial"/>
          <w:sz w:val="17"/>
          <w:szCs w:val="17"/>
          <w:color w:val="auto"/>
        </w:rPr>
        <w:t>Certain amounts reported in the 2012 and 2011 segmented information have been reclassified to conform to 2013 presentation. Such amounts are related to TimkenSteel’s Mexico operations. In addition, TimkenSteel reclassified certain amounts related to geographic information.</w:t>
      </w:r>
    </w:p>
    <w:p>
      <w:pPr>
        <w:spacing w:after="0" w:line="147" w:lineRule="exact"/>
        <w:rPr>
          <w:sz w:val="20"/>
          <w:szCs w:val="20"/>
          <w:color w:val="auto"/>
        </w:rPr>
      </w:pPr>
    </w:p>
    <w:p>
      <w:pPr>
        <w:jc w:val="both"/>
        <w:ind w:right="400" w:firstLine="913"/>
        <w:spacing w:after="0" w:line="264" w:lineRule="auto"/>
        <w:rPr>
          <w:sz w:val="20"/>
          <w:szCs w:val="20"/>
          <w:color w:val="auto"/>
        </w:rPr>
      </w:pPr>
      <w:r>
        <w:rPr>
          <w:rFonts w:ascii="Arial" w:cs="Arial" w:eastAsia="Arial" w:hAnsi="Arial"/>
          <w:sz w:val="18"/>
          <w:szCs w:val="18"/>
          <w:color w:val="auto"/>
        </w:rPr>
        <w:t>Certain amounts reported in the 2012 Consolidated Financial Statements have been reclassified to correct an immaterial error. TimkenSteel reclassified $17.0 million from other current assets to accounts receivable due from related party. In addition, TimkenSteel reclassified $5.3 million from other current liabilities to accounts payable due to related party.</w:t>
      </w:r>
    </w:p>
    <w:p>
      <w:pPr>
        <w:spacing w:after="0" w:line="380" w:lineRule="exact"/>
        <w:rPr>
          <w:sz w:val="20"/>
          <w:szCs w:val="20"/>
          <w:color w:val="auto"/>
        </w:rPr>
      </w:pPr>
    </w:p>
    <w:p>
      <w:pPr>
        <w:spacing w:after="0"/>
        <w:rPr>
          <w:sz w:val="20"/>
          <w:szCs w:val="20"/>
          <w:color w:val="auto"/>
        </w:rPr>
      </w:pPr>
      <w:r>
        <w:rPr>
          <w:rFonts w:ascii="Arial" w:cs="Arial" w:eastAsia="Arial" w:hAnsi="Arial"/>
          <w:sz w:val="23"/>
          <w:szCs w:val="23"/>
          <w:b w:val="1"/>
          <w:bCs w:val="1"/>
          <w:color w:val="auto"/>
        </w:rPr>
        <w:t>Note 3 - Accumulated Other Comprehensive Loss</w:t>
      </w:r>
    </w:p>
    <w:p>
      <w:pPr>
        <w:spacing w:after="0" w:line="239" w:lineRule="exact"/>
        <w:rPr>
          <w:sz w:val="20"/>
          <w:szCs w:val="20"/>
          <w:color w:val="auto"/>
        </w:rPr>
      </w:pPr>
    </w:p>
    <w:p>
      <w:pPr>
        <w:ind w:right="180" w:firstLine="913"/>
        <w:spacing w:after="0" w:line="264" w:lineRule="auto"/>
        <w:rPr>
          <w:sz w:val="20"/>
          <w:szCs w:val="20"/>
          <w:color w:val="auto"/>
        </w:rPr>
      </w:pPr>
      <w:r>
        <w:rPr>
          <w:rFonts w:ascii="Arial" w:cs="Arial" w:eastAsia="Arial" w:hAnsi="Arial"/>
          <w:sz w:val="18"/>
          <w:szCs w:val="18"/>
          <w:color w:val="auto"/>
        </w:rPr>
        <w:t>Accumulated other comprehensive loss of $0.4 million and $0.6 million as of December 31, 2013 and 2012, respectively, consists of accumulated foreign currency translation adjustments. For the years ended December 31, 2013 and 2012, there were no reclassifications out of accumulated other comprehensive loss.</w:t>
      </w:r>
    </w:p>
    <w:p>
      <w:pPr>
        <w:spacing w:after="0" w:line="11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F-11</w:t>
      </w:r>
    </w:p>
    <w:p>
      <w:pPr>
        <w:sectPr>
          <w:pgSz w:w="11900" w:h="16838" w:orient="portrait"/>
          <w:cols w:equalWidth="0" w:num="1">
            <w:col w:w="11420"/>
          </w:cols>
          <w:pgMar w:left="240" w:top="459" w:right="239" w:bottom="1440" w:gutter="0" w:footer="0" w:header="0"/>
        </w:sectPr>
      </w:pPr>
    </w:p>
    <w:bookmarkStart w:id="118" w:name="page119"/>
    <w:bookmarkEnd w:id="11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46">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292" w:lineRule="exact"/>
        <w:rPr>
          <w:sz w:val="20"/>
          <w:szCs w:val="20"/>
          <w:color w:val="auto"/>
        </w:rPr>
      </w:pPr>
    </w:p>
    <w:p>
      <w:pPr>
        <w:spacing w:after="0"/>
        <w:rPr>
          <w:sz w:val="20"/>
          <w:szCs w:val="20"/>
          <w:color w:val="auto"/>
        </w:rPr>
      </w:pPr>
      <w:r>
        <w:rPr>
          <w:rFonts w:ascii="Arial" w:cs="Arial" w:eastAsia="Arial" w:hAnsi="Arial"/>
          <w:sz w:val="23"/>
          <w:szCs w:val="23"/>
          <w:b w:val="1"/>
          <w:bCs w:val="1"/>
          <w:color w:val="auto"/>
        </w:rPr>
        <w:t>Note 4 - Inventories</w:t>
      </w:r>
    </w:p>
    <w:p>
      <w:pPr>
        <w:spacing w:after="0" w:line="239"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000" w:type="dxa"/>
            <w:vAlign w:val="bottom"/>
          </w:tcPr>
          <w:p>
            <w:pPr>
              <w:ind w:left="920"/>
              <w:spacing w:after="0"/>
              <w:rPr>
                <w:sz w:val="20"/>
                <w:szCs w:val="20"/>
                <w:color w:val="auto"/>
              </w:rPr>
            </w:pPr>
            <w:r>
              <w:rPr>
                <w:rFonts w:ascii="Arial" w:cs="Arial" w:eastAsia="Arial" w:hAnsi="Arial"/>
                <w:sz w:val="18"/>
                <w:szCs w:val="18"/>
                <w:color w:val="auto"/>
              </w:rPr>
              <w:t>The components of inventories, net as of December 31, 2013 and 2012 were as follows:</w:t>
            </w:r>
          </w:p>
        </w:tc>
        <w:tc>
          <w:tcPr>
            <w:tcW w:w="152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040" w:type="dxa"/>
            <w:vAlign w:val="bottom"/>
          </w:tcPr>
          <w:p>
            <w:pPr>
              <w:spacing w:after="0"/>
              <w:rPr>
                <w:sz w:val="20"/>
                <w:szCs w:val="20"/>
                <w:color w:val="auto"/>
              </w:rPr>
            </w:pPr>
          </w:p>
        </w:tc>
      </w:tr>
      <w:tr>
        <w:trPr>
          <w:trHeight w:val="338"/>
        </w:trPr>
        <w:tc>
          <w:tcPr>
            <w:tcW w:w="8000" w:type="dxa"/>
            <w:vAlign w:val="bottom"/>
            <w:tcBorders>
              <w:bottom w:val="single" w:sz="8" w:color="auto"/>
            </w:tcBorders>
          </w:tcPr>
          <w:p>
            <w:pPr>
              <w:spacing w:after="0"/>
              <w:rPr>
                <w:sz w:val="24"/>
                <w:szCs w:val="24"/>
                <w:color w:val="auto"/>
              </w:rPr>
            </w:pPr>
          </w:p>
        </w:tc>
        <w:tc>
          <w:tcPr>
            <w:tcW w:w="152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2013</w:t>
            </w:r>
          </w:p>
        </w:tc>
        <w:tc>
          <w:tcPr>
            <w:tcW w:w="54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040" w:type="dxa"/>
            <w:vAlign w:val="bottom"/>
            <w:tcBorders>
              <w:bottom w:val="single" w:sz="8" w:color="auto"/>
            </w:tcBorders>
          </w:tcPr>
          <w:p>
            <w:pPr>
              <w:jc w:val="right"/>
              <w:ind w:right="430"/>
              <w:spacing w:after="0"/>
              <w:rPr>
                <w:sz w:val="20"/>
                <w:szCs w:val="20"/>
                <w:color w:val="auto"/>
              </w:rPr>
            </w:pPr>
            <w:r>
              <w:rPr>
                <w:rFonts w:ascii="Arial" w:cs="Arial" w:eastAsia="Arial" w:hAnsi="Arial"/>
                <w:sz w:val="18"/>
                <w:szCs w:val="18"/>
                <w:color w:val="auto"/>
              </w:rPr>
              <w:t>2012</w:t>
            </w:r>
          </w:p>
        </w:tc>
      </w:tr>
      <w:tr>
        <w:trPr>
          <w:trHeight w:val="210"/>
        </w:trPr>
        <w:tc>
          <w:tcPr>
            <w:tcW w:w="8000" w:type="dxa"/>
            <w:vAlign w:val="bottom"/>
            <w:shd w:val="clear" w:color="auto" w:fill="CCEEFF"/>
          </w:tcPr>
          <w:p>
            <w:pPr>
              <w:spacing w:after="0"/>
              <w:rPr>
                <w:sz w:val="20"/>
                <w:szCs w:val="20"/>
                <w:color w:val="auto"/>
              </w:rPr>
            </w:pPr>
            <w:r>
              <w:rPr>
                <w:rFonts w:ascii="Arial" w:cs="Arial" w:eastAsia="Arial" w:hAnsi="Arial"/>
                <w:sz w:val="18"/>
                <w:szCs w:val="18"/>
                <w:color w:val="auto"/>
              </w:rPr>
              <w:t>Inventories, Net:</w:t>
            </w:r>
          </w:p>
        </w:tc>
        <w:tc>
          <w:tcPr>
            <w:tcW w:w="152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r>
      <w:tr>
        <w:trPr>
          <w:trHeight w:val="216"/>
        </w:trPr>
        <w:tc>
          <w:tcPr>
            <w:tcW w:w="8000" w:type="dxa"/>
            <w:vAlign w:val="bottom"/>
          </w:tcPr>
          <w:p>
            <w:pPr>
              <w:spacing w:after="0"/>
              <w:rPr>
                <w:sz w:val="20"/>
                <w:szCs w:val="20"/>
                <w:color w:val="auto"/>
              </w:rPr>
            </w:pPr>
            <w:r>
              <w:rPr>
                <w:rFonts w:ascii="Arial" w:cs="Arial" w:eastAsia="Arial" w:hAnsi="Arial"/>
                <w:sz w:val="18"/>
                <w:szCs w:val="18"/>
                <w:color w:val="auto"/>
              </w:rPr>
              <w:t>Manufacturing supplies</w:t>
            </w:r>
          </w:p>
        </w:tc>
        <w:tc>
          <w:tcPr>
            <w:tcW w:w="1520" w:type="dxa"/>
            <w:vAlign w:val="bottom"/>
          </w:tcPr>
          <w:p>
            <w:pPr>
              <w:jc w:val="right"/>
              <w:ind w:right="590"/>
              <w:spacing w:after="0"/>
              <w:rPr>
                <w:sz w:val="20"/>
                <w:szCs w:val="20"/>
                <w:color w:val="auto"/>
              </w:rPr>
            </w:pPr>
            <w:r>
              <w:rPr>
                <w:rFonts w:ascii="Arial" w:cs="Arial" w:eastAsia="Arial" w:hAnsi="Arial"/>
                <w:sz w:val="18"/>
                <w:szCs w:val="18"/>
                <w:b w:val="1"/>
                <w:bCs w:val="1"/>
                <w:color w:val="auto"/>
              </w:rPr>
              <w:t>$</w:t>
            </w:r>
          </w:p>
        </w:tc>
        <w:tc>
          <w:tcPr>
            <w:tcW w:w="540" w:type="dxa"/>
            <w:vAlign w:val="bottom"/>
          </w:tcPr>
          <w:p>
            <w:pPr>
              <w:jc w:val="right"/>
              <w:ind w:right="50"/>
              <w:spacing w:after="0"/>
              <w:rPr>
                <w:sz w:val="20"/>
                <w:szCs w:val="20"/>
                <w:color w:val="auto"/>
              </w:rPr>
            </w:pPr>
            <w:r>
              <w:rPr>
                <w:rFonts w:ascii="Arial" w:cs="Arial" w:eastAsia="Arial" w:hAnsi="Arial"/>
                <w:sz w:val="18"/>
                <w:szCs w:val="18"/>
                <w:b w:val="1"/>
                <w:bCs w:val="1"/>
                <w:color w:val="auto"/>
              </w:rPr>
              <w:t>32.8</w:t>
            </w:r>
          </w:p>
        </w:tc>
        <w:tc>
          <w:tcPr>
            <w:tcW w:w="32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1040" w:type="dxa"/>
            <w:vAlign w:val="bottom"/>
          </w:tcPr>
          <w:p>
            <w:pPr>
              <w:jc w:val="right"/>
              <w:ind w:right="10"/>
              <w:spacing w:after="0"/>
              <w:rPr>
                <w:sz w:val="20"/>
                <w:szCs w:val="20"/>
                <w:color w:val="auto"/>
              </w:rPr>
            </w:pPr>
            <w:r>
              <w:rPr>
                <w:rFonts w:ascii="Arial" w:cs="Arial" w:eastAsia="Arial" w:hAnsi="Arial"/>
                <w:sz w:val="18"/>
                <w:szCs w:val="18"/>
                <w:color w:val="auto"/>
              </w:rPr>
              <w:t>35.3</w:t>
            </w:r>
          </w:p>
        </w:tc>
      </w:tr>
      <w:tr>
        <w:trPr>
          <w:trHeight w:val="216"/>
        </w:trPr>
        <w:tc>
          <w:tcPr>
            <w:tcW w:w="8000" w:type="dxa"/>
            <w:vAlign w:val="bottom"/>
            <w:shd w:val="clear" w:color="auto" w:fill="CCEEFF"/>
          </w:tcPr>
          <w:p>
            <w:pPr>
              <w:spacing w:after="0"/>
              <w:rPr>
                <w:sz w:val="20"/>
                <w:szCs w:val="20"/>
                <w:color w:val="auto"/>
              </w:rPr>
            </w:pPr>
            <w:r>
              <w:rPr>
                <w:rFonts w:ascii="Arial" w:cs="Arial" w:eastAsia="Arial" w:hAnsi="Arial"/>
                <w:sz w:val="18"/>
                <w:szCs w:val="18"/>
                <w:color w:val="auto"/>
              </w:rPr>
              <w:t>Raw materials</w:t>
            </w:r>
          </w:p>
        </w:tc>
        <w:tc>
          <w:tcPr>
            <w:tcW w:w="1520" w:type="dxa"/>
            <w:vAlign w:val="bottom"/>
            <w:shd w:val="clear" w:color="auto" w:fill="CCEEFF"/>
          </w:tcPr>
          <w:p>
            <w:pPr>
              <w:spacing w:after="0"/>
              <w:rPr>
                <w:sz w:val="18"/>
                <w:szCs w:val="18"/>
                <w:color w:val="auto"/>
              </w:rPr>
            </w:pPr>
          </w:p>
        </w:tc>
        <w:tc>
          <w:tcPr>
            <w:tcW w:w="540" w:type="dxa"/>
            <w:vAlign w:val="bottom"/>
            <w:shd w:val="clear" w:color="auto" w:fill="CCEEFF"/>
          </w:tcPr>
          <w:p>
            <w:pPr>
              <w:jc w:val="right"/>
              <w:ind w:right="50"/>
              <w:spacing w:after="0"/>
              <w:rPr>
                <w:sz w:val="20"/>
                <w:szCs w:val="20"/>
                <w:color w:val="auto"/>
              </w:rPr>
            </w:pPr>
            <w:r>
              <w:rPr>
                <w:rFonts w:ascii="Arial" w:cs="Arial" w:eastAsia="Arial" w:hAnsi="Arial"/>
                <w:sz w:val="18"/>
                <w:szCs w:val="18"/>
                <w:b w:val="1"/>
                <w:bCs w:val="1"/>
                <w:color w:val="auto"/>
              </w:rPr>
              <w:t>42.9</w:t>
            </w:r>
          </w:p>
        </w:tc>
        <w:tc>
          <w:tcPr>
            <w:tcW w:w="320" w:type="dxa"/>
            <w:vAlign w:val="bottom"/>
            <w:shd w:val="clear" w:color="auto" w:fill="CCEEFF"/>
          </w:tcPr>
          <w:p>
            <w:pPr>
              <w:spacing w:after="0"/>
              <w:rPr>
                <w:sz w:val="18"/>
                <w:szCs w:val="18"/>
                <w:color w:val="auto"/>
              </w:rPr>
            </w:pPr>
          </w:p>
        </w:tc>
        <w:tc>
          <w:tcPr>
            <w:tcW w:w="104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54.0</w:t>
            </w:r>
          </w:p>
        </w:tc>
      </w:tr>
      <w:tr>
        <w:trPr>
          <w:trHeight w:val="216"/>
        </w:trPr>
        <w:tc>
          <w:tcPr>
            <w:tcW w:w="8000" w:type="dxa"/>
            <w:vAlign w:val="bottom"/>
          </w:tcPr>
          <w:p>
            <w:pPr>
              <w:spacing w:after="0"/>
              <w:rPr>
                <w:sz w:val="20"/>
                <w:szCs w:val="20"/>
                <w:color w:val="auto"/>
              </w:rPr>
            </w:pPr>
            <w:r>
              <w:rPr>
                <w:rFonts w:ascii="Arial" w:cs="Arial" w:eastAsia="Arial" w:hAnsi="Arial"/>
                <w:sz w:val="18"/>
                <w:szCs w:val="18"/>
                <w:color w:val="auto"/>
              </w:rPr>
              <w:t>Work in process</w:t>
            </w:r>
          </w:p>
        </w:tc>
        <w:tc>
          <w:tcPr>
            <w:tcW w:w="1520" w:type="dxa"/>
            <w:vAlign w:val="bottom"/>
          </w:tcPr>
          <w:p>
            <w:pPr>
              <w:spacing w:after="0"/>
              <w:rPr>
                <w:sz w:val="18"/>
                <w:szCs w:val="18"/>
                <w:color w:val="auto"/>
              </w:rPr>
            </w:pPr>
          </w:p>
        </w:tc>
        <w:tc>
          <w:tcPr>
            <w:tcW w:w="540" w:type="dxa"/>
            <w:vAlign w:val="bottom"/>
          </w:tcPr>
          <w:p>
            <w:pPr>
              <w:jc w:val="right"/>
              <w:ind w:right="50"/>
              <w:spacing w:after="0"/>
              <w:rPr>
                <w:sz w:val="20"/>
                <w:szCs w:val="20"/>
                <w:color w:val="auto"/>
              </w:rPr>
            </w:pPr>
            <w:r>
              <w:rPr>
                <w:rFonts w:ascii="Arial" w:cs="Arial" w:eastAsia="Arial" w:hAnsi="Arial"/>
                <w:sz w:val="18"/>
                <w:szCs w:val="18"/>
                <w:b w:val="1"/>
                <w:bCs w:val="1"/>
                <w:color w:val="auto"/>
              </w:rPr>
              <w:t>81.6</w:t>
            </w:r>
          </w:p>
        </w:tc>
        <w:tc>
          <w:tcPr>
            <w:tcW w:w="320" w:type="dxa"/>
            <w:vAlign w:val="bottom"/>
          </w:tcPr>
          <w:p>
            <w:pPr>
              <w:spacing w:after="0"/>
              <w:rPr>
                <w:sz w:val="18"/>
                <w:szCs w:val="18"/>
                <w:color w:val="auto"/>
              </w:rPr>
            </w:pPr>
          </w:p>
        </w:tc>
        <w:tc>
          <w:tcPr>
            <w:tcW w:w="1040" w:type="dxa"/>
            <w:vAlign w:val="bottom"/>
          </w:tcPr>
          <w:p>
            <w:pPr>
              <w:jc w:val="right"/>
              <w:ind w:right="10"/>
              <w:spacing w:after="0"/>
              <w:rPr>
                <w:sz w:val="20"/>
                <w:szCs w:val="20"/>
                <w:color w:val="auto"/>
              </w:rPr>
            </w:pPr>
            <w:r>
              <w:rPr>
                <w:rFonts w:ascii="Arial" w:cs="Arial" w:eastAsia="Arial" w:hAnsi="Arial"/>
                <w:sz w:val="18"/>
                <w:szCs w:val="18"/>
                <w:color w:val="auto"/>
              </w:rPr>
              <w:t>81.2</w:t>
            </w:r>
          </w:p>
        </w:tc>
      </w:tr>
      <w:tr>
        <w:trPr>
          <w:trHeight w:val="216"/>
        </w:trPr>
        <w:tc>
          <w:tcPr>
            <w:tcW w:w="800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color w:val="auto"/>
              </w:rPr>
              <w:t>Finished products</w:t>
            </w:r>
          </w:p>
        </w:tc>
        <w:tc>
          <w:tcPr>
            <w:tcW w:w="1520" w:type="dxa"/>
            <w:vAlign w:val="bottom"/>
            <w:tcBorders>
              <w:bottom w:val="single" w:sz="8" w:color="auto"/>
            </w:tcBorders>
            <w:shd w:val="clear" w:color="auto" w:fill="CCEEFF"/>
          </w:tcPr>
          <w:p>
            <w:pPr>
              <w:spacing w:after="0"/>
              <w:rPr>
                <w:sz w:val="18"/>
                <w:szCs w:val="18"/>
                <w:color w:val="auto"/>
              </w:rPr>
            </w:pPr>
          </w:p>
        </w:tc>
        <w:tc>
          <w:tcPr>
            <w:tcW w:w="54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b w:val="1"/>
                <w:bCs w:val="1"/>
                <w:color w:val="auto"/>
              </w:rPr>
              <w:t>71.6</w:t>
            </w:r>
          </w:p>
        </w:tc>
        <w:tc>
          <w:tcPr>
            <w:tcW w:w="320" w:type="dxa"/>
            <w:vAlign w:val="bottom"/>
            <w:tcBorders>
              <w:bottom w:val="single" w:sz="8" w:color="auto"/>
            </w:tcBorders>
            <w:shd w:val="clear" w:color="auto" w:fill="CCEEFF"/>
          </w:tcPr>
          <w:p>
            <w:pPr>
              <w:spacing w:after="0"/>
              <w:rPr>
                <w:sz w:val="18"/>
                <w:szCs w:val="18"/>
                <w:color w:val="auto"/>
              </w:rPr>
            </w:pPr>
          </w:p>
        </w:tc>
        <w:tc>
          <w:tcPr>
            <w:tcW w:w="104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82.6</w:t>
            </w:r>
          </w:p>
        </w:tc>
      </w:tr>
      <w:tr>
        <w:trPr>
          <w:trHeight w:val="210"/>
        </w:trPr>
        <w:tc>
          <w:tcPr>
            <w:tcW w:w="8000" w:type="dxa"/>
            <w:vAlign w:val="bottom"/>
          </w:tcPr>
          <w:p>
            <w:pPr>
              <w:ind w:left="180"/>
              <w:spacing w:after="0"/>
              <w:rPr>
                <w:sz w:val="20"/>
                <w:szCs w:val="20"/>
                <w:color w:val="auto"/>
              </w:rPr>
            </w:pPr>
            <w:r>
              <w:rPr>
                <w:rFonts w:ascii="Arial" w:cs="Arial" w:eastAsia="Arial" w:hAnsi="Arial"/>
                <w:sz w:val="18"/>
                <w:szCs w:val="18"/>
                <w:color w:val="auto"/>
              </w:rPr>
              <w:t>Subtotal</w:t>
            </w:r>
          </w:p>
        </w:tc>
        <w:tc>
          <w:tcPr>
            <w:tcW w:w="1520" w:type="dxa"/>
            <w:vAlign w:val="bottom"/>
          </w:tcPr>
          <w:p>
            <w:pPr>
              <w:spacing w:after="0"/>
              <w:rPr>
                <w:sz w:val="18"/>
                <w:szCs w:val="18"/>
                <w:color w:val="auto"/>
              </w:rPr>
            </w:pPr>
          </w:p>
        </w:tc>
        <w:tc>
          <w:tcPr>
            <w:tcW w:w="540" w:type="dxa"/>
            <w:vAlign w:val="bottom"/>
          </w:tcPr>
          <w:p>
            <w:pPr>
              <w:jc w:val="right"/>
              <w:ind w:right="50"/>
              <w:spacing w:after="0"/>
              <w:rPr>
                <w:sz w:val="20"/>
                <w:szCs w:val="20"/>
                <w:color w:val="auto"/>
              </w:rPr>
            </w:pPr>
            <w:r>
              <w:rPr>
                <w:rFonts w:ascii="Arial" w:cs="Arial" w:eastAsia="Arial" w:hAnsi="Arial"/>
                <w:sz w:val="18"/>
                <w:szCs w:val="18"/>
                <w:b w:val="1"/>
                <w:bCs w:val="1"/>
                <w:color w:val="auto"/>
                <w:w w:val="84"/>
              </w:rPr>
              <w:t>228.9</w:t>
            </w:r>
          </w:p>
        </w:tc>
        <w:tc>
          <w:tcPr>
            <w:tcW w:w="320" w:type="dxa"/>
            <w:vAlign w:val="bottom"/>
          </w:tcPr>
          <w:p>
            <w:pPr>
              <w:spacing w:after="0"/>
              <w:rPr>
                <w:sz w:val="18"/>
                <w:szCs w:val="18"/>
                <w:color w:val="auto"/>
              </w:rPr>
            </w:pPr>
          </w:p>
        </w:tc>
        <w:tc>
          <w:tcPr>
            <w:tcW w:w="1040" w:type="dxa"/>
            <w:vAlign w:val="bottom"/>
          </w:tcPr>
          <w:p>
            <w:pPr>
              <w:jc w:val="right"/>
              <w:ind w:right="10"/>
              <w:spacing w:after="0"/>
              <w:rPr>
                <w:sz w:val="20"/>
                <w:szCs w:val="20"/>
                <w:color w:val="auto"/>
              </w:rPr>
            </w:pPr>
            <w:r>
              <w:rPr>
                <w:rFonts w:ascii="Arial" w:cs="Arial" w:eastAsia="Arial" w:hAnsi="Arial"/>
                <w:sz w:val="18"/>
                <w:szCs w:val="18"/>
                <w:color w:val="auto"/>
              </w:rPr>
              <w:t>253.1</w:t>
            </w:r>
          </w:p>
        </w:tc>
      </w:tr>
      <w:tr>
        <w:trPr>
          <w:trHeight w:val="216"/>
        </w:trPr>
        <w:tc>
          <w:tcPr>
            <w:tcW w:w="800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color w:val="auto"/>
              </w:rPr>
              <w:t>Allowance for surplus and obsolete inventory</w:t>
            </w:r>
          </w:p>
        </w:tc>
        <w:tc>
          <w:tcPr>
            <w:tcW w:w="1520" w:type="dxa"/>
            <w:vAlign w:val="bottom"/>
            <w:tcBorders>
              <w:bottom w:val="single" w:sz="8" w:color="auto"/>
            </w:tcBorders>
            <w:shd w:val="clear" w:color="auto" w:fill="CCEEFF"/>
          </w:tcPr>
          <w:p>
            <w:pPr>
              <w:spacing w:after="0"/>
              <w:rPr>
                <w:sz w:val="18"/>
                <w:szCs w:val="18"/>
                <w:color w:val="auto"/>
              </w:rPr>
            </w:pPr>
          </w:p>
        </w:tc>
        <w:tc>
          <w:tcPr>
            <w:tcW w:w="5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(1.9)</w:t>
            </w:r>
          </w:p>
        </w:tc>
        <w:tc>
          <w:tcPr>
            <w:tcW w:w="320" w:type="dxa"/>
            <w:vAlign w:val="bottom"/>
            <w:tcBorders>
              <w:bottom w:val="single" w:sz="8" w:color="auto"/>
            </w:tcBorders>
            <w:shd w:val="clear" w:color="auto" w:fill="CCEEFF"/>
          </w:tcPr>
          <w:p>
            <w:pPr>
              <w:spacing w:after="0"/>
              <w:rPr>
                <w:sz w:val="18"/>
                <w:szCs w:val="18"/>
                <w:color w:val="auto"/>
              </w:rPr>
            </w:pP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(1.5)</w:t>
            </w:r>
          </w:p>
        </w:tc>
      </w:tr>
      <w:tr>
        <w:trPr>
          <w:trHeight w:val="217"/>
        </w:trPr>
        <w:tc>
          <w:tcPr>
            <w:tcW w:w="8000" w:type="dxa"/>
            <w:vAlign w:val="bottom"/>
            <w:tcBorders>
              <w:bottom w:val="single" w:sz="8" w:color="auto"/>
            </w:tcBorders>
          </w:tcPr>
          <w:p>
            <w:pPr>
              <w:ind w:left="180"/>
              <w:spacing w:after="0"/>
              <w:rPr>
                <w:sz w:val="20"/>
                <w:szCs w:val="20"/>
                <w:color w:val="auto"/>
              </w:rPr>
            </w:pPr>
            <w:r>
              <w:rPr>
                <w:rFonts w:ascii="Arial" w:cs="Arial" w:eastAsia="Arial" w:hAnsi="Arial"/>
                <w:sz w:val="18"/>
                <w:szCs w:val="18"/>
                <w:color w:val="auto"/>
              </w:rPr>
              <w:t>Total Inventories, Net</w:t>
            </w:r>
          </w:p>
        </w:tc>
        <w:tc>
          <w:tcPr>
            <w:tcW w:w="1520" w:type="dxa"/>
            <w:vAlign w:val="bottom"/>
            <w:tcBorders>
              <w:bottom w:val="single" w:sz="8" w:color="auto"/>
            </w:tcBorders>
          </w:tcPr>
          <w:p>
            <w:pPr>
              <w:jc w:val="right"/>
              <w:ind w:right="590"/>
              <w:spacing w:after="0"/>
              <w:rPr>
                <w:sz w:val="20"/>
                <w:szCs w:val="20"/>
                <w:color w:val="auto"/>
              </w:rPr>
            </w:pPr>
            <w:r>
              <w:rPr>
                <w:rFonts w:ascii="Arial" w:cs="Arial" w:eastAsia="Arial" w:hAnsi="Arial"/>
                <w:sz w:val="18"/>
                <w:szCs w:val="18"/>
                <w:b w:val="1"/>
                <w:bCs w:val="1"/>
                <w:color w:val="auto"/>
              </w:rPr>
              <w:t>$</w:t>
            </w:r>
          </w:p>
        </w:tc>
        <w:tc>
          <w:tcPr>
            <w:tcW w:w="54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b w:val="1"/>
                <w:bCs w:val="1"/>
                <w:color w:val="auto"/>
                <w:w w:val="84"/>
              </w:rPr>
              <w:t>227.0</w:t>
            </w:r>
          </w:p>
        </w:tc>
        <w:tc>
          <w:tcPr>
            <w:tcW w:w="32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color w:val="auto"/>
              </w:rPr>
              <w:t>$</w:t>
            </w:r>
          </w:p>
        </w:tc>
        <w:tc>
          <w:tcPr>
            <w:tcW w:w="104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251.6</w:t>
            </w:r>
          </w:p>
        </w:tc>
      </w:tr>
    </w:tbl>
    <w:p>
      <w:pPr>
        <w:spacing w:after="0" w:line="202" w:lineRule="exact"/>
        <w:rPr>
          <w:sz w:val="20"/>
          <w:szCs w:val="20"/>
          <w:color w:val="auto"/>
        </w:rPr>
      </w:pPr>
    </w:p>
    <w:p>
      <w:pPr>
        <w:ind w:right="20" w:firstLine="913"/>
        <w:spacing w:after="0" w:line="273" w:lineRule="auto"/>
        <w:rPr>
          <w:sz w:val="20"/>
          <w:szCs w:val="20"/>
          <w:color w:val="auto"/>
        </w:rPr>
      </w:pPr>
      <w:r>
        <w:rPr>
          <w:rFonts w:ascii="Arial" w:cs="Arial" w:eastAsia="Arial" w:hAnsi="Arial"/>
          <w:sz w:val="17"/>
          <w:szCs w:val="17"/>
          <w:color w:val="auto"/>
        </w:rPr>
        <w:t>Inventories valued on the LIFO method were 65% and the remaining 35% was valued by the FIFO method as of December 31, 2013. If all inventories had been valued on the FIFO method, inventories would have been $79.0 million and $77.5 million greater at December 31, 2013 and 2012, respectively. TimkenSteel recognized an increase in its LIFO reserve of $1.5 million during 2013 in cost of products sold compared to a decrease of $15.7 million during 2012. The increase in the LIFO reserve recognized during 2013 was due to higher quantities of certain inventory on hand, as well as the mix of inventory. During 2012, the reduction in total inventory resulted in a liquidation of LIFO inventory quantities valued at lower costs in prior years. The LIFO liquidation decreased cost of goods sold in 2012 by approximately $3.7 million.</w:t>
      </w:r>
    </w:p>
    <w:p>
      <w:pPr>
        <w:spacing w:after="0" w:line="377" w:lineRule="exact"/>
        <w:rPr>
          <w:sz w:val="20"/>
          <w:szCs w:val="20"/>
          <w:color w:val="auto"/>
        </w:rPr>
      </w:pPr>
    </w:p>
    <w:p>
      <w:pPr>
        <w:spacing w:after="0"/>
        <w:rPr>
          <w:sz w:val="20"/>
          <w:szCs w:val="20"/>
          <w:color w:val="auto"/>
        </w:rPr>
      </w:pPr>
      <w:r>
        <w:rPr>
          <w:rFonts w:ascii="Arial" w:cs="Arial" w:eastAsia="Arial" w:hAnsi="Arial"/>
          <w:sz w:val="23"/>
          <w:szCs w:val="23"/>
          <w:b w:val="1"/>
          <w:bCs w:val="1"/>
          <w:color w:val="auto"/>
        </w:rPr>
        <w:t>Note 5 - Property, Plant and Equipment</w:t>
      </w:r>
    </w:p>
    <w:p>
      <w:pPr>
        <w:spacing w:after="0" w:line="239" w:lineRule="exact"/>
        <w:rPr>
          <w:sz w:val="20"/>
          <w:szCs w:val="20"/>
          <w:color w:val="auto"/>
        </w:rPr>
      </w:pPr>
    </w:p>
    <w:p>
      <w:pPr>
        <w:ind w:left="920"/>
        <w:spacing w:after="0"/>
        <w:rPr>
          <w:sz w:val="20"/>
          <w:szCs w:val="20"/>
          <w:color w:val="auto"/>
        </w:rPr>
      </w:pPr>
      <w:r>
        <w:rPr>
          <w:rFonts w:ascii="Arial" w:cs="Arial" w:eastAsia="Arial" w:hAnsi="Arial"/>
          <w:sz w:val="18"/>
          <w:szCs w:val="18"/>
          <w:color w:val="auto"/>
        </w:rPr>
        <w:t>The components of property, plant and equipment, net as of December 31, 2013 and 2012 were as follows:</w:t>
      </w:r>
    </w:p>
    <w:p>
      <w:pPr>
        <w:spacing w:after="0" w:line="248"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740" w:type="dxa"/>
            <w:vAlign w:val="bottom"/>
            <w:tcBorders>
              <w:bottom w:val="single" w:sz="8" w:color="auto"/>
            </w:tcBorders>
          </w:tcPr>
          <w:p>
            <w:pPr>
              <w:spacing w:after="0"/>
              <w:rPr>
                <w:sz w:val="20"/>
                <w:szCs w:val="20"/>
                <w:color w:val="auto"/>
              </w:rPr>
            </w:pPr>
          </w:p>
        </w:tc>
        <w:tc>
          <w:tcPr>
            <w:tcW w:w="3260" w:type="dxa"/>
            <w:vAlign w:val="bottom"/>
            <w:tcBorders>
              <w:bottom w:val="single" w:sz="8" w:color="auto"/>
            </w:tcBorders>
          </w:tcPr>
          <w:p>
            <w:pPr>
              <w:spacing w:after="0"/>
              <w:rPr>
                <w:sz w:val="20"/>
                <w:szCs w:val="20"/>
                <w:color w:val="auto"/>
              </w:rPr>
            </w:pPr>
          </w:p>
        </w:tc>
        <w:tc>
          <w:tcPr>
            <w:tcW w:w="1060" w:type="dxa"/>
            <w:vAlign w:val="bottom"/>
            <w:tcBorders>
              <w:bottom w:val="single" w:sz="8" w:color="auto"/>
            </w:tcBorders>
          </w:tcPr>
          <w:p>
            <w:pPr>
              <w:jc w:val="right"/>
              <w:ind w:right="450"/>
              <w:spacing w:after="0"/>
              <w:rPr>
                <w:sz w:val="20"/>
                <w:szCs w:val="20"/>
                <w:color w:val="auto"/>
              </w:rPr>
            </w:pPr>
            <w:r>
              <w:rPr>
                <w:rFonts w:ascii="Arial" w:cs="Arial" w:eastAsia="Arial" w:hAnsi="Arial"/>
                <w:sz w:val="18"/>
                <w:szCs w:val="18"/>
                <w:b w:val="1"/>
                <w:bCs w:val="1"/>
                <w:color w:val="auto"/>
              </w:rPr>
              <w:t>2013</w:t>
            </w:r>
          </w:p>
        </w:tc>
        <w:tc>
          <w:tcPr>
            <w:tcW w:w="320" w:type="dxa"/>
            <w:vAlign w:val="bottom"/>
            <w:tcBorders>
              <w:bottom w:val="single" w:sz="8" w:color="auto"/>
            </w:tcBorders>
          </w:tcPr>
          <w:p>
            <w:pPr>
              <w:spacing w:after="0"/>
              <w:rPr>
                <w:sz w:val="20"/>
                <w:szCs w:val="20"/>
                <w:color w:val="auto"/>
              </w:rPr>
            </w:pPr>
          </w:p>
        </w:tc>
        <w:tc>
          <w:tcPr>
            <w:tcW w:w="1040" w:type="dxa"/>
            <w:vAlign w:val="bottom"/>
            <w:tcBorders>
              <w:bottom w:val="single" w:sz="8" w:color="auto"/>
            </w:tcBorders>
          </w:tcPr>
          <w:p>
            <w:pPr>
              <w:jc w:val="right"/>
              <w:ind w:right="430"/>
              <w:spacing w:after="0"/>
              <w:rPr>
                <w:sz w:val="20"/>
                <w:szCs w:val="20"/>
                <w:color w:val="auto"/>
              </w:rPr>
            </w:pPr>
            <w:r>
              <w:rPr>
                <w:rFonts w:ascii="Arial" w:cs="Arial" w:eastAsia="Arial" w:hAnsi="Arial"/>
                <w:sz w:val="18"/>
                <w:szCs w:val="18"/>
                <w:color w:val="auto"/>
              </w:rPr>
              <w:t>2012</w:t>
            </w:r>
          </w:p>
        </w:tc>
      </w:tr>
      <w:tr>
        <w:trPr>
          <w:trHeight w:val="210"/>
        </w:trPr>
        <w:tc>
          <w:tcPr>
            <w:tcW w:w="5740" w:type="dxa"/>
            <w:vAlign w:val="bottom"/>
            <w:shd w:val="clear" w:color="auto" w:fill="CCEEFF"/>
          </w:tcPr>
          <w:p>
            <w:pPr>
              <w:spacing w:after="0"/>
              <w:rPr>
                <w:sz w:val="20"/>
                <w:szCs w:val="20"/>
                <w:color w:val="auto"/>
              </w:rPr>
            </w:pPr>
            <w:r>
              <w:rPr>
                <w:rFonts w:ascii="Arial" w:cs="Arial" w:eastAsia="Arial" w:hAnsi="Arial"/>
                <w:sz w:val="18"/>
                <w:szCs w:val="18"/>
                <w:color w:val="auto"/>
              </w:rPr>
              <w:t>Property, Plant and Equipment, Net:</w:t>
            </w:r>
          </w:p>
        </w:tc>
        <w:tc>
          <w:tcPr>
            <w:tcW w:w="326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r>
      <w:tr>
        <w:trPr>
          <w:trHeight w:val="216"/>
        </w:trPr>
        <w:tc>
          <w:tcPr>
            <w:tcW w:w="5740" w:type="dxa"/>
            <w:vAlign w:val="bottom"/>
          </w:tcPr>
          <w:p>
            <w:pPr>
              <w:spacing w:after="0"/>
              <w:rPr>
                <w:sz w:val="20"/>
                <w:szCs w:val="20"/>
                <w:color w:val="auto"/>
              </w:rPr>
            </w:pPr>
            <w:r>
              <w:rPr>
                <w:rFonts w:ascii="Arial" w:cs="Arial" w:eastAsia="Arial" w:hAnsi="Arial"/>
                <w:sz w:val="18"/>
                <w:szCs w:val="18"/>
                <w:color w:val="auto"/>
              </w:rPr>
              <w:t>Land and buildings</w:t>
            </w:r>
          </w:p>
        </w:tc>
        <w:tc>
          <w:tcPr>
            <w:tcW w:w="3260" w:type="dxa"/>
            <w:vAlign w:val="bottom"/>
          </w:tcPr>
          <w:p>
            <w:pPr>
              <w:jc w:val="right"/>
              <w:ind w:right="70"/>
              <w:spacing w:after="0"/>
              <w:rPr>
                <w:sz w:val="20"/>
                <w:szCs w:val="20"/>
                <w:color w:val="auto"/>
              </w:rPr>
            </w:pPr>
            <w:r>
              <w:rPr>
                <w:rFonts w:ascii="Arial" w:cs="Arial" w:eastAsia="Arial" w:hAnsi="Arial"/>
                <w:sz w:val="18"/>
                <w:szCs w:val="18"/>
                <w:b w:val="1"/>
                <w:bCs w:val="1"/>
                <w:color w:val="auto"/>
              </w:rPr>
              <w:t>$</w:t>
            </w:r>
          </w:p>
        </w:tc>
        <w:tc>
          <w:tcPr>
            <w:tcW w:w="1060" w:type="dxa"/>
            <w:vAlign w:val="bottom"/>
          </w:tcPr>
          <w:p>
            <w:pPr>
              <w:jc w:val="right"/>
              <w:ind w:right="50"/>
              <w:spacing w:after="0"/>
              <w:rPr>
                <w:sz w:val="20"/>
                <w:szCs w:val="20"/>
                <w:color w:val="auto"/>
              </w:rPr>
            </w:pPr>
            <w:r>
              <w:rPr>
                <w:rFonts w:ascii="Arial" w:cs="Arial" w:eastAsia="Arial" w:hAnsi="Arial"/>
                <w:sz w:val="18"/>
                <w:szCs w:val="18"/>
                <w:b w:val="1"/>
                <w:bCs w:val="1"/>
                <w:color w:val="auto"/>
              </w:rPr>
              <w:t>250.3</w:t>
            </w:r>
          </w:p>
        </w:tc>
        <w:tc>
          <w:tcPr>
            <w:tcW w:w="32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1040" w:type="dxa"/>
            <w:vAlign w:val="bottom"/>
          </w:tcPr>
          <w:p>
            <w:pPr>
              <w:jc w:val="right"/>
              <w:ind w:right="10"/>
              <w:spacing w:after="0"/>
              <w:rPr>
                <w:sz w:val="20"/>
                <w:szCs w:val="20"/>
                <w:color w:val="auto"/>
              </w:rPr>
            </w:pPr>
            <w:r>
              <w:rPr>
                <w:rFonts w:ascii="Arial" w:cs="Arial" w:eastAsia="Arial" w:hAnsi="Arial"/>
                <w:sz w:val="18"/>
                <w:szCs w:val="18"/>
                <w:color w:val="auto"/>
              </w:rPr>
              <w:t>221.0</w:t>
            </w:r>
          </w:p>
        </w:tc>
      </w:tr>
      <w:tr>
        <w:trPr>
          <w:trHeight w:val="216"/>
        </w:trPr>
        <w:tc>
          <w:tcPr>
            <w:tcW w:w="5740" w:type="dxa"/>
            <w:vAlign w:val="bottom"/>
            <w:shd w:val="clear" w:color="auto" w:fill="CCEEFF"/>
          </w:tcPr>
          <w:p>
            <w:pPr>
              <w:spacing w:after="0"/>
              <w:rPr>
                <w:sz w:val="20"/>
                <w:szCs w:val="20"/>
                <w:color w:val="auto"/>
              </w:rPr>
            </w:pPr>
            <w:r>
              <w:rPr>
                <w:rFonts w:ascii="Arial" w:cs="Arial" w:eastAsia="Arial" w:hAnsi="Arial"/>
                <w:sz w:val="18"/>
                <w:szCs w:val="18"/>
                <w:color w:val="auto"/>
              </w:rPr>
              <w:t>Machinery and equipment</w:t>
            </w:r>
          </w:p>
        </w:tc>
        <w:tc>
          <w:tcPr>
            <w:tcW w:w="3260" w:type="dxa"/>
            <w:vAlign w:val="bottom"/>
            <w:shd w:val="clear" w:color="auto" w:fill="CCEEFF"/>
          </w:tcPr>
          <w:p>
            <w:pPr>
              <w:spacing w:after="0"/>
              <w:rPr>
                <w:sz w:val="18"/>
                <w:szCs w:val="18"/>
                <w:color w:val="auto"/>
              </w:rPr>
            </w:pPr>
          </w:p>
        </w:tc>
        <w:tc>
          <w:tcPr>
            <w:tcW w:w="1060" w:type="dxa"/>
            <w:vAlign w:val="bottom"/>
            <w:shd w:val="clear" w:color="auto" w:fill="CCEEFF"/>
          </w:tcPr>
          <w:p>
            <w:pPr>
              <w:jc w:val="right"/>
              <w:ind w:right="50"/>
              <w:spacing w:after="0"/>
              <w:rPr>
                <w:sz w:val="20"/>
                <w:szCs w:val="20"/>
                <w:color w:val="auto"/>
              </w:rPr>
            </w:pPr>
            <w:r>
              <w:rPr>
                <w:rFonts w:ascii="Arial" w:cs="Arial" w:eastAsia="Arial" w:hAnsi="Arial"/>
                <w:sz w:val="18"/>
                <w:szCs w:val="18"/>
                <w:b w:val="1"/>
                <w:bCs w:val="1"/>
                <w:color w:val="auto"/>
              </w:rPr>
              <w:t>1,159.7</w:t>
            </w:r>
          </w:p>
        </w:tc>
        <w:tc>
          <w:tcPr>
            <w:tcW w:w="320" w:type="dxa"/>
            <w:vAlign w:val="bottom"/>
            <w:shd w:val="clear" w:color="auto" w:fill="CCEEFF"/>
          </w:tcPr>
          <w:p>
            <w:pPr>
              <w:spacing w:after="0"/>
              <w:rPr>
                <w:sz w:val="18"/>
                <w:szCs w:val="18"/>
                <w:color w:val="auto"/>
              </w:rPr>
            </w:pPr>
          </w:p>
        </w:tc>
        <w:tc>
          <w:tcPr>
            <w:tcW w:w="104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1,050.5</w:t>
            </w:r>
          </w:p>
        </w:tc>
      </w:tr>
      <w:tr>
        <w:trPr>
          <w:trHeight w:val="216"/>
        </w:trPr>
        <w:tc>
          <w:tcPr>
            <w:tcW w:w="57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Construction-in-progress</w:t>
            </w:r>
          </w:p>
        </w:tc>
        <w:tc>
          <w:tcPr>
            <w:tcW w:w="3260" w:type="dxa"/>
            <w:vAlign w:val="bottom"/>
            <w:tcBorders>
              <w:bottom w:val="single" w:sz="8" w:color="auto"/>
            </w:tcBorders>
          </w:tcPr>
          <w:p>
            <w:pPr>
              <w:spacing w:after="0"/>
              <w:rPr>
                <w:sz w:val="18"/>
                <w:szCs w:val="18"/>
                <w:color w:val="auto"/>
              </w:rPr>
            </w:pPr>
          </w:p>
        </w:tc>
        <w:tc>
          <w:tcPr>
            <w:tcW w:w="106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b w:val="1"/>
                <w:bCs w:val="1"/>
                <w:color w:val="auto"/>
              </w:rPr>
              <w:t>220.0</w:t>
            </w:r>
          </w:p>
        </w:tc>
        <w:tc>
          <w:tcPr>
            <w:tcW w:w="320" w:type="dxa"/>
            <w:vAlign w:val="bottom"/>
            <w:tcBorders>
              <w:bottom w:val="single" w:sz="8" w:color="auto"/>
            </w:tcBorders>
          </w:tcPr>
          <w:p>
            <w:pPr>
              <w:spacing w:after="0"/>
              <w:rPr>
                <w:sz w:val="18"/>
                <w:szCs w:val="18"/>
                <w:color w:val="auto"/>
              </w:rPr>
            </w:pPr>
          </w:p>
        </w:tc>
        <w:tc>
          <w:tcPr>
            <w:tcW w:w="104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193.4</w:t>
            </w:r>
          </w:p>
        </w:tc>
      </w:tr>
      <w:tr>
        <w:trPr>
          <w:trHeight w:val="210"/>
        </w:trPr>
        <w:tc>
          <w:tcPr>
            <w:tcW w:w="5740" w:type="dxa"/>
            <w:vAlign w:val="bottom"/>
            <w:shd w:val="clear" w:color="auto" w:fill="CCEEFF"/>
          </w:tcPr>
          <w:p>
            <w:pPr>
              <w:ind w:left="180"/>
              <w:spacing w:after="0"/>
              <w:rPr>
                <w:sz w:val="20"/>
                <w:szCs w:val="20"/>
                <w:color w:val="auto"/>
              </w:rPr>
            </w:pPr>
            <w:r>
              <w:rPr>
                <w:rFonts w:ascii="Arial" w:cs="Arial" w:eastAsia="Arial" w:hAnsi="Arial"/>
                <w:sz w:val="18"/>
                <w:szCs w:val="18"/>
                <w:color w:val="auto"/>
              </w:rPr>
              <w:t>Subtotal</w:t>
            </w:r>
          </w:p>
        </w:tc>
        <w:tc>
          <w:tcPr>
            <w:tcW w:w="3260" w:type="dxa"/>
            <w:vAlign w:val="bottom"/>
            <w:shd w:val="clear" w:color="auto" w:fill="CCEEFF"/>
          </w:tcPr>
          <w:p>
            <w:pPr>
              <w:spacing w:after="0"/>
              <w:rPr>
                <w:sz w:val="18"/>
                <w:szCs w:val="18"/>
                <w:color w:val="auto"/>
              </w:rPr>
            </w:pPr>
          </w:p>
        </w:tc>
        <w:tc>
          <w:tcPr>
            <w:tcW w:w="1060" w:type="dxa"/>
            <w:vAlign w:val="bottom"/>
            <w:shd w:val="clear" w:color="auto" w:fill="CCEEFF"/>
          </w:tcPr>
          <w:p>
            <w:pPr>
              <w:jc w:val="right"/>
              <w:ind w:right="50"/>
              <w:spacing w:after="0"/>
              <w:rPr>
                <w:sz w:val="20"/>
                <w:szCs w:val="20"/>
                <w:color w:val="auto"/>
              </w:rPr>
            </w:pPr>
            <w:r>
              <w:rPr>
                <w:rFonts w:ascii="Arial" w:cs="Arial" w:eastAsia="Arial" w:hAnsi="Arial"/>
                <w:sz w:val="18"/>
                <w:szCs w:val="18"/>
                <w:b w:val="1"/>
                <w:bCs w:val="1"/>
                <w:color w:val="auto"/>
              </w:rPr>
              <w:t>1,630.0</w:t>
            </w:r>
          </w:p>
        </w:tc>
        <w:tc>
          <w:tcPr>
            <w:tcW w:w="320" w:type="dxa"/>
            <w:vAlign w:val="bottom"/>
            <w:shd w:val="clear" w:color="auto" w:fill="CCEEFF"/>
          </w:tcPr>
          <w:p>
            <w:pPr>
              <w:spacing w:after="0"/>
              <w:rPr>
                <w:sz w:val="18"/>
                <w:szCs w:val="18"/>
                <w:color w:val="auto"/>
              </w:rPr>
            </w:pPr>
          </w:p>
        </w:tc>
        <w:tc>
          <w:tcPr>
            <w:tcW w:w="104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1,464.9</w:t>
            </w:r>
          </w:p>
        </w:tc>
      </w:tr>
      <w:tr>
        <w:trPr>
          <w:trHeight w:val="216"/>
        </w:trPr>
        <w:tc>
          <w:tcPr>
            <w:tcW w:w="57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Less allowances for depreciation</w:t>
            </w:r>
          </w:p>
        </w:tc>
        <w:tc>
          <w:tcPr>
            <w:tcW w:w="3260" w:type="dxa"/>
            <w:vAlign w:val="bottom"/>
            <w:tcBorders>
              <w:bottom w:val="single" w:sz="8" w:color="auto"/>
            </w:tcBorders>
          </w:tcPr>
          <w:p>
            <w:pPr>
              <w:spacing w:after="0"/>
              <w:rPr>
                <w:sz w:val="18"/>
                <w:szCs w:val="18"/>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(947.4)</w:t>
            </w:r>
          </w:p>
        </w:tc>
        <w:tc>
          <w:tcPr>
            <w:tcW w:w="320" w:type="dxa"/>
            <w:vAlign w:val="bottom"/>
            <w:tcBorders>
              <w:bottom w:val="single" w:sz="8" w:color="auto"/>
            </w:tcBorders>
          </w:tcPr>
          <w:p>
            <w:pPr>
              <w:spacing w:after="0"/>
              <w:rPr>
                <w:sz w:val="18"/>
                <w:szCs w:val="18"/>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(914.8)</w:t>
            </w:r>
          </w:p>
        </w:tc>
      </w:tr>
      <w:tr>
        <w:trPr>
          <w:trHeight w:val="217"/>
        </w:trPr>
        <w:tc>
          <w:tcPr>
            <w:tcW w:w="5740" w:type="dxa"/>
            <w:vAlign w:val="bottom"/>
            <w:tcBorders>
              <w:bottom w:val="single" w:sz="8" w:color="auto"/>
            </w:tcBorders>
            <w:shd w:val="clear" w:color="auto" w:fill="CCEEFF"/>
          </w:tcPr>
          <w:p>
            <w:pPr>
              <w:ind w:left="180"/>
              <w:spacing w:after="0"/>
              <w:rPr>
                <w:sz w:val="20"/>
                <w:szCs w:val="20"/>
                <w:color w:val="auto"/>
              </w:rPr>
            </w:pPr>
            <w:r>
              <w:rPr>
                <w:rFonts w:ascii="Arial" w:cs="Arial" w:eastAsia="Arial" w:hAnsi="Arial"/>
                <w:sz w:val="18"/>
                <w:szCs w:val="18"/>
                <w:color w:val="auto"/>
              </w:rPr>
              <w:t>Property, Plant and Equipment, Net</w:t>
            </w:r>
          </w:p>
        </w:tc>
        <w:tc>
          <w:tcPr>
            <w:tcW w:w="326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b w:val="1"/>
                <w:bCs w:val="1"/>
                <w:color w:val="auto"/>
              </w:rPr>
              <w:t>$</w:t>
            </w:r>
          </w:p>
        </w:tc>
        <w:tc>
          <w:tcPr>
            <w:tcW w:w="106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b w:val="1"/>
                <w:bCs w:val="1"/>
                <w:color w:val="auto"/>
              </w:rPr>
              <w:t>682.6</w:t>
            </w:r>
          </w:p>
        </w:tc>
        <w:tc>
          <w:tcPr>
            <w:tcW w:w="32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104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550.1</w:t>
            </w:r>
          </w:p>
        </w:tc>
      </w:tr>
    </w:tbl>
    <w:p>
      <w:pPr>
        <w:spacing w:after="0" w:line="202" w:lineRule="exact"/>
        <w:rPr>
          <w:sz w:val="20"/>
          <w:szCs w:val="20"/>
          <w:color w:val="auto"/>
        </w:rPr>
      </w:pPr>
    </w:p>
    <w:p>
      <w:pPr>
        <w:jc w:val="both"/>
        <w:ind w:right="100" w:firstLine="913"/>
        <w:spacing w:after="0" w:line="264" w:lineRule="auto"/>
        <w:rPr>
          <w:sz w:val="20"/>
          <w:szCs w:val="20"/>
          <w:color w:val="auto"/>
        </w:rPr>
      </w:pPr>
      <w:r>
        <w:rPr>
          <w:rFonts w:ascii="Arial" w:cs="Arial" w:eastAsia="Arial" w:hAnsi="Arial"/>
          <w:sz w:val="18"/>
          <w:szCs w:val="18"/>
          <w:color w:val="auto"/>
        </w:rPr>
        <w:t>Total depreciation expense was $49.0 million, $45.0 million and $41.4 million in 2013, 2012 and 2011, respectively. At December 31, 2013 and 2012, property, plant and equipment, net included $17.8 million and $14.9 million, respectively, of capitalized software. Depreciation expense for capitalized software was $1.9 million, $2.0 million and $2.0 million in 2013, 2012 and 2011, respectively.</w:t>
      </w:r>
    </w:p>
    <w:p>
      <w:pPr>
        <w:spacing w:after="0" w:line="181" w:lineRule="exact"/>
        <w:rPr>
          <w:sz w:val="20"/>
          <w:szCs w:val="20"/>
          <w:color w:val="auto"/>
        </w:rPr>
      </w:pPr>
    </w:p>
    <w:p>
      <w:pPr>
        <w:ind w:right="200" w:firstLine="913"/>
        <w:spacing w:after="0" w:line="277" w:lineRule="auto"/>
        <w:rPr>
          <w:sz w:val="20"/>
          <w:szCs w:val="20"/>
          <w:color w:val="auto"/>
        </w:rPr>
      </w:pPr>
      <w:r>
        <w:rPr>
          <w:rFonts w:ascii="Arial" w:cs="Arial" w:eastAsia="Arial" w:hAnsi="Arial"/>
          <w:sz w:val="18"/>
          <w:szCs w:val="18"/>
          <w:color w:val="auto"/>
        </w:rPr>
        <w:t>Capitalized interest allocated to TimkenSteel from Timken related to construction projects was $10.8 million in 2013, $4.5 million in 2012 and $1.2 million in 2011.</w:t>
      </w:r>
    </w:p>
    <w:p>
      <w:pPr>
        <w:spacing w:after="0" w:line="369" w:lineRule="exact"/>
        <w:rPr>
          <w:sz w:val="20"/>
          <w:szCs w:val="20"/>
          <w:color w:val="auto"/>
        </w:rPr>
      </w:pPr>
    </w:p>
    <w:p>
      <w:pPr>
        <w:spacing w:after="0"/>
        <w:rPr>
          <w:sz w:val="20"/>
          <w:szCs w:val="20"/>
          <w:color w:val="auto"/>
        </w:rPr>
      </w:pPr>
      <w:r>
        <w:rPr>
          <w:rFonts w:ascii="Arial" w:cs="Arial" w:eastAsia="Arial" w:hAnsi="Arial"/>
          <w:sz w:val="23"/>
          <w:szCs w:val="23"/>
          <w:b w:val="1"/>
          <w:bCs w:val="1"/>
          <w:color w:val="auto"/>
        </w:rPr>
        <w:t>Note 6 - Goodwill and Other Intangible Assets</w:t>
      </w:r>
    </w:p>
    <w:p>
      <w:pPr>
        <w:spacing w:after="0" w:line="239" w:lineRule="exact"/>
        <w:rPr>
          <w:sz w:val="20"/>
          <w:szCs w:val="20"/>
          <w:color w:val="auto"/>
        </w:rPr>
      </w:pPr>
    </w:p>
    <w:p>
      <w:pPr>
        <w:ind w:right="420" w:firstLine="913"/>
        <w:spacing w:after="0" w:line="257" w:lineRule="auto"/>
        <w:rPr>
          <w:sz w:val="20"/>
          <w:szCs w:val="20"/>
          <w:color w:val="auto"/>
        </w:rPr>
      </w:pPr>
      <w:r>
        <w:rPr>
          <w:rFonts w:ascii="Arial" w:cs="Arial" w:eastAsia="Arial" w:hAnsi="Arial"/>
          <w:sz w:val="18"/>
          <w:szCs w:val="18"/>
          <w:color w:val="auto"/>
        </w:rPr>
        <w:t>In accordance with TimkenSteel’s goodwill impairment testing policy, TimkenSteel performed its annual impairment test of goodwill as of October 1, 2011 related to the acquisition of City Scrap and Salvage Co. (City Scrap). The first step in this test involves comparing the fair value of each reporting unit to its carrying value, including goodwill. If the carrying amount of a reporting unit exceeds its fair value, the second step in the test is performed, which is measurement of the impairment loss. The impairment loss is calculated by comparing the implied fair value of goodwill, as if the reporting unit has been acquired in a business combination, to its carrying amount.</w:t>
      </w:r>
    </w:p>
    <w:p>
      <w:pPr>
        <w:spacing w:after="0" w:line="12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F-12</w:t>
      </w:r>
    </w:p>
    <w:p>
      <w:pPr>
        <w:sectPr>
          <w:pgSz w:w="11900" w:h="16838" w:orient="portrait"/>
          <w:cols w:equalWidth="0" w:num="1">
            <w:col w:w="11420"/>
          </w:cols>
          <w:pgMar w:left="240" w:top="459" w:right="239" w:bottom="1440" w:gutter="0" w:footer="0" w:header="0"/>
        </w:sectPr>
      </w:pPr>
    </w:p>
    <w:bookmarkStart w:id="119" w:name="page120"/>
    <w:bookmarkEnd w:id="11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47">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40" w:firstLine="913"/>
        <w:spacing w:after="0" w:line="259" w:lineRule="auto"/>
        <w:rPr>
          <w:sz w:val="20"/>
          <w:szCs w:val="20"/>
          <w:color w:val="auto"/>
        </w:rPr>
      </w:pPr>
      <w:r>
        <w:rPr>
          <w:rFonts w:ascii="Arial" w:cs="Arial" w:eastAsia="Arial" w:hAnsi="Arial"/>
          <w:sz w:val="18"/>
          <w:szCs w:val="18"/>
          <w:color w:val="auto"/>
        </w:rPr>
        <w:t>In the performance of the Step 1 analysis of goodwill for 2011, the carrying amount of the City Scrap reporting unit was determined to exceed its fair value. Therefore, a Step 2 analysis was performed where the carrying value was compared to the fair value of its assets and liabilities as if City Scrap was acquired in a business combination. As a result, the carrying amount of City Scrap’s goodwill exceeded the implied fair value of its goodwill, and TimkenSteel recorded a goodwill impairment charge of $2.9 million during the fourth quarter of 2011.</w:t>
      </w:r>
    </w:p>
    <w:p>
      <w:pPr>
        <w:spacing w:after="0" w:line="187" w:lineRule="exact"/>
        <w:rPr>
          <w:sz w:val="20"/>
          <w:szCs w:val="20"/>
          <w:color w:val="auto"/>
        </w:rPr>
      </w:pPr>
    </w:p>
    <w:p>
      <w:pPr>
        <w:ind w:left="920"/>
        <w:spacing w:after="0"/>
        <w:rPr>
          <w:sz w:val="20"/>
          <w:szCs w:val="20"/>
          <w:color w:val="auto"/>
        </w:rPr>
      </w:pPr>
      <w:r>
        <w:rPr>
          <w:rFonts w:ascii="Arial" w:cs="Arial" w:eastAsia="Arial" w:hAnsi="Arial"/>
          <w:sz w:val="18"/>
          <w:szCs w:val="18"/>
          <w:color w:val="auto"/>
        </w:rPr>
        <w:t>The following table displays intangible assets as of December 31, 2013 and 2012:</w:t>
      </w:r>
    </w:p>
    <w:p>
      <w:pPr>
        <w:spacing w:after="0" w:line="244"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4380" w:type="dxa"/>
            <w:vAlign w:val="bottom"/>
            <w:tcBorders>
              <w:bottom w:val="single" w:sz="8" w:color="auto"/>
            </w:tcBorders>
          </w:tcPr>
          <w:p>
            <w:pPr>
              <w:spacing w:after="0"/>
              <w:rPr>
                <w:sz w:val="14"/>
                <w:szCs w:val="14"/>
                <w:color w:val="auto"/>
              </w:rPr>
            </w:pPr>
          </w:p>
        </w:tc>
        <w:tc>
          <w:tcPr>
            <w:tcW w:w="1420" w:type="dxa"/>
            <w:vAlign w:val="bottom"/>
            <w:tcBorders>
              <w:bottom w:val="single" w:sz="8" w:color="auto"/>
            </w:tcBorders>
          </w:tcPr>
          <w:p>
            <w:pPr>
              <w:spacing w:after="0"/>
              <w:rPr>
                <w:sz w:val="14"/>
                <w:szCs w:val="14"/>
                <w:color w:val="auto"/>
              </w:rPr>
            </w:pPr>
          </w:p>
        </w:tc>
        <w:tc>
          <w:tcPr>
            <w:tcW w:w="660" w:type="dxa"/>
            <w:vAlign w:val="bottom"/>
            <w:tcBorders>
              <w:bottom w:val="single" w:sz="8" w:color="auto"/>
            </w:tcBorders>
          </w:tcPr>
          <w:p>
            <w:pPr>
              <w:spacing w:after="0"/>
              <w:rPr>
                <w:sz w:val="14"/>
                <w:szCs w:val="14"/>
                <w:color w:val="auto"/>
              </w:rPr>
            </w:pPr>
          </w:p>
        </w:tc>
        <w:tc>
          <w:tcPr>
            <w:tcW w:w="1180" w:type="dxa"/>
            <w:vAlign w:val="bottom"/>
            <w:tcBorders>
              <w:bottom w:val="single" w:sz="8" w:color="auto"/>
            </w:tcBorders>
            <w:gridSpan w:val="2"/>
          </w:tcPr>
          <w:p>
            <w:pPr>
              <w:jc w:val="right"/>
              <w:spacing w:after="0"/>
              <w:rPr>
                <w:sz w:val="20"/>
                <w:szCs w:val="20"/>
                <w:color w:val="auto"/>
              </w:rPr>
            </w:pPr>
            <w:r>
              <w:rPr>
                <w:rFonts w:ascii="Arial" w:cs="Arial" w:eastAsia="Arial" w:hAnsi="Arial"/>
                <w:sz w:val="14"/>
                <w:szCs w:val="14"/>
                <w:b w:val="1"/>
                <w:bCs w:val="1"/>
                <w:color w:val="auto"/>
                <w:w w:val="91"/>
              </w:rPr>
              <w:t>December 31, 2013</w:t>
            </w:r>
          </w:p>
        </w:tc>
        <w:tc>
          <w:tcPr>
            <w:tcW w:w="140" w:type="dxa"/>
            <w:vAlign w:val="bottom"/>
            <w:tcBorders>
              <w:bottom w:val="single" w:sz="8" w:color="auto"/>
            </w:tcBorders>
          </w:tcPr>
          <w:p>
            <w:pPr>
              <w:spacing w:after="0"/>
              <w:rPr>
                <w:sz w:val="14"/>
                <w:szCs w:val="14"/>
                <w:color w:val="auto"/>
              </w:rPr>
            </w:pPr>
          </w:p>
        </w:tc>
        <w:tc>
          <w:tcPr>
            <w:tcW w:w="720" w:type="dxa"/>
            <w:vAlign w:val="bottom"/>
            <w:tcBorders>
              <w:bottom w:val="single" w:sz="8" w:color="auto"/>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660" w:type="dxa"/>
            <w:vAlign w:val="bottom"/>
            <w:tcBorders>
              <w:bottom w:val="single" w:sz="8" w:color="auto"/>
            </w:tcBorders>
          </w:tcPr>
          <w:p>
            <w:pPr>
              <w:spacing w:after="0"/>
              <w:rPr>
                <w:sz w:val="14"/>
                <w:szCs w:val="14"/>
                <w:color w:val="auto"/>
              </w:rPr>
            </w:pPr>
          </w:p>
        </w:tc>
        <w:tc>
          <w:tcPr>
            <w:tcW w:w="1180" w:type="dxa"/>
            <w:vAlign w:val="bottom"/>
            <w:tcBorders>
              <w:bottom w:val="single" w:sz="8" w:color="auto"/>
            </w:tcBorders>
            <w:gridSpan w:val="2"/>
          </w:tcPr>
          <w:p>
            <w:pPr>
              <w:jc w:val="right"/>
              <w:spacing w:after="0"/>
              <w:rPr>
                <w:sz w:val="20"/>
                <w:szCs w:val="20"/>
                <w:color w:val="auto"/>
              </w:rPr>
            </w:pPr>
            <w:r>
              <w:rPr>
                <w:rFonts w:ascii="Arial" w:cs="Arial" w:eastAsia="Arial" w:hAnsi="Arial"/>
                <w:sz w:val="14"/>
                <w:szCs w:val="14"/>
                <w:b w:val="1"/>
                <w:bCs w:val="1"/>
                <w:color w:val="auto"/>
                <w:w w:val="90"/>
              </w:rPr>
              <w:t>December 31, 2012</w:t>
            </w:r>
          </w:p>
        </w:tc>
        <w:tc>
          <w:tcPr>
            <w:tcW w:w="12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19"/>
        </w:trPr>
        <w:tc>
          <w:tcPr>
            <w:tcW w:w="4380" w:type="dxa"/>
            <w:vAlign w:val="bottom"/>
          </w:tcPr>
          <w:p>
            <w:pPr>
              <w:spacing w:after="0"/>
              <w:rPr>
                <w:sz w:val="10"/>
                <w:szCs w:val="10"/>
                <w:color w:val="auto"/>
              </w:rPr>
            </w:pPr>
          </w:p>
        </w:tc>
        <w:tc>
          <w:tcPr>
            <w:tcW w:w="1420" w:type="dxa"/>
            <w:vAlign w:val="bottom"/>
          </w:tcPr>
          <w:p>
            <w:pPr>
              <w:spacing w:after="0"/>
              <w:rPr>
                <w:sz w:val="10"/>
                <w:szCs w:val="10"/>
                <w:color w:val="auto"/>
              </w:rPr>
            </w:pPr>
          </w:p>
        </w:tc>
        <w:tc>
          <w:tcPr>
            <w:tcW w:w="660" w:type="dxa"/>
            <w:vAlign w:val="bottom"/>
          </w:tcPr>
          <w:p>
            <w:pPr>
              <w:jc w:val="center"/>
              <w:ind w:right="55"/>
              <w:spacing w:after="0" w:line="119" w:lineRule="exact"/>
              <w:rPr>
                <w:sz w:val="20"/>
                <w:szCs w:val="20"/>
                <w:color w:val="auto"/>
              </w:rPr>
            </w:pPr>
            <w:r>
              <w:rPr>
                <w:rFonts w:ascii="Arial" w:cs="Arial" w:eastAsia="Arial" w:hAnsi="Arial"/>
                <w:sz w:val="13"/>
                <w:szCs w:val="13"/>
                <w:b w:val="1"/>
                <w:bCs w:val="1"/>
                <w:color w:val="auto"/>
                <w:w w:val="95"/>
              </w:rPr>
              <w:t>Gross</w:t>
            </w:r>
          </w:p>
        </w:tc>
        <w:tc>
          <w:tcPr>
            <w:tcW w:w="1180" w:type="dxa"/>
            <w:vAlign w:val="bottom"/>
            <w:gridSpan w:val="2"/>
            <w:vMerge w:val="restart"/>
          </w:tcPr>
          <w:p>
            <w:pPr>
              <w:ind w:left="180"/>
              <w:spacing w:after="0"/>
              <w:rPr>
                <w:sz w:val="20"/>
                <w:szCs w:val="20"/>
                <w:color w:val="auto"/>
              </w:rPr>
            </w:pPr>
            <w:r>
              <w:rPr>
                <w:rFonts w:ascii="Arial" w:cs="Arial" w:eastAsia="Arial" w:hAnsi="Arial"/>
                <w:sz w:val="14"/>
                <w:szCs w:val="14"/>
                <w:b w:val="1"/>
                <w:bCs w:val="1"/>
                <w:color w:val="auto"/>
              </w:rPr>
              <w:t>Accumulated</w:t>
            </w:r>
          </w:p>
        </w:tc>
        <w:tc>
          <w:tcPr>
            <w:tcW w:w="140" w:type="dxa"/>
            <w:vAlign w:val="bottom"/>
          </w:tcPr>
          <w:p>
            <w:pPr>
              <w:spacing w:after="0"/>
              <w:rPr>
                <w:sz w:val="10"/>
                <w:szCs w:val="10"/>
                <w:color w:val="auto"/>
              </w:rPr>
            </w:pPr>
          </w:p>
        </w:tc>
        <w:tc>
          <w:tcPr>
            <w:tcW w:w="720" w:type="dxa"/>
            <w:vAlign w:val="bottom"/>
          </w:tcPr>
          <w:p>
            <w:pPr>
              <w:jc w:val="center"/>
              <w:ind w:right="135"/>
              <w:spacing w:after="0" w:line="119" w:lineRule="exact"/>
              <w:rPr>
                <w:sz w:val="20"/>
                <w:szCs w:val="20"/>
                <w:color w:val="auto"/>
              </w:rPr>
            </w:pPr>
            <w:r>
              <w:rPr>
                <w:rFonts w:ascii="Arial" w:cs="Arial" w:eastAsia="Arial" w:hAnsi="Arial"/>
                <w:sz w:val="13"/>
                <w:szCs w:val="13"/>
                <w:b w:val="1"/>
                <w:bCs w:val="1"/>
                <w:color w:val="auto"/>
              </w:rPr>
              <w:t>Net</w:t>
            </w:r>
          </w:p>
        </w:tc>
        <w:tc>
          <w:tcPr>
            <w:tcW w:w="220" w:type="dxa"/>
            <w:vAlign w:val="bottom"/>
          </w:tcPr>
          <w:p>
            <w:pPr>
              <w:spacing w:after="0"/>
              <w:rPr>
                <w:sz w:val="10"/>
                <w:szCs w:val="10"/>
                <w:color w:val="auto"/>
              </w:rPr>
            </w:pPr>
          </w:p>
        </w:tc>
        <w:tc>
          <w:tcPr>
            <w:tcW w:w="660" w:type="dxa"/>
            <w:vAlign w:val="bottom"/>
          </w:tcPr>
          <w:p>
            <w:pPr>
              <w:jc w:val="center"/>
              <w:ind w:right="55"/>
              <w:spacing w:after="0" w:line="119" w:lineRule="exact"/>
              <w:rPr>
                <w:sz w:val="20"/>
                <w:szCs w:val="20"/>
                <w:color w:val="auto"/>
              </w:rPr>
            </w:pPr>
            <w:r>
              <w:rPr>
                <w:rFonts w:ascii="Arial" w:cs="Arial" w:eastAsia="Arial" w:hAnsi="Arial"/>
                <w:sz w:val="13"/>
                <w:szCs w:val="13"/>
                <w:b w:val="1"/>
                <w:bCs w:val="1"/>
                <w:color w:val="auto"/>
                <w:w w:val="95"/>
              </w:rPr>
              <w:t>Gross</w:t>
            </w:r>
          </w:p>
        </w:tc>
        <w:tc>
          <w:tcPr>
            <w:tcW w:w="1180" w:type="dxa"/>
            <w:vAlign w:val="bottom"/>
            <w:gridSpan w:val="2"/>
            <w:vMerge w:val="restart"/>
          </w:tcPr>
          <w:p>
            <w:pPr>
              <w:ind w:left="180"/>
              <w:spacing w:after="0"/>
              <w:rPr>
                <w:sz w:val="20"/>
                <w:szCs w:val="20"/>
                <w:color w:val="auto"/>
              </w:rPr>
            </w:pPr>
            <w:r>
              <w:rPr>
                <w:rFonts w:ascii="Arial" w:cs="Arial" w:eastAsia="Arial" w:hAnsi="Arial"/>
                <w:sz w:val="14"/>
                <w:szCs w:val="14"/>
                <w:b w:val="1"/>
                <w:bCs w:val="1"/>
                <w:color w:val="auto"/>
              </w:rPr>
              <w:t>Accumulated</w:t>
            </w:r>
          </w:p>
        </w:tc>
        <w:tc>
          <w:tcPr>
            <w:tcW w:w="120" w:type="dxa"/>
            <w:vAlign w:val="bottom"/>
          </w:tcPr>
          <w:p>
            <w:pPr>
              <w:spacing w:after="0"/>
              <w:rPr>
                <w:sz w:val="10"/>
                <w:szCs w:val="10"/>
                <w:color w:val="auto"/>
              </w:rPr>
            </w:pPr>
          </w:p>
        </w:tc>
        <w:tc>
          <w:tcPr>
            <w:tcW w:w="740" w:type="dxa"/>
            <w:vAlign w:val="bottom"/>
          </w:tcPr>
          <w:p>
            <w:pPr>
              <w:jc w:val="center"/>
              <w:ind w:right="115"/>
              <w:spacing w:after="0" w:line="119" w:lineRule="exact"/>
              <w:rPr>
                <w:sz w:val="20"/>
                <w:szCs w:val="20"/>
                <w:color w:val="auto"/>
              </w:rPr>
            </w:pPr>
            <w:r>
              <w:rPr>
                <w:rFonts w:ascii="Arial" w:cs="Arial" w:eastAsia="Arial" w:hAnsi="Arial"/>
                <w:sz w:val="13"/>
                <w:szCs w:val="13"/>
                <w:b w:val="1"/>
                <w:bCs w:val="1"/>
                <w:color w:val="auto"/>
              </w:rPr>
              <w:t>Net</w:t>
            </w:r>
          </w:p>
        </w:tc>
        <w:tc>
          <w:tcPr>
            <w:tcW w:w="0" w:type="dxa"/>
            <w:vAlign w:val="bottom"/>
          </w:tcPr>
          <w:p>
            <w:pPr>
              <w:spacing w:after="0"/>
              <w:rPr>
                <w:sz w:val="1"/>
                <w:szCs w:val="1"/>
                <w:color w:val="auto"/>
              </w:rPr>
            </w:pPr>
          </w:p>
        </w:tc>
      </w:tr>
      <w:tr>
        <w:trPr>
          <w:trHeight w:val="149"/>
        </w:trPr>
        <w:tc>
          <w:tcPr>
            <w:tcW w:w="4380" w:type="dxa"/>
            <w:vAlign w:val="bottom"/>
          </w:tcPr>
          <w:p>
            <w:pPr>
              <w:spacing w:after="0"/>
              <w:rPr>
                <w:sz w:val="12"/>
                <w:szCs w:val="12"/>
                <w:color w:val="auto"/>
              </w:rPr>
            </w:pPr>
          </w:p>
        </w:tc>
        <w:tc>
          <w:tcPr>
            <w:tcW w:w="2080" w:type="dxa"/>
            <w:vAlign w:val="bottom"/>
            <w:gridSpan w:val="2"/>
          </w:tcPr>
          <w:p>
            <w:pPr>
              <w:jc w:val="center"/>
              <w:ind w:left="1196"/>
              <w:spacing w:after="0" w:line="149" w:lineRule="exact"/>
              <w:rPr>
                <w:sz w:val="20"/>
                <w:szCs w:val="20"/>
                <w:color w:val="auto"/>
              </w:rPr>
            </w:pPr>
            <w:r>
              <w:rPr>
                <w:rFonts w:ascii="Arial" w:cs="Arial" w:eastAsia="Arial" w:hAnsi="Arial"/>
                <w:sz w:val="14"/>
                <w:szCs w:val="14"/>
                <w:b w:val="1"/>
                <w:bCs w:val="1"/>
                <w:color w:val="auto"/>
                <w:w w:val="97"/>
              </w:rPr>
              <w:t>Carrying</w:t>
            </w:r>
          </w:p>
        </w:tc>
        <w:tc>
          <w:tcPr>
            <w:tcW w:w="1180" w:type="dxa"/>
            <w:vAlign w:val="bottom"/>
            <w:gridSpan w:val="2"/>
            <w:vMerge w:val="continue"/>
          </w:tcPr>
          <w:p>
            <w:pPr>
              <w:spacing w:after="0"/>
              <w:rPr>
                <w:sz w:val="12"/>
                <w:szCs w:val="12"/>
                <w:color w:val="auto"/>
              </w:rPr>
            </w:pPr>
          </w:p>
        </w:tc>
        <w:tc>
          <w:tcPr>
            <w:tcW w:w="86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97"/>
              </w:rPr>
              <w:t>Carrying</w:t>
            </w:r>
          </w:p>
        </w:tc>
        <w:tc>
          <w:tcPr>
            <w:tcW w:w="88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97"/>
              </w:rPr>
              <w:t>Carrying</w:t>
            </w:r>
          </w:p>
        </w:tc>
        <w:tc>
          <w:tcPr>
            <w:tcW w:w="1180" w:type="dxa"/>
            <w:vAlign w:val="bottom"/>
            <w:gridSpan w:val="2"/>
            <w:vMerge w:val="continue"/>
          </w:tcPr>
          <w:p>
            <w:pPr>
              <w:spacing w:after="0"/>
              <w:rPr>
                <w:sz w:val="12"/>
                <w:szCs w:val="12"/>
                <w:color w:val="auto"/>
              </w:rPr>
            </w:pPr>
          </w:p>
        </w:tc>
        <w:tc>
          <w:tcPr>
            <w:tcW w:w="86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97"/>
              </w:rPr>
              <w:t>Carrying</w:t>
            </w:r>
          </w:p>
        </w:tc>
        <w:tc>
          <w:tcPr>
            <w:tcW w:w="0" w:type="dxa"/>
            <w:vAlign w:val="bottom"/>
          </w:tcPr>
          <w:p>
            <w:pPr>
              <w:spacing w:after="0"/>
              <w:rPr>
                <w:sz w:val="1"/>
                <w:szCs w:val="1"/>
                <w:color w:val="auto"/>
              </w:rPr>
            </w:pPr>
          </w:p>
        </w:tc>
      </w:tr>
      <w:tr>
        <w:trPr>
          <w:trHeight w:val="171"/>
        </w:trPr>
        <w:tc>
          <w:tcPr>
            <w:tcW w:w="4380" w:type="dxa"/>
            <w:vAlign w:val="bottom"/>
            <w:tcBorders>
              <w:bottom w:val="single" w:sz="8" w:color="auto"/>
            </w:tcBorders>
          </w:tcPr>
          <w:p>
            <w:pPr>
              <w:spacing w:after="0"/>
              <w:rPr>
                <w:sz w:val="14"/>
                <w:szCs w:val="14"/>
                <w:color w:val="auto"/>
              </w:rPr>
            </w:pPr>
          </w:p>
        </w:tc>
        <w:tc>
          <w:tcPr>
            <w:tcW w:w="1420" w:type="dxa"/>
            <w:vAlign w:val="bottom"/>
            <w:tcBorders>
              <w:bottom w:val="single" w:sz="8" w:color="auto"/>
            </w:tcBorders>
          </w:tcPr>
          <w:p>
            <w:pPr>
              <w:spacing w:after="0"/>
              <w:rPr>
                <w:sz w:val="14"/>
                <w:szCs w:val="14"/>
                <w:color w:val="auto"/>
              </w:rPr>
            </w:pPr>
          </w:p>
        </w:tc>
        <w:tc>
          <w:tcPr>
            <w:tcW w:w="660" w:type="dxa"/>
            <w:vAlign w:val="bottom"/>
            <w:tcBorders>
              <w:bottom w:val="single" w:sz="8" w:color="auto"/>
            </w:tcBorders>
          </w:tcPr>
          <w:p>
            <w:pPr>
              <w:jc w:val="center"/>
              <w:ind w:right="35"/>
              <w:spacing w:after="0"/>
              <w:rPr>
                <w:sz w:val="20"/>
                <w:szCs w:val="20"/>
                <w:color w:val="auto"/>
              </w:rPr>
            </w:pPr>
            <w:r>
              <w:rPr>
                <w:rFonts w:ascii="Arial" w:cs="Arial" w:eastAsia="Arial" w:hAnsi="Arial"/>
                <w:sz w:val="14"/>
                <w:szCs w:val="14"/>
                <w:b w:val="1"/>
                <w:bCs w:val="1"/>
                <w:color w:val="auto"/>
                <w:w w:val="94"/>
              </w:rPr>
              <w:t>Amount</w:t>
            </w:r>
          </w:p>
        </w:tc>
        <w:tc>
          <w:tcPr>
            <w:tcW w:w="1180" w:type="dxa"/>
            <w:vAlign w:val="bottom"/>
            <w:tcBorders>
              <w:bottom w:val="single" w:sz="8" w:color="auto"/>
            </w:tcBorders>
            <w:gridSpan w:val="2"/>
          </w:tcPr>
          <w:p>
            <w:pPr>
              <w:ind w:left="180"/>
              <w:spacing w:after="0"/>
              <w:rPr>
                <w:sz w:val="20"/>
                <w:szCs w:val="20"/>
                <w:color w:val="auto"/>
              </w:rPr>
            </w:pPr>
            <w:r>
              <w:rPr>
                <w:rFonts w:ascii="Arial" w:cs="Arial" w:eastAsia="Arial" w:hAnsi="Arial"/>
                <w:sz w:val="14"/>
                <w:szCs w:val="14"/>
                <w:b w:val="1"/>
                <w:bCs w:val="1"/>
                <w:color w:val="auto"/>
              </w:rPr>
              <w:t>Amortization</w:t>
            </w:r>
          </w:p>
        </w:tc>
        <w:tc>
          <w:tcPr>
            <w:tcW w:w="140" w:type="dxa"/>
            <w:vAlign w:val="bottom"/>
            <w:tcBorders>
              <w:bottom w:val="single" w:sz="8" w:color="auto"/>
            </w:tcBorders>
          </w:tcPr>
          <w:p>
            <w:pPr>
              <w:spacing w:after="0"/>
              <w:rPr>
                <w:sz w:val="14"/>
                <w:szCs w:val="14"/>
                <w:color w:val="auto"/>
              </w:rPr>
            </w:pPr>
          </w:p>
        </w:tc>
        <w:tc>
          <w:tcPr>
            <w:tcW w:w="720" w:type="dxa"/>
            <w:vAlign w:val="bottom"/>
            <w:tcBorders>
              <w:bottom w:val="single" w:sz="8" w:color="auto"/>
            </w:tcBorders>
          </w:tcPr>
          <w:p>
            <w:pPr>
              <w:jc w:val="center"/>
              <w:ind w:right="135"/>
              <w:spacing w:after="0"/>
              <w:rPr>
                <w:sz w:val="20"/>
                <w:szCs w:val="20"/>
                <w:color w:val="auto"/>
              </w:rPr>
            </w:pPr>
            <w:r>
              <w:rPr>
                <w:rFonts w:ascii="Arial" w:cs="Arial" w:eastAsia="Arial" w:hAnsi="Arial"/>
                <w:sz w:val="14"/>
                <w:szCs w:val="14"/>
                <w:b w:val="1"/>
                <w:bCs w:val="1"/>
                <w:color w:val="auto"/>
                <w:w w:val="94"/>
              </w:rPr>
              <w:t>Amount</w:t>
            </w:r>
          </w:p>
        </w:tc>
        <w:tc>
          <w:tcPr>
            <w:tcW w:w="220" w:type="dxa"/>
            <w:vAlign w:val="bottom"/>
            <w:tcBorders>
              <w:bottom w:val="single" w:sz="8" w:color="auto"/>
            </w:tcBorders>
          </w:tcPr>
          <w:p>
            <w:pPr>
              <w:spacing w:after="0"/>
              <w:rPr>
                <w:sz w:val="14"/>
                <w:szCs w:val="14"/>
                <w:color w:val="auto"/>
              </w:rPr>
            </w:pPr>
          </w:p>
        </w:tc>
        <w:tc>
          <w:tcPr>
            <w:tcW w:w="660" w:type="dxa"/>
            <w:vAlign w:val="bottom"/>
            <w:tcBorders>
              <w:bottom w:val="single" w:sz="8" w:color="auto"/>
            </w:tcBorders>
          </w:tcPr>
          <w:p>
            <w:pPr>
              <w:jc w:val="center"/>
              <w:ind w:right="35"/>
              <w:spacing w:after="0"/>
              <w:rPr>
                <w:sz w:val="20"/>
                <w:szCs w:val="20"/>
                <w:color w:val="auto"/>
              </w:rPr>
            </w:pPr>
            <w:r>
              <w:rPr>
                <w:rFonts w:ascii="Arial" w:cs="Arial" w:eastAsia="Arial" w:hAnsi="Arial"/>
                <w:sz w:val="14"/>
                <w:szCs w:val="14"/>
                <w:b w:val="1"/>
                <w:bCs w:val="1"/>
                <w:color w:val="auto"/>
                <w:w w:val="94"/>
              </w:rPr>
              <w:t>Amount</w:t>
            </w:r>
          </w:p>
        </w:tc>
        <w:tc>
          <w:tcPr>
            <w:tcW w:w="1180" w:type="dxa"/>
            <w:vAlign w:val="bottom"/>
            <w:tcBorders>
              <w:bottom w:val="single" w:sz="8" w:color="auto"/>
            </w:tcBorders>
            <w:gridSpan w:val="2"/>
          </w:tcPr>
          <w:p>
            <w:pPr>
              <w:ind w:left="180"/>
              <w:spacing w:after="0"/>
              <w:rPr>
                <w:sz w:val="20"/>
                <w:szCs w:val="20"/>
                <w:color w:val="auto"/>
              </w:rPr>
            </w:pPr>
            <w:r>
              <w:rPr>
                <w:rFonts w:ascii="Arial" w:cs="Arial" w:eastAsia="Arial" w:hAnsi="Arial"/>
                <w:sz w:val="14"/>
                <w:szCs w:val="14"/>
                <w:b w:val="1"/>
                <w:bCs w:val="1"/>
                <w:color w:val="auto"/>
              </w:rPr>
              <w:t>Amortization</w:t>
            </w:r>
          </w:p>
        </w:tc>
        <w:tc>
          <w:tcPr>
            <w:tcW w:w="12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jc w:val="center"/>
              <w:ind w:right="115"/>
              <w:spacing w:after="0"/>
              <w:rPr>
                <w:sz w:val="20"/>
                <w:szCs w:val="20"/>
                <w:color w:val="auto"/>
              </w:rPr>
            </w:pPr>
            <w:r>
              <w:rPr>
                <w:rFonts w:ascii="Arial" w:cs="Arial" w:eastAsia="Arial" w:hAnsi="Arial"/>
                <w:sz w:val="14"/>
                <w:szCs w:val="14"/>
                <w:b w:val="1"/>
                <w:bCs w:val="1"/>
                <w:color w:val="auto"/>
                <w:w w:val="94"/>
              </w:rPr>
              <w:t>Amount</w:t>
            </w:r>
          </w:p>
        </w:tc>
        <w:tc>
          <w:tcPr>
            <w:tcW w:w="0" w:type="dxa"/>
            <w:vAlign w:val="bottom"/>
          </w:tcPr>
          <w:p>
            <w:pPr>
              <w:spacing w:after="0"/>
              <w:rPr>
                <w:sz w:val="1"/>
                <w:szCs w:val="1"/>
                <w:color w:val="auto"/>
              </w:rPr>
            </w:pPr>
          </w:p>
        </w:tc>
      </w:tr>
      <w:tr>
        <w:trPr>
          <w:trHeight w:val="210"/>
        </w:trPr>
        <w:tc>
          <w:tcPr>
            <w:tcW w:w="4380" w:type="dxa"/>
            <w:vAlign w:val="bottom"/>
            <w:shd w:val="clear" w:color="auto" w:fill="CCEEFF"/>
          </w:tcPr>
          <w:p>
            <w:pPr>
              <w:spacing w:after="0"/>
              <w:rPr>
                <w:sz w:val="20"/>
                <w:szCs w:val="20"/>
                <w:color w:val="auto"/>
              </w:rPr>
            </w:pPr>
            <w:r>
              <w:rPr>
                <w:rFonts w:ascii="Arial" w:cs="Arial" w:eastAsia="Arial" w:hAnsi="Arial"/>
                <w:sz w:val="18"/>
                <w:szCs w:val="18"/>
                <w:color w:val="auto"/>
              </w:rPr>
              <w:t>Intangible Assets Subject to Amortization:</w:t>
            </w:r>
          </w:p>
        </w:tc>
        <w:tc>
          <w:tcPr>
            <w:tcW w:w="142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380" w:type="dxa"/>
            <w:vAlign w:val="bottom"/>
          </w:tcPr>
          <w:p>
            <w:pPr>
              <w:spacing w:after="0"/>
              <w:rPr>
                <w:sz w:val="20"/>
                <w:szCs w:val="20"/>
                <w:color w:val="auto"/>
              </w:rPr>
            </w:pPr>
            <w:r>
              <w:rPr>
                <w:rFonts w:ascii="Arial" w:cs="Arial" w:eastAsia="Arial" w:hAnsi="Arial"/>
                <w:sz w:val="18"/>
                <w:szCs w:val="18"/>
                <w:color w:val="auto"/>
              </w:rPr>
              <w:t>Customer relationships</w:t>
            </w:r>
          </w:p>
        </w:tc>
        <w:tc>
          <w:tcPr>
            <w:tcW w:w="1420" w:type="dxa"/>
            <w:vAlign w:val="bottom"/>
          </w:tcPr>
          <w:p>
            <w:pPr>
              <w:jc w:val="right"/>
              <w:spacing w:after="0"/>
              <w:rPr>
                <w:sz w:val="20"/>
                <w:szCs w:val="20"/>
                <w:color w:val="auto"/>
              </w:rPr>
            </w:pPr>
            <w:r>
              <w:rPr>
                <w:rFonts w:ascii="Arial" w:cs="Arial" w:eastAsia="Arial" w:hAnsi="Arial"/>
                <w:sz w:val="18"/>
                <w:szCs w:val="18"/>
                <w:b w:val="1"/>
                <w:bCs w:val="1"/>
                <w:color w:val="auto"/>
              </w:rPr>
              <w:t>$</w:t>
            </w:r>
          </w:p>
        </w:tc>
        <w:tc>
          <w:tcPr>
            <w:tcW w:w="660" w:type="dxa"/>
            <w:vAlign w:val="bottom"/>
          </w:tcPr>
          <w:p>
            <w:pPr>
              <w:jc w:val="right"/>
              <w:spacing w:after="0"/>
              <w:rPr>
                <w:sz w:val="20"/>
                <w:szCs w:val="20"/>
                <w:color w:val="auto"/>
              </w:rPr>
            </w:pPr>
            <w:r>
              <w:rPr>
                <w:rFonts w:ascii="Arial" w:cs="Arial" w:eastAsia="Arial" w:hAnsi="Arial"/>
                <w:sz w:val="18"/>
                <w:szCs w:val="18"/>
                <w:b w:val="1"/>
                <w:bCs w:val="1"/>
                <w:color w:val="auto"/>
              </w:rPr>
              <w:t>6.8</w:t>
            </w:r>
          </w:p>
        </w:tc>
        <w:tc>
          <w:tcPr>
            <w:tcW w:w="520" w:type="dxa"/>
            <w:vAlign w:val="bottom"/>
          </w:tcPr>
          <w:p>
            <w:pPr>
              <w:ind w:left="180"/>
              <w:spacing w:after="0"/>
              <w:rPr>
                <w:sz w:val="20"/>
                <w:szCs w:val="20"/>
                <w:color w:val="auto"/>
              </w:rPr>
            </w:pPr>
            <w:r>
              <w:rPr>
                <w:rFonts w:ascii="Arial" w:cs="Arial" w:eastAsia="Arial" w:hAnsi="Arial"/>
                <w:sz w:val="18"/>
                <w:szCs w:val="18"/>
                <w:b w:val="1"/>
                <w:bCs w:val="1"/>
                <w:color w:val="auto"/>
              </w:rPr>
              <w:t>$</w:t>
            </w:r>
          </w:p>
        </w:tc>
        <w:tc>
          <w:tcPr>
            <w:tcW w:w="660" w:type="dxa"/>
            <w:vAlign w:val="bottom"/>
          </w:tcPr>
          <w:p>
            <w:pPr>
              <w:jc w:val="right"/>
              <w:ind w:right="90"/>
              <w:spacing w:after="0"/>
              <w:rPr>
                <w:sz w:val="20"/>
                <w:szCs w:val="20"/>
                <w:color w:val="auto"/>
              </w:rPr>
            </w:pPr>
            <w:r>
              <w:rPr>
                <w:rFonts w:ascii="Arial" w:cs="Arial" w:eastAsia="Arial" w:hAnsi="Arial"/>
                <w:sz w:val="18"/>
                <w:szCs w:val="18"/>
                <w:b w:val="1"/>
                <w:bCs w:val="1"/>
                <w:color w:val="auto"/>
              </w:rPr>
              <w:t>2.0</w:t>
            </w:r>
          </w:p>
        </w:tc>
        <w:tc>
          <w:tcPr>
            <w:tcW w:w="140" w:type="dxa"/>
            <w:vAlign w:val="bottom"/>
          </w:tcPr>
          <w:p>
            <w:pPr>
              <w:jc w:val="right"/>
              <w:spacing w:after="0"/>
              <w:rPr>
                <w:sz w:val="20"/>
                <w:szCs w:val="20"/>
                <w:color w:val="auto"/>
              </w:rPr>
            </w:pPr>
            <w:r>
              <w:rPr>
                <w:rFonts w:ascii="Arial" w:cs="Arial" w:eastAsia="Arial" w:hAnsi="Arial"/>
                <w:sz w:val="18"/>
                <w:szCs w:val="18"/>
                <w:b w:val="1"/>
                <w:bCs w:val="1"/>
                <w:color w:val="auto"/>
                <w:w w:val="99"/>
              </w:rPr>
              <w:t>$</w:t>
            </w:r>
          </w:p>
        </w:tc>
        <w:tc>
          <w:tcPr>
            <w:tcW w:w="720" w:type="dxa"/>
            <w:vAlign w:val="bottom"/>
          </w:tcPr>
          <w:p>
            <w:pPr>
              <w:jc w:val="right"/>
              <w:ind w:right="15"/>
              <w:spacing w:after="0"/>
              <w:rPr>
                <w:sz w:val="20"/>
                <w:szCs w:val="20"/>
                <w:color w:val="auto"/>
              </w:rPr>
            </w:pPr>
            <w:r>
              <w:rPr>
                <w:rFonts w:ascii="Arial" w:cs="Arial" w:eastAsia="Arial" w:hAnsi="Arial"/>
                <w:sz w:val="18"/>
                <w:szCs w:val="18"/>
                <w:b w:val="1"/>
                <w:bCs w:val="1"/>
                <w:color w:val="auto"/>
              </w:rPr>
              <w:t>4.8</w:t>
            </w:r>
          </w:p>
        </w:tc>
        <w:tc>
          <w:tcPr>
            <w:tcW w:w="220" w:type="dxa"/>
            <w:vAlign w:val="bottom"/>
          </w:tcPr>
          <w:p>
            <w:pPr>
              <w:jc w:val="right"/>
              <w:spacing w:after="0"/>
              <w:rPr>
                <w:sz w:val="20"/>
                <w:szCs w:val="20"/>
                <w:color w:val="auto"/>
              </w:rPr>
            </w:pPr>
            <w:r>
              <w:rPr>
                <w:rFonts w:ascii="Arial" w:cs="Arial" w:eastAsia="Arial" w:hAnsi="Arial"/>
                <w:sz w:val="18"/>
                <w:szCs w:val="18"/>
                <w:color w:val="auto"/>
              </w:rPr>
              <w:t>$</w:t>
            </w:r>
          </w:p>
        </w:tc>
        <w:tc>
          <w:tcPr>
            <w:tcW w:w="660" w:type="dxa"/>
            <w:vAlign w:val="bottom"/>
          </w:tcPr>
          <w:p>
            <w:pPr>
              <w:jc w:val="right"/>
              <w:spacing w:after="0"/>
              <w:rPr>
                <w:sz w:val="20"/>
                <w:szCs w:val="20"/>
                <w:color w:val="auto"/>
              </w:rPr>
            </w:pPr>
            <w:r>
              <w:rPr>
                <w:rFonts w:ascii="Arial" w:cs="Arial" w:eastAsia="Arial" w:hAnsi="Arial"/>
                <w:sz w:val="18"/>
                <w:szCs w:val="18"/>
                <w:color w:val="auto"/>
              </w:rPr>
              <w:t>6.8</w:t>
            </w:r>
          </w:p>
        </w:tc>
        <w:tc>
          <w:tcPr>
            <w:tcW w:w="520" w:type="dxa"/>
            <w:vAlign w:val="bottom"/>
          </w:tcPr>
          <w:p>
            <w:pPr>
              <w:ind w:left="180"/>
              <w:spacing w:after="0"/>
              <w:rPr>
                <w:sz w:val="20"/>
                <w:szCs w:val="20"/>
                <w:color w:val="auto"/>
              </w:rPr>
            </w:pPr>
            <w:r>
              <w:rPr>
                <w:rFonts w:ascii="Arial" w:cs="Arial" w:eastAsia="Arial" w:hAnsi="Arial"/>
                <w:sz w:val="18"/>
                <w:szCs w:val="18"/>
                <w:color w:val="auto"/>
              </w:rPr>
              <w:t>$</w:t>
            </w:r>
          </w:p>
        </w:tc>
        <w:tc>
          <w:tcPr>
            <w:tcW w:w="660" w:type="dxa"/>
            <w:vAlign w:val="bottom"/>
          </w:tcPr>
          <w:p>
            <w:pPr>
              <w:jc w:val="right"/>
              <w:ind w:right="90"/>
              <w:spacing w:after="0"/>
              <w:rPr>
                <w:sz w:val="20"/>
                <w:szCs w:val="20"/>
                <w:color w:val="auto"/>
              </w:rPr>
            </w:pPr>
            <w:r>
              <w:rPr>
                <w:rFonts w:ascii="Arial" w:cs="Arial" w:eastAsia="Arial" w:hAnsi="Arial"/>
                <w:sz w:val="18"/>
                <w:szCs w:val="18"/>
                <w:color w:val="auto"/>
              </w:rPr>
              <w:t>1.6</w:t>
            </w:r>
          </w:p>
        </w:tc>
        <w:tc>
          <w:tcPr>
            <w:tcW w:w="12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740" w:type="dxa"/>
            <w:vAlign w:val="bottom"/>
          </w:tcPr>
          <w:p>
            <w:pPr>
              <w:jc w:val="right"/>
              <w:ind w:right="15"/>
              <w:spacing w:after="0"/>
              <w:rPr>
                <w:sz w:val="20"/>
                <w:szCs w:val="20"/>
                <w:color w:val="auto"/>
              </w:rPr>
            </w:pPr>
            <w:r>
              <w:rPr>
                <w:rFonts w:ascii="Arial" w:cs="Arial" w:eastAsia="Arial" w:hAnsi="Arial"/>
                <w:sz w:val="18"/>
                <w:szCs w:val="18"/>
                <w:color w:val="auto"/>
              </w:rPr>
              <w:t>5.2</w:t>
            </w:r>
          </w:p>
        </w:tc>
        <w:tc>
          <w:tcPr>
            <w:tcW w:w="0" w:type="dxa"/>
            <w:vAlign w:val="bottom"/>
          </w:tcPr>
          <w:p>
            <w:pPr>
              <w:spacing w:after="0"/>
              <w:rPr>
                <w:sz w:val="1"/>
                <w:szCs w:val="1"/>
                <w:color w:val="auto"/>
              </w:rPr>
            </w:pPr>
          </w:p>
        </w:tc>
      </w:tr>
      <w:tr>
        <w:trPr>
          <w:trHeight w:val="216"/>
        </w:trPr>
        <w:tc>
          <w:tcPr>
            <w:tcW w:w="4380" w:type="dxa"/>
            <w:vAlign w:val="bottom"/>
            <w:shd w:val="clear" w:color="auto" w:fill="CCEEFF"/>
          </w:tcPr>
          <w:p>
            <w:pPr>
              <w:spacing w:after="0"/>
              <w:rPr>
                <w:sz w:val="20"/>
                <w:szCs w:val="20"/>
                <w:color w:val="auto"/>
              </w:rPr>
            </w:pPr>
            <w:r>
              <w:rPr>
                <w:rFonts w:ascii="Arial" w:cs="Arial" w:eastAsia="Arial" w:hAnsi="Arial"/>
                <w:sz w:val="18"/>
                <w:szCs w:val="18"/>
                <w:color w:val="auto"/>
              </w:rPr>
              <w:t>Technology use</w:t>
            </w:r>
          </w:p>
        </w:tc>
        <w:tc>
          <w:tcPr>
            <w:tcW w:w="142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9.0</w:t>
            </w:r>
          </w:p>
        </w:tc>
        <w:tc>
          <w:tcPr>
            <w:tcW w:w="520" w:type="dxa"/>
            <w:vAlign w:val="bottom"/>
            <w:shd w:val="clear" w:color="auto" w:fill="CCEEFF"/>
          </w:tcPr>
          <w:p>
            <w:pPr>
              <w:spacing w:after="0"/>
              <w:rPr>
                <w:sz w:val="18"/>
                <w:szCs w:val="18"/>
                <w:color w:val="auto"/>
              </w:rPr>
            </w:pPr>
          </w:p>
        </w:tc>
        <w:tc>
          <w:tcPr>
            <w:tcW w:w="660" w:type="dxa"/>
            <w:vAlign w:val="bottom"/>
            <w:shd w:val="clear" w:color="auto" w:fill="CCEEFF"/>
          </w:tcPr>
          <w:p>
            <w:pPr>
              <w:jc w:val="right"/>
              <w:ind w:right="90"/>
              <w:spacing w:after="0"/>
              <w:rPr>
                <w:sz w:val="20"/>
                <w:szCs w:val="20"/>
                <w:color w:val="auto"/>
              </w:rPr>
            </w:pPr>
            <w:r>
              <w:rPr>
                <w:rFonts w:ascii="Arial" w:cs="Arial" w:eastAsia="Arial" w:hAnsi="Arial"/>
                <w:sz w:val="18"/>
                <w:szCs w:val="18"/>
                <w:b w:val="1"/>
                <w:bCs w:val="1"/>
                <w:color w:val="auto"/>
              </w:rPr>
              <w:t>3.5</w:t>
            </w:r>
          </w:p>
        </w:tc>
        <w:tc>
          <w:tcPr>
            <w:tcW w:w="140" w:type="dxa"/>
            <w:vAlign w:val="bottom"/>
            <w:shd w:val="clear" w:color="auto" w:fill="CCEEFF"/>
          </w:tcPr>
          <w:p>
            <w:pPr>
              <w:spacing w:after="0"/>
              <w:rPr>
                <w:sz w:val="18"/>
                <w:szCs w:val="18"/>
                <w:color w:val="auto"/>
              </w:rPr>
            </w:pPr>
          </w:p>
        </w:tc>
        <w:tc>
          <w:tcPr>
            <w:tcW w:w="720" w:type="dxa"/>
            <w:vAlign w:val="bottom"/>
            <w:shd w:val="clear" w:color="auto" w:fill="CCEEFF"/>
          </w:tcPr>
          <w:p>
            <w:pPr>
              <w:jc w:val="right"/>
              <w:ind w:right="15"/>
              <w:spacing w:after="0"/>
              <w:rPr>
                <w:sz w:val="20"/>
                <w:szCs w:val="20"/>
                <w:color w:val="auto"/>
              </w:rPr>
            </w:pPr>
            <w:r>
              <w:rPr>
                <w:rFonts w:ascii="Arial" w:cs="Arial" w:eastAsia="Arial" w:hAnsi="Arial"/>
                <w:sz w:val="18"/>
                <w:szCs w:val="18"/>
                <w:b w:val="1"/>
                <w:bCs w:val="1"/>
                <w:color w:val="auto"/>
              </w:rPr>
              <w:t>5.5</w:t>
            </w:r>
          </w:p>
        </w:tc>
        <w:tc>
          <w:tcPr>
            <w:tcW w:w="22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9.5</w:t>
            </w:r>
          </w:p>
        </w:tc>
        <w:tc>
          <w:tcPr>
            <w:tcW w:w="520" w:type="dxa"/>
            <w:vAlign w:val="bottom"/>
            <w:shd w:val="clear" w:color="auto" w:fill="CCEEFF"/>
          </w:tcPr>
          <w:p>
            <w:pPr>
              <w:spacing w:after="0"/>
              <w:rPr>
                <w:sz w:val="18"/>
                <w:szCs w:val="18"/>
                <w:color w:val="auto"/>
              </w:rPr>
            </w:pPr>
          </w:p>
        </w:tc>
        <w:tc>
          <w:tcPr>
            <w:tcW w:w="66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rPr>
              <w:t>3.4</w:t>
            </w:r>
          </w:p>
        </w:tc>
        <w:tc>
          <w:tcPr>
            <w:tcW w:w="120" w:type="dxa"/>
            <w:vAlign w:val="bottom"/>
            <w:shd w:val="clear" w:color="auto" w:fill="CCEEFF"/>
          </w:tcPr>
          <w:p>
            <w:pPr>
              <w:spacing w:after="0"/>
              <w:rPr>
                <w:sz w:val="18"/>
                <w:szCs w:val="18"/>
                <w:color w:val="auto"/>
              </w:rPr>
            </w:pPr>
          </w:p>
        </w:tc>
        <w:tc>
          <w:tcPr>
            <w:tcW w:w="740" w:type="dxa"/>
            <w:vAlign w:val="bottom"/>
            <w:shd w:val="clear" w:color="auto" w:fill="CCEEFF"/>
          </w:tcPr>
          <w:p>
            <w:pPr>
              <w:jc w:val="right"/>
              <w:ind w:right="15"/>
              <w:spacing w:after="0"/>
              <w:rPr>
                <w:sz w:val="20"/>
                <w:szCs w:val="20"/>
                <w:color w:val="auto"/>
              </w:rPr>
            </w:pPr>
            <w:r>
              <w:rPr>
                <w:rFonts w:ascii="Arial" w:cs="Arial" w:eastAsia="Arial" w:hAnsi="Arial"/>
                <w:sz w:val="18"/>
                <w:szCs w:val="18"/>
                <w:color w:val="auto"/>
              </w:rPr>
              <w:t>6.1</w:t>
            </w:r>
          </w:p>
        </w:tc>
        <w:tc>
          <w:tcPr>
            <w:tcW w:w="0" w:type="dxa"/>
            <w:vAlign w:val="bottom"/>
          </w:tcPr>
          <w:p>
            <w:pPr>
              <w:spacing w:after="0"/>
              <w:rPr>
                <w:sz w:val="1"/>
                <w:szCs w:val="1"/>
                <w:color w:val="auto"/>
              </w:rPr>
            </w:pPr>
          </w:p>
        </w:tc>
      </w:tr>
      <w:tr>
        <w:trPr>
          <w:trHeight w:val="216"/>
        </w:trPr>
        <w:tc>
          <w:tcPr>
            <w:tcW w:w="438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Non-compete agreements</w:t>
            </w:r>
          </w:p>
        </w:tc>
        <w:tc>
          <w:tcPr>
            <w:tcW w:w="1420" w:type="dxa"/>
            <w:vAlign w:val="bottom"/>
            <w:tcBorders>
              <w:bottom w:val="single" w:sz="8" w:color="auto"/>
            </w:tcBorders>
          </w:tcPr>
          <w:p>
            <w:pPr>
              <w:spacing w:after="0"/>
              <w:rPr>
                <w:sz w:val="18"/>
                <w:szCs w:val="18"/>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1.0</w:t>
            </w:r>
          </w:p>
        </w:tc>
        <w:tc>
          <w:tcPr>
            <w:tcW w:w="520" w:type="dxa"/>
            <w:vAlign w:val="bottom"/>
            <w:tcBorders>
              <w:bottom w:val="single" w:sz="8" w:color="auto"/>
            </w:tcBorders>
          </w:tcPr>
          <w:p>
            <w:pPr>
              <w:spacing w:after="0"/>
              <w:rPr>
                <w:sz w:val="18"/>
                <w:szCs w:val="18"/>
                <w:color w:val="auto"/>
              </w:rPr>
            </w:pPr>
          </w:p>
        </w:tc>
        <w:tc>
          <w:tcPr>
            <w:tcW w:w="660" w:type="dxa"/>
            <w:vAlign w:val="bottom"/>
            <w:tcBorders>
              <w:bottom w:val="single" w:sz="8" w:color="auto"/>
            </w:tcBorders>
          </w:tcPr>
          <w:p>
            <w:pPr>
              <w:jc w:val="right"/>
              <w:ind w:right="90"/>
              <w:spacing w:after="0"/>
              <w:rPr>
                <w:sz w:val="20"/>
                <w:szCs w:val="20"/>
                <w:color w:val="auto"/>
              </w:rPr>
            </w:pPr>
            <w:r>
              <w:rPr>
                <w:rFonts w:ascii="Arial" w:cs="Arial" w:eastAsia="Arial" w:hAnsi="Arial"/>
                <w:sz w:val="18"/>
                <w:szCs w:val="18"/>
                <w:b w:val="1"/>
                <w:bCs w:val="1"/>
                <w:color w:val="auto"/>
              </w:rPr>
              <w:t>1.0</w:t>
            </w:r>
          </w:p>
        </w:tc>
        <w:tc>
          <w:tcPr>
            <w:tcW w:w="140" w:type="dxa"/>
            <w:vAlign w:val="bottom"/>
            <w:tcBorders>
              <w:bottom w:val="single" w:sz="8" w:color="auto"/>
            </w:tcBorders>
          </w:tcPr>
          <w:p>
            <w:pPr>
              <w:spacing w:after="0"/>
              <w:rPr>
                <w:sz w:val="18"/>
                <w:szCs w:val="18"/>
                <w:color w:val="auto"/>
              </w:rPr>
            </w:pPr>
          </w:p>
        </w:tc>
        <w:tc>
          <w:tcPr>
            <w:tcW w:w="720" w:type="dxa"/>
            <w:vAlign w:val="bottom"/>
            <w:tcBorders>
              <w:bottom w:val="single" w:sz="8" w:color="auto"/>
            </w:tcBorders>
          </w:tcPr>
          <w:p>
            <w:pPr>
              <w:jc w:val="right"/>
              <w:ind w:right="15"/>
              <w:spacing w:after="0"/>
              <w:rPr>
                <w:sz w:val="20"/>
                <w:szCs w:val="20"/>
                <w:color w:val="auto"/>
              </w:rPr>
            </w:pPr>
            <w:r>
              <w:rPr>
                <w:rFonts w:ascii="Arial" w:cs="Arial" w:eastAsia="Arial" w:hAnsi="Arial"/>
                <w:sz w:val="18"/>
                <w:szCs w:val="18"/>
                <w:b w:val="1"/>
                <w:bCs w:val="1"/>
                <w:color w:val="auto"/>
              </w:rPr>
              <w:t>—</w:t>
            </w:r>
          </w:p>
        </w:tc>
        <w:tc>
          <w:tcPr>
            <w:tcW w:w="220" w:type="dxa"/>
            <w:vAlign w:val="bottom"/>
            <w:tcBorders>
              <w:bottom w:val="single" w:sz="8" w:color="auto"/>
            </w:tcBorders>
          </w:tcPr>
          <w:p>
            <w:pPr>
              <w:spacing w:after="0"/>
              <w:rPr>
                <w:sz w:val="18"/>
                <w:szCs w:val="18"/>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1.0</w:t>
            </w:r>
          </w:p>
        </w:tc>
        <w:tc>
          <w:tcPr>
            <w:tcW w:w="520" w:type="dxa"/>
            <w:vAlign w:val="bottom"/>
            <w:tcBorders>
              <w:bottom w:val="single" w:sz="8" w:color="auto"/>
            </w:tcBorders>
          </w:tcPr>
          <w:p>
            <w:pPr>
              <w:spacing w:after="0"/>
              <w:rPr>
                <w:sz w:val="18"/>
                <w:szCs w:val="18"/>
                <w:color w:val="auto"/>
              </w:rPr>
            </w:pPr>
          </w:p>
        </w:tc>
        <w:tc>
          <w:tcPr>
            <w:tcW w:w="660" w:type="dxa"/>
            <w:vAlign w:val="bottom"/>
            <w:tcBorders>
              <w:bottom w:val="single" w:sz="8" w:color="auto"/>
            </w:tcBorders>
          </w:tcPr>
          <w:p>
            <w:pPr>
              <w:jc w:val="right"/>
              <w:ind w:right="90"/>
              <w:spacing w:after="0"/>
              <w:rPr>
                <w:sz w:val="20"/>
                <w:szCs w:val="20"/>
                <w:color w:val="auto"/>
              </w:rPr>
            </w:pPr>
            <w:r>
              <w:rPr>
                <w:rFonts w:ascii="Arial" w:cs="Arial" w:eastAsia="Arial" w:hAnsi="Arial"/>
                <w:sz w:val="18"/>
                <w:szCs w:val="18"/>
                <w:color w:val="auto"/>
              </w:rPr>
              <w:t>1.0</w:t>
            </w:r>
          </w:p>
        </w:tc>
        <w:tc>
          <w:tcPr>
            <w:tcW w:w="120" w:type="dxa"/>
            <w:vAlign w:val="bottom"/>
            <w:tcBorders>
              <w:bottom w:val="single" w:sz="8" w:color="auto"/>
            </w:tcBorders>
          </w:tcPr>
          <w:p>
            <w:pPr>
              <w:spacing w:after="0"/>
              <w:rPr>
                <w:sz w:val="18"/>
                <w:szCs w:val="18"/>
                <w:color w:val="auto"/>
              </w:rPr>
            </w:pPr>
          </w:p>
        </w:tc>
        <w:tc>
          <w:tcPr>
            <w:tcW w:w="740" w:type="dxa"/>
            <w:vAlign w:val="bottom"/>
            <w:tcBorders>
              <w:bottom w:val="single" w:sz="8" w:color="auto"/>
            </w:tcBorders>
          </w:tcPr>
          <w:p>
            <w:pPr>
              <w:jc w:val="right"/>
              <w:ind w:right="15"/>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0"/>
        </w:trPr>
        <w:tc>
          <w:tcPr>
            <w:tcW w:w="4380" w:type="dxa"/>
            <w:vAlign w:val="bottom"/>
            <w:shd w:val="clear" w:color="auto" w:fill="CCEEFF"/>
          </w:tcPr>
          <w:p>
            <w:pPr>
              <w:spacing w:after="0"/>
              <w:rPr>
                <w:sz w:val="18"/>
                <w:szCs w:val="18"/>
                <w:color w:val="auto"/>
              </w:rPr>
            </w:pPr>
          </w:p>
        </w:tc>
        <w:tc>
          <w:tcPr>
            <w:tcW w:w="142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16.8</w:t>
            </w:r>
          </w:p>
        </w:tc>
        <w:tc>
          <w:tcPr>
            <w:tcW w:w="520" w:type="dxa"/>
            <w:vAlign w:val="bottom"/>
            <w:shd w:val="clear" w:color="auto" w:fill="CCEEFF"/>
          </w:tcPr>
          <w:p>
            <w:pPr>
              <w:spacing w:after="0"/>
              <w:rPr>
                <w:sz w:val="18"/>
                <w:szCs w:val="18"/>
                <w:color w:val="auto"/>
              </w:rPr>
            </w:pPr>
          </w:p>
        </w:tc>
        <w:tc>
          <w:tcPr>
            <w:tcW w:w="660" w:type="dxa"/>
            <w:vAlign w:val="bottom"/>
            <w:shd w:val="clear" w:color="auto" w:fill="CCEEFF"/>
          </w:tcPr>
          <w:p>
            <w:pPr>
              <w:jc w:val="right"/>
              <w:ind w:right="90"/>
              <w:spacing w:after="0"/>
              <w:rPr>
                <w:sz w:val="20"/>
                <w:szCs w:val="20"/>
                <w:color w:val="auto"/>
              </w:rPr>
            </w:pPr>
            <w:r>
              <w:rPr>
                <w:rFonts w:ascii="Arial" w:cs="Arial" w:eastAsia="Arial" w:hAnsi="Arial"/>
                <w:sz w:val="18"/>
                <w:szCs w:val="18"/>
                <w:b w:val="1"/>
                <w:bCs w:val="1"/>
                <w:color w:val="auto"/>
              </w:rPr>
              <w:t>6.5</w:t>
            </w:r>
          </w:p>
        </w:tc>
        <w:tc>
          <w:tcPr>
            <w:tcW w:w="140" w:type="dxa"/>
            <w:vAlign w:val="bottom"/>
            <w:shd w:val="clear" w:color="auto" w:fill="CCEEFF"/>
          </w:tcPr>
          <w:p>
            <w:pPr>
              <w:spacing w:after="0"/>
              <w:rPr>
                <w:sz w:val="18"/>
                <w:szCs w:val="18"/>
                <w:color w:val="auto"/>
              </w:rPr>
            </w:pPr>
          </w:p>
        </w:tc>
        <w:tc>
          <w:tcPr>
            <w:tcW w:w="720" w:type="dxa"/>
            <w:vAlign w:val="bottom"/>
            <w:shd w:val="clear" w:color="auto" w:fill="CCEEFF"/>
          </w:tcPr>
          <w:p>
            <w:pPr>
              <w:jc w:val="right"/>
              <w:ind w:right="15"/>
              <w:spacing w:after="0"/>
              <w:rPr>
                <w:sz w:val="20"/>
                <w:szCs w:val="20"/>
                <w:color w:val="auto"/>
              </w:rPr>
            </w:pPr>
            <w:r>
              <w:rPr>
                <w:rFonts w:ascii="Arial" w:cs="Arial" w:eastAsia="Arial" w:hAnsi="Arial"/>
                <w:sz w:val="18"/>
                <w:szCs w:val="18"/>
                <w:b w:val="1"/>
                <w:bCs w:val="1"/>
                <w:color w:val="auto"/>
              </w:rPr>
              <w:t>10.3</w:t>
            </w:r>
          </w:p>
        </w:tc>
        <w:tc>
          <w:tcPr>
            <w:tcW w:w="22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17.3</w:t>
            </w:r>
          </w:p>
        </w:tc>
        <w:tc>
          <w:tcPr>
            <w:tcW w:w="520" w:type="dxa"/>
            <w:vAlign w:val="bottom"/>
            <w:shd w:val="clear" w:color="auto" w:fill="CCEEFF"/>
          </w:tcPr>
          <w:p>
            <w:pPr>
              <w:spacing w:after="0"/>
              <w:rPr>
                <w:sz w:val="18"/>
                <w:szCs w:val="18"/>
                <w:color w:val="auto"/>
              </w:rPr>
            </w:pPr>
          </w:p>
        </w:tc>
        <w:tc>
          <w:tcPr>
            <w:tcW w:w="66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rPr>
              <w:t>6.0</w:t>
            </w:r>
          </w:p>
        </w:tc>
        <w:tc>
          <w:tcPr>
            <w:tcW w:w="120" w:type="dxa"/>
            <w:vAlign w:val="bottom"/>
            <w:shd w:val="clear" w:color="auto" w:fill="CCEEFF"/>
          </w:tcPr>
          <w:p>
            <w:pPr>
              <w:spacing w:after="0"/>
              <w:rPr>
                <w:sz w:val="18"/>
                <w:szCs w:val="18"/>
                <w:color w:val="auto"/>
              </w:rPr>
            </w:pPr>
          </w:p>
        </w:tc>
        <w:tc>
          <w:tcPr>
            <w:tcW w:w="740" w:type="dxa"/>
            <w:vAlign w:val="bottom"/>
            <w:shd w:val="clear" w:color="auto" w:fill="CCEEFF"/>
          </w:tcPr>
          <w:p>
            <w:pPr>
              <w:jc w:val="right"/>
              <w:ind w:right="15"/>
              <w:spacing w:after="0"/>
              <w:rPr>
                <w:sz w:val="20"/>
                <w:szCs w:val="20"/>
                <w:color w:val="auto"/>
              </w:rPr>
            </w:pPr>
            <w:r>
              <w:rPr>
                <w:rFonts w:ascii="Arial" w:cs="Arial" w:eastAsia="Arial" w:hAnsi="Arial"/>
                <w:sz w:val="18"/>
                <w:szCs w:val="18"/>
                <w:color w:val="auto"/>
              </w:rPr>
              <w:t>11.3</w:t>
            </w:r>
          </w:p>
        </w:tc>
        <w:tc>
          <w:tcPr>
            <w:tcW w:w="0" w:type="dxa"/>
            <w:vAlign w:val="bottom"/>
          </w:tcPr>
          <w:p>
            <w:pPr>
              <w:spacing w:after="0"/>
              <w:rPr>
                <w:sz w:val="1"/>
                <w:szCs w:val="1"/>
                <w:color w:val="auto"/>
              </w:rPr>
            </w:pPr>
          </w:p>
        </w:tc>
      </w:tr>
      <w:tr>
        <w:trPr>
          <w:trHeight w:val="202"/>
        </w:trPr>
        <w:tc>
          <w:tcPr>
            <w:tcW w:w="4380" w:type="dxa"/>
            <w:vAlign w:val="bottom"/>
          </w:tcPr>
          <w:p>
            <w:pPr>
              <w:spacing w:after="0" w:line="201" w:lineRule="exact"/>
              <w:rPr>
                <w:sz w:val="20"/>
                <w:szCs w:val="20"/>
                <w:color w:val="auto"/>
              </w:rPr>
            </w:pPr>
            <w:r>
              <w:rPr>
                <w:rFonts w:ascii="Arial" w:cs="Arial" w:eastAsia="Arial" w:hAnsi="Arial"/>
                <w:sz w:val="18"/>
                <w:szCs w:val="18"/>
                <w:color w:val="auto"/>
              </w:rPr>
              <w:t>Intangible Assets not Subject to</w:t>
            </w:r>
          </w:p>
        </w:tc>
        <w:tc>
          <w:tcPr>
            <w:tcW w:w="142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4380" w:type="dxa"/>
            <w:vAlign w:val="bottom"/>
          </w:tcPr>
          <w:p>
            <w:pPr>
              <w:spacing w:after="0"/>
              <w:rPr>
                <w:sz w:val="20"/>
                <w:szCs w:val="20"/>
                <w:color w:val="auto"/>
              </w:rPr>
            </w:pPr>
            <w:r>
              <w:rPr>
                <w:rFonts w:ascii="Arial" w:cs="Arial" w:eastAsia="Arial" w:hAnsi="Arial"/>
                <w:sz w:val="18"/>
                <w:szCs w:val="18"/>
                <w:color w:val="auto"/>
              </w:rPr>
              <w:t>Amortization:</w:t>
            </w:r>
          </w:p>
        </w:tc>
        <w:tc>
          <w:tcPr>
            <w:tcW w:w="142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30"/>
        </w:trPr>
        <w:tc>
          <w:tcPr>
            <w:tcW w:w="438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color w:val="auto"/>
              </w:rPr>
              <w:t>Trade name</w:t>
            </w:r>
          </w:p>
        </w:tc>
        <w:tc>
          <w:tcPr>
            <w:tcW w:w="1420" w:type="dxa"/>
            <w:vAlign w:val="bottom"/>
            <w:tcBorders>
              <w:bottom w:val="single" w:sz="8" w:color="auto"/>
            </w:tcBorders>
            <w:shd w:val="clear" w:color="auto" w:fill="CCEEFF"/>
          </w:tcPr>
          <w:p>
            <w:pPr>
              <w:spacing w:after="0"/>
              <w:rPr>
                <w:sz w:val="19"/>
                <w:szCs w:val="19"/>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0.9</w:t>
            </w:r>
          </w:p>
        </w:tc>
        <w:tc>
          <w:tcPr>
            <w:tcW w:w="520" w:type="dxa"/>
            <w:vAlign w:val="bottom"/>
            <w:tcBorders>
              <w:bottom w:val="single" w:sz="8" w:color="auto"/>
            </w:tcBorders>
            <w:shd w:val="clear" w:color="auto" w:fill="CCEEFF"/>
          </w:tcPr>
          <w:p>
            <w:pPr>
              <w:spacing w:after="0"/>
              <w:rPr>
                <w:sz w:val="19"/>
                <w:szCs w:val="19"/>
                <w:color w:val="auto"/>
              </w:rPr>
            </w:pPr>
          </w:p>
        </w:tc>
        <w:tc>
          <w:tcPr>
            <w:tcW w:w="660" w:type="dxa"/>
            <w:vAlign w:val="bottom"/>
            <w:tcBorders>
              <w:bottom w:val="single" w:sz="8" w:color="auto"/>
            </w:tcBorders>
            <w:shd w:val="clear" w:color="auto" w:fill="CCEEFF"/>
          </w:tcPr>
          <w:p>
            <w:pPr>
              <w:jc w:val="right"/>
              <w:ind w:right="90"/>
              <w:spacing w:after="0"/>
              <w:rPr>
                <w:sz w:val="20"/>
                <w:szCs w:val="20"/>
                <w:color w:val="auto"/>
              </w:rPr>
            </w:pPr>
            <w:r>
              <w:rPr>
                <w:rFonts w:ascii="Arial" w:cs="Arial" w:eastAsia="Arial" w:hAnsi="Arial"/>
                <w:sz w:val="18"/>
                <w:szCs w:val="18"/>
                <w:b w:val="1"/>
                <w:bCs w:val="1"/>
                <w:color w:val="auto"/>
              </w:rPr>
              <w:t>—</w:t>
            </w:r>
          </w:p>
        </w:tc>
        <w:tc>
          <w:tcPr>
            <w:tcW w:w="140" w:type="dxa"/>
            <w:vAlign w:val="bottom"/>
            <w:tcBorders>
              <w:bottom w:val="single" w:sz="8" w:color="auto"/>
            </w:tcBorders>
            <w:shd w:val="clear" w:color="auto" w:fill="CCEEFF"/>
          </w:tcPr>
          <w:p>
            <w:pPr>
              <w:spacing w:after="0"/>
              <w:rPr>
                <w:sz w:val="19"/>
                <w:szCs w:val="19"/>
                <w:color w:val="auto"/>
              </w:rPr>
            </w:pPr>
          </w:p>
        </w:tc>
        <w:tc>
          <w:tcPr>
            <w:tcW w:w="720" w:type="dxa"/>
            <w:vAlign w:val="bottom"/>
            <w:tcBorders>
              <w:bottom w:val="single" w:sz="8" w:color="auto"/>
            </w:tcBorders>
            <w:shd w:val="clear" w:color="auto" w:fill="CCEEFF"/>
          </w:tcPr>
          <w:p>
            <w:pPr>
              <w:jc w:val="right"/>
              <w:ind w:right="15"/>
              <w:spacing w:after="0"/>
              <w:rPr>
                <w:sz w:val="20"/>
                <w:szCs w:val="20"/>
                <w:color w:val="auto"/>
              </w:rPr>
            </w:pPr>
            <w:r>
              <w:rPr>
                <w:rFonts w:ascii="Arial" w:cs="Arial" w:eastAsia="Arial" w:hAnsi="Arial"/>
                <w:sz w:val="18"/>
                <w:szCs w:val="18"/>
                <w:b w:val="1"/>
                <w:bCs w:val="1"/>
                <w:color w:val="auto"/>
              </w:rPr>
              <w:t>0.9</w:t>
            </w:r>
          </w:p>
        </w:tc>
        <w:tc>
          <w:tcPr>
            <w:tcW w:w="220" w:type="dxa"/>
            <w:vAlign w:val="bottom"/>
            <w:tcBorders>
              <w:bottom w:val="single" w:sz="8" w:color="auto"/>
            </w:tcBorders>
            <w:shd w:val="clear" w:color="auto" w:fill="CCEEFF"/>
          </w:tcPr>
          <w:p>
            <w:pPr>
              <w:spacing w:after="0"/>
              <w:rPr>
                <w:sz w:val="19"/>
                <w:szCs w:val="19"/>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0.9</w:t>
            </w:r>
          </w:p>
        </w:tc>
        <w:tc>
          <w:tcPr>
            <w:tcW w:w="520" w:type="dxa"/>
            <w:vAlign w:val="bottom"/>
            <w:tcBorders>
              <w:bottom w:val="single" w:sz="8" w:color="auto"/>
            </w:tcBorders>
            <w:shd w:val="clear" w:color="auto" w:fill="CCEEFF"/>
          </w:tcPr>
          <w:p>
            <w:pPr>
              <w:spacing w:after="0"/>
              <w:rPr>
                <w:sz w:val="19"/>
                <w:szCs w:val="19"/>
                <w:color w:val="auto"/>
              </w:rPr>
            </w:pPr>
          </w:p>
        </w:tc>
        <w:tc>
          <w:tcPr>
            <w:tcW w:w="660" w:type="dxa"/>
            <w:vAlign w:val="bottom"/>
            <w:tcBorders>
              <w:bottom w:val="single" w:sz="8" w:color="auto"/>
            </w:tcBorders>
            <w:shd w:val="clear" w:color="auto" w:fill="CCEEFF"/>
          </w:tcPr>
          <w:p>
            <w:pPr>
              <w:jc w:val="right"/>
              <w:ind w:right="90"/>
              <w:spacing w:after="0"/>
              <w:rPr>
                <w:sz w:val="20"/>
                <w:szCs w:val="20"/>
                <w:color w:val="auto"/>
              </w:rPr>
            </w:pPr>
            <w:r>
              <w:rPr>
                <w:rFonts w:ascii="Arial" w:cs="Arial" w:eastAsia="Arial" w:hAnsi="Arial"/>
                <w:sz w:val="18"/>
                <w:szCs w:val="18"/>
                <w:color w:val="auto"/>
              </w:rPr>
              <w:t>—</w:t>
            </w:r>
          </w:p>
        </w:tc>
        <w:tc>
          <w:tcPr>
            <w:tcW w:w="120" w:type="dxa"/>
            <w:vAlign w:val="bottom"/>
            <w:tcBorders>
              <w:bottom w:val="single" w:sz="8" w:color="auto"/>
            </w:tcBorders>
            <w:shd w:val="clear" w:color="auto" w:fill="CCEEFF"/>
          </w:tcPr>
          <w:p>
            <w:pPr>
              <w:spacing w:after="0"/>
              <w:rPr>
                <w:sz w:val="19"/>
                <w:szCs w:val="19"/>
                <w:color w:val="auto"/>
              </w:rPr>
            </w:pPr>
          </w:p>
        </w:tc>
        <w:tc>
          <w:tcPr>
            <w:tcW w:w="740" w:type="dxa"/>
            <w:vAlign w:val="bottom"/>
            <w:tcBorders>
              <w:bottom w:val="single" w:sz="8" w:color="auto"/>
            </w:tcBorders>
            <w:shd w:val="clear" w:color="auto" w:fill="CCEEFF"/>
          </w:tcPr>
          <w:p>
            <w:pPr>
              <w:jc w:val="right"/>
              <w:ind w:right="15"/>
              <w:spacing w:after="0"/>
              <w:rPr>
                <w:sz w:val="20"/>
                <w:szCs w:val="20"/>
                <w:color w:val="auto"/>
              </w:rPr>
            </w:pPr>
            <w:r>
              <w:rPr>
                <w:rFonts w:ascii="Arial" w:cs="Arial" w:eastAsia="Arial" w:hAnsi="Arial"/>
                <w:sz w:val="18"/>
                <w:szCs w:val="18"/>
                <w:color w:val="auto"/>
              </w:rPr>
              <w:t>0.9</w:t>
            </w:r>
          </w:p>
        </w:tc>
        <w:tc>
          <w:tcPr>
            <w:tcW w:w="0" w:type="dxa"/>
            <w:vAlign w:val="bottom"/>
          </w:tcPr>
          <w:p>
            <w:pPr>
              <w:spacing w:after="0"/>
              <w:rPr>
                <w:sz w:val="1"/>
                <w:szCs w:val="1"/>
                <w:color w:val="auto"/>
              </w:rPr>
            </w:pPr>
          </w:p>
        </w:tc>
      </w:tr>
      <w:tr>
        <w:trPr>
          <w:trHeight w:val="210"/>
        </w:trPr>
        <w:tc>
          <w:tcPr>
            <w:tcW w:w="4380" w:type="dxa"/>
            <w:vAlign w:val="bottom"/>
            <w:tcBorders>
              <w:bottom w:val="single" w:sz="8" w:color="auto"/>
            </w:tcBorders>
          </w:tcPr>
          <w:p>
            <w:pPr>
              <w:spacing w:after="0"/>
              <w:rPr>
                <w:sz w:val="18"/>
                <w:szCs w:val="18"/>
                <w:color w:val="auto"/>
              </w:rPr>
            </w:pPr>
          </w:p>
        </w:tc>
        <w:tc>
          <w:tcPr>
            <w:tcW w:w="1420" w:type="dxa"/>
            <w:vAlign w:val="bottom"/>
            <w:tcBorders>
              <w:bottom w:val="single" w:sz="8" w:color="auto"/>
            </w:tcBorders>
          </w:tcPr>
          <w:p>
            <w:pPr>
              <w:spacing w:after="0"/>
              <w:rPr>
                <w:sz w:val="18"/>
                <w:szCs w:val="18"/>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0.9</w:t>
            </w:r>
          </w:p>
        </w:tc>
        <w:tc>
          <w:tcPr>
            <w:tcW w:w="520" w:type="dxa"/>
            <w:vAlign w:val="bottom"/>
            <w:tcBorders>
              <w:bottom w:val="single" w:sz="8" w:color="auto"/>
            </w:tcBorders>
          </w:tcPr>
          <w:p>
            <w:pPr>
              <w:spacing w:after="0"/>
              <w:rPr>
                <w:sz w:val="18"/>
                <w:szCs w:val="18"/>
                <w:color w:val="auto"/>
              </w:rPr>
            </w:pPr>
          </w:p>
        </w:tc>
        <w:tc>
          <w:tcPr>
            <w:tcW w:w="660" w:type="dxa"/>
            <w:vAlign w:val="bottom"/>
            <w:tcBorders>
              <w:bottom w:val="single" w:sz="8" w:color="auto"/>
            </w:tcBorders>
          </w:tcPr>
          <w:p>
            <w:pPr>
              <w:jc w:val="right"/>
              <w:ind w:right="90"/>
              <w:spacing w:after="0"/>
              <w:rPr>
                <w:sz w:val="20"/>
                <w:szCs w:val="20"/>
                <w:color w:val="auto"/>
              </w:rPr>
            </w:pPr>
            <w:r>
              <w:rPr>
                <w:rFonts w:ascii="Arial" w:cs="Arial" w:eastAsia="Arial" w:hAnsi="Arial"/>
                <w:sz w:val="18"/>
                <w:szCs w:val="18"/>
                <w:b w:val="1"/>
                <w:bCs w:val="1"/>
                <w:color w:val="auto"/>
              </w:rPr>
              <w:t>—</w:t>
            </w:r>
          </w:p>
        </w:tc>
        <w:tc>
          <w:tcPr>
            <w:tcW w:w="140" w:type="dxa"/>
            <w:vAlign w:val="bottom"/>
            <w:tcBorders>
              <w:bottom w:val="single" w:sz="8" w:color="auto"/>
            </w:tcBorders>
          </w:tcPr>
          <w:p>
            <w:pPr>
              <w:spacing w:after="0"/>
              <w:rPr>
                <w:sz w:val="18"/>
                <w:szCs w:val="18"/>
                <w:color w:val="auto"/>
              </w:rPr>
            </w:pPr>
          </w:p>
        </w:tc>
        <w:tc>
          <w:tcPr>
            <w:tcW w:w="720" w:type="dxa"/>
            <w:vAlign w:val="bottom"/>
            <w:tcBorders>
              <w:bottom w:val="single" w:sz="8" w:color="auto"/>
            </w:tcBorders>
          </w:tcPr>
          <w:p>
            <w:pPr>
              <w:jc w:val="right"/>
              <w:ind w:right="15"/>
              <w:spacing w:after="0"/>
              <w:rPr>
                <w:sz w:val="20"/>
                <w:szCs w:val="20"/>
                <w:color w:val="auto"/>
              </w:rPr>
            </w:pPr>
            <w:r>
              <w:rPr>
                <w:rFonts w:ascii="Arial" w:cs="Arial" w:eastAsia="Arial" w:hAnsi="Arial"/>
                <w:sz w:val="18"/>
                <w:szCs w:val="18"/>
                <w:b w:val="1"/>
                <w:bCs w:val="1"/>
                <w:color w:val="auto"/>
              </w:rPr>
              <w:t>0.9</w:t>
            </w:r>
          </w:p>
        </w:tc>
        <w:tc>
          <w:tcPr>
            <w:tcW w:w="220" w:type="dxa"/>
            <w:vAlign w:val="bottom"/>
            <w:tcBorders>
              <w:bottom w:val="single" w:sz="8" w:color="auto"/>
            </w:tcBorders>
          </w:tcPr>
          <w:p>
            <w:pPr>
              <w:spacing w:after="0"/>
              <w:rPr>
                <w:sz w:val="18"/>
                <w:szCs w:val="18"/>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0.9</w:t>
            </w:r>
          </w:p>
        </w:tc>
        <w:tc>
          <w:tcPr>
            <w:tcW w:w="520" w:type="dxa"/>
            <w:vAlign w:val="bottom"/>
            <w:tcBorders>
              <w:bottom w:val="single" w:sz="8" w:color="auto"/>
            </w:tcBorders>
          </w:tcPr>
          <w:p>
            <w:pPr>
              <w:spacing w:after="0"/>
              <w:rPr>
                <w:sz w:val="18"/>
                <w:szCs w:val="18"/>
                <w:color w:val="auto"/>
              </w:rPr>
            </w:pPr>
          </w:p>
        </w:tc>
        <w:tc>
          <w:tcPr>
            <w:tcW w:w="660" w:type="dxa"/>
            <w:vAlign w:val="bottom"/>
            <w:tcBorders>
              <w:bottom w:val="single" w:sz="8" w:color="auto"/>
            </w:tcBorders>
          </w:tcPr>
          <w:p>
            <w:pPr>
              <w:jc w:val="right"/>
              <w:ind w:right="90"/>
              <w:spacing w:after="0"/>
              <w:rPr>
                <w:sz w:val="20"/>
                <w:szCs w:val="20"/>
                <w:color w:val="auto"/>
              </w:rPr>
            </w:pPr>
            <w:r>
              <w:rPr>
                <w:rFonts w:ascii="Arial" w:cs="Arial" w:eastAsia="Arial" w:hAnsi="Arial"/>
                <w:sz w:val="18"/>
                <w:szCs w:val="18"/>
                <w:color w:val="auto"/>
              </w:rPr>
              <w:t>—</w:t>
            </w:r>
          </w:p>
        </w:tc>
        <w:tc>
          <w:tcPr>
            <w:tcW w:w="120" w:type="dxa"/>
            <w:vAlign w:val="bottom"/>
            <w:tcBorders>
              <w:bottom w:val="single" w:sz="8" w:color="auto"/>
            </w:tcBorders>
          </w:tcPr>
          <w:p>
            <w:pPr>
              <w:spacing w:after="0"/>
              <w:rPr>
                <w:sz w:val="18"/>
                <w:szCs w:val="18"/>
                <w:color w:val="auto"/>
              </w:rPr>
            </w:pPr>
          </w:p>
        </w:tc>
        <w:tc>
          <w:tcPr>
            <w:tcW w:w="740" w:type="dxa"/>
            <w:vAlign w:val="bottom"/>
            <w:tcBorders>
              <w:bottom w:val="single" w:sz="8" w:color="auto"/>
            </w:tcBorders>
          </w:tcPr>
          <w:p>
            <w:pPr>
              <w:jc w:val="right"/>
              <w:ind w:right="15"/>
              <w:spacing w:after="0"/>
              <w:rPr>
                <w:sz w:val="20"/>
                <w:szCs w:val="20"/>
                <w:color w:val="auto"/>
              </w:rPr>
            </w:pPr>
            <w:r>
              <w:rPr>
                <w:rFonts w:ascii="Arial" w:cs="Arial" w:eastAsia="Arial" w:hAnsi="Arial"/>
                <w:sz w:val="18"/>
                <w:szCs w:val="18"/>
                <w:color w:val="auto"/>
              </w:rPr>
              <w:t>0.9</w:t>
            </w:r>
          </w:p>
        </w:tc>
        <w:tc>
          <w:tcPr>
            <w:tcW w:w="0" w:type="dxa"/>
            <w:vAlign w:val="bottom"/>
          </w:tcPr>
          <w:p>
            <w:pPr>
              <w:spacing w:after="0"/>
              <w:rPr>
                <w:sz w:val="1"/>
                <w:szCs w:val="1"/>
                <w:color w:val="auto"/>
              </w:rPr>
            </w:pPr>
          </w:p>
        </w:tc>
      </w:tr>
      <w:tr>
        <w:trPr>
          <w:trHeight w:val="217"/>
        </w:trPr>
        <w:tc>
          <w:tcPr>
            <w:tcW w:w="438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color w:val="auto"/>
              </w:rPr>
              <w:t>Total Intangible Assets</w:t>
            </w:r>
          </w:p>
        </w:tc>
        <w:tc>
          <w:tcPr>
            <w:tcW w:w="14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17.7</w:t>
            </w:r>
          </w:p>
        </w:tc>
        <w:tc>
          <w:tcPr>
            <w:tcW w:w="520" w:type="dxa"/>
            <w:vAlign w:val="bottom"/>
            <w:tcBorders>
              <w:bottom w:val="single" w:sz="8" w:color="auto"/>
            </w:tcBorders>
            <w:shd w:val="clear" w:color="auto" w:fill="CCEEFF"/>
          </w:tcPr>
          <w:p>
            <w:pPr>
              <w:ind w:left="180"/>
              <w:spacing w:after="0"/>
              <w:rPr>
                <w:sz w:val="20"/>
                <w:szCs w:val="20"/>
                <w:color w:val="auto"/>
              </w:rPr>
            </w:pPr>
            <w:r>
              <w:rPr>
                <w:rFonts w:ascii="Arial" w:cs="Arial" w:eastAsia="Arial" w:hAnsi="Arial"/>
                <w:sz w:val="18"/>
                <w:szCs w:val="18"/>
                <w:b w:val="1"/>
                <w:bCs w:val="1"/>
                <w:color w:val="auto"/>
              </w:rPr>
              <w:t>$</w:t>
            </w:r>
          </w:p>
        </w:tc>
        <w:tc>
          <w:tcPr>
            <w:tcW w:w="660" w:type="dxa"/>
            <w:vAlign w:val="bottom"/>
            <w:tcBorders>
              <w:bottom w:val="single" w:sz="8" w:color="auto"/>
            </w:tcBorders>
            <w:shd w:val="clear" w:color="auto" w:fill="CCEEFF"/>
          </w:tcPr>
          <w:p>
            <w:pPr>
              <w:jc w:val="right"/>
              <w:ind w:right="90"/>
              <w:spacing w:after="0"/>
              <w:rPr>
                <w:sz w:val="20"/>
                <w:szCs w:val="20"/>
                <w:color w:val="auto"/>
              </w:rPr>
            </w:pPr>
            <w:r>
              <w:rPr>
                <w:rFonts w:ascii="Arial" w:cs="Arial" w:eastAsia="Arial" w:hAnsi="Arial"/>
                <w:sz w:val="18"/>
                <w:szCs w:val="18"/>
                <w:b w:val="1"/>
                <w:bCs w:val="1"/>
                <w:color w:val="auto"/>
              </w:rPr>
              <w:t>6.5</w:t>
            </w: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99"/>
              </w:rPr>
              <w:t>$</w:t>
            </w:r>
          </w:p>
        </w:tc>
        <w:tc>
          <w:tcPr>
            <w:tcW w:w="720" w:type="dxa"/>
            <w:vAlign w:val="bottom"/>
            <w:tcBorders>
              <w:bottom w:val="single" w:sz="8" w:color="auto"/>
            </w:tcBorders>
            <w:shd w:val="clear" w:color="auto" w:fill="CCEEFF"/>
          </w:tcPr>
          <w:p>
            <w:pPr>
              <w:jc w:val="right"/>
              <w:ind w:right="15"/>
              <w:spacing w:after="0"/>
              <w:rPr>
                <w:sz w:val="20"/>
                <w:szCs w:val="20"/>
                <w:color w:val="auto"/>
              </w:rPr>
            </w:pPr>
            <w:r>
              <w:rPr>
                <w:rFonts w:ascii="Arial" w:cs="Arial" w:eastAsia="Arial" w:hAnsi="Arial"/>
                <w:sz w:val="18"/>
                <w:szCs w:val="18"/>
                <w:b w:val="1"/>
                <w:bCs w:val="1"/>
                <w:color w:val="auto"/>
              </w:rPr>
              <w:t>11.2</w:t>
            </w:r>
          </w:p>
        </w:tc>
        <w:tc>
          <w:tcPr>
            <w:tcW w:w="2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18.2</w:t>
            </w:r>
          </w:p>
        </w:tc>
        <w:tc>
          <w:tcPr>
            <w:tcW w:w="520" w:type="dxa"/>
            <w:vAlign w:val="bottom"/>
            <w:tcBorders>
              <w:bottom w:val="single" w:sz="8" w:color="auto"/>
            </w:tcBorders>
            <w:shd w:val="clear" w:color="auto" w:fill="CCEEFF"/>
          </w:tcPr>
          <w:p>
            <w:pPr>
              <w:ind w:left="180"/>
              <w:spacing w:after="0"/>
              <w:rPr>
                <w:sz w:val="20"/>
                <w:szCs w:val="20"/>
                <w:color w:val="auto"/>
              </w:rPr>
            </w:pPr>
            <w:r>
              <w:rPr>
                <w:rFonts w:ascii="Arial" w:cs="Arial" w:eastAsia="Arial" w:hAnsi="Arial"/>
                <w:sz w:val="18"/>
                <w:szCs w:val="18"/>
                <w:color w:val="auto"/>
              </w:rPr>
              <w:t>$</w:t>
            </w:r>
          </w:p>
        </w:tc>
        <w:tc>
          <w:tcPr>
            <w:tcW w:w="660" w:type="dxa"/>
            <w:vAlign w:val="bottom"/>
            <w:tcBorders>
              <w:bottom w:val="single" w:sz="8" w:color="auto"/>
            </w:tcBorders>
            <w:shd w:val="clear" w:color="auto" w:fill="CCEEFF"/>
          </w:tcPr>
          <w:p>
            <w:pPr>
              <w:jc w:val="right"/>
              <w:ind w:right="90"/>
              <w:spacing w:after="0"/>
              <w:rPr>
                <w:sz w:val="20"/>
                <w:szCs w:val="20"/>
                <w:color w:val="auto"/>
              </w:rPr>
            </w:pPr>
            <w:r>
              <w:rPr>
                <w:rFonts w:ascii="Arial" w:cs="Arial" w:eastAsia="Arial" w:hAnsi="Arial"/>
                <w:sz w:val="18"/>
                <w:szCs w:val="18"/>
                <w:color w:val="auto"/>
              </w:rPr>
              <w:t>6.0</w:t>
            </w: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40" w:type="dxa"/>
            <w:vAlign w:val="bottom"/>
            <w:tcBorders>
              <w:bottom w:val="single" w:sz="8" w:color="auto"/>
            </w:tcBorders>
            <w:shd w:val="clear" w:color="auto" w:fill="CCEEFF"/>
          </w:tcPr>
          <w:p>
            <w:pPr>
              <w:jc w:val="right"/>
              <w:ind w:right="15"/>
              <w:spacing w:after="0"/>
              <w:rPr>
                <w:sz w:val="20"/>
                <w:szCs w:val="20"/>
                <w:color w:val="auto"/>
              </w:rPr>
            </w:pPr>
            <w:r>
              <w:rPr>
                <w:rFonts w:ascii="Arial" w:cs="Arial" w:eastAsia="Arial" w:hAnsi="Arial"/>
                <w:sz w:val="18"/>
                <w:szCs w:val="18"/>
                <w:color w:val="auto"/>
              </w:rPr>
              <w:t>12.2</w:t>
            </w:r>
          </w:p>
        </w:tc>
        <w:tc>
          <w:tcPr>
            <w:tcW w:w="0" w:type="dxa"/>
            <w:vAlign w:val="bottom"/>
          </w:tcPr>
          <w:p>
            <w:pPr>
              <w:spacing w:after="0"/>
              <w:rPr>
                <w:sz w:val="1"/>
                <w:szCs w:val="1"/>
                <w:color w:val="auto"/>
              </w:rPr>
            </w:pPr>
          </w:p>
        </w:tc>
      </w:tr>
    </w:tbl>
    <w:p>
      <w:pPr>
        <w:spacing w:after="0" w:line="202" w:lineRule="exact"/>
        <w:rPr>
          <w:sz w:val="20"/>
          <w:szCs w:val="20"/>
          <w:color w:val="auto"/>
        </w:rPr>
      </w:pPr>
    </w:p>
    <w:p>
      <w:pPr>
        <w:ind w:right="340" w:firstLine="913"/>
        <w:spacing w:after="0" w:line="342" w:lineRule="auto"/>
        <w:rPr>
          <w:sz w:val="20"/>
          <w:szCs w:val="20"/>
          <w:color w:val="auto"/>
        </w:rPr>
      </w:pPr>
      <w:r>
        <w:rPr>
          <w:rFonts w:ascii="Arial" w:cs="Arial" w:eastAsia="Arial" w:hAnsi="Arial"/>
          <w:sz w:val="16"/>
          <w:szCs w:val="16"/>
          <w:color w:val="auto"/>
        </w:rPr>
        <w:t>Amortization expense for intangible assets was $1.0 million, $1.2 million and $1.2 million for the years ended December 31, 2013, 2012 and 2011, respectively. Amortization expense for intangible assets is estimated to be approximately $1.0 million in each year from 2014 through 2018.</w:t>
      </w:r>
    </w:p>
    <w:p>
      <w:pPr>
        <w:spacing w:after="0" w:line="322" w:lineRule="exact"/>
        <w:rPr>
          <w:sz w:val="20"/>
          <w:szCs w:val="20"/>
          <w:color w:val="auto"/>
        </w:rPr>
      </w:pPr>
    </w:p>
    <w:p>
      <w:pPr>
        <w:spacing w:after="0"/>
        <w:rPr>
          <w:sz w:val="20"/>
          <w:szCs w:val="20"/>
          <w:color w:val="auto"/>
        </w:rPr>
      </w:pPr>
      <w:r>
        <w:rPr>
          <w:rFonts w:ascii="Arial" w:cs="Arial" w:eastAsia="Arial" w:hAnsi="Arial"/>
          <w:sz w:val="23"/>
          <w:szCs w:val="23"/>
          <w:b w:val="1"/>
          <w:bCs w:val="1"/>
          <w:color w:val="auto"/>
        </w:rPr>
        <w:t>Note 7 - Financing Arrangements</w:t>
      </w:r>
    </w:p>
    <w:p>
      <w:pPr>
        <w:spacing w:after="0" w:line="239"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660" w:type="dxa"/>
            <w:vAlign w:val="bottom"/>
          </w:tcPr>
          <w:p>
            <w:pPr>
              <w:ind w:left="920"/>
              <w:spacing w:after="0"/>
              <w:rPr>
                <w:sz w:val="20"/>
                <w:szCs w:val="20"/>
                <w:color w:val="auto"/>
              </w:rPr>
            </w:pPr>
            <w:r>
              <w:rPr>
                <w:rFonts w:ascii="Arial" w:cs="Arial" w:eastAsia="Arial" w:hAnsi="Arial"/>
                <w:sz w:val="18"/>
                <w:szCs w:val="18"/>
                <w:color w:val="auto"/>
              </w:rPr>
              <w:t>Long-term debt for the years ended December 31, 2013 and 2012 was as follows:</w:t>
            </w:r>
          </w:p>
        </w:tc>
        <w:tc>
          <w:tcPr>
            <w:tcW w:w="92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59"/>
        </w:trPr>
        <w:tc>
          <w:tcPr>
            <w:tcW w:w="8660" w:type="dxa"/>
            <w:vAlign w:val="bottom"/>
            <w:tcBorders>
              <w:bottom w:val="single" w:sz="8" w:color="auto"/>
            </w:tcBorders>
          </w:tcPr>
          <w:p>
            <w:pPr>
              <w:spacing w:after="0"/>
              <w:rPr>
                <w:sz w:val="24"/>
                <w:szCs w:val="24"/>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2013</w:t>
            </w:r>
          </w:p>
        </w:tc>
        <w:tc>
          <w:tcPr>
            <w:tcW w:w="460" w:type="dxa"/>
            <w:vAlign w:val="bottom"/>
            <w:tcBorders>
              <w:bottom w:val="single" w:sz="8" w:color="auto"/>
            </w:tcBorders>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1020" w:type="dxa"/>
            <w:vAlign w:val="bottom"/>
            <w:tcBorders>
              <w:bottom w:val="single" w:sz="8" w:color="auto"/>
            </w:tcBorders>
          </w:tcPr>
          <w:p>
            <w:pPr>
              <w:jc w:val="right"/>
              <w:ind w:right="410"/>
              <w:spacing w:after="0"/>
              <w:rPr>
                <w:sz w:val="20"/>
                <w:szCs w:val="20"/>
                <w:color w:val="auto"/>
              </w:rPr>
            </w:pPr>
            <w:r>
              <w:rPr>
                <w:rFonts w:ascii="Arial" w:cs="Arial" w:eastAsia="Arial" w:hAnsi="Arial"/>
                <w:sz w:val="18"/>
                <w:szCs w:val="18"/>
                <w:color w:val="auto"/>
              </w:rPr>
              <w:t>2012</w:t>
            </w:r>
          </w:p>
        </w:tc>
        <w:tc>
          <w:tcPr>
            <w:tcW w:w="0" w:type="dxa"/>
            <w:vAlign w:val="bottom"/>
          </w:tcPr>
          <w:p>
            <w:pPr>
              <w:spacing w:after="0"/>
              <w:rPr>
                <w:sz w:val="1"/>
                <w:szCs w:val="1"/>
                <w:color w:val="auto"/>
              </w:rPr>
            </w:pPr>
          </w:p>
        </w:tc>
      </w:tr>
      <w:tr>
        <w:trPr>
          <w:trHeight w:val="195"/>
        </w:trPr>
        <w:tc>
          <w:tcPr>
            <w:tcW w:w="8660" w:type="dxa"/>
            <w:vAlign w:val="bottom"/>
            <w:shd w:val="clear" w:color="auto" w:fill="CCEEFF"/>
          </w:tcPr>
          <w:p>
            <w:pPr>
              <w:spacing w:after="0" w:line="195" w:lineRule="exact"/>
              <w:rPr>
                <w:sz w:val="20"/>
                <w:szCs w:val="20"/>
                <w:color w:val="auto"/>
              </w:rPr>
            </w:pPr>
            <w:r>
              <w:rPr>
                <w:rFonts w:ascii="Arial" w:cs="Arial" w:eastAsia="Arial" w:hAnsi="Arial"/>
                <w:sz w:val="18"/>
                <w:szCs w:val="18"/>
                <w:color w:val="auto"/>
                <w:w w:val="91"/>
              </w:rPr>
              <w:t>Variable-rate State of Ohio Water Development Revenue Refunding Bonds, maturing on November 1, 2025 (0.06% as</w:t>
            </w:r>
          </w:p>
        </w:tc>
        <w:tc>
          <w:tcPr>
            <w:tcW w:w="920" w:type="dxa"/>
            <w:vAlign w:val="bottom"/>
            <w:vMerge w:val="restart"/>
            <w:shd w:val="clear" w:color="auto" w:fill="CCEEFF"/>
          </w:tcPr>
          <w:p>
            <w:pPr>
              <w:jc w:val="right"/>
              <w:ind w:right="630"/>
              <w:spacing w:after="0"/>
              <w:rPr>
                <w:sz w:val="20"/>
                <w:szCs w:val="20"/>
                <w:color w:val="auto"/>
              </w:rPr>
            </w:pPr>
            <w:r>
              <w:rPr>
                <w:rFonts w:ascii="Arial" w:cs="Arial" w:eastAsia="Arial" w:hAnsi="Arial"/>
                <w:sz w:val="18"/>
                <w:szCs w:val="18"/>
                <w:b w:val="1"/>
                <w:bCs w:val="1"/>
                <w:color w:val="auto"/>
              </w:rPr>
              <w:t>$</w:t>
            </w:r>
          </w:p>
        </w:tc>
        <w:tc>
          <w:tcPr>
            <w:tcW w:w="460" w:type="dxa"/>
            <w:vAlign w:val="bottom"/>
            <w:vMerge w:val="restart"/>
            <w:shd w:val="clear" w:color="auto" w:fill="CCEEFF"/>
          </w:tcPr>
          <w:p>
            <w:pPr>
              <w:jc w:val="right"/>
              <w:ind w:right="10"/>
              <w:spacing w:after="0"/>
              <w:rPr>
                <w:sz w:val="20"/>
                <w:szCs w:val="20"/>
                <w:color w:val="auto"/>
              </w:rPr>
            </w:pPr>
            <w:r>
              <w:rPr>
                <w:rFonts w:ascii="Arial" w:cs="Arial" w:eastAsia="Arial" w:hAnsi="Arial"/>
                <w:sz w:val="18"/>
                <w:szCs w:val="18"/>
                <w:b w:val="1"/>
                <w:bCs w:val="1"/>
                <w:color w:val="auto"/>
                <w:w w:val="96"/>
              </w:rPr>
              <w:t>12.2</w:t>
            </w:r>
          </w:p>
        </w:tc>
        <w:tc>
          <w:tcPr>
            <w:tcW w:w="360" w:type="dxa"/>
            <w:vAlign w:val="bottom"/>
            <w:shd w:val="clear" w:color="auto" w:fill="CCEEFF"/>
          </w:tcPr>
          <w:p>
            <w:pPr>
              <w:spacing w:after="0"/>
              <w:rPr>
                <w:sz w:val="16"/>
                <w:szCs w:val="16"/>
                <w:color w:val="auto"/>
              </w:rPr>
            </w:pPr>
          </w:p>
        </w:tc>
        <w:tc>
          <w:tcPr>
            <w:tcW w:w="102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30"/>
        </w:trPr>
        <w:tc>
          <w:tcPr>
            <w:tcW w:w="8660" w:type="dxa"/>
            <w:vAlign w:val="bottom"/>
            <w:shd w:val="clear" w:color="auto" w:fill="CCEEFF"/>
          </w:tcPr>
          <w:p>
            <w:pPr>
              <w:ind w:left="180"/>
              <w:spacing w:after="0"/>
              <w:rPr>
                <w:sz w:val="20"/>
                <w:szCs w:val="20"/>
                <w:color w:val="auto"/>
              </w:rPr>
            </w:pPr>
            <w:r>
              <w:rPr>
                <w:rFonts w:ascii="Arial" w:cs="Arial" w:eastAsia="Arial" w:hAnsi="Arial"/>
                <w:sz w:val="18"/>
                <w:szCs w:val="18"/>
                <w:color w:val="auto"/>
              </w:rPr>
              <w:t>of December 31, 2013)</w:t>
            </w:r>
          </w:p>
        </w:tc>
        <w:tc>
          <w:tcPr>
            <w:tcW w:w="920" w:type="dxa"/>
            <w:vAlign w:val="bottom"/>
            <w:vMerge w:val="continue"/>
            <w:shd w:val="clear" w:color="auto" w:fill="CCEEFF"/>
          </w:tcPr>
          <w:p>
            <w:pPr>
              <w:spacing w:after="0"/>
              <w:rPr>
                <w:sz w:val="20"/>
                <w:szCs w:val="20"/>
                <w:color w:val="auto"/>
              </w:rPr>
            </w:pPr>
          </w:p>
        </w:tc>
        <w:tc>
          <w:tcPr>
            <w:tcW w:w="460" w:type="dxa"/>
            <w:vAlign w:val="bottom"/>
            <w:vMerge w:val="continue"/>
            <w:shd w:val="clear" w:color="auto" w:fill="CCEEFF"/>
          </w:tcPr>
          <w:p>
            <w:pPr>
              <w:spacing w:after="0"/>
              <w:rPr>
                <w:sz w:val="20"/>
                <w:szCs w:val="20"/>
                <w:color w:val="auto"/>
              </w:rPr>
            </w:pPr>
          </w:p>
        </w:tc>
        <w:tc>
          <w:tcPr>
            <w:tcW w:w="36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102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12.2</w:t>
            </w:r>
          </w:p>
        </w:tc>
        <w:tc>
          <w:tcPr>
            <w:tcW w:w="0" w:type="dxa"/>
            <w:vAlign w:val="bottom"/>
          </w:tcPr>
          <w:p>
            <w:pPr>
              <w:spacing w:after="0"/>
              <w:rPr>
                <w:sz w:val="1"/>
                <w:szCs w:val="1"/>
                <w:color w:val="auto"/>
              </w:rPr>
            </w:pPr>
          </w:p>
        </w:tc>
      </w:tr>
      <w:tr>
        <w:trPr>
          <w:trHeight w:val="202"/>
        </w:trPr>
        <w:tc>
          <w:tcPr>
            <w:tcW w:w="8660" w:type="dxa"/>
            <w:vAlign w:val="bottom"/>
          </w:tcPr>
          <w:p>
            <w:pPr>
              <w:spacing w:after="0" w:line="201" w:lineRule="exact"/>
              <w:rPr>
                <w:sz w:val="20"/>
                <w:szCs w:val="20"/>
                <w:color w:val="auto"/>
              </w:rPr>
            </w:pPr>
            <w:r>
              <w:rPr>
                <w:rFonts w:ascii="Arial" w:cs="Arial" w:eastAsia="Arial" w:hAnsi="Arial"/>
                <w:sz w:val="18"/>
                <w:szCs w:val="18"/>
                <w:color w:val="auto"/>
                <w:w w:val="97"/>
              </w:rPr>
              <w:t>Variable-rate State of Ohio Air Quality Development Revenue Refunding Bonds, maturing on November 1, 2025</w:t>
            </w:r>
          </w:p>
        </w:tc>
        <w:tc>
          <w:tcPr>
            <w:tcW w:w="920" w:type="dxa"/>
            <w:vAlign w:val="bottom"/>
          </w:tcPr>
          <w:p>
            <w:pPr>
              <w:spacing w:after="0"/>
              <w:rPr>
                <w:sz w:val="17"/>
                <w:szCs w:val="17"/>
                <w:color w:val="auto"/>
              </w:rPr>
            </w:pPr>
          </w:p>
        </w:tc>
        <w:tc>
          <w:tcPr>
            <w:tcW w:w="460" w:type="dxa"/>
            <w:vAlign w:val="bottom"/>
            <w:vMerge w:val="restart"/>
          </w:tcPr>
          <w:p>
            <w:pPr>
              <w:jc w:val="right"/>
              <w:ind w:right="10"/>
              <w:spacing w:after="0"/>
              <w:rPr>
                <w:sz w:val="20"/>
                <w:szCs w:val="20"/>
                <w:color w:val="auto"/>
              </w:rPr>
            </w:pPr>
            <w:r>
              <w:rPr>
                <w:rFonts w:ascii="Arial" w:cs="Arial" w:eastAsia="Arial" w:hAnsi="Arial"/>
                <w:sz w:val="18"/>
                <w:szCs w:val="18"/>
                <w:b w:val="1"/>
                <w:bCs w:val="1"/>
                <w:color w:val="auto"/>
              </w:rPr>
              <w:t>9.5</w:t>
            </w:r>
          </w:p>
        </w:tc>
        <w:tc>
          <w:tcPr>
            <w:tcW w:w="36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8660" w:type="dxa"/>
            <w:vAlign w:val="bottom"/>
          </w:tcPr>
          <w:p>
            <w:pPr>
              <w:ind w:left="180"/>
              <w:spacing w:after="0"/>
              <w:rPr>
                <w:sz w:val="20"/>
                <w:szCs w:val="20"/>
                <w:color w:val="auto"/>
              </w:rPr>
            </w:pPr>
            <w:r>
              <w:rPr>
                <w:rFonts w:ascii="Arial" w:cs="Arial" w:eastAsia="Arial" w:hAnsi="Arial"/>
                <w:sz w:val="18"/>
                <w:szCs w:val="18"/>
                <w:color w:val="auto"/>
              </w:rPr>
              <w:t>(0.15% as of December 31, 2013)</w:t>
            </w:r>
          </w:p>
        </w:tc>
        <w:tc>
          <w:tcPr>
            <w:tcW w:w="920" w:type="dxa"/>
            <w:vAlign w:val="bottom"/>
          </w:tcPr>
          <w:p>
            <w:pPr>
              <w:spacing w:after="0"/>
              <w:rPr>
                <w:sz w:val="20"/>
                <w:szCs w:val="20"/>
                <w:color w:val="auto"/>
              </w:rPr>
            </w:pPr>
          </w:p>
        </w:tc>
        <w:tc>
          <w:tcPr>
            <w:tcW w:w="460" w:type="dxa"/>
            <w:vAlign w:val="bottom"/>
            <w:vMerge w:val="continue"/>
          </w:tcPr>
          <w:p>
            <w:pPr>
              <w:spacing w:after="0"/>
              <w:rPr>
                <w:sz w:val="20"/>
                <w:szCs w:val="20"/>
                <w:color w:val="auto"/>
              </w:rPr>
            </w:pPr>
          </w:p>
        </w:tc>
        <w:tc>
          <w:tcPr>
            <w:tcW w:w="360" w:type="dxa"/>
            <w:vAlign w:val="bottom"/>
          </w:tcPr>
          <w:p>
            <w:pPr>
              <w:spacing w:after="0"/>
              <w:rPr>
                <w:sz w:val="20"/>
                <w:szCs w:val="20"/>
                <w:color w:val="auto"/>
              </w:rPr>
            </w:pPr>
          </w:p>
        </w:tc>
        <w:tc>
          <w:tcPr>
            <w:tcW w:w="1020" w:type="dxa"/>
            <w:vAlign w:val="bottom"/>
          </w:tcPr>
          <w:p>
            <w:pPr>
              <w:jc w:val="right"/>
              <w:ind w:right="10"/>
              <w:spacing w:after="0"/>
              <w:rPr>
                <w:sz w:val="20"/>
                <w:szCs w:val="20"/>
                <w:color w:val="auto"/>
              </w:rPr>
            </w:pPr>
            <w:r>
              <w:rPr>
                <w:rFonts w:ascii="Arial" w:cs="Arial" w:eastAsia="Arial" w:hAnsi="Arial"/>
                <w:sz w:val="18"/>
                <w:szCs w:val="18"/>
                <w:color w:val="auto"/>
              </w:rPr>
              <w:t>9.5</w:t>
            </w:r>
          </w:p>
        </w:tc>
        <w:tc>
          <w:tcPr>
            <w:tcW w:w="0" w:type="dxa"/>
            <w:vAlign w:val="bottom"/>
          </w:tcPr>
          <w:p>
            <w:pPr>
              <w:spacing w:after="0"/>
              <w:rPr>
                <w:sz w:val="1"/>
                <w:szCs w:val="1"/>
                <w:color w:val="auto"/>
              </w:rPr>
            </w:pPr>
          </w:p>
        </w:tc>
      </w:tr>
      <w:tr>
        <w:trPr>
          <w:trHeight w:val="202"/>
        </w:trPr>
        <w:tc>
          <w:tcPr>
            <w:tcW w:w="866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w w:val="97"/>
              </w:rPr>
              <w:t>Variable-rate State of Ohio Pollution Control Revenue Refunding Bonds, maturing on June 1, 2033 (0.15% as of</w:t>
            </w:r>
          </w:p>
        </w:tc>
        <w:tc>
          <w:tcPr>
            <w:tcW w:w="920" w:type="dxa"/>
            <w:vAlign w:val="bottom"/>
            <w:shd w:val="clear" w:color="auto" w:fill="CCEEFF"/>
          </w:tcPr>
          <w:p>
            <w:pPr>
              <w:spacing w:after="0"/>
              <w:rPr>
                <w:sz w:val="17"/>
                <w:szCs w:val="17"/>
                <w:color w:val="auto"/>
              </w:rPr>
            </w:pPr>
          </w:p>
        </w:tc>
        <w:tc>
          <w:tcPr>
            <w:tcW w:w="460" w:type="dxa"/>
            <w:vAlign w:val="bottom"/>
            <w:vMerge w:val="restart"/>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8.5</w:t>
            </w:r>
          </w:p>
        </w:tc>
        <w:tc>
          <w:tcPr>
            <w:tcW w:w="360" w:type="dxa"/>
            <w:vAlign w:val="bottom"/>
            <w:shd w:val="clear" w:color="auto" w:fill="CCEEFF"/>
          </w:tcPr>
          <w:p>
            <w:pPr>
              <w:spacing w:after="0"/>
              <w:rPr>
                <w:sz w:val="17"/>
                <w:szCs w:val="17"/>
                <w:color w:val="auto"/>
              </w:rPr>
            </w:pPr>
          </w:p>
        </w:tc>
        <w:tc>
          <w:tcPr>
            <w:tcW w:w="102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8660" w:type="dxa"/>
            <w:vAlign w:val="bottom"/>
            <w:tcBorders>
              <w:bottom w:val="single" w:sz="8" w:color="auto"/>
            </w:tcBorders>
            <w:shd w:val="clear" w:color="auto" w:fill="CCEEFF"/>
          </w:tcPr>
          <w:p>
            <w:pPr>
              <w:ind w:left="180"/>
              <w:spacing w:after="0"/>
              <w:rPr>
                <w:sz w:val="20"/>
                <w:szCs w:val="20"/>
                <w:color w:val="auto"/>
              </w:rPr>
            </w:pPr>
            <w:r>
              <w:rPr>
                <w:rFonts w:ascii="Arial" w:cs="Arial" w:eastAsia="Arial" w:hAnsi="Arial"/>
                <w:sz w:val="18"/>
                <w:szCs w:val="18"/>
                <w:color w:val="auto"/>
              </w:rPr>
              <w:t>December 31, 2013)</w:t>
            </w:r>
          </w:p>
        </w:tc>
        <w:tc>
          <w:tcPr>
            <w:tcW w:w="920" w:type="dxa"/>
            <w:vAlign w:val="bottom"/>
            <w:tcBorders>
              <w:bottom w:val="single" w:sz="8" w:color="auto"/>
            </w:tcBorders>
            <w:shd w:val="clear" w:color="auto" w:fill="CCEEFF"/>
          </w:tcPr>
          <w:p>
            <w:pPr>
              <w:spacing w:after="0"/>
              <w:rPr>
                <w:sz w:val="20"/>
                <w:szCs w:val="20"/>
                <w:color w:val="auto"/>
              </w:rPr>
            </w:pPr>
          </w:p>
        </w:tc>
        <w:tc>
          <w:tcPr>
            <w:tcW w:w="460" w:type="dxa"/>
            <w:vAlign w:val="bottom"/>
            <w:tcBorders>
              <w:bottom w:val="single" w:sz="8" w:color="auto"/>
            </w:tcBorders>
            <w:vMerge w:val="continue"/>
            <w:shd w:val="clear" w:color="auto" w:fill="CCEEFF"/>
          </w:tcPr>
          <w:p>
            <w:pPr>
              <w:spacing w:after="0"/>
              <w:rPr>
                <w:sz w:val="20"/>
                <w:szCs w:val="20"/>
                <w:color w:val="auto"/>
              </w:rPr>
            </w:pPr>
          </w:p>
        </w:tc>
        <w:tc>
          <w:tcPr>
            <w:tcW w:w="360" w:type="dxa"/>
            <w:vAlign w:val="bottom"/>
            <w:tcBorders>
              <w:bottom w:val="single" w:sz="8" w:color="auto"/>
            </w:tcBorders>
            <w:shd w:val="clear" w:color="auto" w:fill="CCEEFF"/>
          </w:tcPr>
          <w:p>
            <w:pPr>
              <w:spacing w:after="0"/>
              <w:rPr>
                <w:sz w:val="20"/>
                <w:szCs w:val="20"/>
                <w:color w:val="auto"/>
              </w:rPr>
            </w:pPr>
          </w:p>
        </w:tc>
        <w:tc>
          <w:tcPr>
            <w:tcW w:w="10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8.5</w:t>
            </w:r>
          </w:p>
        </w:tc>
        <w:tc>
          <w:tcPr>
            <w:tcW w:w="0" w:type="dxa"/>
            <w:vAlign w:val="bottom"/>
          </w:tcPr>
          <w:p>
            <w:pPr>
              <w:spacing w:after="0"/>
              <w:rPr>
                <w:sz w:val="1"/>
                <w:szCs w:val="1"/>
                <w:color w:val="auto"/>
              </w:rPr>
            </w:pPr>
          </w:p>
        </w:tc>
      </w:tr>
      <w:tr>
        <w:trPr>
          <w:trHeight w:val="217"/>
        </w:trPr>
        <w:tc>
          <w:tcPr>
            <w:tcW w:w="8660" w:type="dxa"/>
            <w:vAlign w:val="bottom"/>
            <w:tcBorders>
              <w:bottom w:val="single" w:sz="8" w:color="auto"/>
            </w:tcBorders>
          </w:tcPr>
          <w:p>
            <w:pPr>
              <w:ind w:left="180"/>
              <w:spacing w:after="0"/>
              <w:rPr>
                <w:sz w:val="20"/>
                <w:szCs w:val="20"/>
                <w:color w:val="auto"/>
              </w:rPr>
            </w:pPr>
            <w:r>
              <w:rPr>
                <w:rFonts w:ascii="Arial" w:cs="Arial" w:eastAsia="Arial" w:hAnsi="Arial"/>
                <w:sz w:val="18"/>
                <w:szCs w:val="18"/>
                <w:color w:val="auto"/>
              </w:rPr>
              <w:t>Total long-term debt</w:t>
            </w:r>
          </w:p>
        </w:tc>
        <w:tc>
          <w:tcPr>
            <w:tcW w:w="920" w:type="dxa"/>
            <w:vAlign w:val="bottom"/>
            <w:tcBorders>
              <w:bottom w:val="single" w:sz="8" w:color="auto"/>
            </w:tcBorders>
          </w:tcPr>
          <w:p>
            <w:pPr>
              <w:jc w:val="right"/>
              <w:ind w:right="630"/>
              <w:spacing w:after="0"/>
              <w:rPr>
                <w:sz w:val="20"/>
                <w:szCs w:val="20"/>
                <w:color w:val="auto"/>
              </w:rPr>
            </w:pPr>
            <w:r>
              <w:rPr>
                <w:rFonts w:ascii="Arial" w:cs="Arial" w:eastAsia="Arial" w:hAnsi="Arial"/>
                <w:sz w:val="18"/>
                <w:szCs w:val="18"/>
                <w:b w:val="1"/>
                <w:bCs w:val="1"/>
                <w:color w:val="auto"/>
              </w:rPr>
              <w:t>$</w:t>
            </w:r>
          </w:p>
        </w:tc>
        <w:tc>
          <w:tcPr>
            <w:tcW w:w="46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b w:val="1"/>
                <w:bCs w:val="1"/>
                <w:color w:val="auto"/>
                <w:w w:val="96"/>
              </w:rPr>
              <w:t>30.2</w:t>
            </w:r>
          </w:p>
        </w:tc>
        <w:tc>
          <w:tcPr>
            <w:tcW w:w="36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color w:val="auto"/>
              </w:rPr>
              <w:t>$</w:t>
            </w:r>
          </w:p>
        </w:tc>
        <w:tc>
          <w:tcPr>
            <w:tcW w:w="102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30.2</w:t>
            </w:r>
          </w:p>
        </w:tc>
        <w:tc>
          <w:tcPr>
            <w:tcW w:w="0" w:type="dxa"/>
            <w:vAlign w:val="bottom"/>
          </w:tcPr>
          <w:p>
            <w:pPr>
              <w:spacing w:after="0"/>
              <w:rPr>
                <w:sz w:val="1"/>
                <w:szCs w:val="1"/>
                <w:color w:val="auto"/>
              </w:rPr>
            </w:pPr>
          </w:p>
        </w:tc>
      </w:tr>
    </w:tbl>
    <w:p>
      <w:pPr>
        <w:spacing w:after="0" w:line="202" w:lineRule="exact"/>
        <w:rPr>
          <w:sz w:val="20"/>
          <w:szCs w:val="20"/>
          <w:color w:val="auto"/>
        </w:rPr>
      </w:pPr>
    </w:p>
    <w:p>
      <w:pPr>
        <w:ind w:left="920"/>
        <w:spacing w:after="0"/>
        <w:rPr>
          <w:sz w:val="20"/>
          <w:szCs w:val="20"/>
          <w:color w:val="auto"/>
        </w:rPr>
      </w:pPr>
      <w:r>
        <w:rPr>
          <w:rFonts w:ascii="Arial" w:cs="Arial" w:eastAsia="Arial" w:hAnsi="Arial"/>
          <w:sz w:val="18"/>
          <w:szCs w:val="18"/>
          <w:color w:val="auto"/>
        </w:rPr>
        <w:t>No portion of long-term debt attributable to TimkenSteel is due within the five years subsequent to December 31, 2013.</w:t>
      </w:r>
    </w:p>
    <w:p>
      <w:pPr>
        <w:spacing w:after="0" w:line="225" w:lineRule="exact"/>
        <w:rPr>
          <w:sz w:val="20"/>
          <w:szCs w:val="20"/>
          <w:color w:val="auto"/>
        </w:rPr>
      </w:pPr>
    </w:p>
    <w:p>
      <w:pPr>
        <w:ind w:left="920"/>
        <w:spacing w:after="0"/>
        <w:rPr>
          <w:sz w:val="20"/>
          <w:szCs w:val="20"/>
          <w:color w:val="auto"/>
        </w:rPr>
      </w:pPr>
      <w:r>
        <w:rPr>
          <w:rFonts w:ascii="Arial" w:cs="Arial" w:eastAsia="Arial" w:hAnsi="Arial"/>
          <w:sz w:val="16"/>
          <w:szCs w:val="16"/>
          <w:color w:val="auto"/>
        </w:rPr>
        <w:t>All of TimkenSteel’s long-term debt is variable-rate debt, and, as a result, the carrying value of this debt is a reasonable estimate of fair value.</w:t>
      </w:r>
    </w:p>
    <w:p>
      <w:pPr>
        <w:spacing w:after="0" w:line="248" w:lineRule="exact"/>
        <w:rPr>
          <w:sz w:val="20"/>
          <w:szCs w:val="20"/>
          <w:color w:val="auto"/>
        </w:rPr>
      </w:pPr>
    </w:p>
    <w:p>
      <w:pPr>
        <w:ind w:right="260" w:firstLine="913"/>
        <w:spacing w:after="0" w:line="259" w:lineRule="auto"/>
        <w:rPr>
          <w:sz w:val="20"/>
          <w:szCs w:val="20"/>
          <w:color w:val="auto"/>
        </w:rPr>
      </w:pPr>
      <w:r>
        <w:rPr>
          <w:rFonts w:ascii="Arial" w:cs="Arial" w:eastAsia="Arial" w:hAnsi="Arial"/>
          <w:sz w:val="18"/>
          <w:szCs w:val="18"/>
          <w:color w:val="auto"/>
        </w:rPr>
        <w:t>TimkenSteel leases a variety of real property and equipment. Rent expense under operating leases amounted to $8.4 million, $8.2 million and $7.4 million in 2013, 2012 and 2011, respectively. As of December 31, 2013, future minimum lease payments for noncancelable operating leases totaled $14.7 million and are payable as follows: 2014-$5.3 million; 2015-$4.1 million; 2016-$3.2 million; 2017-$1.8 million and 2018-$0.3 million. TimkenSteel has no significant lease commitments after 2018.</w:t>
      </w:r>
    </w:p>
    <w:p>
      <w:pPr>
        <w:spacing w:after="0" w:line="187" w:lineRule="exact"/>
        <w:rPr>
          <w:sz w:val="20"/>
          <w:szCs w:val="20"/>
          <w:color w:val="auto"/>
        </w:rPr>
      </w:pPr>
    </w:p>
    <w:p>
      <w:pPr>
        <w:ind w:right="320" w:firstLine="913"/>
        <w:spacing w:after="0" w:line="342" w:lineRule="auto"/>
        <w:rPr>
          <w:sz w:val="20"/>
          <w:szCs w:val="20"/>
          <w:color w:val="auto"/>
        </w:rPr>
      </w:pPr>
      <w:r>
        <w:rPr>
          <w:rFonts w:ascii="Arial" w:cs="Arial" w:eastAsia="Arial" w:hAnsi="Arial"/>
          <w:sz w:val="16"/>
          <w:szCs w:val="16"/>
          <w:color w:val="auto"/>
        </w:rPr>
        <w:t>Interest paid was approximately $0.1 million, $0.1 million and $0.2 million in 2013, 2012 and 2011, respectively. This differs from interest expense due to the amortization of deferred financing costs and letter of credit fees of $0.1 million in 2013, $0.2 million in 2012 and $0.4 million in 2011.</w:t>
      </w:r>
    </w:p>
    <w:p>
      <w:pPr>
        <w:spacing w:after="0" w:line="5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F-13</w:t>
      </w:r>
    </w:p>
    <w:p>
      <w:pPr>
        <w:sectPr>
          <w:pgSz w:w="11900" w:h="16838" w:orient="portrait"/>
          <w:cols w:equalWidth="0" w:num="1">
            <w:col w:w="11420"/>
          </w:cols>
          <w:pgMar w:left="240" w:top="459" w:right="239" w:bottom="1440" w:gutter="0" w:footer="0" w:header="0"/>
        </w:sectPr>
      </w:pPr>
    </w:p>
    <w:bookmarkStart w:id="120" w:name="page121"/>
    <w:bookmarkEnd w:id="12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48">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292" w:lineRule="exact"/>
        <w:rPr>
          <w:sz w:val="20"/>
          <w:szCs w:val="20"/>
          <w:color w:val="auto"/>
        </w:rPr>
      </w:pPr>
    </w:p>
    <w:p>
      <w:pPr>
        <w:spacing w:after="0"/>
        <w:rPr>
          <w:sz w:val="20"/>
          <w:szCs w:val="20"/>
          <w:color w:val="auto"/>
        </w:rPr>
      </w:pPr>
      <w:r>
        <w:rPr>
          <w:rFonts w:ascii="Arial" w:cs="Arial" w:eastAsia="Arial" w:hAnsi="Arial"/>
          <w:sz w:val="23"/>
          <w:szCs w:val="23"/>
          <w:b w:val="1"/>
          <w:bCs w:val="1"/>
          <w:color w:val="auto"/>
        </w:rPr>
        <w:t>Note 8 - Contingencies</w:t>
      </w:r>
    </w:p>
    <w:p>
      <w:pPr>
        <w:spacing w:after="0" w:line="239" w:lineRule="exact"/>
        <w:rPr>
          <w:sz w:val="20"/>
          <w:szCs w:val="20"/>
          <w:color w:val="auto"/>
        </w:rPr>
      </w:pPr>
    </w:p>
    <w:p>
      <w:pPr>
        <w:ind w:firstLine="913"/>
        <w:spacing w:after="0" w:line="257" w:lineRule="auto"/>
        <w:rPr>
          <w:sz w:val="20"/>
          <w:szCs w:val="20"/>
          <w:color w:val="auto"/>
        </w:rPr>
      </w:pPr>
      <w:r>
        <w:rPr>
          <w:rFonts w:ascii="Arial" w:cs="Arial" w:eastAsia="Arial" w:hAnsi="Arial"/>
          <w:sz w:val="18"/>
          <w:szCs w:val="18"/>
          <w:color w:val="auto"/>
        </w:rPr>
        <w:t>TimkenSteel is subject to various lawsuits, claims and proceedings that arise in the ordinary course of its business. TimkenSteel accrues costs associated with legal and non-income tax matters when they become probable and reasonably estimable. Accruals are established based on the estimated undiscounted cash flows to settle the obligations and are not reduced by any potential recoveries from insurance or other indemnification claims. Management believes that any ultimate liability with respect to these actions, in excess of amounts provided, will not materially affect the Audited Consolidated Financial Statements of TimkenSteel.</w:t>
      </w:r>
    </w:p>
    <w:p>
      <w:pPr>
        <w:spacing w:after="0" w:line="29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Product Warranties:</w:t>
      </w:r>
    </w:p>
    <w:p>
      <w:pPr>
        <w:spacing w:after="0" w:line="225" w:lineRule="exact"/>
        <w:rPr>
          <w:sz w:val="20"/>
          <w:szCs w:val="20"/>
          <w:color w:val="auto"/>
        </w:rPr>
      </w:pPr>
    </w:p>
    <w:p>
      <w:pPr>
        <w:ind w:right="300" w:firstLine="913"/>
        <w:spacing w:after="0" w:line="259" w:lineRule="auto"/>
        <w:rPr>
          <w:sz w:val="20"/>
          <w:szCs w:val="20"/>
          <w:color w:val="auto"/>
        </w:rPr>
      </w:pPr>
      <w:r>
        <w:rPr>
          <w:rFonts w:ascii="Arial" w:cs="Arial" w:eastAsia="Arial" w:hAnsi="Arial"/>
          <w:sz w:val="18"/>
          <w:szCs w:val="18"/>
          <w:color w:val="auto"/>
        </w:rPr>
        <w:t>TimkenSteel accrues liabilities for warranties based upon specific claim incidents in accordance with accounting rules relating to contingent liabilities. TimkenSteel accrued warranty expenses of $0.1 million, $0.2 million and $0.5 million during 2013, 2012 and 2011, respectively, related to individual product warranty claims. Final resolution of an individual claim was reached in December 2012 with a settlement payment of $2.8 million. The following is a roll-forward of the warranty reserve for 2013 and 2012:</w:t>
      </w:r>
    </w:p>
    <w:p>
      <w:pPr>
        <w:spacing w:after="0" w:line="210"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460" w:type="dxa"/>
            <w:vAlign w:val="bottom"/>
            <w:tcBorders>
              <w:bottom w:val="single" w:sz="8" w:color="auto"/>
            </w:tcBorders>
          </w:tcPr>
          <w:p>
            <w:pPr>
              <w:spacing w:after="0"/>
              <w:rPr>
                <w:sz w:val="20"/>
                <w:szCs w:val="20"/>
                <w:color w:val="auto"/>
              </w:rPr>
            </w:pPr>
          </w:p>
        </w:tc>
        <w:tc>
          <w:tcPr>
            <w:tcW w:w="416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b w:val="1"/>
                <w:bCs w:val="1"/>
                <w:color w:val="auto"/>
              </w:rPr>
              <w:t>2013</w:t>
            </w:r>
          </w:p>
        </w:tc>
        <w:tc>
          <w:tcPr>
            <w:tcW w:w="420" w:type="dxa"/>
            <w:vAlign w:val="bottom"/>
            <w:tcBorders>
              <w:bottom w:val="single" w:sz="8" w:color="auto"/>
            </w:tcBorders>
          </w:tcPr>
          <w:p>
            <w:pPr>
              <w:spacing w:after="0"/>
              <w:rPr>
                <w:sz w:val="20"/>
                <w:szCs w:val="20"/>
                <w:color w:val="auto"/>
              </w:rPr>
            </w:pPr>
          </w:p>
        </w:tc>
        <w:tc>
          <w:tcPr>
            <w:tcW w:w="340" w:type="dxa"/>
            <w:vAlign w:val="bottom"/>
            <w:tcBorders>
              <w:bottom w:val="single" w:sz="8" w:color="auto"/>
            </w:tcBorders>
          </w:tcPr>
          <w:p>
            <w:pPr>
              <w:spacing w:after="0"/>
              <w:rPr>
                <w:sz w:val="20"/>
                <w:szCs w:val="20"/>
                <w:color w:val="auto"/>
              </w:rPr>
            </w:pPr>
          </w:p>
        </w:tc>
        <w:tc>
          <w:tcPr>
            <w:tcW w:w="1040" w:type="dxa"/>
            <w:vAlign w:val="bottom"/>
            <w:tcBorders>
              <w:bottom w:val="single" w:sz="8" w:color="auto"/>
            </w:tcBorders>
          </w:tcPr>
          <w:p>
            <w:pPr>
              <w:jc w:val="right"/>
              <w:ind w:right="430"/>
              <w:spacing w:after="0"/>
              <w:rPr>
                <w:sz w:val="20"/>
                <w:szCs w:val="20"/>
                <w:color w:val="auto"/>
              </w:rPr>
            </w:pPr>
            <w:r>
              <w:rPr>
                <w:rFonts w:ascii="Arial" w:cs="Arial" w:eastAsia="Arial" w:hAnsi="Arial"/>
                <w:sz w:val="18"/>
                <w:szCs w:val="18"/>
                <w:color w:val="auto"/>
              </w:rPr>
              <w:t>2012</w:t>
            </w:r>
          </w:p>
        </w:tc>
      </w:tr>
      <w:tr>
        <w:trPr>
          <w:trHeight w:val="210"/>
        </w:trPr>
        <w:tc>
          <w:tcPr>
            <w:tcW w:w="5460" w:type="dxa"/>
            <w:vAlign w:val="bottom"/>
            <w:shd w:val="clear" w:color="auto" w:fill="CCEEFF"/>
          </w:tcPr>
          <w:p>
            <w:pPr>
              <w:spacing w:after="0"/>
              <w:rPr>
                <w:sz w:val="20"/>
                <w:szCs w:val="20"/>
                <w:color w:val="auto"/>
              </w:rPr>
            </w:pPr>
            <w:r>
              <w:rPr>
                <w:rFonts w:ascii="Arial" w:cs="Arial" w:eastAsia="Arial" w:hAnsi="Arial"/>
                <w:sz w:val="18"/>
                <w:szCs w:val="18"/>
                <w:color w:val="auto"/>
              </w:rPr>
              <w:t>Beginning balance, January 1</w:t>
            </w:r>
          </w:p>
        </w:tc>
        <w:tc>
          <w:tcPr>
            <w:tcW w:w="4160" w:type="dxa"/>
            <w:vAlign w:val="bottom"/>
            <w:shd w:val="clear" w:color="auto" w:fill="CCEEFF"/>
          </w:tcPr>
          <w:p>
            <w:pPr>
              <w:jc w:val="right"/>
              <w:ind w:right="690"/>
              <w:spacing w:after="0"/>
              <w:rPr>
                <w:sz w:val="20"/>
                <w:szCs w:val="20"/>
                <w:color w:val="auto"/>
              </w:rPr>
            </w:pPr>
            <w:r>
              <w:rPr>
                <w:rFonts w:ascii="Arial" w:cs="Arial" w:eastAsia="Arial" w:hAnsi="Arial"/>
                <w:sz w:val="18"/>
                <w:szCs w:val="18"/>
                <w:b w:val="1"/>
                <w:bCs w:val="1"/>
                <w:color w:val="auto"/>
              </w:rPr>
              <w:t>$</w:t>
            </w:r>
          </w:p>
        </w:tc>
        <w:tc>
          <w:tcPr>
            <w:tcW w:w="420" w:type="dxa"/>
            <w:vAlign w:val="bottom"/>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w:t>
            </w:r>
          </w:p>
        </w:tc>
        <w:tc>
          <w:tcPr>
            <w:tcW w:w="34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104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2.6</w:t>
            </w:r>
          </w:p>
        </w:tc>
      </w:tr>
      <w:tr>
        <w:trPr>
          <w:trHeight w:val="216"/>
        </w:trPr>
        <w:tc>
          <w:tcPr>
            <w:tcW w:w="5460" w:type="dxa"/>
            <w:vAlign w:val="bottom"/>
          </w:tcPr>
          <w:p>
            <w:pPr>
              <w:spacing w:after="0"/>
              <w:rPr>
                <w:sz w:val="20"/>
                <w:szCs w:val="20"/>
                <w:color w:val="auto"/>
              </w:rPr>
            </w:pPr>
            <w:r>
              <w:rPr>
                <w:rFonts w:ascii="Arial" w:cs="Arial" w:eastAsia="Arial" w:hAnsi="Arial"/>
                <w:sz w:val="18"/>
                <w:szCs w:val="18"/>
                <w:color w:val="auto"/>
              </w:rPr>
              <w:t>Expense</w:t>
            </w:r>
          </w:p>
        </w:tc>
        <w:tc>
          <w:tcPr>
            <w:tcW w:w="4160" w:type="dxa"/>
            <w:vAlign w:val="bottom"/>
          </w:tcPr>
          <w:p>
            <w:pPr>
              <w:spacing w:after="0"/>
              <w:rPr>
                <w:sz w:val="18"/>
                <w:szCs w:val="18"/>
                <w:color w:val="auto"/>
              </w:rPr>
            </w:pPr>
          </w:p>
        </w:tc>
        <w:tc>
          <w:tcPr>
            <w:tcW w:w="420" w:type="dxa"/>
            <w:vAlign w:val="bottom"/>
          </w:tcPr>
          <w:p>
            <w:pPr>
              <w:jc w:val="right"/>
              <w:ind w:right="10"/>
              <w:spacing w:after="0"/>
              <w:rPr>
                <w:sz w:val="20"/>
                <w:szCs w:val="20"/>
                <w:color w:val="auto"/>
              </w:rPr>
            </w:pPr>
            <w:r>
              <w:rPr>
                <w:rFonts w:ascii="Arial" w:cs="Arial" w:eastAsia="Arial" w:hAnsi="Arial"/>
                <w:sz w:val="18"/>
                <w:szCs w:val="18"/>
                <w:b w:val="1"/>
                <w:bCs w:val="1"/>
                <w:color w:val="auto"/>
              </w:rPr>
              <w:t>0.1</w:t>
            </w:r>
          </w:p>
        </w:tc>
        <w:tc>
          <w:tcPr>
            <w:tcW w:w="340" w:type="dxa"/>
            <w:vAlign w:val="bottom"/>
          </w:tcPr>
          <w:p>
            <w:pPr>
              <w:spacing w:after="0"/>
              <w:rPr>
                <w:sz w:val="18"/>
                <w:szCs w:val="18"/>
                <w:color w:val="auto"/>
              </w:rPr>
            </w:pPr>
          </w:p>
        </w:tc>
        <w:tc>
          <w:tcPr>
            <w:tcW w:w="1040" w:type="dxa"/>
            <w:vAlign w:val="bottom"/>
          </w:tcPr>
          <w:p>
            <w:pPr>
              <w:jc w:val="right"/>
              <w:ind w:right="10"/>
              <w:spacing w:after="0"/>
              <w:rPr>
                <w:sz w:val="20"/>
                <w:szCs w:val="20"/>
                <w:color w:val="auto"/>
              </w:rPr>
            </w:pPr>
            <w:r>
              <w:rPr>
                <w:rFonts w:ascii="Arial" w:cs="Arial" w:eastAsia="Arial" w:hAnsi="Arial"/>
                <w:sz w:val="18"/>
                <w:szCs w:val="18"/>
                <w:color w:val="auto"/>
              </w:rPr>
              <w:t>0.2</w:t>
            </w:r>
          </w:p>
        </w:tc>
      </w:tr>
      <w:tr>
        <w:trPr>
          <w:trHeight w:val="216"/>
        </w:trPr>
        <w:tc>
          <w:tcPr>
            <w:tcW w:w="546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color w:val="auto"/>
              </w:rPr>
              <w:t>Payments</w:t>
            </w:r>
          </w:p>
        </w:tc>
        <w:tc>
          <w:tcPr>
            <w:tcW w:w="4160" w:type="dxa"/>
            <w:vAlign w:val="bottom"/>
            <w:tcBorders>
              <w:bottom w:val="single" w:sz="8" w:color="auto"/>
            </w:tcBorders>
            <w:shd w:val="clear" w:color="auto" w:fill="CCEEFF"/>
          </w:tcPr>
          <w:p>
            <w:pPr>
              <w:spacing w:after="0"/>
              <w:rPr>
                <w:sz w:val="18"/>
                <w:szCs w:val="18"/>
                <w:color w:val="auto"/>
              </w:rPr>
            </w:pPr>
          </w:p>
        </w:tc>
        <w:tc>
          <w:tcPr>
            <w:tcW w:w="4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w:t>
            </w:r>
          </w:p>
        </w:tc>
        <w:tc>
          <w:tcPr>
            <w:tcW w:w="340" w:type="dxa"/>
            <w:vAlign w:val="bottom"/>
            <w:tcBorders>
              <w:bottom w:val="single" w:sz="8" w:color="auto"/>
            </w:tcBorders>
            <w:shd w:val="clear" w:color="auto" w:fill="CCEEFF"/>
          </w:tcPr>
          <w:p>
            <w:pPr>
              <w:spacing w:after="0"/>
              <w:rPr>
                <w:sz w:val="18"/>
                <w:szCs w:val="18"/>
                <w:color w:val="auto"/>
              </w:rPr>
            </w:pP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(2.8)</w:t>
            </w:r>
          </w:p>
        </w:tc>
      </w:tr>
      <w:tr>
        <w:trPr>
          <w:trHeight w:val="217"/>
        </w:trPr>
        <w:tc>
          <w:tcPr>
            <w:tcW w:w="546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Ending balance, December 31</w:t>
            </w:r>
          </w:p>
        </w:tc>
        <w:tc>
          <w:tcPr>
            <w:tcW w:w="4160" w:type="dxa"/>
            <w:vAlign w:val="bottom"/>
            <w:tcBorders>
              <w:bottom w:val="single" w:sz="8" w:color="auto"/>
            </w:tcBorders>
          </w:tcPr>
          <w:p>
            <w:pPr>
              <w:jc w:val="right"/>
              <w:ind w:right="690"/>
              <w:spacing w:after="0"/>
              <w:rPr>
                <w:sz w:val="20"/>
                <w:szCs w:val="20"/>
                <w:color w:val="auto"/>
              </w:rPr>
            </w:pPr>
            <w:r>
              <w:rPr>
                <w:rFonts w:ascii="Arial" w:cs="Arial" w:eastAsia="Arial" w:hAnsi="Arial"/>
                <w:sz w:val="18"/>
                <w:szCs w:val="18"/>
                <w:b w:val="1"/>
                <w:bCs w:val="1"/>
                <w:color w:val="auto"/>
              </w:rPr>
              <w:t>$</w:t>
            </w:r>
          </w:p>
        </w:tc>
        <w:tc>
          <w:tcPr>
            <w:tcW w:w="42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b w:val="1"/>
                <w:bCs w:val="1"/>
                <w:color w:val="auto"/>
              </w:rPr>
              <w:t>0.1</w:t>
            </w:r>
          </w:p>
        </w:tc>
        <w:tc>
          <w:tcPr>
            <w:tcW w:w="34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color w:val="auto"/>
              </w:rPr>
              <w:t>$</w:t>
            </w:r>
          </w:p>
        </w:tc>
        <w:tc>
          <w:tcPr>
            <w:tcW w:w="104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w:t>
            </w:r>
          </w:p>
        </w:tc>
      </w:tr>
    </w:tbl>
    <w:p>
      <w:pPr>
        <w:spacing w:after="0" w:line="400" w:lineRule="exact"/>
        <w:rPr>
          <w:sz w:val="20"/>
          <w:szCs w:val="20"/>
          <w:color w:val="auto"/>
        </w:rPr>
      </w:pPr>
    </w:p>
    <w:p>
      <w:pPr>
        <w:spacing w:after="0"/>
        <w:rPr>
          <w:sz w:val="20"/>
          <w:szCs w:val="20"/>
          <w:color w:val="auto"/>
        </w:rPr>
      </w:pPr>
      <w:r>
        <w:rPr>
          <w:rFonts w:ascii="Arial" w:cs="Arial" w:eastAsia="Arial" w:hAnsi="Arial"/>
          <w:sz w:val="23"/>
          <w:szCs w:val="23"/>
          <w:b w:val="1"/>
          <w:bCs w:val="1"/>
          <w:color w:val="auto"/>
        </w:rPr>
        <w:t>Note 9 - Stock Compensation Plans</w:t>
      </w:r>
    </w:p>
    <w:p>
      <w:pPr>
        <w:spacing w:after="0" w:line="239" w:lineRule="exact"/>
        <w:rPr>
          <w:sz w:val="20"/>
          <w:szCs w:val="20"/>
          <w:color w:val="auto"/>
        </w:rPr>
      </w:pPr>
    </w:p>
    <w:p>
      <w:pPr>
        <w:ind w:right="40" w:firstLine="913"/>
        <w:spacing w:after="0" w:line="276" w:lineRule="auto"/>
        <w:rPr>
          <w:sz w:val="20"/>
          <w:szCs w:val="20"/>
          <w:color w:val="auto"/>
        </w:rPr>
      </w:pPr>
      <w:r>
        <w:rPr>
          <w:rFonts w:ascii="Arial" w:cs="Arial" w:eastAsia="Arial" w:hAnsi="Arial"/>
          <w:sz w:val="17"/>
          <w:szCs w:val="17"/>
          <w:color w:val="auto"/>
        </w:rPr>
        <w:t>Under Timken’s long-term incentive plan, Timken common shares have been made available for grant, at the discretion of the Compensation Committee of Timken’s Board of Directors, to officers and key employees of TimkenSteel in the form of stock option awards. Stock option awards typically have a ten-year term and generally vest in 25% increments annually beginning on the first anniversary of the date of grant. In addition to stock option awards, Timken has granted restricted shares under the long-term incentive plan. Restricted shares generally vest in 25% increments annually beginning on the first year anniversary of the date of grant and are expensed over the vesting period.</w:t>
      </w:r>
    </w:p>
    <w:p>
      <w:pPr>
        <w:spacing w:after="0" w:line="173" w:lineRule="exact"/>
        <w:rPr>
          <w:sz w:val="20"/>
          <w:szCs w:val="20"/>
          <w:color w:val="auto"/>
        </w:rPr>
      </w:pPr>
    </w:p>
    <w:p>
      <w:pPr>
        <w:ind w:right="540" w:firstLine="913"/>
        <w:spacing w:after="0" w:line="277" w:lineRule="auto"/>
        <w:rPr>
          <w:sz w:val="20"/>
          <w:szCs w:val="20"/>
          <w:color w:val="auto"/>
        </w:rPr>
      </w:pPr>
      <w:r>
        <w:rPr>
          <w:rFonts w:ascii="Arial" w:cs="Arial" w:eastAsia="Arial" w:hAnsi="Arial"/>
          <w:sz w:val="18"/>
          <w:szCs w:val="18"/>
          <w:color w:val="auto"/>
        </w:rPr>
        <w:t>The fair value of stock option awards granted during 2013, 2012 and 2011 was estimated at the date of grant using a Black-Scholes option pricing method with the following assumptions:</w:t>
      </w:r>
    </w:p>
    <w:p>
      <w:pPr>
        <w:spacing w:after="0" w:line="193"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300" w:type="dxa"/>
            <w:vAlign w:val="bottom"/>
            <w:tcBorders>
              <w:bottom w:val="single" w:sz="8" w:color="auto"/>
            </w:tcBorders>
          </w:tcPr>
          <w:p>
            <w:pPr>
              <w:spacing w:after="0"/>
              <w:rPr>
                <w:sz w:val="20"/>
                <w:szCs w:val="20"/>
                <w:color w:val="auto"/>
              </w:rPr>
            </w:pPr>
          </w:p>
        </w:tc>
        <w:tc>
          <w:tcPr>
            <w:tcW w:w="3440" w:type="dxa"/>
            <w:vAlign w:val="bottom"/>
            <w:tcBorders>
              <w:bottom w:val="single" w:sz="8" w:color="auto"/>
            </w:tcBorders>
          </w:tcPr>
          <w:p>
            <w:pPr>
              <w:jc w:val="center"/>
              <w:ind w:left="1990"/>
              <w:spacing w:after="0"/>
              <w:rPr>
                <w:sz w:val="20"/>
                <w:szCs w:val="20"/>
                <w:color w:val="auto"/>
              </w:rPr>
            </w:pPr>
            <w:r>
              <w:rPr>
                <w:rFonts w:ascii="Arial" w:cs="Arial" w:eastAsia="Arial" w:hAnsi="Arial"/>
                <w:sz w:val="18"/>
                <w:szCs w:val="18"/>
                <w:b w:val="1"/>
                <w:bCs w:val="1"/>
                <w:color w:val="auto"/>
                <w:w w:val="89"/>
              </w:rPr>
              <w:t>2013</w:t>
            </w:r>
          </w:p>
        </w:tc>
        <w:tc>
          <w:tcPr>
            <w:tcW w:w="136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89"/>
              </w:rPr>
              <w:t>2012</w:t>
            </w:r>
          </w:p>
        </w:tc>
        <w:tc>
          <w:tcPr>
            <w:tcW w:w="132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89"/>
              </w:rPr>
              <w:t>2011</w:t>
            </w:r>
          </w:p>
        </w:tc>
      </w:tr>
      <w:tr>
        <w:trPr>
          <w:trHeight w:val="210"/>
        </w:trPr>
        <w:tc>
          <w:tcPr>
            <w:tcW w:w="5300" w:type="dxa"/>
            <w:vAlign w:val="bottom"/>
            <w:shd w:val="clear" w:color="auto" w:fill="CCEEFF"/>
          </w:tcPr>
          <w:p>
            <w:pPr>
              <w:spacing w:after="0"/>
              <w:rPr>
                <w:sz w:val="20"/>
                <w:szCs w:val="20"/>
                <w:color w:val="auto"/>
              </w:rPr>
            </w:pPr>
            <w:r>
              <w:rPr>
                <w:rFonts w:ascii="Arial" w:cs="Arial" w:eastAsia="Arial" w:hAnsi="Arial"/>
                <w:sz w:val="18"/>
                <w:szCs w:val="18"/>
                <w:color w:val="auto"/>
              </w:rPr>
              <w:t>Weighted-average fair value per option</w:t>
            </w:r>
          </w:p>
        </w:tc>
        <w:tc>
          <w:tcPr>
            <w:tcW w:w="3440" w:type="dxa"/>
            <w:vAlign w:val="bottom"/>
            <w:shd w:val="clear" w:color="auto" w:fill="CCEEFF"/>
          </w:tcPr>
          <w:p>
            <w:pPr>
              <w:jc w:val="center"/>
              <w:ind w:left="1970"/>
              <w:spacing w:after="0"/>
              <w:rPr>
                <w:sz w:val="20"/>
                <w:szCs w:val="20"/>
                <w:color w:val="auto"/>
              </w:rPr>
            </w:pPr>
            <w:r>
              <w:rPr>
                <w:rFonts w:ascii="Arial" w:cs="Arial" w:eastAsia="Arial" w:hAnsi="Arial"/>
                <w:sz w:val="18"/>
                <w:szCs w:val="18"/>
                <w:b w:val="1"/>
                <w:bCs w:val="1"/>
                <w:color w:val="auto"/>
                <w:w w:val="90"/>
              </w:rPr>
              <w:t>$21.17</w:t>
            </w:r>
          </w:p>
        </w:tc>
        <w:tc>
          <w:tcPr>
            <w:tcW w:w="136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7"/>
              </w:rPr>
              <w:t>$20.16</w:t>
            </w:r>
          </w:p>
        </w:tc>
        <w:tc>
          <w:tcPr>
            <w:tcW w:w="132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0"/>
              </w:rPr>
              <w:t>$19.93</w:t>
            </w:r>
          </w:p>
        </w:tc>
      </w:tr>
      <w:tr>
        <w:trPr>
          <w:trHeight w:val="216"/>
        </w:trPr>
        <w:tc>
          <w:tcPr>
            <w:tcW w:w="5300" w:type="dxa"/>
            <w:vAlign w:val="bottom"/>
          </w:tcPr>
          <w:p>
            <w:pPr>
              <w:spacing w:after="0"/>
              <w:rPr>
                <w:sz w:val="20"/>
                <w:szCs w:val="20"/>
                <w:color w:val="auto"/>
              </w:rPr>
            </w:pPr>
            <w:r>
              <w:rPr>
                <w:rFonts w:ascii="Arial" w:cs="Arial" w:eastAsia="Arial" w:hAnsi="Arial"/>
                <w:sz w:val="18"/>
                <w:szCs w:val="18"/>
                <w:color w:val="auto"/>
              </w:rPr>
              <w:t>Risk-free interest rate</w:t>
            </w:r>
          </w:p>
        </w:tc>
        <w:tc>
          <w:tcPr>
            <w:tcW w:w="3440" w:type="dxa"/>
            <w:vAlign w:val="bottom"/>
          </w:tcPr>
          <w:p>
            <w:pPr>
              <w:jc w:val="center"/>
              <w:ind w:left="1970"/>
              <w:spacing w:after="0"/>
              <w:rPr>
                <w:sz w:val="20"/>
                <w:szCs w:val="20"/>
                <w:color w:val="auto"/>
              </w:rPr>
            </w:pPr>
            <w:r>
              <w:rPr>
                <w:rFonts w:ascii="Arial" w:cs="Arial" w:eastAsia="Arial" w:hAnsi="Arial"/>
                <w:sz w:val="18"/>
                <w:szCs w:val="18"/>
                <w:b w:val="1"/>
                <w:bCs w:val="1"/>
                <w:color w:val="auto"/>
                <w:w w:val="97"/>
              </w:rPr>
              <w:t>1.09%</w:t>
            </w:r>
          </w:p>
        </w:tc>
        <w:tc>
          <w:tcPr>
            <w:tcW w:w="1360" w:type="dxa"/>
            <w:vAlign w:val="bottom"/>
          </w:tcPr>
          <w:p>
            <w:pPr>
              <w:jc w:val="center"/>
              <w:spacing w:after="0"/>
              <w:rPr>
                <w:sz w:val="20"/>
                <w:szCs w:val="20"/>
                <w:color w:val="auto"/>
              </w:rPr>
            </w:pPr>
            <w:r>
              <w:rPr>
                <w:rFonts w:ascii="Arial" w:cs="Arial" w:eastAsia="Arial" w:hAnsi="Arial"/>
                <w:sz w:val="18"/>
                <w:szCs w:val="18"/>
                <w:color w:val="auto"/>
                <w:w w:val="93"/>
              </w:rPr>
              <w:t>1.15%</w:t>
            </w:r>
          </w:p>
        </w:tc>
        <w:tc>
          <w:tcPr>
            <w:tcW w:w="1320" w:type="dxa"/>
            <w:vAlign w:val="bottom"/>
          </w:tcPr>
          <w:p>
            <w:pPr>
              <w:jc w:val="center"/>
              <w:spacing w:after="0"/>
              <w:rPr>
                <w:sz w:val="20"/>
                <w:szCs w:val="20"/>
                <w:color w:val="auto"/>
              </w:rPr>
            </w:pPr>
            <w:r>
              <w:rPr>
                <w:rFonts w:ascii="Arial" w:cs="Arial" w:eastAsia="Arial" w:hAnsi="Arial"/>
                <w:sz w:val="18"/>
                <w:szCs w:val="18"/>
                <w:color w:val="auto"/>
                <w:w w:val="90"/>
              </w:rPr>
              <w:t>2.76%</w:t>
            </w:r>
          </w:p>
        </w:tc>
      </w:tr>
      <w:tr>
        <w:trPr>
          <w:trHeight w:val="216"/>
        </w:trPr>
        <w:tc>
          <w:tcPr>
            <w:tcW w:w="5300" w:type="dxa"/>
            <w:vAlign w:val="bottom"/>
            <w:shd w:val="clear" w:color="auto" w:fill="CCEEFF"/>
          </w:tcPr>
          <w:p>
            <w:pPr>
              <w:spacing w:after="0"/>
              <w:rPr>
                <w:sz w:val="20"/>
                <w:szCs w:val="20"/>
                <w:color w:val="auto"/>
              </w:rPr>
            </w:pPr>
            <w:r>
              <w:rPr>
                <w:rFonts w:ascii="Arial" w:cs="Arial" w:eastAsia="Arial" w:hAnsi="Arial"/>
                <w:sz w:val="18"/>
                <w:szCs w:val="18"/>
                <w:color w:val="auto"/>
              </w:rPr>
              <w:t>Dividend yield</w:t>
            </w:r>
          </w:p>
        </w:tc>
        <w:tc>
          <w:tcPr>
            <w:tcW w:w="3440" w:type="dxa"/>
            <w:vAlign w:val="bottom"/>
            <w:shd w:val="clear" w:color="auto" w:fill="CCEEFF"/>
          </w:tcPr>
          <w:p>
            <w:pPr>
              <w:jc w:val="center"/>
              <w:ind w:left="1970"/>
              <w:spacing w:after="0"/>
              <w:rPr>
                <w:sz w:val="20"/>
                <w:szCs w:val="20"/>
                <w:color w:val="auto"/>
              </w:rPr>
            </w:pPr>
            <w:r>
              <w:rPr>
                <w:rFonts w:ascii="Arial" w:cs="Arial" w:eastAsia="Arial" w:hAnsi="Arial"/>
                <w:sz w:val="18"/>
                <w:szCs w:val="18"/>
                <w:b w:val="1"/>
                <w:bCs w:val="1"/>
                <w:color w:val="auto"/>
                <w:w w:val="97"/>
              </w:rPr>
              <w:t>2.29%</w:t>
            </w:r>
          </w:p>
        </w:tc>
        <w:tc>
          <w:tcPr>
            <w:tcW w:w="136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3"/>
              </w:rPr>
              <w:t>1.94%</w:t>
            </w:r>
          </w:p>
        </w:tc>
        <w:tc>
          <w:tcPr>
            <w:tcW w:w="132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0"/>
              </w:rPr>
              <w:t>2.00%</w:t>
            </w:r>
          </w:p>
        </w:tc>
      </w:tr>
      <w:tr>
        <w:trPr>
          <w:trHeight w:val="216"/>
        </w:trPr>
        <w:tc>
          <w:tcPr>
            <w:tcW w:w="5300" w:type="dxa"/>
            <w:vAlign w:val="bottom"/>
          </w:tcPr>
          <w:p>
            <w:pPr>
              <w:spacing w:after="0"/>
              <w:rPr>
                <w:sz w:val="20"/>
                <w:szCs w:val="20"/>
                <w:color w:val="auto"/>
              </w:rPr>
            </w:pPr>
            <w:r>
              <w:rPr>
                <w:rFonts w:ascii="Arial" w:cs="Arial" w:eastAsia="Arial" w:hAnsi="Arial"/>
                <w:sz w:val="18"/>
                <w:szCs w:val="18"/>
                <w:color w:val="auto"/>
              </w:rPr>
              <w:t>Expected stock volatility</w:t>
            </w:r>
          </w:p>
        </w:tc>
        <w:tc>
          <w:tcPr>
            <w:tcW w:w="3440" w:type="dxa"/>
            <w:vAlign w:val="bottom"/>
          </w:tcPr>
          <w:p>
            <w:pPr>
              <w:jc w:val="center"/>
              <w:ind w:left="1970"/>
              <w:spacing w:after="0"/>
              <w:rPr>
                <w:sz w:val="20"/>
                <w:szCs w:val="20"/>
                <w:color w:val="auto"/>
              </w:rPr>
            </w:pPr>
            <w:r>
              <w:rPr>
                <w:rFonts w:ascii="Arial" w:cs="Arial" w:eastAsia="Arial" w:hAnsi="Arial"/>
                <w:sz w:val="18"/>
                <w:szCs w:val="18"/>
                <w:b w:val="1"/>
                <w:bCs w:val="1"/>
                <w:color w:val="auto"/>
                <w:w w:val="94"/>
              </w:rPr>
              <w:t>50.66%</w:t>
            </w:r>
          </w:p>
        </w:tc>
        <w:tc>
          <w:tcPr>
            <w:tcW w:w="1360" w:type="dxa"/>
            <w:vAlign w:val="bottom"/>
          </w:tcPr>
          <w:p>
            <w:pPr>
              <w:jc w:val="center"/>
              <w:spacing w:after="0"/>
              <w:rPr>
                <w:sz w:val="20"/>
                <w:szCs w:val="20"/>
                <w:color w:val="auto"/>
              </w:rPr>
            </w:pPr>
            <w:r>
              <w:rPr>
                <w:rFonts w:ascii="Arial" w:cs="Arial" w:eastAsia="Arial" w:hAnsi="Arial"/>
                <w:sz w:val="18"/>
                <w:szCs w:val="18"/>
                <w:color w:val="auto"/>
                <w:w w:val="91"/>
              </w:rPr>
              <w:t>50.00%</w:t>
            </w:r>
          </w:p>
        </w:tc>
        <w:tc>
          <w:tcPr>
            <w:tcW w:w="1320" w:type="dxa"/>
            <w:vAlign w:val="bottom"/>
          </w:tcPr>
          <w:p>
            <w:pPr>
              <w:jc w:val="center"/>
              <w:spacing w:after="0"/>
              <w:rPr>
                <w:sz w:val="20"/>
                <w:szCs w:val="20"/>
                <w:color w:val="auto"/>
              </w:rPr>
            </w:pPr>
            <w:r>
              <w:rPr>
                <w:rFonts w:ascii="Arial" w:cs="Arial" w:eastAsia="Arial" w:hAnsi="Arial"/>
                <w:sz w:val="18"/>
                <w:szCs w:val="18"/>
                <w:color w:val="auto"/>
                <w:w w:val="91"/>
              </w:rPr>
              <w:t>48.10%</w:t>
            </w:r>
          </w:p>
        </w:tc>
      </w:tr>
      <w:tr>
        <w:trPr>
          <w:trHeight w:val="223"/>
        </w:trPr>
        <w:tc>
          <w:tcPr>
            <w:tcW w:w="530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color w:val="auto"/>
              </w:rPr>
              <w:t>Expected life - years</w:t>
            </w:r>
          </w:p>
        </w:tc>
        <w:tc>
          <w:tcPr>
            <w:tcW w:w="3440" w:type="dxa"/>
            <w:vAlign w:val="bottom"/>
            <w:tcBorders>
              <w:bottom w:val="single" w:sz="8" w:color="auto"/>
            </w:tcBorders>
            <w:shd w:val="clear" w:color="auto" w:fill="CCEEFF"/>
          </w:tcPr>
          <w:p>
            <w:pPr>
              <w:jc w:val="center"/>
              <w:ind w:left="1990"/>
              <w:spacing w:after="0"/>
              <w:rPr>
                <w:sz w:val="20"/>
                <w:szCs w:val="20"/>
                <w:color w:val="auto"/>
              </w:rPr>
            </w:pPr>
            <w:r>
              <w:rPr>
                <w:rFonts w:ascii="Arial" w:cs="Arial" w:eastAsia="Arial" w:hAnsi="Arial"/>
                <w:sz w:val="18"/>
                <w:szCs w:val="18"/>
                <w:b w:val="1"/>
                <w:bCs w:val="1"/>
                <w:color w:val="auto"/>
                <w:w w:val="79"/>
              </w:rPr>
              <w:t>6</w:t>
            </w:r>
          </w:p>
        </w:tc>
        <w:tc>
          <w:tcPr>
            <w:tcW w:w="136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79"/>
              </w:rPr>
              <w:t>6</w:t>
            </w:r>
          </w:p>
        </w:tc>
        <w:tc>
          <w:tcPr>
            <w:tcW w:w="132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99"/>
              </w:rPr>
              <w:t>6</w:t>
            </w:r>
          </w:p>
        </w:tc>
      </w:tr>
    </w:tbl>
    <w:p>
      <w:pPr>
        <w:spacing w:after="0" w:line="202" w:lineRule="exact"/>
        <w:rPr>
          <w:sz w:val="20"/>
          <w:szCs w:val="20"/>
          <w:color w:val="auto"/>
        </w:rPr>
      </w:pPr>
    </w:p>
    <w:p>
      <w:pPr>
        <w:ind w:firstLine="913"/>
        <w:spacing w:after="0" w:line="259" w:lineRule="auto"/>
        <w:rPr>
          <w:sz w:val="20"/>
          <w:szCs w:val="20"/>
          <w:color w:val="auto"/>
        </w:rPr>
      </w:pPr>
      <w:r>
        <w:rPr>
          <w:rFonts w:ascii="Arial" w:cs="Arial" w:eastAsia="Arial" w:hAnsi="Arial"/>
          <w:sz w:val="18"/>
          <w:szCs w:val="18"/>
          <w:color w:val="auto"/>
        </w:rPr>
        <w:t>Historical information was the primary basis for the selection of the expected dividend yield, expected volatility and the expected lives of the options. The dividend yield was calculated based upon the last dividend prior to the grant compared to the trailing 12 months’ daily prices of Timken common shares. The risk-free interest rate was based upon yields of U.S. zero coupon issues with a term equal to the expected life of the option being valued. Forfeitures were estimated at 4%.</w:t>
      </w:r>
    </w:p>
    <w:p>
      <w:pPr>
        <w:spacing w:after="0" w:line="187" w:lineRule="exact"/>
        <w:rPr>
          <w:sz w:val="20"/>
          <w:szCs w:val="20"/>
          <w:color w:val="auto"/>
        </w:rPr>
      </w:pPr>
    </w:p>
    <w:p>
      <w:pPr>
        <w:ind w:right="260" w:firstLine="913"/>
        <w:spacing w:after="0" w:line="277" w:lineRule="auto"/>
        <w:rPr>
          <w:sz w:val="20"/>
          <w:szCs w:val="20"/>
          <w:color w:val="auto"/>
        </w:rPr>
      </w:pPr>
      <w:r>
        <w:rPr>
          <w:rFonts w:ascii="Arial" w:cs="Arial" w:eastAsia="Arial" w:hAnsi="Arial"/>
          <w:sz w:val="18"/>
          <w:szCs w:val="18"/>
          <w:color w:val="auto"/>
        </w:rPr>
        <w:t>During 2013, 2012 and 2011, TimkenSteel recognized stock-based compensation expense of $1.5 million ($1.0 million after tax), $1.6 million ($0.9 million after tax) and $1.5 million ($0.9 million after tax), respectively, for stock option awards.</w:t>
      </w:r>
    </w:p>
    <w:p>
      <w:pPr>
        <w:spacing w:after="0" w:line="1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F-14</w:t>
      </w:r>
    </w:p>
    <w:p>
      <w:pPr>
        <w:sectPr>
          <w:pgSz w:w="11900" w:h="16838" w:orient="portrait"/>
          <w:cols w:equalWidth="0" w:num="1">
            <w:col w:w="11420"/>
          </w:cols>
          <w:pgMar w:left="240" w:top="459" w:right="239" w:bottom="1440" w:gutter="0" w:footer="0" w:header="0"/>
        </w:sectPr>
      </w:pPr>
    </w:p>
    <w:bookmarkStart w:id="121" w:name="page122"/>
    <w:bookmarkEnd w:id="12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49">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920"/>
        <w:spacing w:after="0"/>
        <w:rPr>
          <w:sz w:val="20"/>
          <w:szCs w:val="20"/>
          <w:color w:val="auto"/>
        </w:rPr>
      </w:pPr>
      <w:r>
        <w:rPr>
          <w:rFonts w:ascii="Arial" w:cs="Arial" w:eastAsia="Arial" w:hAnsi="Arial"/>
          <w:sz w:val="18"/>
          <w:szCs w:val="18"/>
          <w:color w:val="auto"/>
        </w:rPr>
        <w:t>A summary of option activity for the year ended December 31, 2013 is presented below:</w:t>
      </w:r>
    </w:p>
    <w:p>
      <w:pPr>
        <w:spacing w:after="0" w:line="231"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5220" w:type="dxa"/>
            <w:vAlign w:val="bottom"/>
          </w:tcPr>
          <w:p>
            <w:pPr>
              <w:spacing w:after="0"/>
              <w:rPr>
                <w:sz w:val="14"/>
                <w:szCs w:val="14"/>
                <w:color w:val="auto"/>
              </w:rPr>
            </w:pPr>
          </w:p>
        </w:tc>
        <w:tc>
          <w:tcPr>
            <w:tcW w:w="30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940" w:type="dxa"/>
            <w:vAlign w:val="bottom"/>
          </w:tcPr>
          <w:p>
            <w:pPr>
              <w:jc w:val="center"/>
              <w:spacing w:after="0"/>
              <w:rPr>
                <w:sz w:val="20"/>
                <w:szCs w:val="20"/>
                <w:color w:val="auto"/>
              </w:rPr>
            </w:pPr>
            <w:r>
              <w:rPr>
                <w:rFonts w:ascii="Arial" w:cs="Arial" w:eastAsia="Arial" w:hAnsi="Arial"/>
                <w:sz w:val="14"/>
                <w:szCs w:val="14"/>
                <w:b w:val="1"/>
                <w:bCs w:val="1"/>
                <w:color w:val="auto"/>
                <w:w w:val="91"/>
              </w:rPr>
              <w:t>Weighted-</w:t>
            </w:r>
          </w:p>
        </w:tc>
        <w:tc>
          <w:tcPr>
            <w:tcW w:w="22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220" w:type="dxa"/>
            <w:vAlign w:val="bottom"/>
          </w:tcPr>
          <w:p>
            <w:pPr>
              <w:spacing w:after="0"/>
              <w:rPr>
                <w:sz w:val="12"/>
                <w:szCs w:val="12"/>
                <w:color w:val="auto"/>
              </w:rPr>
            </w:pPr>
          </w:p>
        </w:tc>
        <w:tc>
          <w:tcPr>
            <w:tcW w:w="30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80" w:type="dxa"/>
            <w:vAlign w:val="bottom"/>
            <w:vMerge w:val="restart"/>
          </w:tcPr>
          <w:p>
            <w:pPr>
              <w:jc w:val="right"/>
              <w:ind w:right="154"/>
              <w:spacing w:after="0"/>
              <w:rPr>
                <w:sz w:val="20"/>
                <w:szCs w:val="20"/>
                <w:color w:val="auto"/>
              </w:rPr>
            </w:pPr>
            <w:r>
              <w:rPr>
                <w:rFonts w:ascii="Arial" w:cs="Arial" w:eastAsia="Arial" w:hAnsi="Arial"/>
                <w:sz w:val="14"/>
                <w:szCs w:val="14"/>
                <w:b w:val="1"/>
                <w:bCs w:val="1"/>
                <w:color w:val="auto"/>
                <w:w w:val="91"/>
              </w:rPr>
              <w:t>Weighted-</w:t>
            </w:r>
          </w:p>
        </w:tc>
        <w:tc>
          <w:tcPr>
            <w:tcW w:w="9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0"/>
              </w:rPr>
              <w:t>average</w:t>
            </w:r>
          </w:p>
        </w:tc>
        <w:tc>
          <w:tcPr>
            <w:tcW w:w="220" w:type="dxa"/>
            <w:vAlign w:val="bottom"/>
          </w:tcPr>
          <w:p>
            <w:pPr>
              <w:spacing w:after="0"/>
              <w:rPr>
                <w:sz w:val="12"/>
                <w:szCs w:val="12"/>
                <w:color w:val="auto"/>
              </w:rPr>
            </w:pPr>
          </w:p>
        </w:tc>
        <w:tc>
          <w:tcPr>
            <w:tcW w:w="900" w:type="dxa"/>
            <w:vAlign w:val="bottom"/>
            <w:vMerge w:val="restart"/>
          </w:tcPr>
          <w:p>
            <w:pPr>
              <w:jc w:val="right"/>
              <w:ind w:right="157"/>
              <w:spacing w:after="0"/>
              <w:rPr>
                <w:sz w:val="20"/>
                <w:szCs w:val="20"/>
                <w:color w:val="auto"/>
              </w:rPr>
            </w:pPr>
            <w:r>
              <w:rPr>
                <w:rFonts w:ascii="Arial" w:cs="Arial" w:eastAsia="Arial" w:hAnsi="Arial"/>
                <w:sz w:val="14"/>
                <w:szCs w:val="14"/>
                <w:b w:val="1"/>
                <w:bCs w:val="1"/>
                <w:color w:val="auto"/>
                <w:w w:val="92"/>
              </w:rPr>
              <w:t>Aggregate</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220" w:type="dxa"/>
            <w:vAlign w:val="bottom"/>
          </w:tcPr>
          <w:p>
            <w:pPr>
              <w:spacing w:after="0"/>
              <w:rPr>
                <w:sz w:val="12"/>
                <w:szCs w:val="12"/>
                <w:color w:val="auto"/>
              </w:rPr>
            </w:pPr>
          </w:p>
        </w:tc>
        <w:tc>
          <w:tcPr>
            <w:tcW w:w="30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80" w:type="dxa"/>
            <w:vAlign w:val="bottom"/>
            <w:vMerge w:val="continue"/>
          </w:tcPr>
          <w:p>
            <w:pPr>
              <w:spacing w:after="0"/>
              <w:rPr>
                <w:sz w:val="12"/>
                <w:szCs w:val="12"/>
                <w:color w:val="auto"/>
              </w:rPr>
            </w:pPr>
          </w:p>
        </w:tc>
        <w:tc>
          <w:tcPr>
            <w:tcW w:w="9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2"/>
              </w:rPr>
              <w:t>Remaining</w:t>
            </w:r>
          </w:p>
        </w:tc>
        <w:tc>
          <w:tcPr>
            <w:tcW w:w="220" w:type="dxa"/>
            <w:vAlign w:val="bottom"/>
          </w:tcPr>
          <w:p>
            <w:pPr>
              <w:spacing w:after="0"/>
              <w:rPr>
                <w:sz w:val="12"/>
                <w:szCs w:val="12"/>
                <w:color w:val="auto"/>
              </w:rPr>
            </w:pPr>
          </w:p>
        </w:tc>
        <w:tc>
          <w:tcPr>
            <w:tcW w:w="90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5220" w:type="dxa"/>
            <w:vAlign w:val="bottom"/>
          </w:tcPr>
          <w:p>
            <w:pPr>
              <w:spacing w:after="0"/>
              <w:rPr>
                <w:sz w:val="13"/>
                <w:szCs w:val="13"/>
                <w:color w:val="auto"/>
              </w:rPr>
            </w:pPr>
          </w:p>
        </w:tc>
        <w:tc>
          <w:tcPr>
            <w:tcW w:w="3060" w:type="dxa"/>
            <w:vAlign w:val="bottom"/>
          </w:tcPr>
          <w:p>
            <w:pPr>
              <w:jc w:val="right"/>
              <w:ind w:right="74"/>
              <w:spacing w:after="0" w:line="158" w:lineRule="exact"/>
              <w:rPr>
                <w:sz w:val="20"/>
                <w:szCs w:val="20"/>
                <w:color w:val="auto"/>
              </w:rPr>
            </w:pPr>
            <w:r>
              <w:rPr>
                <w:rFonts w:ascii="Arial" w:cs="Arial" w:eastAsia="Arial" w:hAnsi="Arial"/>
                <w:sz w:val="14"/>
                <w:szCs w:val="14"/>
                <w:b w:val="1"/>
                <w:bCs w:val="1"/>
                <w:color w:val="auto"/>
              </w:rPr>
              <w:t>Number of</w:t>
            </w:r>
          </w:p>
        </w:tc>
        <w:tc>
          <w:tcPr>
            <w:tcW w:w="180" w:type="dxa"/>
            <w:vAlign w:val="bottom"/>
          </w:tcPr>
          <w:p>
            <w:pPr>
              <w:spacing w:after="0"/>
              <w:rPr>
                <w:sz w:val="13"/>
                <w:szCs w:val="13"/>
                <w:color w:val="auto"/>
              </w:rPr>
            </w:pPr>
          </w:p>
        </w:tc>
        <w:tc>
          <w:tcPr>
            <w:tcW w:w="880" w:type="dxa"/>
            <w:vAlign w:val="bottom"/>
          </w:tcPr>
          <w:p>
            <w:pPr>
              <w:jc w:val="right"/>
              <w:ind w:right="234"/>
              <w:spacing w:after="0" w:line="158" w:lineRule="exact"/>
              <w:rPr>
                <w:sz w:val="20"/>
                <w:szCs w:val="20"/>
                <w:color w:val="auto"/>
              </w:rPr>
            </w:pPr>
            <w:r>
              <w:rPr>
                <w:rFonts w:ascii="Arial" w:cs="Arial" w:eastAsia="Arial" w:hAnsi="Arial"/>
                <w:sz w:val="14"/>
                <w:szCs w:val="14"/>
                <w:b w:val="1"/>
                <w:bCs w:val="1"/>
                <w:color w:val="auto"/>
              </w:rPr>
              <w:t>average</w:t>
            </w:r>
          </w:p>
        </w:tc>
        <w:tc>
          <w:tcPr>
            <w:tcW w:w="940" w:type="dxa"/>
            <w:vAlign w:val="bottom"/>
          </w:tcPr>
          <w:p>
            <w:pPr>
              <w:jc w:val="center"/>
              <w:spacing w:after="0" w:line="158" w:lineRule="exact"/>
              <w:rPr>
                <w:sz w:val="20"/>
                <w:szCs w:val="20"/>
                <w:color w:val="auto"/>
              </w:rPr>
            </w:pPr>
            <w:r>
              <w:rPr>
                <w:rFonts w:ascii="Arial" w:cs="Arial" w:eastAsia="Arial" w:hAnsi="Arial"/>
                <w:sz w:val="14"/>
                <w:szCs w:val="14"/>
                <w:b w:val="1"/>
                <w:bCs w:val="1"/>
                <w:color w:val="auto"/>
                <w:w w:val="95"/>
              </w:rPr>
              <w:t>Contractual</w:t>
            </w:r>
          </w:p>
        </w:tc>
        <w:tc>
          <w:tcPr>
            <w:tcW w:w="1120" w:type="dxa"/>
            <w:vAlign w:val="bottom"/>
            <w:gridSpan w:val="2"/>
          </w:tcPr>
          <w:p>
            <w:pPr>
              <w:ind w:left="120"/>
              <w:spacing w:after="0" w:line="158" w:lineRule="exact"/>
              <w:rPr>
                <w:sz w:val="20"/>
                <w:szCs w:val="20"/>
                <w:color w:val="auto"/>
              </w:rPr>
            </w:pPr>
            <w:r>
              <w:rPr>
                <w:rFonts w:ascii="Arial" w:cs="Arial" w:eastAsia="Arial" w:hAnsi="Arial"/>
                <w:sz w:val="14"/>
                <w:szCs w:val="14"/>
                <w:b w:val="1"/>
                <w:bCs w:val="1"/>
                <w:color w:val="auto"/>
              </w:rPr>
              <w:t>Intrinsic Value</w:t>
            </w: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5220" w:type="dxa"/>
            <w:vAlign w:val="bottom"/>
            <w:tcBorders>
              <w:bottom w:val="single" w:sz="8" w:color="auto"/>
            </w:tcBorders>
          </w:tcPr>
          <w:p>
            <w:pPr>
              <w:spacing w:after="0"/>
              <w:rPr>
                <w:sz w:val="15"/>
                <w:szCs w:val="15"/>
                <w:color w:val="auto"/>
              </w:rPr>
            </w:pPr>
          </w:p>
        </w:tc>
        <w:tc>
          <w:tcPr>
            <w:tcW w:w="3060" w:type="dxa"/>
            <w:vAlign w:val="bottom"/>
            <w:tcBorders>
              <w:bottom w:val="single" w:sz="8" w:color="auto"/>
            </w:tcBorders>
          </w:tcPr>
          <w:p>
            <w:pPr>
              <w:jc w:val="right"/>
              <w:ind w:right="194"/>
              <w:spacing w:after="0"/>
              <w:rPr>
                <w:sz w:val="20"/>
                <w:szCs w:val="20"/>
                <w:color w:val="auto"/>
              </w:rPr>
            </w:pPr>
            <w:r>
              <w:rPr>
                <w:rFonts w:ascii="Arial" w:cs="Arial" w:eastAsia="Arial" w:hAnsi="Arial"/>
                <w:sz w:val="14"/>
                <w:szCs w:val="14"/>
                <w:b w:val="1"/>
                <w:bCs w:val="1"/>
                <w:color w:val="auto"/>
              </w:rPr>
              <w:t>Shares</w:t>
            </w:r>
          </w:p>
        </w:tc>
        <w:tc>
          <w:tcPr>
            <w:tcW w:w="1060" w:type="dxa"/>
            <w:vAlign w:val="bottom"/>
            <w:tcBorders>
              <w:bottom w:val="single" w:sz="8" w:color="auto"/>
            </w:tcBorders>
            <w:gridSpan w:val="2"/>
          </w:tcPr>
          <w:p>
            <w:pPr>
              <w:ind w:left="80"/>
              <w:spacing w:after="0"/>
              <w:rPr>
                <w:sz w:val="20"/>
                <w:szCs w:val="20"/>
                <w:color w:val="auto"/>
              </w:rPr>
            </w:pPr>
            <w:r>
              <w:rPr>
                <w:rFonts w:ascii="Arial" w:cs="Arial" w:eastAsia="Arial" w:hAnsi="Arial"/>
                <w:sz w:val="14"/>
                <w:szCs w:val="14"/>
                <w:b w:val="1"/>
                <w:bCs w:val="1"/>
                <w:color w:val="auto"/>
              </w:rPr>
              <w:t>Exercise Price</w:t>
            </w:r>
          </w:p>
        </w:tc>
        <w:tc>
          <w:tcPr>
            <w:tcW w:w="9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9"/>
              </w:rPr>
              <w:t>Term</w:t>
            </w:r>
          </w:p>
        </w:tc>
        <w:tc>
          <w:tcPr>
            <w:tcW w:w="220" w:type="dxa"/>
            <w:vAlign w:val="bottom"/>
            <w:tcBorders>
              <w:bottom w:val="single" w:sz="8" w:color="auto"/>
            </w:tcBorders>
          </w:tcPr>
          <w:p>
            <w:pPr>
              <w:spacing w:after="0"/>
              <w:rPr>
                <w:sz w:val="15"/>
                <w:szCs w:val="15"/>
                <w:color w:val="auto"/>
              </w:rPr>
            </w:pPr>
          </w:p>
        </w:tc>
        <w:tc>
          <w:tcPr>
            <w:tcW w:w="900" w:type="dxa"/>
            <w:vAlign w:val="bottom"/>
            <w:tcBorders>
              <w:bottom w:val="single" w:sz="8" w:color="auto"/>
            </w:tcBorders>
          </w:tcPr>
          <w:p>
            <w:pPr>
              <w:jc w:val="right"/>
              <w:ind w:right="177"/>
              <w:spacing w:after="0"/>
              <w:rPr>
                <w:sz w:val="20"/>
                <w:szCs w:val="20"/>
                <w:color w:val="auto"/>
              </w:rPr>
            </w:pPr>
            <w:r>
              <w:rPr>
                <w:rFonts w:ascii="Arial" w:cs="Arial" w:eastAsia="Arial" w:hAnsi="Arial"/>
                <w:sz w:val="14"/>
                <w:szCs w:val="14"/>
                <w:b w:val="1"/>
                <w:bCs w:val="1"/>
                <w:color w:val="auto"/>
              </w:rPr>
              <w:t>(Millions)</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220" w:type="dxa"/>
            <w:vAlign w:val="bottom"/>
            <w:shd w:val="clear" w:color="auto" w:fill="CCEEFF"/>
          </w:tcPr>
          <w:p>
            <w:pPr>
              <w:spacing w:after="0"/>
              <w:rPr>
                <w:sz w:val="20"/>
                <w:szCs w:val="20"/>
                <w:color w:val="auto"/>
              </w:rPr>
            </w:pPr>
            <w:r>
              <w:rPr>
                <w:rFonts w:ascii="Arial" w:cs="Arial" w:eastAsia="Arial" w:hAnsi="Arial"/>
                <w:sz w:val="18"/>
                <w:szCs w:val="18"/>
                <w:color w:val="auto"/>
              </w:rPr>
              <w:t>Outstanding - beginning of year</w:t>
            </w:r>
          </w:p>
        </w:tc>
        <w:tc>
          <w:tcPr>
            <w:tcW w:w="3060" w:type="dxa"/>
            <w:vAlign w:val="bottom"/>
            <w:shd w:val="clear" w:color="auto" w:fill="CCEEFF"/>
          </w:tcPr>
          <w:p>
            <w:pPr>
              <w:jc w:val="right"/>
              <w:ind w:right="54"/>
              <w:spacing w:after="0"/>
              <w:rPr>
                <w:sz w:val="20"/>
                <w:szCs w:val="20"/>
                <w:color w:val="auto"/>
              </w:rPr>
            </w:pPr>
            <w:r>
              <w:rPr>
                <w:rFonts w:ascii="Arial" w:cs="Arial" w:eastAsia="Arial" w:hAnsi="Arial"/>
                <w:sz w:val="18"/>
                <w:szCs w:val="18"/>
                <w:color w:val="auto"/>
              </w:rPr>
              <w:t>303,018</w:t>
            </w:r>
          </w:p>
        </w:tc>
        <w:tc>
          <w:tcPr>
            <w:tcW w:w="180" w:type="dxa"/>
            <w:vAlign w:val="bottom"/>
            <w:shd w:val="clear" w:color="auto" w:fill="CCEEFF"/>
          </w:tcPr>
          <w:p>
            <w:pPr>
              <w:ind w:left="60"/>
              <w:spacing w:after="0"/>
              <w:rPr>
                <w:sz w:val="20"/>
                <w:szCs w:val="20"/>
                <w:color w:val="auto"/>
              </w:rPr>
            </w:pPr>
            <w:r>
              <w:rPr>
                <w:rFonts w:ascii="Arial" w:cs="Arial" w:eastAsia="Arial" w:hAnsi="Arial"/>
                <w:sz w:val="18"/>
                <w:szCs w:val="18"/>
                <w:color w:val="auto"/>
                <w:w w:val="99"/>
              </w:rPr>
              <w:t>$</w:t>
            </w:r>
          </w:p>
        </w:tc>
        <w:tc>
          <w:tcPr>
            <w:tcW w:w="880" w:type="dxa"/>
            <w:vAlign w:val="bottom"/>
            <w:shd w:val="clear" w:color="auto" w:fill="CCEEFF"/>
          </w:tcPr>
          <w:p>
            <w:pPr>
              <w:jc w:val="right"/>
              <w:ind w:right="34"/>
              <w:spacing w:after="0"/>
              <w:rPr>
                <w:sz w:val="20"/>
                <w:szCs w:val="20"/>
                <w:color w:val="auto"/>
              </w:rPr>
            </w:pPr>
            <w:r>
              <w:rPr>
                <w:rFonts w:ascii="Arial" w:cs="Arial" w:eastAsia="Arial" w:hAnsi="Arial"/>
                <w:sz w:val="18"/>
                <w:szCs w:val="18"/>
                <w:color w:val="auto"/>
              </w:rPr>
              <w:t>35.67</w:t>
            </w:r>
          </w:p>
        </w:tc>
        <w:tc>
          <w:tcPr>
            <w:tcW w:w="9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220" w:type="dxa"/>
            <w:vAlign w:val="bottom"/>
          </w:tcPr>
          <w:p>
            <w:pPr>
              <w:ind w:left="160"/>
              <w:spacing w:after="0"/>
              <w:rPr>
                <w:sz w:val="20"/>
                <w:szCs w:val="20"/>
                <w:color w:val="auto"/>
              </w:rPr>
            </w:pPr>
            <w:r>
              <w:rPr>
                <w:rFonts w:ascii="Arial" w:cs="Arial" w:eastAsia="Arial" w:hAnsi="Arial"/>
                <w:sz w:val="18"/>
                <w:szCs w:val="18"/>
                <w:color w:val="auto"/>
              </w:rPr>
              <w:t>Granted</w:t>
            </w:r>
          </w:p>
        </w:tc>
        <w:tc>
          <w:tcPr>
            <w:tcW w:w="3060" w:type="dxa"/>
            <w:vAlign w:val="bottom"/>
          </w:tcPr>
          <w:p>
            <w:pPr>
              <w:jc w:val="right"/>
              <w:ind w:right="54"/>
              <w:spacing w:after="0"/>
              <w:rPr>
                <w:sz w:val="20"/>
                <w:szCs w:val="20"/>
                <w:color w:val="auto"/>
              </w:rPr>
            </w:pPr>
            <w:r>
              <w:rPr>
                <w:rFonts w:ascii="Arial" w:cs="Arial" w:eastAsia="Arial" w:hAnsi="Arial"/>
                <w:sz w:val="18"/>
                <w:szCs w:val="18"/>
                <w:color w:val="auto"/>
              </w:rPr>
              <w:t>73,360</w:t>
            </w:r>
          </w:p>
        </w:tc>
        <w:tc>
          <w:tcPr>
            <w:tcW w:w="180" w:type="dxa"/>
            <w:vAlign w:val="bottom"/>
          </w:tcPr>
          <w:p>
            <w:pPr>
              <w:spacing w:after="0"/>
              <w:rPr>
                <w:sz w:val="18"/>
                <w:szCs w:val="18"/>
                <w:color w:val="auto"/>
              </w:rPr>
            </w:pPr>
          </w:p>
        </w:tc>
        <w:tc>
          <w:tcPr>
            <w:tcW w:w="880" w:type="dxa"/>
            <w:vAlign w:val="bottom"/>
          </w:tcPr>
          <w:p>
            <w:pPr>
              <w:jc w:val="right"/>
              <w:ind w:right="34"/>
              <w:spacing w:after="0"/>
              <w:rPr>
                <w:sz w:val="20"/>
                <w:szCs w:val="20"/>
                <w:color w:val="auto"/>
              </w:rPr>
            </w:pPr>
            <w:r>
              <w:rPr>
                <w:rFonts w:ascii="Arial" w:cs="Arial" w:eastAsia="Arial" w:hAnsi="Arial"/>
                <w:sz w:val="18"/>
                <w:szCs w:val="18"/>
                <w:color w:val="auto"/>
              </w:rPr>
              <w:t>56.27</w:t>
            </w:r>
          </w:p>
        </w:tc>
        <w:tc>
          <w:tcPr>
            <w:tcW w:w="9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220" w:type="dxa"/>
            <w:vAlign w:val="bottom"/>
            <w:shd w:val="clear" w:color="auto" w:fill="CCEEFF"/>
          </w:tcPr>
          <w:p>
            <w:pPr>
              <w:ind w:left="160"/>
              <w:spacing w:after="0"/>
              <w:rPr>
                <w:sz w:val="20"/>
                <w:szCs w:val="20"/>
                <w:color w:val="auto"/>
              </w:rPr>
            </w:pPr>
            <w:r>
              <w:rPr>
                <w:rFonts w:ascii="Arial" w:cs="Arial" w:eastAsia="Arial" w:hAnsi="Arial"/>
                <w:sz w:val="18"/>
                <w:szCs w:val="18"/>
                <w:color w:val="auto"/>
              </w:rPr>
              <w:t>Transfer from other Timken businesses</w:t>
            </w:r>
          </w:p>
        </w:tc>
        <w:tc>
          <w:tcPr>
            <w:tcW w:w="3060" w:type="dxa"/>
            <w:vAlign w:val="bottom"/>
            <w:shd w:val="clear" w:color="auto" w:fill="CCEEFF"/>
          </w:tcPr>
          <w:p>
            <w:pPr>
              <w:jc w:val="right"/>
              <w:ind w:right="54"/>
              <w:spacing w:after="0"/>
              <w:rPr>
                <w:sz w:val="20"/>
                <w:szCs w:val="20"/>
                <w:color w:val="auto"/>
              </w:rPr>
            </w:pPr>
            <w:r>
              <w:rPr>
                <w:rFonts w:ascii="Arial" w:cs="Arial" w:eastAsia="Arial" w:hAnsi="Arial"/>
                <w:sz w:val="18"/>
                <w:szCs w:val="18"/>
                <w:color w:val="auto"/>
              </w:rPr>
              <w:t>79,320</w:t>
            </w:r>
          </w:p>
        </w:tc>
        <w:tc>
          <w:tcPr>
            <w:tcW w:w="180" w:type="dxa"/>
            <w:vAlign w:val="bottom"/>
            <w:shd w:val="clear" w:color="auto" w:fill="CCEEFF"/>
          </w:tcPr>
          <w:p>
            <w:pPr>
              <w:spacing w:after="0"/>
              <w:rPr>
                <w:sz w:val="18"/>
                <w:szCs w:val="18"/>
                <w:color w:val="auto"/>
              </w:rPr>
            </w:pPr>
          </w:p>
        </w:tc>
        <w:tc>
          <w:tcPr>
            <w:tcW w:w="880" w:type="dxa"/>
            <w:vAlign w:val="bottom"/>
            <w:shd w:val="clear" w:color="auto" w:fill="CCEEFF"/>
          </w:tcPr>
          <w:p>
            <w:pPr>
              <w:jc w:val="right"/>
              <w:ind w:right="34"/>
              <w:spacing w:after="0"/>
              <w:rPr>
                <w:sz w:val="20"/>
                <w:szCs w:val="20"/>
                <w:color w:val="auto"/>
              </w:rPr>
            </w:pPr>
            <w:r>
              <w:rPr>
                <w:rFonts w:ascii="Arial" w:cs="Arial" w:eastAsia="Arial" w:hAnsi="Arial"/>
                <w:sz w:val="18"/>
                <w:szCs w:val="18"/>
                <w:color w:val="auto"/>
              </w:rPr>
              <w:t>42.17</w:t>
            </w:r>
          </w:p>
        </w:tc>
        <w:tc>
          <w:tcPr>
            <w:tcW w:w="9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220" w:type="dxa"/>
            <w:vAlign w:val="bottom"/>
          </w:tcPr>
          <w:p>
            <w:pPr>
              <w:ind w:left="160"/>
              <w:spacing w:after="0"/>
              <w:rPr>
                <w:sz w:val="20"/>
                <w:szCs w:val="20"/>
                <w:color w:val="auto"/>
              </w:rPr>
            </w:pPr>
            <w:r>
              <w:rPr>
                <w:rFonts w:ascii="Arial" w:cs="Arial" w:eastAsia="Arial" w:hAnsi="Arial"/>
                <w:sz w:val="18"/>
                <w:szCs w:val="18"/>
                <w:color w:val="auto"/>
              </w:rPr>
              <w:t>Exercised</w:t>
            </w:r>
          </w:p>
        </w:tc>
        <w:tc>
          <w:tcPr>
            <w:tcW w:w="3060" w:type="dxa"/>
            <w:vAlign w:val="bottom"/>
          </w:tcPr>
          <w:p>
            <w:pPr>
              <w:jc w:val="right"/>
              <w:spacing w:after="0"/>
              <w:rPr>
                <w:sz w:val="20"/>
                <w:szCs w:val="20"/>
                <w:color w:val="auto"/>
              </w:rPr>
            </w:pPr>
            <w:r>
              <w:rPr>
                <w:rFonts w:ascii="Arial" w:cs="Arial" w:eastAsia="Arial" w:hAnsi="Arial"/>
                <w:sz w:val="18"/>
                <w:szCs w:val="18"/>
                <w:color w:val="auto"/>
              </w:rPr>
              <w:t>(128,615)</w:t>
            </w:r>
          </w:p>
        </w:tc>
        <w:tc>
          <w:tcPr>
            <w:tcW w:w="180" w:type="dxa"/>
            <w:vAlign w:val="bottom"/>
          </w:tcPr>
          <w:p>
            <w:pPr>
              <w:spacing w:after="0"/>
              <w:rPr>
                <w:sz w:val="18"/>
                <w:szCs w:val="18"/>
                <w:color w:val="auto"/>
              </w:rPr>
            </w:pPr>
          </w:p>
        </w:tc>
        <w:tc>
          <w:tcPr>
            <w:tcW w:w="880" w:type="dxa"/>
            <w:vAlign w:val="bottom"/>
          </w:tcPr>
          <w:p>
            <w:pPr>
              <w:jc w:val="right"/>
              <w:ind w:right="34"/>
              <w:spacing w:after="0"/>
              <w:rPr>
                <w:sz w:val="20"/>
                <w:szCs w:val="20"/>
                <w:color w:val="auto"/>
              </w:rPr>
            </w:pPr>
            <w:r>
              <w:rPr>
                <w:rFonts w:ascii="Arial" w:cs="Arial" w:eastAsia="Arial" w:hAnsi="Arial"/>
                <w:sz w:val="18"/>
                <w:szCs w:val="18"/>
                <w:color w:val="auto"/>
              </w:rPr>
              <w:t>26.12</w:t>
            </w:r>
          </w:p>
        </w:tc>
        <w:tc>
          <w:tcPr>
            <w:tcW w:w="9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220" w:type="dxa"/>
            <w:vAlign w:val="bottom"/>
            <w:tcBorders>
              <w:bottom w:val="single" w:sz="8" w:color="auto"/>
            </w:tcBorders>
            <w:shd w:val="clear" w:color="auto" w:fill="CCEEFF"/>
          </w:tcPr>
          <w:p>
            <w:pPr>
              <w:ind w:left="160"/>
              <w:spacing w:after="0"/>
              <w:rPr>
                <w:sz w:val="20"/>
                <w:szCs w:val="20"/>
                <w:color w:val="auto"/>
              </w:rPr>
            </w:pPr>
            <w:r>
              <w:rPr>
                <w:rFonts w:ascii="Arial" w:cs="Arial" w:eastAsia="Arial" w:hAnsi="Arial"/>
                <w:sz w:val="18"/>
                <w:szCs w:val="18"/>
                <w:color w:val="auto"/>
              </w:rPr>
              <w:t>Cancellation, forfeiture, expires etc</w:t>
            </w:r>
          </w:p>
        </w:tc>
        <w:tc>
          <w:tcPr>
            <w:tcW w:w="3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(3,025)</w:t>
            </w:r>
          </w:p>
        </w:tc>
        <w:tc>
          <w:tcPr>
            <w:tcW w:w="180" w:type="dxa"/>
            <w:vAlign w:val="bottom"/>
            <w:tcBorders>
              <w:bottom w:val="single" w:sz="8" w:color="auto"/>
            </w:tcBorders>
            <w:shd w:val="clear" w:color="auto" w:fill="CCEEFF"/>
          </w:tcPr>
          <w:p>
            <w:pPr>
              <w:spacing w:after="0"/>
              <w:rPr>
                <w:sz w:val="18"/>
                <w:szCs w:val="18"/>
                <w:color w:val="auto"/>
              </w:rPr>
            </w:pPr>
          </w:p>
        </w:tc>
        <w:tc>
          <w:tcPr>
            <w:tcW w:w="880" w:type="dxa"/>
            <w:vAlign w:val="bottom"/>
            <w:tcBorders>
              <w:bottom w:val="single" w:sz="8" w:color="auto"/>
            </w:tcBorders>
            <w:shd w:val="clear" w:color="auto" w:fill="CCEEFF"/>
          </w:tcPr>
          <w:p>
            <w:pPr>
              <w:jc w:val="right"/>
              <w:ind w:right="34"/>
              <w:spacing w:after="0"/>
              <w:rPr>
                <w:sz w:val="20"/>
                <w:szCs w:val="20"/>
                <w:color w:val="auto"/>
              </w:rPr>
            </w:pPr>
            <w:r>
              <w:rPr>
                <w:rFonts w:ascii="Arial" w:cs="Arial" w:eastAsia="Arial" w:hAnsi="Arial"/>
                <w:sz w:val="18"/>
                <w:szCs w:val="18"/>
                <w:color w:val="auto"/>
              </w:rPr>
              <w:t>47.86</w:t>
            </w:r>
          </w:p>
        </w:tc>
        <w:tc>
          <w:tcPr>
            <w:tcW w:w="940" w:type="dxa"/>
            <w:vAlign w:val="bottom"/>
            <w:tcBorders>
              <w:bottom w:val="single" w:sz="8" w:color="auto"/>
            </w:tcBorders>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spacing w:after="0"/>
              <w:rPr>
                <w:sz w:val="18"/>
                <w:szCs w:val="18"/>
                <w:color w:val="auto"/>
              </w:rPr>
            </w:pPr>
          </w:p>
        </w:tc>
        <w:tc>
          <w:tcPr>
            <w:tcW w:w="900" w:type="dxa"/>
            <w:vAlign w:val="bottom"/>
            <w:tcBorders>
              <w:bottom w:val="single" w:sz="8" w:color="auto"/>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22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Outstanding - end of year</w:t>
            </w:r>
          </w:p>
        </w:tc>
        <w:tc>
          <w:tcPr>
            <w:tcW w:w="3060" w:type="dxa"/>
            <w:vAlign w:val="bottom"/>
            <w:tcBorders>
              <w:bottom w:val="single" w:sz="8" w:color="auto"/>
            </w:tcBorders>
          </w:tcPr>
          <w:p>
            <w:pPr>
              <w:jc w:val="right"/>
              <w:ind w:right="54"/>
              <w:spacing w:after="0"/>
              <w:rPr>
                <w:sz w:val="20"/>
                <w:szCs w:val="20"/>
                <w:color w:val="auto"/>
              </w:rPr>
            </w:pPr>
            <w:r>
              <w:rPr>
                <w:rFonts w:ascii="Arial" w:cs="Arial" w:eastAsia="Arial" w:hAnsi="Arial"/>
                <w:sz w:val="18"/>
                <w:szCs w:val="18"/>
                <w:color w:val="auto"/>
              </w:rPr>
              <w:t>324,058</w:t>
            </w:r>
          </w:p>
        </w:tc>
        <w:tc>
          <w:tcPr>
            <w:tcW w:w="180" w:type="dxa"/>
            <w:vAlign w:val="bottom"/>
            <w:tcBorders>
              <w:bottom w:val="single" w:sz="8" w:color="auto"/>
            </w:tcBorders>
          </w:tcPr>
          <w:p>
            <w:pPr>
              <w:ind w:left="60"/>
              <w:spacing w:after="0"/>
              <w:rPr>
                <w:sz w:val="20"/>
                <w:szCs w:val="20"/>
                <w:color w:val="auto"/>
              </w:rPr>
            </w:pPr>
            <w:r>
              <w:rPr>
                <w:rFonts w:ascii="Arial" w:cs="Arial" w:eastAsia="Arial" w:hAnsi="Arial"/>
                <w:sz w:val="18"/>
                <w:szCs w:val="18"/>
                <w:color w:val="auto"/>
                <w:w w:val="99"/>
              </w:rPr>
              <w:t>$</w:t>
            </w:r>
          </w:p>
        </w:tc>
        <w:tc>
          <w:tcPr>
            <w:tcW w:w="880" w:type="dxa"/>
            <w:vAlign w:val="bottom"/>
            <w:tcBorders>
              <w:bottom w:val="single" w:sz="8" w:color="auto"/>
            </w:tcBorders>
          </w:tcPr>
          <w:p>
            <w:pPr>
              <w:jc w:val="right"/>
              <w:ind w:right="34"/>
              <w:spacing w:after="0"/>
              <w:rPr>
                <w:sz w:val="20"/>
                <w:szCs w:val="20"/>
                <w:color w:val="auto"/>
              </w:rPr>
            </w:pPr>
            <w:r>
              <w:rPr>
                <w:rFonts w:ascii="Arial" w:cs="Arial" w:eastAsia="Arial" w:hAnsi="Arial"/>
                <w:sz w:val="18"/>
                <w:szCs w:val="18"/>
                <w:color w:val="auto"/>
              </w:rPr>
              <w:t>45.60</w:t>
            </w:r>
          </w:p>
        </w:tc>
        <w:tc>
          <w:tcPr>
            <w:tcW w:w="940" w:type="dxa"/>
            <w:vAlign w:val="bottom"/>
            <w:tcBorders>
              <w:bottom w:val="single" w:sz="8" w:color="auto"/>
            </w:tcBorders>
          </w:tcPr>
          <w:p>
            <w:pPr>
              <w:jc w:val="right"/>
              <w:ind w:right="21"/>
              <w:spacing w:after="0"/>
              <w:rPr>
                <w:sz w:val="20"/>
                <w:szCs w:val="20"/>
                <w:color w:val="auto"/>
              </w:rPr>
            </w:pPr>
            <w:r>
              <w:rPr>
                <w:rFonts w:ascii="Arial" w:cs="Arial" w:eastAsia="Arial" w:hAnsi="Arial"/>
                <w:sz w:val="18"/>
                <w:szCs w:val="18"/>
                <w:color w:val="auto"/>
              </w:rPr>
              <w:t>7</w:t>
            </w:r>
          </w:p>
        </w:tc>
        <w:tc>
          <w:tcPr>
            <w:tcW w:w="220" w:type="dxa"/>
            <w:vAlign w:val="bottom"/>
            <w:tcBorders>
              <w:bottom w:val="single" w:sz="8" w:color="auto"/>
            </w:tcBorders>
          </w:tcPr>
          <w:p>
            <w:pPr>
              <w:ind w:left="100"/>
              <w:spacing w:after="0"/>
              <w:rPr>
                <w:sz w:val="20"/>
                <w:szCs w:val="20"/>
                <w:color w:val="auto"/>
              </w:rPr>
            </w:pPr>
            <w:r>
              <w:rPr>
                <w:rFonts w:ascii="Arial" w:cs="Arial" w:eastAsia="Arial" w:hAnsi="Arial"/>
                <w:sz w:val="18"/>
                <w:szCs w:val="18"/>
                <w:color w:val="auto"/>
                <w:w w:val="99"/>
              </w:rPr>
              <w:t>$</w:t>
            </w:r>
          </w:p>
        </w:tc>
        <w:tc>
          <w:tcPr>
            <w:tcW w:w="900" w:type="dxa"/>
            <w:vAlign w:val="bottom"/>
            <w:tcBorders>
              <w:bottom w:val="single" w:sz="8" w:color="auto"/>
            </w:tcBorders>
          </w:tcPr>
          <w:p>
            <w:pPr>
              <w:jc w:val="right"/>
              <w:ind w:right="17"/>
              <w:spacing w:after="0"/>
              <w:rPr>
                <w:sz w:val="20"/>
                <w:szCs w:val="20"/>
                <w:color w:val="auto"/>
              </w:rPr>
            </w:pPr>
            <w:r>
              <w:rPr>
                <w:rFonts w:ascii="Arial" w:cs="Arial" w:eastAsia="Arial" w:hAnsi="Arial"/>
                <w:sz w:val="18"/>
                <w:szCs w:val="18"/>
                <w:color w:val="auto"/>
              </w:rPr>
              <w:t>3.1</w:t>
            </w:r>
          </w:p>
        </w:tc>
        <w:tc>
          <w:tcPr>
            <w:tcW w:w="0" w:type="dxa"/>
            <w:vAlign w:val="bottom"/>
          </w:tcPr>
          <w:p>
            <w:pPr>
              <w:spacing w:after="0"/>
              <w:rPr>
                <w:sz w:val="1"/>
                <w:szCs w:val="1"/>
                <w:color w:val="auto"/>
              </w:rPr>
            </w:pPr>
          </w:p>
        </w:tc>
      </w:tr>
      <w:tr>
        <w:trPr>
          <w:trHeight w:val="88"/>
        </w:trPr>
        <w:tc>
          <w:tcPr>
            <w:tcW w:w="20" w:type="dxa"/>
            <w:vAlign w:val="bottom"/>
            <w:vMerge w:val="restart"/>
          </w:tcPr>
          <w:p>
            <w:pPr>
              <w:spacing w:after="0"/>
              <w:rPr>
                <w:sz w:val="7"/>
                <w:szCs w:val="7"/>
                <w:color w:val="auto"/>
              </w:rPr>
            </w:pPr>
          </w:p>
        </w:tc>
        <w:tc>
          <w:tcPr>
            <w:tcW w:w="5220" w:type="dxa"/>
            <w:vAlign w:val="bottom"/>
          </w:tcPr>
          <w:p>
            <w:pPr>
              <w:spacing w:after="0"/>
              <w:rPr>
                <w:sz w:val="7"/>
                <w:szCs w:val="7"/>
                <w:color w:val="auto"/>
              </w:rPr>
            </w:pPr>
          </w:p>
        </w:tc>
        <w:tc>
          <w:tcPr>
            <w:tcW w:w="3060" w:type="dxa"/>
            <w:vAlign w:val="bottom"/>
          </w:tcPr>
          <w:p>
            <w:pPr>
              <w:spacing w:after="0"/>
              <w:rPr>
                <w:sz w:val="7"/>
                <w:szCs w:val="7"/>
                <w:color w:val="auto"/>
              </w:rPr>
            </w:pPr>
          </w:p>
        </w:tc>
        <w:tc>
          <w:tcPr>
            <w:tcW w:w="180" w:type="dxa"/>
            <w:vAlign w:val="bottom"/>
          </w:tcPr>
          <w:p>
            <w:pPr>
              <w:spacing w:after="0"/>
              <w:rPr>
                <w:sz w:val="7"/>
                <w:szCs w:val="7"/>
                <w:color w:val="auto"/>
              </w:rPr>
            </w:pPr>
          </w:p>
        </w:tc>
        <w:tc>
          <w:tcPr>
            <w:tcW w:w="880" w:type="dxa"/>
            <w:vAlign w:val="bottom"/>
          </w:tcPr>
          <w:p>
            <w:pPr>
              <w:spacing w:after="0"/>
              <w:rPr>
                <w:sz w:val="7"/>
                <w:szCs w:val="7"/>
                <w:color w:val="auto"/>
              </w:rPr>
            </w:pPr>
          </w:p>
        </w:tc>
        <w:tc>
          <w:tcPr>
            <w:tcW w:w="940" w:type="dxa"/>
            <w:vAlign w:val="bottom"/>
          </w:tcPr>
          <w:p>
            <w:pPr>
              <w:spacing w:after="0"/>
              <w:rPr>
                <w:sz w:val="7"/>
                <w:szCs w:val="7"/>
                <w:color w:val="auto"/>
              </w:rPr>
            </w:pPr>
          </w:p>
        </w:tc>
        <w:tc>
          <w:tcPr>
            <w:tcW w:w="220" w:type="dxa"/>
            <w:vAlign w:val="bottom"/>
          </w:tcPr>
          <w:p>
            <w:pPr>
              <w:spacing w:after="0"/>
              <w:rPr>
                <w:sz w:val="7"/>
                <w:szCs w:val="7"/>
                <w:color w:val="auto"/>
              </w:rPr>
            </w:pPr>
          </w:p>
        </w:tc>
        <w:tc>
          <w:tcPr>
            <w:tcW w:w="9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220" w:type="dxa"/>
            <w:vAlign w:val="bottom"/>
            <w:shd w:val="clear" w:color="auto" w:fill="CCEEFF"/>
          </w:tcPr>
          <w:p>
            <w:pPr>
              <w:spacing w:after="0"/>
              <w:rPr>
                <w:sz w:val="20"/>
                <w:szCs w:val="20"/>
                <w:color w:val="auto"/>
              </w:rPr>
            </w:pPr>
            <w:r>
              <w:rPr>
                <w:rFonts w:ascii="Arial" w:cs="Arial" w:eastAsia="Arial" w:hAnsi="Arial"/>
                <w:sz w:val="18"/>
                <w:szCs w:val="18"/>
                <w:color w:val="auto"/>
              </w:rPr>
              <w:t>Options expected to vest</w:t>
            </w:r>
          </w:p>
        </w:tc>
        <w:tc>
          <w:tcPr>
            <w:tcW w:w="3060" w:type="dxa"/>
            <w:vAlign w:val="bottom"/>
            <w:shd w:val="clear" w:color="auto" w:fill="CCEEFF"/>
          </w:tcPr>
          <w:p>
            <w:pPr>
              <w:jc w:val="right"/>
              <w:ind w:right="54"/>
              <w:spacing w:after="0"/>
              <w:rPr>
                <w:sz w:val="20"/>
                <w:szCs w:val="20"/>
                <w:color w:val="auto"/>
              </w:rPr>
            </w:pPr>
            <w:r>
              <w:rPr>
                <w:rFonts w:ascii="Arial" w:cs="Arial" w:eastAsia="Arial" w:hAnsi="Arial"/>
                <w:sz w:val="18"/>
                <w:szCs w:val="18"/>
                <w:color w:val="auto"/>
              </w:rPr>
              <w:t>314,667</w:t>
            </w:r>
          </w:p>
        </w:tc>
        <w:tc>
          <w:tcPr>
            <w:tcW w:w="180" w:type="dxa"/>
            <w:vAlign w:val="bottom"/>
            <w:shd w:val="clear" w:color="auto" w:fill="CCEEFF"/>
          </w:tcPr>
          <w:p>
            <w:pPr>
              <w:ind w:left="60"/>
              <w:spacing w:after="0"/>
              <w:rPr>
                <w:sz w:val="20"/>
                <w:szCs w:val="20"/>
                <w:color w:val="auto"/>
              </w:rPr>
            </w:pPr>
            <w:r>
              <w:rPr>
                <w:rFonts w:ascii="Arial" w:cs="Arial" w:eastAsia="Arial" w:hAnsi="Arial"/>
                <w:sz w:val="18"/>
                <w:szCs w:val="18"/>
                <w:color w:val="auto"/>
                <w:w w:val="99"/>
              </w:rPr>
              <w:t>$</w:t>
            </w:r>
          </w:p>
        </w:tc>
        <w:tc>
          <w:tcPr>
            <w:tcW w:w="880" w:type="dxa"/>
            <w:vAlign w:val="bottom"/>
            <w:shd w:val="clear" w:color="auto" w:fill="CCEEFF"/>
          </w:tcPr>
          <w:p>
            <w:pPr>
              <w:jc w:val="right"/>
              <w:ind w:right="34"/>
              <w:spacing w:after="0"/>
              <w:rPr>
                <w:sz w:val="20"/>
                <w:szCs w:val="20"/>
                <w:color w:val="auto"/>
              </w:rPr>
            </w:pPr>
            <w:r>
              <w:rPr>
                <w:rFonts w:ascii="Arial" w:cs="Arial" w:eastAsia="Arial" w:hAnsi="Arial"/>
                <w:sz w:val="18"/>
                <w:szCs w:val="18"/>
                <w:color w:val="auto"/>
              </w:rPr>
              <w:t>45.52</w:t>
            </w:r>
          </w:p>
        </w:tc>
        <w:tc>
          <w:tcPr>
            <w:tcW w:w="940" w:type="dxa"/>
            <w:vAlign w:val="bottom"/>
            <w:shd w:val="clear" w:color="auto" w:fill="CCEEFF"/>
          </w:tcPr>
          <w:p>
            <w:pPr>
              <w:jc w:val="right"/>
              <w:ind w:right="21"/>
              <w:spacing w:after="0"/>
              <w:rPr>
                <w:sz w:val="20"/>
                <w:szCs w:val="20"/>
                <w:color w:val="auto"/>
              </w:rPr>
            </w:pPr>
            <w:r>
              <w:rPr>
                <w:rFonts w:ascii="Arial" w:cs="Arial" w:eastAsia="Arial" w:hAnsi="Arial"/>
                <w:sz w:val="18"/>
                <w:szCs w:val="18"/>
                <w:color w:val="auto"/>
              </w:rPr>
              <w:t>7</w:t>
            </w:r>
          </w:p>
        </w:tc>
        <w:tc>
          <w:tcPr>
            <w:tcW w:w="220" w:type="dxa"/>
            <w:vAlign w:val="bottom"/>
            <w:shd w:val="clear" w:color="auto" w:fill="CCEEFF"/>
          </w:tcPr>
          <w:p>
            <w:pPr>
              <w:ind w:left="100"/>
              <w:spacing w:after="0"/>
              <w:rPr>
                <w:sz w:val="20"/>
                <w:szCs w:val="20"/>
                <w:color w:val="auto"/>
              </w:rPr>
            </w:pPr>
            <w:r>
              <w:rPr>
                <w:rFonts w:ascii="Arial" w:cs="Arial" w:eastAsia="Arial" w:hAnsi="Arial"/>
                <w:sz w:val="18"/>
                <w:szCs w:val="18"/>
                <w:color w:val="auto"/>
                <w:w w:val="99"/>
              </w:rPr>
              <w:t>$</w:t>
            </w:r>
          </w:p>
        </w:tc>
        <w:tc>
          <w:tcPr>
            <w:tcW w:w="900" w:type="dxa"/>
            <w:vAlign w:val="bottom"/>
            <w:shd w:val="clear" w:color="auto" w:fill="CCEEFF"/>
          </w:tcPr>
          <w:p>
            <w:pPr>
              <w:jc w:val="right"/>
              <w:ind w:right="17"/>
              <w:spacing w:after="0"/>
              <w:rPr>
                <w:sz w:val="20"/>
                <w:szCs w:val="20"/>
                <w:color w:val="auto"/>
              </w:rPr>
            </w:pPr>
            <w:r>
              <w:rPr>
                <w:rFonts w:ascii="Arial" w:cs="Arial" w:eastAsia="Arial" w:hAnsi="Arial"/>
                <w:sz w:val="18"/>
                <w:szCs w:val="18"/>
                <w:color w:val="auto"/>
              </w:rPr>
              <w:t>3.0</w:t>
            </w:r>
          </w:p>
        </w:tc>
        <w:tc>
          <w:tcPr>
            <w:tcW w:w="0" w:type="dxa"/>
            <w:vAlign w:val="bottom"/>
          </w:tcPr>
          <w:p>
            <w:pPr>
              <w:spacing w:after="0"/>
              <w:rPr>
                <w:sz w:val="1"/>
                <w:szCs w:val="1"/>
                <w:color w:val="auto"/>
              </w:rPr>
            </w:pPr>
          </w:p>
        </w:tc>
      </w:tr>
      <w:tr>
        <w:trPr>
          <w:trHeight w:val="324"/>
        </w:trPr>
        <w:tc>
          <w:tcPr>
            <w:tcW w:w="524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auto"/>
              </w:rPr>
              <w:t>Options exercisable</w:t>
            </w:r>
          </w:p>
        </w:tc>
        <w:tc>
          <w:tcPr>
            <w:tcW w:w="3060" w:type="dxa"/>
            <w:vAlign w:val="bottom"/>
            <w:tcBorders>
              <w:bottom w:val="single" w:sz="8" w:color="auto"/>
            </w:tcBorders>
          </w:tcPr>
          <w:p>
            <w:pPr>
              <w:jc w:val="right"/>
              <w:ind w:right="54"/>
              <w:spacing w:after="0"/>
              <w:rPr>
                <w:sz w:val="20"/>
                <w:szCs w:val="20"/>
                <w:color w:val="auto"/>
              </w:rPr>
            </w:pPr>
            <w:r>
              <w:rPr>
                <w:rFonts w:ascii="Arial" w:cs="Arial" w:eastAsia="Arial" w:hAnsi="Arial"/>
                <w:sz w:val="18"/>
                <w:szCs w:val="18"/>
                <w:color w:val="auto"/>
              </w:rPr>
              <w:t>89,228</w:t>
            </w:r>
          </w:p>
        </w:tc>
        <w:tc>
          <w:tcPr>
            <w:tcW w:w="180" w:type="dxa"/>
            <w:vAlign w:val="bottom"/>
            <w:tcBorders>
              <w:bottom w:val="single" w:sz="8" w:color="auto"/>
            </w:tcBorders>
          </w:tcPr>
          <w:p>
            <w:pPr>
              <w:ind w:left="60"/>
              <w:spacing w:after="0"/>
              <w:rPr>
                <w:sz w:val="20"/>
                <w:szCs w:val="20"/>
                <w:color w:val="auto"/>
              </w:rPr>
            </w:pPr>
            <w:r>
              <w:rPr>
                <w:rFonts w:ascii="Arial" w:cs="Arial" w:eastAsia="Arial" w:hAnsi="Arial"/>
                <w:sz w:val="18"/>
                <w:szCs w:val="18"/>
                <w:color w:val="auto"/>
                <w:w w:val="99"/>
              </w:rPr>
              <w:t>$</w:t>
            </w:r>
          </w:p>
        </w:tc>
        <w:tc>
          <w:tcPr>
            <w:tcW w:w="880" w:type="dxa"/>
            <w:vAlign w:val="bottom"/>
            <w:tcBorders>
              <w:bottom w:val="single" w:sz="8" w:color="auto"/>
            </w:tcBorders>
          </w:tcPr>
          <w:p>
            <w:pPr>
              <w:jc w:val="right"/>
              <w:ind w:right="34"/>
              <w:spacing w:after="0"/>
              <w:rPr>
                <w:sz w:val="20"/>
                <w:szCs w:val="20"/>
                <w:color w:val="auto"/>
              </w:rPr>
            </w:pPr>
            <w:r>
              <w:rPr>
                <w:rFonts w:ascii="Arial" w:cs="Arial" w:eastAsia="Arial" w:hAnsi="Arial"/>
                <w:sz w:val="18"/>
                <w:szCs w:val="18"/>
                <w:color w:val="auto"/>
              </w:rPr>
              <w:t>39.32</w:t>
            </w:r>
          </w:p>
        </w:tc>
        <w:tc>
          <w:tcPr>
            <w:tcW w:w="940" w:type="dxa"/>
            <w:vAlign w:val="bottom"/>
            <w:tcBorders>
              <w:bottom w:val="single" w:sz="8" w:color="auto"/>
            </w:tcBorders>
          </w:tcPr>
          <w:p>
            <w:pPr>
              <w:jc w:val="right"/>
              <w:ind w:right="21"/>
              <w:spacing w:after="0"/>
              <w:rPr>
                <w:sz w:val="20"/>
                <w:szCs w:val="20"/>
                <w:color w:val="auto"/>
              </w:rPr>
            </w:pPr>
            <w:r>
              <w:rPr>
                <w:rFonts w:ascii="Arial" w:cs="Arial" w:eastAsia="Arial" w:hAnsi="Arial"/>
                <w:sz w:val="18"/>
                <w:szCs w:val="18"/>
                <w:color w:val="auto"/>
              </w:rPr>
              <w:t>6</w:t>
            </w:r>
          </w:p>
        </w:tc>
        <w:tc>
          <w:tcPr>
            <w:tcW w:w="220" w:type="dxa"/>
            <w:vAlign w:val="bottom"/>
            <w:tcBorders>
              <w:bottom w:val="single" w:sz="8" w:color="auto"/>
            </w:tcBorders>
          </w:tcPr>
          <w:p>
            <w:pPr>
              <w:ind w:left="100"/>
              <w:spacing w:after="0"/>
              <w:rPr>
                <w:sz w:val="20"/>
                <w:szCs w:val="20"/>
                <w:color w:val="auto"/>
              </w:rPr>
            </w:pPr>
            <w:r>
              <w:rPr>
                <w:rFonts w:ascii="Arial" w:cs="Arial" w:eastAsia="Arial" w:hAnsi="Arial"/>
                <w:sz w:val="18"/>
                <w:szCs w:val="18"/>
                <w:color w:val="auto"/>
                <w:w w:val="99"/>
              </w:rPr>
              <w:t>$</w:t>
            </w:r>
          </w:p>
        </w:tc>
        <w:tc>
          <w:tcPr>
            <w:tcW w:w="900" w:type="dxa"/>
            <w:vAlign w:val="bottom"/>
            <w:tcBorders>
              <w:bottom w:val="single" w:sz="8" w:color="auto"/>
            </w:tcBorders>
          </w:tcPr>
          <w:p>
            <w:pPr>
              <w:jc w:val="right"/>
              <w:ind w:right="17"/>
              <w:spacing w:after="0"/>
              <w:rPr>
                <w:sz w:val="20"/>
                <w:szCs w:val="20"/>
                <w:color w:val="auto"/>
              </w:rPr>
            </w:pPr>
            <w:r>
              <w:rPr>
                <w:rFonts w:ascii="Arial" w:cs="Arial" w:eastAsia="Arial" w:hAnsi="Arial"/>
                <w:sz w:val="18"/>
                <w:szCs w:val="18"/>
                <w:color w:val="auto"/>
              </w:rPr>
              <w:t>1.4</w:t>
            </w:r>
          </w:p>
        </w:tc>
        <w:tc>
          <w:tcPr>
            <w:tcW w:w="0" w:type="dxa"/>
            <w:vAlign w:val="bottom"/>
          </w:tcPr>
          <w:p>
            <w:pPr>
              <w:spacing w:after="0"/>
              <w:rPr>
                <w:sz w:val="1"/>
                <w:szCs w:val="1"/>
                <w:color w:val="auto"/>
              </w:rPr>
            </w:pPr>
          </w:p>
        </w:tc>
      </w:tr>
    </w:tbl>
    <w:p>
      <w:pPr>
        <w:spacing w:after="0" w:line="202" w:lineRule="exact"/>
        <w:rPr>
          <w:sz w:val="20"/>
          <w:szCs w:val="20"/>
          <w:color w:val="auto"/>
        </w:rPr>
      </w:pPr>
    </w:p>
    <w:p>
      <w:pPr>
        <w:ind w:right="60" w:firstLine="913"/>
        <w:spacing w:after="0" w:line="259" w:lineRule="auto"/>
        <w:rPr>
          <w:sz w:val="20"/>
          <w:szCs w:val="20"/>
          <w:color w:val="auto"/>
        </w:rPr>
      </w:pPr>
      <w:r>
        <w:rPr>
          <w:rFonts w:ascii="Arial" w:cs="Arial" w:eastAsia="Arial" w:hAnsi="Arial"/>
          <w:sz w:val="18"/>
          <w:szCs w:val="18"/>
          <w:color w:val="auto"/>
        </w:rPr>
        <w:t>The total intrinsic value of options exercised during the years ended December 31, 2013, 2012 and 2011 was $3.9 million, $2.6 million and $3.2 million, respectively. Net cash proceeds from the exercise of stock options for the years ended December 31, 2013, 2012 and 2011 were $3.4 million, $1.9 million and $2.9 million, respectively. Income tax benefits were $1.3 million, $1.1 million and $1.0 million for the years ended December 31, 2013, 2012 and 2011, respectively.</w:t>
      </w:r>
    </w:p>
    <w:p>
      <w:pPr>
        <w:spacing w:after="0" w:line="187" w:lineRule="exact"/>
        <w:rPr>
          <w:sz w:val="20"/>
          <w:szCs w:val="20"/>
          <w:color w:val="auto"/>
        </w:rPr>
      </w:pPr>
    </w:p>
    <w:p>
      <w:pPr>
        <w:ind w:right="60" w:firstLine="913"/>
        <w:spacing w:after="0" w:line="255" w:lineRule="auto"/>
        <w:rPr>
          <w:sz w:val="20"/>
          <w:szCs w:val="20"/>
          <w:color w:val="auto"/>
        </w:rPr>
      </w:pPr>
      <w:r>
        <w:rPr>
          <w:rFonts w:ascii="Arial" w:cs="Arial" w:eastAsia="Arial" w:hAnsi="Arial"/>
          <w:sz w:val="18"/>
          <w:szCs w:val="18"/>
          <w:color w:val="auto"/>
        </w:rPr>
        <w:t>In 2013, Timken issued 34,600 strategic performance shares and 24,740 strategic shares to TimkenSteel’s officers and key employees. Strategic performance shares are performance-based restricted stock units that are earned based on achievement of specified performance objectives and cliff-vest after three years. Strategic performance shares settle in either cash or shares, with 32,420 shares expected to settle in cash and 2,180 expected to settle in shares. Strategic shares are timed-vested restricted stock units and generally vest in 25% increments annually beginning on the first anniversary of the date of grant. Strategic shares also settle in either cash or shares, with 14,320 shares expected to settle in cash and 10,420 shares expected to settle in shares. For shares that are expected to settle in cash, TimkenSteel accrued $1.5 million in 2013, which was included in other non-current liabilities on the Consolidated Balance Sheets.</w:t>
      </w:r>
    </w:p>
    <w:p>
      <w:pPr>
        <w:spacing w:after="0" w:line="189" w:lineRule="exact"/>
        <w:rPr>
          <w:sz w:val="20"/>
          <w:szCs w:val="20"/>
          <w:color w:val="auto"/>
        </w:rPr>
      </w:pPr>
    </w:p>
    <w:p>
      <w:pPr>
        <w:ind w:right="80" w:firstLine="913"/>
        <w:spacing w:after="0" w:line="277" w:lineRule="auto"/>
        <w:rPr>
          <w:sz w:val="20"/>
          <w:szCs w:val="20"/>
          <w:color w:val="auto"/>
        </w:rPr>
      </w:pPr>
      <w:r>
        <w:rPr>
          <w:rFonts w:ascii="Arial" w:cs="Arial" w:eastAsia="Arial" w:hAnsi="Arial"/>
          <w:sz w:val="18"/>
          <w:szCs w:val="18"/>
          <w:color w:val="auto"/>
        </w:rPr>
        <w:t>A summary of restricted share activity, including restricted stock, deferred shares, strategic performance shares that will settle in common shares and strategic shares that will settle in common shares, for the year ended December 31, 2013, is as follows:</w:t>
      </w:r>
    </w:p>
    <w:p>
      <w:pPr>
        <w:spacing w:after="0" w:line="193"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5660" w:type="dxa"/>
            <w:vAlign w:val="bottom"/>
          </w:tcPr>
          <w:p>
            <w:pPr>
              <w:spacing w:after="0"/>
              <w:rPr>
                <w:sz w:val="18"/>
                <w:szCs w:val="18"/>
                <w:color w:val="auto"/>
              </w:rPr>
            </w:pPr>
          </w:p>
        </w:tc>
        <w:tc>
          <w:tcPr>
            <w:tcW w:w="4200" w:type="dxa"/>
            <w:vAlign w:val="bottom"/>
          </w:tcPr>
          <w:p>
            <w:pPr>
              <w:spacing w:after="0"/>
              <w:rPr>
                <w:sz w:val="18"/>
                <w:szCs w:val="18"/>
                <w:color w:val="auto"/>
              </w:rPr>
            </w:pPr>
          </w:p>
        </w:tc>
        <w:tc>
          <w:tcPr>
            <w:tcW w:w="1560" w:type="dxa"/>
            <w:vAlign w:val="bottom"/>
            <w:gridSpan w:val="2"/>
          </w:tcPr>
          <w:p>
            <w:pPr>
              <w:ind w:left="80"/>
              <w:spacing w:after="0"/>
              <w:rPr>
                <w:sz w:val="20"/>
                <w:szCs w:val="20"/>
                <w:color w:val="auto"/>
              </w:rPr>
            </w:pPr>
            <w:r>
              <w:rPr>
                <w:rFonts w:ascii="Arial" w:cs="Arial" w:eastAsia="Arial" w:hAnsi="Arial"/>
                <w:sz w:val="18"/>
                <w:szCs w:val="18"/>
                <w:b w:val="1"/>
                <w:bCs w:val="1"/>
                <w:color w:val="auto"/>
                <w:w w:val="94"/>
              </w:rPr>
              <w:t>Weighted-average</w:t>
            </w:r>
          </w:p>
        </w:tc>
      </w:tr>
      <w:tr>
        <w:trPr>
          <w:trHeight w:val="248"/>
        </w:trPr>
        <w:tc>
          <w:tcPr>
            <w:tcW w:w="5660" w:type="dxa"/>
            <w:vAlign w:val="bottom"/>
            <w:tcBorders>
              <w:bottom w:val="single" w:sz="8" w:color="auto"/>
            </w:tcBorders>
          </w:tcPr>
          <w:p>
            <w:pPr>
              <w:spacing w:after="0"/>
              <w:rPr>
                <w:sz w:val="21"/>
                <w:szCs w:val="21"/>
                <w:color w:val="auto"/>
              </w:rPr>
            </w:pPr>
          </w:p>
        </w:tc>
        <w:tc>
          <w:tcPr>
            <w:tcW w:w="420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b w:val="1"/>
                <w:bCs w:val="1"/>
                <w:color w:val="auto"/>
              </w:rPr>
              <w:t>Number of Shares</w:t>
            </w:r>
          </w:p>
        </w:tc>
        <w:tc>
          <w:tcPr>
            <w:tcW w:w="1560" w:type="dxa"/>
            <w:vAlign w:val="bottom"/>
            <w:tcBorders>
              <w:bottom w:val="single" w:sz="8" w:color="auto"/>
            </w:tcBorders>
            <w:gridSpan w:val="2"/>
          </w:tcPr>
          <w:p>
            <w:pPr>
              <w:ind w:left="140"/>
              <w:spacing w:after="0"/>
              <w:rPr>
                <w:sz w:val="20"/>
                <w:szCs w:val="20"/>
                <w:color w:val="auto"/>
              </w:rPr>
            </w:pPr>
            <w:r>
              <w:rPr>
                <w:rFonts w:ascii="Arial" w:cs="Arial" w:eastAsia="Arial" w:hAnsi="Arial"/>
                <w:sz w:val="18"/>
                <w:szCs w:val="18"/>
                <w:b w:val="1"/>
                <w:bCs w:val="1"/>
                <w:color w:val="auto"/>
              </w:rPr>
              <w:t>Grant Date Fair</w:t>
            </w:r>
          </w:p>
        </w:tc>
      </w:tr>
      <w:tr>
        <w:trPr>
          <w:trHeight w:val="210"/>
        </w:trPr>
        <w:tc>
          <w:tcPr>
            <w:tcW w:w="5660" w:type="dxa"/>
            <w:vAlign w:val="bottom"/>
            <w:shd w:val="clear" w:color="auto" w:fill="CCEEFF"/>
          </w:tcPr>
          <w:p>
            <w:pPr>
              <w:spacing w:after="0"/>
              <w:rPr>
                <w:sz w:val="20"/>
                <w:szCs w:val="20"/>
                <w:color w:val="auto"/>
              </w:rPr>
            </w:pPr>
            <w:r>
              <w:rPr>
                <w:rFonts w:ascii="Arial" w:cs="Arial" w:eastAsia="Arial" w:hAnsi="Arial"/>
                <w:sz w:val="18"/>
                <w:szCs w:val="18"/>
                <w:color w:val="auto"/>
              </w:rPr>
              <w:t>Outstanding - beginning of year</w:t>
            </w:r>
          </w:p>
        </w:tc>
        <w:tc>
          <w:tcPr>
            <w:tcW w:w="420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62,457</w:t>
            </w:r>
          </w:p>
        </w:tc>
        <w:tc>
          <w:tcPr>
            <w:tcW w:w="620" w:type="dxa"/>
            <w:vAlign w:val="bottom"/>
            <w:shd w:val="clear" w:color="auto" w:fill="CCEEFF"/>
          </w:tcPr>
          <w:p>
            <w:pPr>
              <w:ind w:left="80"/>
              <w:spacing w:after="0"/>
              <w:rPr>
                <w:sz w:val="20"/>
                <w:szCs w:val="20"/>
                <w:color w:val="auto"/>
              </w:rPr>
            </w:pPr>
            <w:r>
              <w:rPr>
                <w:rFonts w:ascii="Arial" w:cs="Arial" w:eastAsia="Arial" w:hAnsi="Arial"/>
                <w:sz w:val="18"/>
                <w:szCs w:val="18"/>
                <w:color w:val="auto"/>
              </w:rPr>
              <w:t>$</w:t>
            </w:r>
          </w:p>
        </w:tc>
        <w:tc>
          <w:tcPr>
            <w:tcW w:w="94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36.05</w:t>
            </w:r>
          </w:p>
        </w:tc>
      </w:tr>
      <w:tr>
        <w:trPr>
          <w:trHeight w:val="216"/>
        </w:trPr>
        <w:tc>
          <w:tcPr>
            <w:tcW w:w="5660" w:type="dxa"/>
            <w:vAlign w:val="bottom"/>
          </w:tcPr>
          <w:p>
            <w:pPr>
              <w:ind w:left="180"/>
              <w:spacing w:after="0"/>
              <w:rPr>
                <w:sz w:val="20"/>
                <w:szCs w:val="20"/>
                <w:color w:val="auto"/>
              </w:rPr>
            </w:pPr>
            <w:r>
              <w:rPr>
                <w:rFonts w:ascii="Arial" w:cs="Arial" w:eastAsia="Arial" w:hAnsi="Arial"/>
                <w:sz w:val="18"/>
                <w:szCs w:val="18"/>
                <w:color w:val="auto"/>
              </w:rPr>
              <w:t>Granted</w:t>
            </w:r>
          </w:p>
        </w:tc>
        <w:tc>
          <w:tcPr>
            <w:tcW w:w="4200" w:type="dxa"/>
            <w:vAlign w:val="bottom"/>
          </w:tcPr>
          <w:p>
            <w:pPr>
              <w:jc w:val="right"/>
              <w:ind w:right="30"/>
              <w:spacing w:after="0"/>
              <w:rPr>
                <w:sz w:val="20"/>
                <w:szCs w:val="20"/>
                <w:color w:val="auto"/>
              </w:rPr>
            </w:pPr>
            <w:r>
              <w:rPr>
                <w:rFonts w:ascii="Arial" w:cs="Arial" w:eastAsia="Arial" w:hAnsi="Arial"/>
                <w:sz w:val="18"/>
                <w:szCs w:val="18"/>
                <w:color w:val="auto"/>
              </w:rPr>
              <w:t>12,600</w:t>
            </w:r>
          </w:p>
        </w:tc>
        <w:tc>
          <w:tcPr>
            <w:tcW w:w="620" w:type="dxa"/>
            <w:vAlign w:val="bottom"/>
          </w:tcPr>
          <w:p>
            <w:pPr>
              <w:ind w:left="80"/>
              <w:spacing w:after="0"/>
              <w:rPr>
                <w:sz w:val="20"/>
                <w:szCs w:val="20"/>
                <w:color w:val="auto"/>
              </w:rPr>
            </w:pPr>
            <w:r>
              <w:rPr>
                <w:rFonts w:ascii="Arial" w:cs="Arial" w:eastAsia="Arial" w:hAnsi="Arial"/>
                <w:sz w:val="18"/>
                <w:szCs w:val="18"/>
                <w:color w:val="auto"/>
              </w:rPr>
              <w:t>$</w:t>
            </w:r>
          </w:p>
        </w:tc>
        <w:tc>
          <w:tcPr>
            <w:tcW w:w="940" w:type="dxa"/>
            <w:vAlign w:val="bottom"/>
          </w:tcPr>
          <w:p>
            <w:pPr>
              <w:jc w:val="right"/>
              <w:ind w:right="10"/>
              <w:spacing w:after="0"/>
              <w:rPr>
                <w:sz w:val="20"/>
                <w:szCs w:val="20"/>
                <w:color w:val="auto"/>
              </w:rPr>
            </w:pPr>
            <w:r>
              <w:rPr>
                <w:rFonts w:ascii="Arial" w:cs="Arial" w:eastAsia="Arial" w:hAnsi="Arial"/>
                <w:sz w:val="18"/>
                <w:szCs w:val="18"/>
                <w:color w:val="auto"/>
              </w:rPr>
              <w:t>56.27</w:t>
            </w:r>
          </w:p>
        </w:tc>
      </w:tr>
      <w:tr>
        <w:trPr>
          <w:trHeight w:val="216"/>
        </w:trPr>
        <w:tc>
          <w:tcPr>
            <w:tcW w:w="5660" w:type="dxa"/>
            <w:vAlign w:val="bottom"/>
            <w:shd w:val="clear" w:color="auto" w:fill="CCEEFF"/>
          </w:tcPr>
          <w:p>
            <w:pPr>
              <w:ind w:left="180"/>
              <w:spacing w:after="0"/>
              <w:rPr>
                <w:sz w:val="20"/>
                <w:szCs w:val="20"/>
                <w:color w:val="auto"/>
              </w:rPr>
            </w:pPr>
            <w:r>
              <w:rPr>
                <w:rFonts w:ascii="Arial" w:cs="Arial" w:eastAsia="Arial" w:hAnsi="Arial"/>
                <w:sz w:val="18"/>
                <w:szCs w:val="18"/>
                <w:color w:val="auto"/>
              </w:rPr>
              <w:t>Transfer from other Timken businesses</w:t>
            </w:r>
          </w:p>
        </w:tc>
        <w:tc>
          <w:tcPr>
            <w:tcW w:w="420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38,685</w:t>
            </w:r>
          </w:p>
        </w:tc>
        <w:tc>
          <w:tcPr>
            <w:tcW w:w="620" w:type="dxa"/>
            <w:vAlign w:val="bottom"/>
            <w:shd w:val="clear" w:color="auto" w:fill="CCEEFF"/>
          </w:tcPr>
          <w:p>
            <w:pPr>
              <w:ind w:left="80"/>
              <w:spacing w:after="0"/>
              <w:rPr>
                <w:sz w:val="20"/>
                <w:szCs w:val="20"/>
                <w:color w:val="auto"/>
              </w:rPr>
            </w:pPr>
            <w:r>
              <w:rPr>
                <w:rFonts w:ascii="Arial" w:cs="Arial" w:eastAsia="Arial" w:hAnsi="Arial"/>
                <w:sz w:val="18"/>
                <w:szCs w:val="18"/>
                <w:color w:val="auto"/>
              </w:rPr>
              <w:t>$</w:t>
            </w:r>
          </w:p>
        </w:tc>
        <w:tc>
          <w:tcPr>
            <w:tcW w:w="94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39.08</w:t>
            </w:r>
          </w:p>
        </w:tc>
      </w:tr>
      <w:tr>
        <w:trPr>
          <w:trHeight w:val="216"/>
        </w:trPr>
        <w:tc>
          <w:tcPr>
            <w:tcW w:w="5660" w:type="dxa"/>
            <w:vAlign w:val="bottom"/>
          </w:tcPr>
          <w:p>
            <w:pPr>
              <w:ind w:left="180"/>
              <w:spacing w:after="0"/>
              <w:rPr>
                <w:sz w:val="20"/>
                <w:szCs w:val="20"/>
                <w:color w:val="auto"/>
              </w:rPr>
            </w:pPr>
            <w:r>
              <w:rPr>
                <w:rFonts w:ascii="Arial" w:cs="Arial" w:eastAsia="Arial" w:hAnsi="Arial"/>
                <w:sz w:val="18"/>
                <w:szCs w:val="18"/>
                <w:color w:val="auto"/>
              </w:rPr>
              <w:t>Vested</w:t>
            </w:r>
          </w:p>
        </w:tc>
        <w:tc>
          <w:tcPr>
            <w:tcW w:w="4200" w:type="dxa"/>
            <w:vAlign w:val="bottom"/>
          </w:tcPr>
          <w:p>
            <w:pPr>
              <w:jc w:val="right"/>
              <w:spacing w:after="0"/>
              <w:rPr>
                <w:sz w:val="20"/>
                <w:szCs w:val="20"/>
                <w:color w:val="auto"/>
              </w:rPr>
            </w:pPr>
            <w:r>
              <w:rPr>
                <w:rFonts w:ascii="Arial" w:cs="Arial" w:eastAsia="Arial" w:hAnsi="Arial"/>
                <w:sz w:val="18"/>
                <w:szCs w:val="18"/>
                <w:color w:val="auto"/>
              </w:rPr>
              <w:t>(31,472)</w:t>
            </w:r>
          </w:p>
        </w:tc>
        <w:tc>
          <w:tcPr>
            <w:tcW w:w="620" w:type="dxa"/>
            <w:vAlign w:val="bottom"/>
          </w:tcPr>
          <w:p>
            <w:pPr>
              <w:ind w:left="80"/>
              <w:spacing w:after="0"/>
              <w:rPr>
                <w:sz w:val="20"/>
                <w:szCs w:val="20"/>
                <w:color w:val="auto"/>
              </w:rPr>
            </w:pPr>
            <w:r>
              <w:rPr>
                <w:rFonts w:ascii="Arial" w:cs="Arial" w:eastAsia="Arial" w:hAnsi="Arial"/>
                <w:sz w:val="18"/>
                <w:szCs w:val="18"/>
                <w:color w:val="auto"/>
              </w:rPr>
              <w:t>$</w:t>
            </w:r>
          </w:p>
        </w:tc>
        <w:tc>
          <w:tcPr>
            <w:tcW w:w="940" w:type="dxa"/>
            <w:vAlign w:val="bottom"/>
          </w:tcPr>
          <w:p>
            <w:pPr>
              <w:jc w:val="right"/>
              <w:ind w:right="10"/>
              <w:spacing w:after="0"/>
              <w:rPr>
                <w:sz w:val="20"/>
                <w:szCs w:val="20"/>
                <w:color w:val="auto"/>
              </w:rPr>
            </w:pPr>
            <w:r>
              <w:rPr>
                <w:rFonts w:ascii="Arial" w:cs="Arial" w:eastAsia="Arial" w:hAnsi="Arial"/>
                <w:sz w:val="18"/>
                <w:szCs w:val="18"/>
                <w:color w:val="auto"/>
              </w:rPr>
              <w:t>28.84</w:t>
            </w:r>
          </w:p>
        </w:tc>
      </w:tr>
      <w:tr>
        <w:trPr>
          <w:trHeight w:val="216"/>
        </w:trPr>
        <w:tc>
          <w:tcPr>
            <w:tcW w:w="5660" w:type="dxa"/>
            <w:vAlign w:val="bottom"/>
            <w:tcBorders>
              <w:bottom w:val="single" w:sz="8" w:color="auto"/>
            </w:tcBorders>
            <w:shd w:val="clear" w:color="auto" w:fill="CCEEFF"/>
          </w:tcPr>
          <w:p>
            <w:pPr>
              <w:ind w:left="180"/>
              <w:spacing w:after="0"/>
              <w:rPr>
                <w:sz w:val="20"/>
                <w:szCs w:val="20"/>
                <w:color w:val="auto"/>
              </w:rPr>
            </w:pPr>
            <w:r>
              <w:rPr>
                <w:rFonts w:ascii="Arial" w:cs="Arial" w:eastAsia="Arial" w:hAnsi="Arial"/>
                <w:sz w:val="18"/>
                <w:szCs w:val="18"/>
                <w:color w:val="auto"/>
              </w:rPr>
              <w:t>Cancellation or expired</w:t>
            </w:r>
          </w:p>
        </w:tc>
        <w:tc>
          <w:tcPr>
            <w:tcW w:w="4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(1,019)</w:t>
            </w:r>
          </w:p>
        </w:tc>
        <w:tc>
          <w:tcPr>
            <w:tcW w:w="620" w:type="dxa"/>
            <w:vAlign w:val="bottom"/>
            <w:tcBorders>
              <w:bottom w:val="single" w:sz="8" w:color="auto"/>
            </w:tcBorders>
            <w:shd w:val="clear" w:color="auto" w:fill="CCEEFF"/>
          </w:tcPr>
          <w:p>
            <w:pPr>
              <w:ind w:left="80"/>
              <w:spacing w:after="0"/>
              <w:rPr>
                <w:sz w:val="20"/>
                <w:szCs w:val="20"/>
                <w:color w:val="auto"/>
              </w:rPr>
            </w:pPr>
            <w:r>
              <w:rPr>
                <w:rFonts w:ascii="Arial" w:cs="Arial" w:eastAsia="Arial" w:hAnsi="Arial"/>
                <w:sz w:val="18"/>
                <w:szCs w:val="18"/>
                <w:color w:val="auto"/>
              </w:rPr>
              <w:t>$</w:t>
            </w:r>
          </w:p>
        </w:tc>
        <w:tc>
          <w:tcPr>
            <w:tcW w:w="94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42.20</w:t>
            </w:r>
          </w:p>
        </w:tc>
      </w:tr>
      <w:tr>
        <w:trPr>
          <w:trHeight w:val="210"/>
        </w:trPr>
        <w:tc>
          <w:tcPr>
            <w:tcW w:w="566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Outstanding - end of year</w:t>
            </w:r>
          </w:p>
        </w:tc>
        <w:tc>
          <w:tcPr>
            <w:tcW w:w="420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81,251</w:t>
            </w:r>
          </w:p>
        </w:tc>
        <w:tc>
          <w:tcPr>
            <w:tcW w:w="620" w:type="dxa"/>
            <w:vAlign w:val="bottom"/>
            <w:tcBorders>
              <w:bottom w:val="single" w:sz="8" w:color="auto"/>
            </w:tcBorders>
          </w:tcPr>
          <w:p>
            <w:pPr>
              <w:ind w:left="80"/>
              <w:spacing w:after="0"/>
              <w:rPr>
                <w:sz w:val="20"/>
                <w:szCs w:val="20"/>
                <w:color w:val="auto"/>
              </w:rPr>
            </w:pPr>
            <w:r>
              <w:rPr>
                <w:rFonts w:ascii="Arial" w:cs="Arial" w:eastAsia="Arial" w:hAnsi="Arial"/>
                <w:sz w:val="18"/>
                <w:szCs w:val="18"/>
                <w:color w:val="auto"/>
              </w:rPr>
              <w:t>$</w:t>
            </w:r>
          </w:p>
        </w:tc>
        <w:tc>
          <w:tcPr>
            <w:tcW w:w="94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43.35</w:t>
            </w:r>
          </w:p>
        </w:tc>
      </w:tr>
    </w:tbl>
    <w:p>
      <w:pPr>
        <w:spacing w:after="0" w:line="202" w:lineRule="exact"/>
        <w:rPr>
          <w:sz w:val="20"/>
          <w:szCs w:val="20"/>
          <w:color w:val="auto"/>
        </w:rPr>
      </w:pPr>
    </w:p>
    <w:p>
      <w:pPr>
        <w:ind w:right="60" w:firstLine="913"/>
        <w:spacing w:after="0" w:line="259" w:lineRule="auto"/>
        <w:rPr>
          <w:sz w:val="20"/>
          <w:szCs w:val="20"/>
          <w:color w:val="auto"/>
        </w:rPr>
      </w:pPr>
      <w:r>
        <w:rPr>
          <w:rFonts w:ascii="Arial" w:cs="Arial" w:eastAsia="Arial" w:hAnsi="Arial"/>
          <w:sz w:val="18"/>
          <w:szCs w:val="18"/>
          <w:color w:val="auto"/>
        </w:rPr>
        <w:t>As of December 31, 2013, a total of 81,251 restricted shares have been awarded that have not yet vested. Timken distributed 31,472, 32,209 and 36,847 shares in 2013, 2012 and 2011, respectively, due to the vesting of these awards. The shares awarded in 2013, 2012 and 2011 totaled 12,600, 9,020 and 31,840, respectively. TimkenSteel recognized compensation expense of $1.3 million, $1.0 million and $1.3 million, for the years ended December 31, 2013, 2012 and 2011, respectively, relating to restricted shares.</w:t>
      </w:r>
    </w:p>
    <w:p>
      <w:pPr>
        <w:spacing w:after="0" w:line="187" w:lineRule="exact"/>
        <w:rPr>
          <w:sz w:val="20"/>
          <w:szCs w:val="20"/>
          <w:color w:val="auto"/>
        </w:rPr>
      </w:pPr>
    </w:p>
    <w:p>
      <w:pPr>
        <w:ind w:right="300" w:firstLine="913"/>
        <w:spacing w:after="0" w:line="264" w:lineRule="auto"/>
        <w:rPr>
          <w:sz w:val="20"/>
          <w:szCs w:val="20"/>
          <w:color w:val="auto"/>
        </w:rPr>
      </w:pPr>
      <w:r>
        <w:rPr>
          <w:rFonts w:ascii="Arial" w:cs="Arial" w:eastAsia="Arial" w:hAnsi="Arial"/>
          <w:sz w:val="18"/>
          <w:szCs w:val="18"/>
          <w:color w:val="auto"/>
        </w:rPr>
        <w:t>As of December 31, 2013, TimkenSteel had unrecognized compensation expense of $3.1 million related to stock option awards and restricted shares. The unrecognized compensation expense is expected to be recognized over a total weighted-average period of two years. The number of shares available to Timken for future grants for all plans as of December 31, 2013 was 7,562,958.</w:t>
      </w:r>
    </w:p>
    <w:p>
      <w:pPr>
        <w:spacing w:after="0" w:line="181" w:lineRule="exact"/>
        <w:rPr>
          <w:sz w:val="20"/>
          <w:szCs w:val="20"/>
          <w:color w:val="auto"/>
        </w:rPr>
      </w:pPr>
    </w:p>
    <w:p>
      <w:pPr>
        <w:ind w:right="240" w:firstLine="913"/>
        <w:spacing w:after="0" w:line="279" w:lineRule="auto"/>
        <w:rPr>
          <w:sz w:val="20"/>
          <w:szCs w:val="20"/>
          <w:color w:val="auto"/>
        </w:rPr>
      </w:pPr>
      <w:r>
        <w:rPr>
          <w:rFonts w:ascii="Arial" w:cs="Arial" w:eastAsia="Arial" w:hAnsi="Arial"/>
          <w:sz w:val="17"/>
          <w:szCs w:val="17"/>
          <w:color w:val="auto"/>
        </w:rPr>
        <w:t>Timken offers to certain employees a performance unit component under its long-term incentive plan in which awards are earned based on Timken’s performance measured by two metrics over a three-year performance period. The Compensation Committee of the Timken board of directors can elect to make payments that become due in the form of cash or Timken’s common shares. No performance units were granted in 2013 or 2012. A total of 11,180 performance units were granted in 2011. Each performance unit has a cash value of $100.</w:t>
      </w:r>
    </w:p>
    <w:p>
      <w:pPr>
        <w:spacing w:after="0" w:line="10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F-15</w:t>
      </w:r>
    </w:p>
    <w:p>
      <w:pPr>
        <w:sectPr>
          <w:pgSz w:w="11900" w:h="16838" w:orient="portrait"/>
          <w:cols w:equalWidth="0" w:num="1">
            <w:col w:w="11420"/>
          </w:cols>
          <w:pgMar w:left="240" w:top="459" w:right="239" w:bottom="1440" w:gutter="0" w:footer="0" w:header="0"/>
        </w:sectPr>
      </w:pPr>
    </w:p>
    <w:bookmarkStart w:id="122" w:name="page123"/>
    <w:bookmarkEnd w:id="12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50">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292" w:lineRule="exact"/>
        <w:rPr>
          <w:sz w:val="20"/>
          <w:szCs w:val="20"/>
          <w:color w:val="auto"/>
        </w:rPr>
      </w:pPr>
    </w:p>
    <w:p>
      <w:pPr>
        <w:spacing w:after="0"/>
        <w:rPr>
          <w:sz w:val="20"/>
          <w:szCs w:val="20"/>
          <w:color w:val="auto"/>
        </w:rPr>
      </w:pPr>
      <w:r>
        <w:rPr>
          <w:rFonts w:ascii="Arial" w:cs="Arial" w:eastAsia="Arial" w:hAnsi="Arial"/>
          <w:sz w:val="23"/>
          <w:szCs w:val="23"/>
          <w:b w:val="1"/>
          <w:bCs w:val="1"/>
          <w:color w:val="auto"/>
        </w:rPr>
        <w:t>Note 10 - Retirement Benefit Plans</w:t>
      </w:r>
    </w:p>
    <w:p>
      <w:pPr>
        <w:spacing w:after="0" w:line="239" w:lineRule="exact"/>
        <w:rPr>
          <w:sz w:val="20"/>
          <w:szCs w:val="20"/>
          <w:color w:val="auto"/>
        </w:rPr>
      </w:pPr>
    </w:p>
    <w:p>
      <w:pPr>
        <w:ind w:right="160" w:firstLine="913"/>
        <w:spacing w:after="0" w:line="272" w:lineRule="auto"/>
        <w:rPr>
          <w:sz w:val="20"/>
          <w:szCs w:val="20"/>
          <w:color w:val="auto"/>
        </w:rPr>
      </w:pPr>
      <w:r>
        <w:rPr>
          <w:rFonts w:ascii="Arial" w:cs="Arial" w:eastAsia="Arial" w:hAnsi="Arial"/>
          <w:sz w:val="17"/>
          <w:szCs w:val="17"/>
          <w:color w:val="auto"/>
        </w:rPr>
        <w:t>Timken offers various retirement benefits to its eligible employees, including employees of TimkenSteel. Because Timken provides these benefits to eligible employees and retirees of TimkenSteel, the costs to participating employees of TimkenSteel in these plans are reflected in the Audited Consolidated Financial Statements, while the related assets and liabilities are retained by Timken. TimkenSteel expects to record the net benefit plan obligations related to these plans and reflect them on the Consolidated Balance Sheet as of the distribution date. Expense allocations for these benefits were determined based on a review of personnel by business unit and based on allocations of corporate and other shared functional personnel. All cost allocations related to the various retirement benefit plans have been deemed paid by TimkenSteel to Timken in the period in which the cost was recorded in the Consolidated Statements of Comprehensive Income.</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Defined Benefit Pensions</w:t>
      </w:r>
    </w:p>
    <w:p>
      <w:pPr>
        <w:spacing w:after="0" w:line="225" w:lineRule="exact"/>
        <w:rPr>
          <w:sz w:val="20"/>
          <w:szCs w:val="20"/>
          <w:color w:val="auto"/>
        </w:rPr>
      </w:pPr>
    </w:p>
    <w:p>
      <w:pPr>
        <w:ind w:right="80" w:firstLine="913"/>
        <w:spacing w:after="0" w:line="276" w:lineRule="auto"/>
        <w:rPr>
          <w:sz w:val="20"/>
          <w:szCs w:val="20"/>
          <w:color w:val="auto"/>
        </w:rPr>
      </w:pPr>
      <w:r>
        <w:rPr>
          <w:rFonts w:ascii="Arial" w:cs="Arial" w:eastAsia="Arial" w:hAnsi="Arial"/>
          <w:sz w:val="17"/>
          <w:szCs w:val="17"/>
          <w:color w:val="auto"/>
        </w:rPr>
        <w:t>Timken sponsors The Timken Company Pension Plan, The Timken-Latrobe-MPB-Torrington Retirement Plan and Timken UK Pension Scheme, which cover eligible TimkenSteel employees, including certain employees in foreign countries. These plans are generally non-contributory. Pension benefits earned are generally based on years of service and compensation during active employment. Asset allocations are established in a manner consistent with projected plan liabilities, benefit payments and expected rates of return for various asset classes. The expected rate of return for the investment portfolio is based on expected rates of return for the various asset classes, as well as historical asset class and fund performance.</w:t>
      </w:r>
    </w:p>
    <w:p>
      <w:pPr>
        <w:spacing w:after="0" w:line="173" w:lineRule="exact"/>
        <w:rPr>
          <w:sz w:val="20"/>
          <w:szCs w:val="20"/>
          <w:color w:val="auto"/>
        </w:rPr>
      </w:pPr>
    </w:p>
    <w:p>
      <w:pPr>
        <w:ind w:right="80" w:firstLine="913"/>
        <w:spacing w:after="0" w:line="259" w:lineRule="auto"/>
        <w:rPr>
          <w:sz w:val="20"/>
          <w:szCs w:val="20"/>
          <w:color w:val="auto"/>
        </w:rPr>
      </w:pPr>
      <w:r>
        <w:rPr>
          <w:rFonts w:ascii="Arial" w:cs="Arial" w:eastAsia="Arial" w:hAnsi="Arial"/>
          <w:sz w:val="18"/>
          <w:szCs w:val="18"/>
          <w:color w:val="auto"/>
        </w:rPr>
        <w:t>Total Timken defined benefit pension plan expenses allocated to TimkenSteel and contributed to the plans were $23.8 million in 2013, $19.0 million in 2012 and $15.9 million in 2011. These costs are reflected in the Consolidated Statements of Comprehensive Income as a component of cost of products sold and selling, general and administrative expenses. These costs were funded through intercompany transactions with Timken, which are reflected within the Net Parent Investment balance.</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Postretirement Benefits</w:t>
      </w:r>
    </w:p>
    <w:p>
      <w:pPr>
        <w:spacing w:after="0" w:line="225" w:lineRule="exact"/>
        <w:rPr>
          <w:sz w:val="20"/>
          <w:szCs w:val="20"/>
          <w:color w:val="auto"/>
        </w:rPr>
      </w:pPr>
    </w:p>
    <w:p>
      <w:pPr>
        <w:ind w:right="20" w:firstLine="913"/>
        <w:spacing w:after="0" w:line="273" w:lineRule="auto"/>
        <w:rPr>
          <w:sz w:val="20"/>
          <w:szCs w:val="20"/>
          <w:color w:val="auto"/>
        </w:rPr>
      </w:pPr>
      <w:r>
        <w:rPr>
          <w:rFonts w:ascii="Arial" w:cs="Arial" w:eastAsia="Arial" w:hAnsi="Arial"/>
          <w:sz w:val="17"/>
          <w:szCs w:val="17"/>
          <w:color w:val="auto"/>
        </w:rPr>
        <w:t>Timken sponsors several funded and unfunded postretirement plans that provide health care and life insurance benefits for eligible retirees and dependents of TimkenSteel. Depending on retirement date and employee classification, certain health care plans contain contribution and cost-sharing features such as deductibles and co-insurance. The remaining health care and life insurance plans are non-contributory. TimkenSteel recorded $6.4 million in 2013, $9.0 million in 2012 and $13.7 million in 2011 for Timken allocated expenses and contributions in connection with these plans. These costs were funded through intercompany transactions with Timken, which are reflected within the Net Parent Investment balance. Following is a listing of postretirement plans sponsored by Timken in which eligible TimkenSteel employees and retirees participate:</w:t>
      </w:r>
    </w:p>
    <w:p>
      <w:pPr>
        <w:spacing w:after="0" w:line="205" w:lineRule="exact"/>
        <w:rPr>
          <w:sz w:val="20"/>
          <w:szCs w:val="20"/>
          <w:color w:val="auto"/>
        </w:rPr>
      </w:pPr>
    </w:p>
    <w:p>
      <w:pPr>
        <w:ind w:left="1120" w:hanging="207"/>
        <w:spacing w:after="0"/>
        <w:tabs>
          <w:tab w:leader="none" w:pos="1120" w:val="left"/>
        </w:tabs>
        <w:numPr>
          <w:ilvl w:val="0"/>
          <w:numId w:val="48"/>
        </w:numPr>
        <w:rPr>
          <w:rFonts w:ascii="Arial" w:cs="Arial" w:eastAsia="Arial" w:hAnsi="Arial"/>
          <w:sz w:val="18"/>
          <w:szCs w:val="18"/>
          <w:color w:val="auto"/>
        </w:rPr>
      </w:pPr>
      <w:r>
        <w:rPr>
          <w:rFonts w:ascii="Arial" w:cs="Arial" w:eastAsia="Arial" w:hAnsi="Arial"/>
          <w:sz w:val="18"/>
          <w:szCs w:val="18"/>
          <w:color w:val="auto"/>
        </w:rPr>
        <w:t>The Timken Company Bargaining Unit Welfare Benefit Plan for Retirees</w:t>
      </w:r>
    </w:p>
    <w:p>
      <w:pPr>
        <w:spacing w:after="0" w:line="23" w:lineRule="exact"/>
        <w:rPr>
          <w:rFonts w:ascii="Arial" w:cs="Arial" w:eastAsia="Arial" w:hAnsi="Arial"/>
          <w:sz w:val="18"/>
          <w:szCs w:val="18"/>
          <w:color w:val="auto"/>
        </w:rPr>
      </w:pPr>
    </w:p>
    <w:p>
      <w:pPr>
        <w:ind w:left="1120" w:hanging="207"/>
        <w:spacing w:after="0"/>
        <w:tabs>
          <w:tab w:leader="none" w:pos="1120" w:val="left"/>
        </w:tabs>
        <w:numPr>
          <w:ilvl w:val="0"/>
          <w:numId w:val="48"/>
        </w:numPr>
        <w:rPr>
          <w:rFonts w:ascii="Arial" w:cs="Arial" w:eastAsia="Arial" w:hAnsi="Arial"/>
          <w:sz w:val="18"/>
          <w:szCs w:val="18"/>
          <w:color w:val="auto"/>
        </w:rPr>
      </w:pPr>
      <w:r>
        <w:rPr>
          <w:rFonts w:ascii="Arial" w:cs="Arial" w:eastAsia="Arial" w:hAnsi="Arial"/>
          <w:sz w:val="18"/>
          <w:szCs w:val="18"/>
          <w:color w:val="auto"/>
        </w:rPr>
        <w:t>The Timken Company Welfare Plan for Retirees</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Defined Contribution Plan - Employee Savings Plans</w:t>
      </w:r>
    </w:p>
    <w:p>
      <w:pPr>
        <w:spacing w:after="0" w:line="225" w:lineRule="exact"/>
        <w:rPr>
          <w:sz w:val="20"/>
          <w:szCs w:val="20"/>
          <w:color w:val="auto"/>
        </w:rPr>
      </w:pPr>
    </w:p>
    <w:p>
      <w:pPr>
        <w:ind w:firstLine="913"/>
        <w:spacing w:after="0" w:line="257" w:lineRule="auto"/>
        <w:rPr>
          <w:sz w:val="20"/>
          <w:szCs w:val="20"/>
          <w:color w:val="auto"/>
        </w:rPr>
      </w:pPr>
      <w:r>
        <w:rPr>
          <w:rFonts w:ascii="Arial" w:cs="Arial" w:eastAsia="Arial" w:hAnsi="Arial"/>
          <w:sz w:val="18"/>
          <w:szCs w:val="18"/>
          <w:color w:val="auto"/>
        </w:rPr>
        <w:t>Timken sponsors defined contribution retirement and savings plans covering substantially all of TimkenSteel’s employees in the United States and employees at certain foreign locations. Timken has contributed its common shares to certain of these plans based on formulas established in the respective plan agreements. At December 31, 2013, the plans held 1,443,504 Timken common shares with a fair value of $79.5 million attributable to employees of TimkenSteel. TimkenSteel recorded charges for contributions to these defined contribution plans of $3.8 million in 2013, $3.9 million in 2012 and $3.5 million in 2011.</w:t>
      </w:r>
    </w:p>
    <w:p>
      <w:pPr>
        <w:spacing w:after="0" w:line="12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F-16</w:t>
      </w:r>
    </w:p>
    <w:p>
      <w:pPr>
        <w:sectPr>
          <w:pgSz w:w="11900" w:h="16838" w:orient="portrait"/>
          <w:cols w:equalWidth="0" w:num="1">
            <w:col w:w="11420"/>
          </w:cols>
          <w:pgMar w:left="240" w:top="459" w:right="239" w:bottom="1440" w:gutter="0" w:footer="0" w:header="0"/>
        </w:sectPr>
      </w:pPr>
    </w:p>
    <w:bookmarkStart w:id="123" w:name="page124"/>
    <w:bookmarkEnd w:id="12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51">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292" w:lineRule="exact"/>
        <w:rPr>
          <w:sz w:val="20"/>
          <w:szCs w:val="20"/>
          <w:color w:val="auto"/>
        </w:rPr>
      </w:pPr>
    </w:p>
    <w:p>
      <w:pPr>
        <w:spacing w:after="0"/>
        <w:rPr>
          <w:sz w:val="20"/>
          <w:szCs w:val="20"/>
          <w:color w:val="auto"/>
        </w:rPr>
      </w:pPr>
      <w:r>
        <w:rPr>
          <w:rFonts w:ascii="Arial" w:cs="Arial" w:eastAsia="Arial" w:hAnsi="Arial"/>
          <w:sz w:val="23"/>
          <w:szCs w:val="23"/>
          <w:b w:val="1"/>
          <w:bCs w:val="1"/>
          <w:color w:val="auto"/>
        </w:rPr>
        <w:t>Note 11 - Segment Information</w:t>
      </w:r>
    </w:p>
    <w:p>
      <w:pPr>
        <w:spacing w:after="0" w:line="239" w:lineRule="exact"/>
        <w:rPr>
          <w:sz w:val="20"/>
          <w:szCs w:val="20"/>
          <w:color w:val="auto"/>
        </w:rPr>
      </w:pPr>
    </w:p>
    <w:p>
      <w:pPr>
        <w:ind w:right="20" w:firstLine="913"/>
        <w:spacing w:after="0" w:line="272" w:lineRule="auto"/>
        <w:rPr>
          <w:sz w:val="20"/>
          <w:szCs w:val="20"/>
          <w:color w:val="auto"/>
        </w:rPr>
      </w:pPr>
      <w:r>
        <w:rPr>
          <w:rFonts w:ascii="Arial" w:cs="Arial" w:eastAsia="Arial" w:hAnsi="Arial"/>
          <w:sz w:val="17"/>
          <w:szCs w:val="17"/>
          <w:color w:val="auto"/>
        </w:rPr>
        <w:t>TimkenSteel operates and reports financial results for two segments: Industrial &amp; Mobile and Energy &amp; Distribution. These segments represent the level at which the chief operating decision maker (CODM) will review the financial performance of TimkenSteel and makes operating decisions. Segment earnings before interest and taxes (EBIT) is the measure of profit and loss that the CODM uses to evaluate the financial performance of TimkenSteel and is the basis for resource allocation, performance reviews and compensation. For these reasons, TimkenSteel believes that Segment EBIT represents the most relevant measure of segment profit and loss. The CODM may exclude certain charges or gains, such as corporate charges and other special charges, from EBIT to arrive at a Segment EBIT that is a more meaningful measure of profit and loss upon which to base operating decisions. TimkenSteel defines Segment EBIT margin as Segment EBIT as a percentage of net revenues.</w:t>
      </w:r>
    </w:p>
    <w:p>
      <w:pPr>
        <w:spacing w:after="0" w:line="178" w:lineRule="exact"/>
        <w:rPr>
          <w:sz w:val="20"/>
          <w:szCs w:val="20"/>
          <w:color w:val="auto"/>
        </w:rPr>
      </w:pPr>
    </w:p>
    <w:p>
      <w:pPr>
        <w:ind w:left="920"/>
        <w:spacing w:after="0"/>
        <w:rPr>
          <w:sz w:val="20"/>
          <w:szCs w:val="20"/>
          <w:color w:val="auto"/>
        </w:rPr>
      </w:pPr>
      <w:r>
        <w:rPr>
          <w:rFonts w:ascii="Arial" w:cs="Arial" w:eastAsia="Arial" w:hAnsi="Arial"/>
          <w:sz w:val="18"/>
          <w:szCs w:val="18"/>
          <w:b w:val="1"/>
          <w:bCs w:val="1"/>
          <w:i w:val="1"/>
          <w:iCs w:val="1"/>
          <w:color w:val="auto"/>
        </w:rPr>
        <w:t>Industrial &amp; Mobile</w:t>
      </w:r>
    </w:p>
    <w:p>
      <w:pPr>
        <w:spacing w:after="0" w:line="225" w:lineRule="exact"/>
        <w:rPr>
          <w:sz w:val="20"/>
          <w:szCs w:val="20"/>
          <w:color w:val="auto"/>
        </w:rPr>
      </w:pPr>
    </w:p>
    <w:p>
      <w:pPr>
        <w:ind w:right="80" w:firstLine="913"/>
        <w:spacing w:after="0" w:line="276" w:lineRule="auto"/>
        <w:rPr>
          <w:sz w:val="20"/>
          <w:szCs w:val="20"/>
          <w:color w:val="auto"/>
        </w:rPr>
      </w:pPr>
      <w:r>
        <w:rPr>
          <w:rFonts w:ascii="Arial" w:cs="Arial" w:eastAsia="Arial" w:hAnsi="Arial"/>
          <w:sz w:val="17"/>
          <w:szCs w:val="17"/>
          <w:color w:val="auto"/>
        </w:rPr>
        <w:t>Our Industrial &amp; Mobile segment is a leading provider of high quality air-melted alloy steel bars, tubes, precision components and value-added services. For the industrial market sector, we sell to original equipment manufacturers including agriculture, construction, machinery, military, mining, power generation and rail. For the mobile market sector, we sell to automotive customers including light-vehicle, medium-truck and heavy-truck applications. Our products in this segment are in applications including engine, transmission and driveline components, large hydraulic system components, military ordnance, mining and construction drilling applications and other types of equipment.</w:t>
      </w:r>
    </w:p>
    <w:p>
      <w:pPr>
        <w:spacing w:after="0" w:line="173" w:lineRule="exact"/>
        <w:rPr>
          <w:sz w:val="20"/>
          <w:szCs w:val="20"/>
          <w:color w:val="auto"/>
        </w:rPr>
      </w:pPr>
    </w:p>
    <w:p>
      <w:pPr>
        <w:ind w:left="920"/>
        <w:spacing w:after="0"/>
        <w:rPr>
          <w:sz w:val="20"/>
          <w:szCs w:val="20"/>
          <w:color w:val="auto"/>
        </w:rPr>
      </w:pPr>
      <w:r>
        <w:rPr>
          <w:rFonts w:ascii="Arial" w:cs="Arial" w:eastAsia="Arial" w:hAnsi="Arial"/>
          <w:sz w:val="18"/>
          <w:szCs w:val="18"/>
          <w:b w:val="1"/>
          <w:bCs w:val="1"/>
          <w:i w:val="1"/>
          <w:iCs w:val="1"/>
          <w:color w:val="auto"/>
        </w:rPr>
        <w:t>Energy &amp; Distribution</w:t>
      </w:r>
    </w:p>
    <w:p>
      <w:pPr>
        <w:spacing w:after="0" w:line="225" w:lineRule="exact"/>
        <w:rPr>
          <w:sz w:val="20"/>
          <w:szCs w:val="20"/>
          <w:color w:val="auto"/>
        </w:rPr>
      </w:pPr>
    </w:p>
    <w:p>
      <w:pPr>
        <w:ind w:right="160" w:firstLine="913"/>
        <w:spacing w:after="0" w:line="291" w:lineRule="auto"/>
        <w:rPr>
          <w:sz w:val="20"/>
          <w:szCs w:val="20"/>
          <w:color w:val="auto"/>
        </w:rPr>
      </w:pPr>
      <w:r>
        <w:rPr>
          <w:rFonts w:ascii="Arial" w:cs="Arial" w:eastAsia="Arial" w:hAnsi="Arial"/>
          <w:sz w:val="16"/>
          <w:szCs w:val="16"/>
          <w:color w:val="auto"/>
        </w:rPr>
        <w:t>Our Energy &amp; Distribution segment is a leading provider of high quality air-melted alloy steel bars, seamless tubes and value-added services such as thermal treatment and machining. The Energy &amp; Distribution segment offers unique steel chemistries in various product configurations to improve our customers’ performance in demanding drilling, completion and production activities. Application of our engineered material solutions can be found in both offshore and land based drilling rig activities. Vertical and horizontal drilling and completion applications include high strength drill string components and specialized completion tools that enable hydraulic fracturing for shale gas and oil. Distribution channel activity is also conducted through this segment. Our distribution channel activity constitutes direct sales of steel bars and seamless mechanical tubes to our distributors. TimkenSteel authorized service centers enable us to collaborate with various independent service centers to deliver differentiated solutions for our end users.</w:t>
      </w:r>
    </w:p>
    <w:p>
      <w:pPr>
        <w:spacing w:after="0" w:line="190"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500" w:type="dxa"/>
            <w:vAlign w:val="bottom"/>
            <w:tcBorders>
              <w:bottom w:val="single" w:sz="8" w:color="auto"/>
            </w:tcBorders>
          </w:tcPr>
          <w:p>
            <w:pPr>
              <w:spacing w:after="0"/>
              <w:rPr>
                <w:sz w:val="20"/>
                <w:szCs w:val="20"/>
                <w:color w:val="auto"/>
              </w:rPr>
            </w:pPr>
          </w:p>
        </w:tc>
        <w:tc>
          <w:tcPr>
            <w:tcW w:w="2140" w:type="dxa"/>
            <w:vAlign w:val="bottom"/>
            <w:tcBorders>
              <w:bottom w:val="single" w:sz="8" w:color="auto"/>
            </w:tcBorders>
          </w:tcPr>
          <w:p>
            <w:pPr>
              <w:spacing w:after="0"/>
              <w:rPr>
                <w:sz w:val="20"/>
                <w:szCs w:val="20"/>
                <w:color w:val="auto"/>
              </w:rPr>
            </w:pPr>
          </w:p>
        </w:tc>
        <w:tc>
          <w:tcPr>
            <w:tcW w:w="1040" w:type="dxa"/>
            <w:vAlign w:val="bottom"/>
            <w:tcBorders>
              <w:bottom w:val="single" w:sz="8" w:color="auto"/>
            </w:tcBorders>
          </w:tcPr>
          <w:p>
            <w:pPr>
              <w:jc w:val="right"/>
              <w:ind w:right="450"/>
              <w:spacing w:after="0"/>
              <w:rPr>
                <w:sz w:val="20"/>
                <w:szCs w:val="20"/>
                <w:color w:val="auto"/>
              </w:rPr>
            </w:pPr>
            <w:r>
              <w:rPr>
                <w:rFonts w:ascii="Arial" w:cs="Arial" w:eastAsia="Arial" w:hAnsi="Arial"/>
                <w:sz w:val="18"/>
                <w:szCs w:val="18"/>
                <w:b w:val="1"/>
                <w:bCs w:val="1"/>
                <w:color w:val="auto"/>
              </w:rPr>
              <w:t>2013</w:t>
            </w:r>
          </w:p>
        </w:tc>
        <w:tc>
          <w:tcPr>
            <w:tcW w:w="320" w:type="dxa"/>
            <w:vAlign w:val="bottom"/>
            <w:tcBorders>
              <w:bottom w:val="single" w:sz="8" w:color="auto"/>
            </w:tcBorders>
          </w:tcPr>
          <w:p>
            <w:pPr>
              <w:spacing w:after="0"/>
              <w:rPr>
                <w:sz w:val="20"/>
                <w:szCs w:val="20"/>
                <w:color w:val="auto"/>
              </w:rPr>
            </w:pPr>
          </w:p>
        </w:tc>
        <w:tc>
          <w:tcPr>
            <w:tcW w:w="1060" w:type="dxa"/>
            <w:vAlign w:val="bottom"/>
            <w:tcBorders>
              <w:bottom w:val="single" w:sz="8" w:color="auto"/>
            </w:tcBorders>
          </w:tcPr>
          <w:p>
            <w:pPr>
              <w:jc w:val="right"/>
              <w:ind w:right="450"/>
              <w:spacing w:after="0"/>
              <w:rPr>
                <w:sz w:val="20"/>
                <w:szCs w:val="20"/>
                <w:color w:val="auto"/>
              </w:rPr>
            </w:pPr>
            <w:r>
              <w:rPr>
                <w:rFonts w:ascii="Arial" w:cs="Arial" w:eastAsia="Arial" w:hAnsi="Arial"/>
                <w:sz w:val="18"/>
                <w:szCs w:val="18"/>
                <w:color w:val="auto"/>
              </w:rPr>
              <w:t>2012</w:t>
            </w:r>
          </w:p>
        </w:tc>
        <w:tc>
          <w:tcPr>
            <w:tcW w:w="320" w:type="dxa"/>
            <w:vAlign w:val="bottom"/>
            <w:tcBorders>
              <w:bottom w:val="single" w:sz="8" w:color="auto"/>
            </w:tcBorders>
          </w:tcPr>
          <w:p>
            <w:pPr>
              <w:spacing w:after="0"/>
              <w:rPr>
                <w:sz w:val="20"/>
                <w:szCs w:val="20"/>
                <w:color w:val="auto"/>
              </w:rPr>
            </w:pPr>
          </w:p>
        </w:tc>
        <w:tc>
          <w:tcPr>
            <w:tcW w:w="1040" w:type="dxa"/>
            <w:vAlign w:val="bottom"/>
            <w:tcBorders>
              <w:bottom w:val="single" w:sz="8" w:color="auto"/>
            </w:tcBorders>
          </w:tcPr>
          <w:p>
            <w:pPr>
              <w:jc w:val="right"/>
              <w:ind w:right="430"/>
              <w:spacing w:after="0"/>
              <w:rPr>
                <w:sz w:val="20"/>
                <w:szCs w:val="20"/>
                <w:color w:val="auto"/>
              </w:rPr>
            </w:pPr>
            <w:r>
              <w:rPr>
                <w:rFonts w:ascii="Arial" w:cs="Arial" w:eastAsia="Arial" w:hAnsi="Arial"/>
                <w:sz w:val="18"/>
                <w:szCs w:val="18"/>
                <w:color w:val="auto"/>
              </w:rPr>
              <w:t>2011</w:t>
            </w:r>
          </w:p>
        </w:tc>
      </w:tr>
      <w:tr>
        <w:trPr>
          <w:trHeight w:val="210"/>
        </w:trPr>
        <w:tc>
          <w:tcPr>
            <w:tcW w:w="5500" w:type="dxa"/>
            <w:vAlign w:val="bottom"/>
            <w:shd w:val="clear" w:color="auto" w:fill="CCEEFF"/>
          </w:tcPr>
          <w:p>
            <w:pPr>
              <w:spacing w:after="0"/>
              <w:rPr>
                <w:sz w:val="20"/>
                <w:szCs w:val="20"/>
                <w:color w:val="auto"/>
              </w:rPr>
            </w:pPr>
            <w:r>
              <w:rPr>
                <w:rFonts w:ascii="Arial" w:cs="Arial" w:eastAsia="Arial" w:hAnsi="Arial"/>
                <w:sz w:val="18"/>
                <w:szCs w:val="18"/>
                <w:color w:val="auto"/>
              </w:rPr>
              <w:t>Net Sales to External Customers:</w:t>
            </w:r>
          </w:p>
        </w:tc>
        <w:tc>
          <w:tcPr>
            <w:tcW w:w="214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r>
      <w:tr>
        <w:trPr>
          <w:trHeight w:val="216"/>
        </w:trPr>
        <w:tc>
          <w:tcPr>
            <w:tcW w:w="5500" w:type="dxa"/>
            <w:vAlign w:val="bottom"/>
          </w:tcPr>
          <w:p>
            <w:pPr>
              <w:spacing w:after="0"/>
              <w:rPr>
                <w:sz w:val="20"/>
                <w:szCs w:val="20"/>
                <w:color w:val="auto"/>
              </w:rPr>
            </w:pPr>
            <w:r>
              <w:rPr>
                <w:rFonts w:ascii="Arial" w:cs="Arial" w:eastAsia="Arial" w:hAnsi="Arial"/>
                <w:sz w:val="18"/>
                <w:szCs w:val="18"/>
                <w:color w:val="auto"/>
              </w:rPr>
              <w:t>Industrial &amp; Mobile</w:t>
            </w:r>
          </w:p>
        </w:tc>
        <w:tc>
          <w:tcPr>
            <w:tcW w:w="2140" w:type="dxa"/>
            <w:vAlign w:val="bottom"/>
          </w:tcPr>
          <w:p>
            <w:pPr>
              <w:jc w:val="right"/>
              <w:ind w:right="70"/>
              <w:spacing w:after="0"/>
              <w:rPr>
                <w:sz w:val="20"/>
                <w:szCs w:val="20"/>
                <w:color w:val="auto"/>
              </w:rPr>
            </w:pPr>
            <w:r>
              <w:rPr>
                <w:rFonts w:ascii="Arial" w:cs="Arial" w:eastAsia="Arial" w:hAnsi="Arial"/>
                <w:sz w:val="18"/>
                <w:szCs w:val="18"/>
                <w:b w:val="1"/>
                <w:bCs w:val="1"/>
                <w:color w:val="auto"/>
              </w:rPr>
              <w:t>$</w:t>
            </w:r>
          </w:p>
        </w:tc>
        <w:tc>
          <w:tcPr>
            <w:tcW w:w="1040" w:type="dxa"/>
            <w:vAlign w:val="bottom"/>
          </w:tcPr>
          <w:p>
            <w:pPr>
              <w:jc w:val="right"/>
              <w:ind w:right="30"/>
              <w:spacing w:after="0"/>
              <w:rPr>
                <w:sz w:val="20"/>
                <w:szCs w:val="20"/>
                <w:color w:val="auto"/>
              </w:rPr>
            </w:pPr>
            <w:r>
              <w:rPr>
                <w:rFonts w:ascii="Arial" w:cs="Arial" w:eastAsia="Arial" w:hAnsi="Arial"/>
                <w:sz w:val="18"/>
                <w:szCs w:val="18"/>
                <w:b w:val="1"/>
                <w:bCs w:val="1"/>
                <w:color w:val="auto"/>
              </w:rPr>
              <w:t>865.0</w:t>
            </w:r>
          </w:p>
        </w:tc>
        <w:tc>
          <w:tcPr>
            <w:tcW w:w="32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1060" w:type="dxa"/>
            <w:vAlign w:val="bottom"/>
          </w:tcPr>
          <w:p>
            <w:pPr>
              <w:jc w:val="right"/>
              <w:ind w:right="30"/>
              <w:spacing w:after="0"/>
              <w:rPr>
                <w:sz w:val="20"/>
                <w:szCs w:val="20"/>
                <w:color w:val="auto"/>
              </w:rPr>
            </w:pPr>
            <w:r>
              <w:rPr>
                <w:rFonts w:ascii="Arial" w:cs="Arial" w:eastAsia="Arial" w:hAnsi="Arial"/>
                <w:sz w:val="18"/>
                <w:szCs w:val="18"/>
                <w:color w:val="auto"/>
              </w:rPr>
              <w:t>1,014.1</w:t>
            </w:r>
          </w:p>
        </w:tc>
        <w:tc>
          <w:tcPr>
            <w:tcW w:w="32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1040" w:type="dxa"/>
            <w:vAlign w:val="bottom"/>
          </w:tcPr>
          <w:p>
            <w:pPr>
              <w:jc w:val="right"/>
              <w:ind w:right="10"/>
              <w:spacing w:after="0"/>
              <w:rPr>
                <w:sz w:val="20"/>
                <w:szCs w:val="20"/>
                <w:color w:val="auto"/>
              </w:rPr>
            </w:pPr>
            <w:r>
              <w:rPr>
                <w:rFonts w:ascii="Arial" w:cs="Arial" w:eastAsia="Arial" w:hAnsi="Arial"/>
                <w:sz w:val="18"/>
                <w:szCs w:val="18"/>
                <w:color w:val="auto"/>
              </w:rPr>
              <w:t>1,142.4</w:t>
            </w:r>
          </w:p>
        </w:tc>
      </w:tr>
      <w:tr>
        <w:trPr>
          <w:trHeight w:val="216"/>
        </w:trPr>
        <w:tc>
          <w:tcPr>
            <w:tcW w:w="550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color w:val="auto"/>
              </w:rPr>
              <w:t>Energy &amp; Distribution</w:t>
            </w:r>
          </w:p>
        </w:tc>
        <w:tc>
          <w:tcPr>
            <w:tcW w:w="2140" w:type="dxa"/>
            <w:vAlign w:val="bottom"/>
            <w:tcBorders>
              <w:bottom w:val="single" w:sz="8" w:color="auto"/>
            </w:tcBorders>
            <w:shd w:val="clear" w:color="auto" w:fill="CCEEFF"/>
          </w:tcPr>
          <w:p>
            <w:pPr>
              <w:spacing w:after="0"/>
              <w:rPr>
                <w:sz w:val="18"/>
                <w:szCs w:val="18"/>
                <w:color w:val="auto"/>
              </w:rPr>
            </w:pPr>
          </w:p>
        </w:tc>
        <w:tc>
          <w:tcPr>
            <w:tcW w:w="104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b w:val="1"/>
                <w:bCs w:val="1"/>
                <w:color w:val="auto"/>
              </w:rPr>
              <w:t>515.9</w:t>
            </w:r>
          </w:p>
        </w:tc>
        <w:tc>
          <w:tcPr>
            <w:tcW w:w="320" w:type="dxa"/>
            <w:vAlign w:val="bottom"/>
            <w:tcBorders>
              <w:bottom w:val="single" w:sz="8" w:color="auto"/>
            </w:tcBorders>
            <w:shd w:val="clear" w:color="auto" w:fill="CCEEFF"/>
          </w:tcPr>
          <w:p>
            <w:pPr>
              <w:spacing w:after="0"/>
              <w:rPr>
                <w:sz w:val="18"/>
                <w:szCs w:val="18"/>
                <w:color w:val="auto"/>
              </w:rPr>
            </w:pPr>
          </w:p>
        </w:tc>
        <w:tc>
          <w:tcPr>
            <w:tcW w:w="106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714.6</w:t>
            </w:r>
          </w:p>
        </w:tc>
        <w:tc>
          <w:tcPr>
            <w:tcW w:w="320" w:type="dxa"/>
            <w:vAlign w:val="bottom"/>
            <w:tcBorders>
              <w:bottom w:val="single" w:sz="8" w:color="auto"/>
            </w:tcBorders>
            <w:shd w:val="clear" w:color="auto" w:fill="CCEEFF"/>
          </w:tcPr>
          <w:p>
            <w:pPr>
              <w:spacing w:after="0"/>
              <w:rPr>
                <w:sz w:val="18"/>
                <w:szCs w:val="18"/>
                <w:color w:val="auto"/>
              </w:rPr>
            </w:pPr>
          </w:p>
        </w:tc>
        <w:tc>
          <w:tcPr>
            <w:tcW w:w="104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814.1</w:t>
            </w:r>
          </w:p>
        </w:tc>
      </w:tr>
      <w:tr>
        <w:trPr>
          <w:trHeight w:val="217"/>
        </w:trPr>
        <w:tc>
          <w:tcPr>
            <w:tcW w:w="5500" w:type="dxa"/>
            <w:vAlign w:val="bottom"/>
            <w:tcBorders>
              <w:bottom w:val="single" w:sz="8" w:color="auto"/>
            </w:tcBorders>
          </w:tcPr>
          <w:p>
            <w:pPr>
              <w:spacing w:after="0"/>
              <w:rPr>
                <w:sz w:val="18"/>
                <w:szCs w:val="18"/>
                <w:color w:val="auto"/>
              </w:rPr>
            </w:pPr>
          </w:p>
        </w:tc>
        <w:tc>
          <w:tcPr>
            <w:tcW w:w="214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b w:val="1"/>
                <w:bCs w:val="1"/>
                <w:color w:val="auto"/>
              </w:rPr>
              <w:t>$</w:t>
            </w:r>
          </w:p>
        </w:tc>
        <w:tc>
          <w:tcPr>
            <w:tcW w:w="104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b w:val="1"/>
                <w:bCs w:val="1"/>
                <w:color w:val="auto"/>
              </w:rPr>
              <w:t>1,380.9</w:t>
            </w:r>
          </w:p>
        </w:tc>
        <w:tc>
          <w:tcPr>
            <w:tcW w:w="32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color w:val="auto"/>
              </w:rPr>
              <w:t>$</w:t>
            </w:r>
          </w:p>
        </w:tc>
        <w:tc>
          <w:tcPr>
            <w:tcW w:w="106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1,728.7</w:t>
            </w:r>
          </w:p>
        </w:tc>
        <w:tc>
          <w:tcPr>
            <w:tcW w:w="32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color w:val="auto"/>
              </w:rPr>
              <w:t>$</w:t>
            </w:r>
          </w:p>
        </w:tc>
        <w:tc>
          <w:tcPr>
            <w:tcW w:w="104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1,956.5</w:t>
            </w:r>
          </w:p>
        </w:tc>
      </w:tr>
      <w:tr>
        <w:trPr>
          <w:trHeight w:val="216"/>
        </w:trPr>
        <w:tc>
          <w:tcPr>
            <w:tcW w:w="5500" w:type="dxa"/>
            <w:vAlign w:val="bottom"/>
            <w:shd w:val="clear" w:color="auto" w:fill="CCEEFF"/>
          </w:tcPr>
          <w:p>
            <w:pPr>
              <w:spacing w:after="0"/>
              <w:rPr>
                <w:sz w:val="20"/>
                <w:szCs w:val="20"/>
                <w:color w:val="auto"/>
              </w:rPr>
            </w:pPr>
            <w:r>
              <w:rPr>
                <w:rFonts w:ascii="Arial" w:cs="Arial" w:eastAsia="Arial" w:hAnsi="Arial"/>
                <w:sz w:val="18"/>
                <w:szCs w:val="18"/>
                <w:color w:val="auto"/>
              </w:rPr>
              <w:t>Segment EBIT:</w:t>
            </w:r>
          </w:p>
        </w:tc>
        <w:tc>
          <w:tcPr>
            <w:tcW w:w="214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r>
      <w:tr>
        <w:trPr>
          <w:trHeight w:val="216"/>
        </w:trPr>
        <w:tc>
          <w:tcPr>
            <w:tcW w:w="5500" w:type="dxa"/>
            <w:vAlign w:val="bottom"/>
          </w:tcPr>
          <w:p>
            <w:pPr>
              <w:spacing w:after="0"/>
              <w:rPr>
                <w:sz w:val="20"/>
                <w:szCs w:val="20"/>
                <w:color w:val="auto"/>
              </w:rPr>
            </w:pPr>
            <w:r>
              <w:rPr>
                <w:rFonts w:ascii="Arial" w:cs="Arial" w:eastAsia="Arial" w:hAnsi="Arial"/>
                <w:sz w:val="18"/>
                <w:szCs w:val="18"/>
                <w:color w:val="auto"/>
              </w:rPr>
              <w:t>Industrial &amp; Mobile</w:t>
            </w:r>
          </w:p>
        </w:tc>
        <w:tc>
          <w:tcPr>
            <w:tcW w:w="2140" w:type="dxa"/>
            <w:vAlign w:val="bottom"/>
          </w:tcPr>
          <w:p>
            <w:pPr>
              <w:jc w:val="right"/>
              <w:ind w:right="70"/>
              <w:spacing w:after="0"/>
              <w:rPr>
                <w:sz w:val="20"/>
                <w:szCs w:val="20"/>
                <w:color w:val="auto"/>
              </w:rPr>
            </w:pPr>
            <w:r>
              <w:rPr>
                <w:rFonts w:ascii="Arial" w:cs="Arial" w:eastAsia="Arial" w:hAnsi="Arial"/>
                <w:sz w:val="18"/>
                <w:szCs w:val="18"/>
                <w:b w:val="1"/>
                <w:bCs w:val="1"/>
                <w:color w:val="auto"/>
              </w:rPr>
              <w:t>$</w:t>
            </w:r>
          </w:p>
        </w:tc>
        <w:tc>
          <w:tcPr>
            <w:tcW w:w="1040" w:type="dxa"/>
            <w:vAlign w:val="bottom"/>
          </w:tcPr>
          <w:p>
            <w:pPr>
              <w:jc w:val="right"/>
              <w:ind w:right="30"/>
              <w:spacing w:after="0"/>
              <w:rPr>
                <w:sz w:val="20"/>
                <w:szCs w:val="20"/>
                <w:color w:val="auto"/>
              </w:rPr>
            </w:pPr>
            <w:r>
              <w:rPr>
                <w:rFonts w:ascii="Arial" w:cs="Arial" w:eastAsia="Arial" w:hAnsi="Arial"/>
                <w:sz w:val="18"/>
                <w:szCs w:val="18"/>
                <w:b w:val="1"/>
                <w:bCs w:val="1"/>
                <w:color w:val="auto"/>
              </w:rPr>
              <w:t>84.0</w:t>
            </w:r>
          </w:p>
        </w:tc>
        <w:tc>
          <w:tcPr>
            <w:tcW w:w="32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1060" w:type="dxa"/>
            <w:vAlign w:val="bottom"/>
          </w:tcPr>
          <w:p>
            <w:pPr>
              <w:jc w:val="right"/>
              <w:ind w:right="30"/>
              <w:spacing w:after="0"/>
              <w:rPr>
                <w:sz w:val="20"/>
                <w:szCs w:val="20"/>
                <w:color w:val="auto"/>
              </w:rPr>
            </w:pPr>
            <w:r>
              <w:rPr>
                <w:rFonts w:ascii="Arial" w:cs="Arial" w:eastAsia="Arial" w:hAnsi="Arial"/>
                <w:sz w:val="18"/>
                <w:szCs w:val="18"/>
                <w:color w:val="auto"/>
              </w:rPr>
              <w:t>112.8</w:t>
            </w:r>
          </w:p>
        </w:tc>
        <w:tc>
          <w:tcPr>
            <w:tcW w:w="32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1040" w:type="dxa"/>
            <w:vAlign w:val="bottom"/>
          </w:tcPr>
          <w:p>
            <w:pPr>
              <w:jc w:val="right"/>
              <w:ind w:right="10"/>
              <w:spacing w:after="0"/>
              <w:rPr>
                <w:sz w:val="20"/>
                <w:szCs w:val="20"/>
                <w:color w:val="auto"/>
              </w:rPr>
            </w:pPr>
            <w:r>
              <w:rPr>
                <w:rFonts w:ascii="Arial" w:cs="Arial" w:eastAsia="Arial" w:hAnsi="Arial"/>
                <w:sz w:val="18"/>
                <w:szCs w:val="18"/>
                <w:color w:val="auto"/>
              </w:rPr>
              <w:t>114.2</w:t>
            </w:r>
          </w:p>
        </w:tc>
      </w:tr>
      <w:tr>
        <w:trPr>
          <w:trHeight w:val="216"/>
        </w:trPr>
        <w:tc>
          <w:tcPr>
            <w:tcW w:w="550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color w:val="auto"/>
              </w:rPr>
              <w:t>Energy &amp; Distribution</w:t>
            </w:r>
          </w:p>
        </w:tc>
        <w:tc>
          <w:tcPr>
            <w:tcW w:w="2140" w:type="dxa"/>
            <w:vAlign w:val="bottom"/>
            <w:tcBorders>
              <w:bottom w:val="single" w:sz="8" w:color="auto"/>
            </w:tcBorders>
            <w:shd w:val="clear" w:color="auto" w:fill="CCEEFF"/>
          </w:tcPr>
          <w:p>
            <w:pPr>
              <w:spacing w:after="0"/>
              <w:rPr>
                <w:sz w:val="18"/>
                <w:szCs w:val="18"/>
                <w:color w:val="auto"/>
              </w:rPr>
            </w:pPr>
          </w:p>
        </w:tc>
        <w:tc>
          <w:tcPr>
            <w:tcW w:w="104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b w:val="1"/>
                <w:bCs w:val="1"/>
                <w:color w:val="auto"/>
              </w:rPr>
              <w:t>67.0</w:t>
            </w:r>
          </w:p>
        </w:tc>
        <w:tc>
          <w:tcPr>
            <w:tcW w:w="320" w:type="dxa"/>
            <w:vAlign w:val="bottom"/>
            <w:tcBorders>
              <w:bottom w:val="single" w:sz="8" w:color="auto"/>
            </w:tcBorders>
            <w:shd w:val="clear" w:color="auto" w:fill="CCEEFF"/>
          </w:tcPr>
          <w:p>
            <w:pPr>
              <w:spacing w:after="0"/>
              <w:rPr>
                <w:sz w:val="18"/>
                <w:szCs w:val="18"/>
                <w:color w:val="auto"/>
              </w:rPr>
            </w:pPr>
          </w:p>
        </w:tc>
        <w:tc>
          <w:tcPr>
            <w:tcW w:w="106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146.1</w:t>
            </w:r>
          </w:p>
        </w:tc>
        <w:tc>
          <w:tcPr>
            <w:tcW w:w="320" w:type="dxa"/>
            <w:vAlign w:val="bottom"/>
            <w:tcBorders>
              <w:bottom w:val="single" w:sz="8" w:color="auto"/>
            </w:tcBorders>
            <w:shd w:val="clear" w:color="auto" w:fill="CCEEFF"/>
          </w:tcPr>
          <w:p>
            <w:pPr>
              <w:spacing w:after="0"/>
              <w:rPr>
                <w:sz w:val="18"/>
                <w:szCs w:val="18"/>
                <w:color w:val="auto"/>
              </w:rPr>
            </w:pPr>
          </w:p>
        </w:tc>
        <w:tc>
          <w:tcPr>
            <w:tcW w:w="104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162.6</w:t>
            </w:r>
          </w:p>
        </w:tc>
      </w:tr>
      <w:tr>
        <w:trPr>
          <w:trHeight w:val="210"/>
        </w:trPr>
        <w:tc>
          <w:tcPr>
            <w:tcW w:w="5500" w:type="dxa"/>
            <w:vAlign w:val="bottom"/>
          </w:tcPr>
          <w:p>
            <w:pPr>
              <w:spacing w:after="0"/>
              <w:rPr>
                <w:sz w:val="20"/>
                <w:szCs w:val="20"/>
                <w:color w:val="auto"/>
              </w:rPr>
            </w:pPr>
            <w:r>
              <w:rPr>
                <w:rFonts w:ascii="Arial" w:cs="Arial" w:eastAsia="Arial" w:hAnsi="Arial"/>
                <w:sz w:val="18"/>
                <w:szCs w:val="18"/>
                <w:color w:val="auto"/>
              </w:rPr>
              <w:t>Total Segment EBIT</w:t>
            </w:r>
          </w:p>
        </w:tc>
        <w:tc>
          <w:tcPr>
            <w:tcW w:w="2140" w:type="dxa"/>
            <w:vAlign w:val="bottom"/>
          </w:tcPr>
          <w:p>
            <w:pPr>
              <w:spacing w:after="0"/>
              <w:rPr>
                <w:sz w:val="18"/>
                <w:szCs w:val="18"/>
                <w:color w:val="auto"/>
              </w:rPr>
            </w:pPr>
          </w:p>
        </w:tc>
        <w:tc>
          <w:tcPr>
            <w:tcW w:w="1040" w:type="dxa"/>
            <w:vAlign w:val="bottom"/>
          </w:tcPr>
          <w:p>
            <w:pPr>
              <w:jc w:val="right"/>
              <w:ind w:right="30"/>
              <w:spacing w:after="0"/>
              <w:rPr>
                <w:sz w:val="20"/>
                <w:szCs w:val="20"/>
                <w:color w:val="auto"/>
              </w:rPr>
            </w:pPr>
            <w:r>
              <w:rPr>
                <w:rFonts w:ascii="Arial" w:cs="Arial" w:eastAsia="Arial" w:hAnsi="Arial"/>
                <w:sz w:val="18"/>
                <w:szCs w:val="18"/>
                <w:b w:val="1"/>
                <w:bCs w:val="1"/>
                <w:color w:val="auto"/>
              </w:rPr>
              <w:t>151.0</w:t>
            </w:r>
          </w:p>
        </w:tc>
        <w:tc>
          <w:tcPr>
            <w:tcW w:w="320" w:type="dxa"/>
            <w:vAlign w:val="bottom"/>
          </w:tcPr>
          <w:p>
            <w:pPr>
              <w:spacing w:after="0"/>
              <w:rPr>
                <w:sz w:val="18"/>
                <w:szCs w:val="18"/>
                <w:color w:val="auto"/>
              </w:rPr>
            </w:pPr>
          </w:p>
        </w:tc>
        <w:tc>
          <w:tcPr>
            <w:tcW w:w="1060" w:type="dxa"/>
            <w:vAlign w:val="bottom"/>
          </w:tcPr>
          <w:p>
            <w:pPr>
              <w:jc w:val="right"/>
              <w:ind w:right="30"/>
              <w:spacing w:after="0"/>
              <w:rPr>
                <w:sz w:val="20"/>
                <w:szCs w:val="20"/>
                <w:color w:val="auto"/>
              </w:rPr>
            </w:pPr>
            <w:r>
              <w:rPr>
                <w:rFonts w:ascii="Arial" w:cs="Arial" w:eastAsia="Arial" w:hAnsi="Arial"/>
                <w:sz w:val="18"/>
                <w:szCs w:val="18"/>
                <w:color w:val="auto"/>
              </w:rPr>
              <w:t>258.9</w:t>
            </w:r>
          </w:p>
        </w:tc>
        <w:tc>
          <w:tcPr>
            <w:tcW w:w="320" w:type="dxa"/>
            <w:vAlign w:val="bottom"/>
          </w:tcPr>
          <w:p>
            <w:pPr>
              <w:spacing w:after="0"/>
              <w:rPr>
                <w:sz w:val="18"/>
                <w:szCs w:val="18"/>
                <w:color w:val="auto"/>
              </w:rPr>
            </w:pPr>
          </w:p>
        </w:tc>
        <w:tc>
          <w:tcPr>
            <w:tcW w:w="1040" w:type="dxa"/>
            <w:vAlign w:val="bottom"/>
          </w:tcPr>
          <w:p>
            <w:pPr>
              <w:jc w:val="right"/>
              <w:ind w:right="10"/>
              <w:spacing w:after="0"/>
              <w:rPr>
                <w:sz w:val="20"/>
                <w:szCs w:val="20"/>
                <w:color w:val="auto"/>
              </w:rPr>
            </w:pPr>
            <w:r>
              <w:rPr>
                <w:rFonts w:ascii="Arial" w:cs="Arial" w:eastAsia="Arial" w:hAnsi="Arial"/>
                <w:sz w:val="18"/>
                <w:szCs w:val="18"/>
                <w:color w:val="auto"/>
              </w:rPr>
              <w:t>276.8</w:t>
            </w:r>
          </w:p>
        </w:tc>
      </w:tr>
      <w:tr>
        <w:trPr>
          <w:trHeight w:val="216"/>
        </w:trPr>
        <w:tc>
          <w:tcPr>
            <w:tcW w:w="5500" w:type="dxa"/>
            <w:vAlign w:val="bottom"/>
            <w:shd w:val="clear" w:color="auto" w:fill="CCEEFF"/>
          </w:tcPr>
          <w:p>
            <w:pPr>
              <w:spacing w:after="0"/>
              <w:rPr>
                <w:sz w:val="20"/>
                <w:szCs w:val="20"/>
                <w:color w:val="auto"/>
              </w:rPr>
            </w:pPr>
            <w:r>
              <w:rPr>
                <w:rFonts w:ascii="Arial" w:cs="Arial" w:eastAsia="Arial" w:hAnsi="Arial"/>
                <w:sz w:val="18"/>
                <w:szCs w:val="18"/>
                <w:color w:val="auto"/>
              </w:rPr>
              <w:t>Unallocated corporate expenses</w:t>
            </w:r>
          </w:p>
        </w:tc>
        <w:tc>
          <w:tcPr>
            <w:tcW w:w="2140" w:type="dxa"/>
            <w:vAlign w:val="bottom"/>
            <w:shd w:val="clear" w:color="auto" w:fill="CCEEFF"/>
          </w:tcPr>
          <w:p>
            <w:pPr>
              <w:spacing w:after="0"/>
              <w:rPr>
                <w:sz w:val="18"/>
                <w:szCs w:val="18"/>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(23.2)</w:t>
            </w:r>
          </w:p>
        </w:tc>
        <w:tc>
          <w:tcPr>
            <w:tcW w:w="320" w:type="dxa"/>
            <w:vAlign w:val="bottom"/>
            <w:shd w:val="clear" w:color="auto" w:fill="CCEEFF"/>
          </w:tcPr>
          <w:p>
            <w:pPr>
              <w:spacing w:after="0"/>
              <w:rPr>
                <w:sz w:val="18"/>
                <w:szCs w:val="18"/>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(24.3)</w:t>
            </w:r>
          </w:p>
        </w:tc>
        <w:tc>
          <w:tcPr>
            <w:tcW w:w="320" w:type="dxa"/>
            <w:vAlign w:val="bottom"/>
            <w:shd w:val="clear" w:color="auto" w:fill="CCEEFF"/>
          </w:tcPr>
          <w:p>
            <w:pPr>
              <w:spacing w:after="0"/>
              <w:rPr>
                <w:sz w:val="18"/>
                <w:szCs w:val="18"/>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(23.9)</w:t>
            </w:r>
          </w:p>
        </w:tc>
      </w:tr>
      <w:tr>
        <w:trPr>
          <w:trHeight w:val="216"/>
        </w:trPr>
        <w:tc>
          <w:tcPr>
            <w:tcW w:w="550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Interest expense</w:t>
            </w:r>
          </w:p>
        </w:tc>
        <w:tc>
          <w:tcPr>
            <w:tcW w:w="2140" w:type="dxa"/>
            <w:vAlign w:val="bottom"/>
            <w:tcBorders>
              <w:bottom w:val="single" w:sz="8" w:color="auto"/>
            </w:tcBorders>
          </w:tcPr>
          <w:p>
            <w:pPr>
              <w:spacing w:after="0"/>
              <w:rPr>
                <w:sz w:val="18"/>
                <w:szCs w:val="18"/>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(0.2)</w:t>
            </w:r>
          </w:p>
        </w:tc>
        <w:tc>
          <w:tcPr>
            <w:tcW w:w="320" w:type="dxa"/>
            <w:vAlign w:val="bottom"/>
            <w:tcBorders>
              <w:bottom w:val="single" w:sz="8" w:color="auto"/>
            </w:tcBorders>
          </w:tcPr>
          <w:p>
            <w:pPr>
              <w:spacing w:after="0"/>
              <w:rPr>
                <w:sz w:val="18"/>
                <w:szCs w:val="18"/>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(0.3)</w:t>
            </w:r>
          </w:p>
        </w:tc>
        <w:tc>
          <w:tcPr>
            <w:tcW w:w="320" w:type="dxa"/>
            <w:vAlign w:val="bottom"/>
            <w:tcBorders>
              <w:bottom w:val="single" w:sz="8" w:color="auto"/>
            </w:tcBorders>
          </w:tcPr>
          <w:p>
            <w:pPr>
              <w:spacing w:after="0"/>
              <w:rPr>
                <w:sz w:val="18"/>
                <w:szCs w:val="18"/>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(0.6)</w:t>
            </w:r>
          </w:p>
        </w:tc>
      </w:tr>
      <w:tr>
        <w:trPr>
          <w:trHeight w:val="217"/>
        </w:trPr>
        <w:tc>
          <w:tcPr>
            <w:tcW w:w="550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b w:val="1"/>
                <w:bCs w:val="1"/>
                <w:color w:val="auto"/>
              </w:rPr>
              <w:t>Income From Operations Before Income Taxes</w:t>
            </w:r>
          </w:p>
        </w:tc>
        <w:tc>
          <w:tcPr>
            <w:tcW w:w="214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b w:val="1"/>
                <w:bCs w:val="1"/>
                <w:color w:val="auto"/>
              </w:rPr>
              <w:t>$</w:t>
            </w:r>
          </w:p>
        </w:tc>
        <w:tc>
          <w:tcPr>
            <w:tcW w:w="104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b w:val="1"/>
                <w:bCs w:val="1"/>
                <w:color w:val="auto"/>
              </w:rPr>
              <w:t>127.6</w:t>
            </w:r>
          </w:p>
        </w:tc>
        <w:tc>
          <w:tcPr>
            <w:tcW w:w="32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106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234.3</w:t>
            </w:r>
          </w:p>
        </w:tc>
        <w:tc>
          <w:tcPr>
            <w:tcW w:w="32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104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252.3</w:t>
            </w:r>
          </w:p>
        </w:tc>
      </w:tr>
    </w:tbl>
    <w:p>
      <w:pPr>
        <w:spacing w:after="0" w:line="202" w:lineRule="exact"/>
        <w:rPr>
          <w:sz w:val="20"/>
          <w:szCs w:val="20"/>
          <w:color w:val="auto"/>
        </w:rPr>
      </w:pPr>
    </w:p>
    <w:p>
      <w:pPr>
        <w:ind w:right="2080" w:firstLine="913"/>
        <w:spacing w:after="0" w:line="342" w:lineRule="auto"/>
        <w:rPr>
          <w:sz w:val="20"/>
          <w:szCs w:val="20"/>
          <w:color w:val="auto"/>
        </w:rPr>
      </w:pPr>
      <w:r>
        <w:rPr>
          <w:rFonts w:ascii="Arial" w:cs="Arial" w:eastAsia="Arial" w:hAnsi="Arial"/>
          <w:sz w:val="16"/>
          <w:szCs w:val="16"/>
          <w:color w:val="auto"/>
        </w:rPr>
        <w:t>In 2012 and 2011, $3.2 million and $0.4 million, respectively, of Segment EBIT was reclassified from Industrial &amp; Mobile to Energy &amp; Distribution to conform to 2013 presentation. Such amounts are related to TimkenSteel’s Mexico operations.</w:t>
      </w:r>
    </w:p>
    <w:p>
      <w:pPr>
        <w:spacing w:after="0" w:line="124" w:lineRule="exact"/>
        <w:rPr>
          <w:sz w:val="20"/>
          <w:szCs w:val="20"/>
          <w:color w:val="auto"/>
        </w:rPr>
      </w:pPr>
    </w:p>
    <w:p>
      <w:pPr>
        <w:ind w:right="820" w:firstLine="913"/>
        <w:spacing w:after="0" w:line="277" w:lineRule="auto"/>
        <w:rPr>
          <w:sz w:val="20"/>
          <w:szCs w:val="20"/>
          <w:color w:val="auto"/>
        </w:rPr>
      </w:pPr>
      <w:r>
        <w:rPr>
          <w:rFonts w:ascii="Arial" w:cs="Arial" w:eastAsia="Arial" w:hAnsi="Arial"/>
          <w:sz w:val="18"/>
          <w:szCs w:val="18"/>
          <w:color w:val="auto"/>
        </w:rPr>
        <w:t>Energy &amp; Distribution intersegment sales to the Industrial &amp; Mobile segment were $1.7 million in both 2013 and 2012. There were no intersegment sales in 2011.</w:t>
      </w:r>
    </w:p>
    <w:p>
      <w:pPr>
        <w:spacing w:after="0" w:line="1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F-17</w:t>
      </w:r>
    </w:p>
    <w:p>
      <w:pPr>
        <w:sectPr>
          <w:pgSz w:w="11900" w:h="16838" w:orient="portrait"/>
          <w:cols w:equalWidth="0" w:num="1">
            <w:col w:w="11420"/>
          </w:cols>
          <w:pgMar w:left="240" w:top="459" w:right="239" w:bottom="1440" w:gutter="0" w:footer="0" w:header="0"/>
        </w:sectPr>
      </w:pPr>
    </w:p>
    <w:bookmarkStart w:id="124" w:name="page125"/>
    <w:bookmarkEnd w:id="124"/>
    <w:tbl>
      <w:tblPr>
        <w:tblLayout w:type="fixed"/>
        <w:tblInd w:w="0" w:type="dxa"/>
        <w:tblCellMar>
          <w:top w:w="0" w:type="dxa"/>
          <w:left w:w="0" w:type="dxa"/>
          <w:bottom w:w="0" w:type="dxa"/>
          <w:right w:w="0" w:type="dxa"/>
        </w:tblCellMar>
      </w:tblPr>
      <w:tr>
        <w:trPr>
          <w:trHeight w:val="207"/>
        </w:trPr>
        <w:tc>
          <w:tcPr>
            <w:tcW w:w="4840" w:type="dxa"/>
            <w:vAlign w:val="bottom"/>
            <w:gridSpan w:val="3"/>
          </w:tcPr>
          <w:p>
            <w:pPr>
              <w:spacing w:after="0"/>
              <w:rPr>
                <w:rFonts w:ascii="Arial" w:cs="Arial" w:eastAsia="Arial" w:hAnsi="Arial"/>
                <w:sz w:val="18"/>
                <w:szCs w:val="18"/>
                <w:b w:val="1"/>
                <w:bCs w:val="1"/>
                <w:color w:val="0000EE"/>
              </w:rPr>
            </w:pPr>
            <w:hyperlink w:anchor="page4">
              <w:r>
                <w:rPr>
                  <w:rFonts w:ascii="Arial" w:cs="Arial" w:eastAsia="Arial" w:hAnsi="Arial"/>
                  <w:sz w:val="18"/>
                  <w:szCs w:val="18"/>
                  <w:b w:val="1"/>
                  <w:bCs w:val="1"/>
                  <w:color w:val="0000EE"/>
                </w:rPr>
                <w:t>Table of Contents</w:t>
              </w:r>
            </w:hyperlink>
          </w:p>
        </w:tc>
        <w:tc>
          <w:tcPr>
            <w:tcW w:w="280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534"/>
        </w:trPr>
        <w:tc>
          <w:tcPr>
            <w:tcW w:w="20" w:type="dxa"/>
            <w:vAlign w:val="bottom"/>
          </w:tcPr>
          <w:p>
            <w:pPr>
              <w:spacing w:after="0"/>
              <w:rPr>
                <w:sz w:val="24"/>
                <w:szCs w:val="24"/>
                <w:color w:val="auto"/>
              </w:rPr>
            </w:pPr>
          </w:p>
        </w:tc>
        <w:tc>
          <w:tcPr>
            <w:tcW w:w="1340" w:type="dxa"/>
            <w:vAlign w:val="bottom"/>
            <w:tcBorders>
              <w:top w:val="single" w:sz="8" w:color="0000EE"/>
              <w:bottom w:val="single" w:sz="8" w:color="auto"/>
            </w:tcBorders>
          </w:tcPr>
          <w:p>
            <w:pPr>
              <w:spacing w:after="0"/>
              <w:rPr>
                <w:sz w:val="24"/>
                <w:szCs w:val="24"/>
                <w:color w:val="auto"/>
              </w:rPr>
            </w:pPr>
          </w:p>
        </w:tc>
        <w:tc>
          <w:tcPr>
            <w:tcW w:w="3480" w:type="dxa"/>
            <w:vAlign w:val="bottom"/>
            <w:tcBorders>
              <w:bottom w:val="single" w:sz="8" w:color="auto"/>
            </w:tcBorders>
          </w:tcPr>
          <w:p>
            <w:pPr>
              <w:spacing w:after="0"/>
              <w:rPr>
                <w:sz w:val="24"/>
                <w:szCs w:val="24"/>
                <w:color w:val="auto"/>
              </w:rPr>
            </w:pPr>
          </w:p>
        </w:tc>
        <w:tc>
          <w:tcPr>
            <w:tcW w:w="2800" w:type="dxa"/>
            <w:vAlign w:val="bottom"/>
            <w:tcBorders>
              <w:bottom w:val="single" w:sz="8" w:color="auto"/>
            </w:tcBorders>
          </w:tcPr>
          <w:p>
            <w:pPr>
              <w:spacing w:after="0"/>
              <w:rPr>
                <w:sz w:val="24"/>
                <w:szCs w:val="24"/>
                <w:color w:val="auto"/>
              </w:rPr>
            </w:pPr>
          </w:p>
        </w:tc>
        <w:tc>
          <w:tcPr>
            <w:tcW w:w="1040" w:type="dxa"/>
            <w:vAlign w:val="bottom"/>
            <w:tcBorders>
              <w:bottom w:val="single" w:sz="8" w:color="auto"/>
            </w:tcBorders>
          </w:tcPr>
          <w:p>
            <w:pPr>
              <w:jc w:val="right"/>
              <w:ind w:right="430"/>
              <w:spacing w:after="0"/>
              <w:rPr>
                <w:sz w:val="20"/>
                <w:szCs w:val="20"/>
                <w:color w:val="auto"/>
              </w:rPr>
            </w:pPr>
            <w:r>
              <w:rPr>
                <w:rFonts w:ascii="Arial" w:cs="Arial" w:eastAsia="Arial" w:hAnsi="Arial"/>
                <w:sz w:val="18"/>
                <w:szCs w:val="18"/>
                <w:b w:val="1"/>
                <w:bCs w:val="1"/>
                <w:color w:val="auto"/>
              </w:rPr>
              <w:t>2013</w:t>
            </w:r>
          </w:p>
        </w:tc>
        <w:tc>
          <w:tcPr>
            <w:tcW w:w="340" w:type="dxa"/>
            <w:vAlign w:val="bottom"/>
            <w:tcBorders>
              <w:bottom w:val="single" w:sz="8" w:color="auto"/>
            </w:tcBorders>
          </w:tcPr>
          <w:p>
            <w:pPr>
              <w:spacing w:after="0"/>
              <w:rPr>
                <w:sz w:val="24"/>
                <w:szCs w:val="24"/>
                <w:color w:val="auto"/>
              </w:rPr>
            </w:pPr>
          </w:p>
        </w:tc>
        <w:tc>
          <w:tcPr>
            <w:tcW w:w="1020" w:type="dxa"/>
            <w:vAlign w:val="bottom"/>
            <w:tcBorders>
              <w:bottom w:val="single" w:sz="8" w:color="auto"/>
            </w:tcBorders>
          </w:tcPr>
          <w:p>
            <w:pPr>
              <w:jc w:val="right"/>
              <w:ind w:right="410"/>
              <w:spacing w:after="0"/>
              <w:rPr>
                <w:sz w:val="20"/>
                <w:szCs w:val="20"/>
                <w:color w:val="auto"/>
              </w:rPr>
            </w:pPr>
            <w:r>
              <w:rPr>
                <w:rFonts w:ascii="Arial" w:cs="Arial" w:eastAsia="Arial" w:hAnsi="Arial"/>
                <w:sz w:val="18"/>
                <w:szCs w:val="18"/>
                <w:color w:val="auto"/>
              </w:rPr>
              <w:t>2012</w:t>
            </w:r>
          </w:p>
        </w:tc>
        <w:tc>
          <w:tcPr>
            <w:tcW w:w="360" w:type="dxa"/>
            <w:vAlign w:val="bottom"/>
            <w:tcBorders>
              <w:bottom w:val="single" w:sz="8" w:color="auto"/>
            </w:tcBorders>
          </w:tcPr>
          <w:p>
            <w:pPr>
              <w:spacing w:after="0"/>
              <w:rPr>
                <w:sz w:val="24"/>
                <w:szCs w:val="24"/>
                <w:color w:val="auto"/>
              </w:rPr>
            </w:pPr>
          </w:p>
        </w:tc>
        <w:tc>
          <w:tcPr>
            <w:tcW w:w="1020" w:type="dxa"/>
            <w:vAlign w:val="bottom"/>
            <w:tcBorders>
              <w:bottom w:val="single" w:sz="8" w:color="auto"/>
            </w:tcBorders>
          </w:tcPr>
          <w:p>
            <w:pPr>
              <w:jc w:val="right"/>
              <w:ind w:right="410"/>
              <w:spacing w:after="0"/>
              <w:rPr>
                <w:sz w:val="20"/>
                <w:szCs w:val="20"/>
                <w:color w:val="auto"/>
              </w:rPr>
            </w:pPr>
            <w:r>
              <w:rPr>
                <w:rFonts w:ascii="Arial" w:cs="Arial" w:eastAsia="Arial" w:hAnsi="Arial"/>
                <w:sz w:val="18"/>
                <w:szCs w:val="18"/>
                <w:color w:val="auto"/>
              </w:rPr>
              <w:t>2011</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8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Assets Employed at Year-end:</w:t>
            </w:r>
          </w:p>
        </w:tc>
        <w:tc>
          <w:tcPr>
            <w:tcW w:w="280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820" w:type="dxa"/>
            <w:vAlign w:val="bottom"/>
            <w:gridSpan w:val="2"/>
          </w:tcPr>
          <w:p>
            <w:pPr>
              <w:spacing w:after="0"/>
              <w:rPr>
                <w:sz w:val="20"/>
                <w:szCs w:val="20"/>
                <w:color w:val="auto"/>
              </w:rPr>
            </w:pPr>
            <w:r>
              <w:rPr>
                <w:rFonts w:ascii="Arial" w:cs="Arial" w:eastAsia="Arial" w:hAnsi="Arial"/>
                <w:sz w:val="18"/>
                <w:szCs w:val="18"/>
                <w:color w:val="auto"/>
              </w:rPr>
              <w:t>Industrial &amp; Mobile</w:t>
            </w:r>
          </w:p>
        </w:tc>
        <w:tc>
          <w:tcPr>
            <w:tcW w:w="2800" w:type="dxa"/>
            <w:vAlign w:val="bottom"/>
          </w:tcPr>
          <w:p>
            <w:pPr>
              <w:jc w:val="right"/>
              <w:ind w:right="70"/>
              <w:spacing w:after="0"/>
              <w:rPr>
                <w:sz w:val="20"/>
                <w:szCs w:val="20"/>
                <w:color w:val="auto"/>
              </w:rPr>
            </w:pPr>
            <w:r>
              <w:rPr>
                <w:rFonts w:ascii="Arial" w:cs="Arial" w:eastAsia="Arial" w:hAnsi="Arial"/>
                <w:sz w:val="18"/>
                <w:szCs w:val="18"/>
                <w:b w:val="1"/>
                <w:bCs w:val="1"/>
                <w:color w:val="auto"/>
              </w:rPr>
              <w:t>$</w:t>
            </w:r>
          </w:p>
        </w:tc>
        <w:tc>
          <w:tcPr>
            <w:tcW w:w="1040" w:type="dxa"/>
            <w:vAlign w:val="bottom"/>
          </w:tcPr>
          <w:p>
            <w:pPr>
              <w:jc w:val="right"/>
              <w:ind w:right="10"/>
              <w:spacing w:after="0"/>
              <w:rPr>
                <w:sz w:val="20"/>
                <w:szCs w:val="20"/>
                <w:color w:val="auto"/>
              </w:rPr>
            </w:pPr>
            <w:r>
              <w:rPr>
                <w:rFonts w:ascii="Arial" w:cs="Arial" w:eastAsia="Arial" w:hAnsi="Arial"/>
                <w:sz w:val="18"/>
                <w:szCs w:val="18"/>
                <w:b w:val="1"/>
                <w:bCs w:val="1"/>
                <w:color w:val="auto"/>
              </w:rPr>
              <w:t>540.0</w:t>
            </w:r>
          </w:p>
        </w:tc>
        <w:tc>
          <w:tcPr>
            <w:tcW w:w="34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1020" w:type="dxa"/>
            <w:vAlign w:val="bottom"/>
          </w:tcPr>
          <w:p>
            <w:pPr>
              <w:jc w:val="right"/>
              <w:ind w:right="10"/>
              <w:spacing w:after="0"/>
              <w:rPr>
                <w:sz w:val="20"/>
                <w:szCs w:val="20"/>
                <w:color w:val="auto"/>
              </w:rPr>
            </w:pPr>
            <w:r>
              <w:rPr>
                <w:rFonts w:ascii="Arial" w:cs="Arial" w:eastAsia="Arial" w:hAnsi="Arial"/>
                <w:sz w:val="18"/>
                <w:szCs w:val="18"/>
                <w:color w:val="auto"/>
              </w:rPr>
              <w:t>545.7</w:t>
            </w:r>
          </w:p>
        </w:tc>
        <w:tc>
          <w:tcPr>
            <w:tcW w:w="36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1020" w:type="dxa"/>
            <w:vAlign w:val="bottom"/>
          </w:tcPr>
          <w:p>
            <w:pPr>
              <w:jc w:val="right"/>
              <w:ind w:right="10"/>
              <w:spacing w:after="0"/>
              <w:rPr>
                <w:sz w:val="20"/>
                <w:szCs w:val="20"/>
                <w:color w:val="auto"/>
              </w:rPr>
            </w:pPr>
            <w:r>
              <w:rPr>
                <w:rFonts w:ascii="Arial" w:cs="Arial" w:eastAsia="Arial" w:hAnsi="Arial"/>
                <w:sz w:val="18"/>
                <w:szCs w:val="18"/>
                <w:color w:val="auto"/>
              </w:rPr>
              <w:t>540.8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820" w:type="dxa"/>
            <w:vAlign w:val="bottom"/>
            <w:tcBorders>
              <w:bottom w:val="single" w:sz="8" w:color="auto"/>
            </w:tcBorders>
            <w:gridSpan w:val="2"/>
            <w:shd w:val="clear" w:color="auto" w:fill="CCEEFF"/>
          </w:tcPr>
          <w:p>
            <w:pPr>
              <w:spacing w:after="0"/>
              <w:rPr>
                <w:sz w:val="20"/>
                <w:szCs w:val="20"/>
                <w:color w:val="auto"/>
              </w:rPr>
            </w:pPr>
            <w:r>
              <w:rPr>
                <w:rFonts w:ascii="Arial" w:cs="Arial" w:eastAsia="Arial" w:hAnsi="Arial"/>
                <w:sz w:val="18"/>
                <w:szCs w:val="18"/>
                <w:color w:val="auto"/>
              </w:rPr>
              <w:t>Energy &amp; Distribution</w:t>
            </w:r>
          </w:p>
        </w:tc>
        <w:tc>
          <w:tcPr>
            <w:tcW w:w="2800" w:type="dxa"/>
            <w:vAlign w:val="bottom"/>
            <w:tcBorders>
              <w:bottom w:val="single" w:sz="8" w:color="auto"/>
            </w:tcBorders>
            <w:shd w:val="clear" w:color="auto" w:fill="CCEEFF"/>
          </w:tcPr>
          <w:p>
            <w:pPr>
              <w:spacing w:after="0"/>
              <w:rPr>
                <w:sz w:val="18"/>
                <w:szCs w:val="18"/>
                <w:color w:val="auto"/>
              </w:rPr>
            </w:pPr>
          </w:p>
        </w:tc>
        <w:tc>
          <w:tcPr>
            <w:tcW w:w="104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538.8</w:t>
            </w:r>
          </w:p>
        </w:tc>
        <w:tc>
          <w:tcPr>
            <w:tcW w:w="340" w:type="dxa"/>
            <w:vAlign w:val="bottom"/>
            <w:tcBorders>
              <w:bottom w:val="single" w:sz="8" w:color="auto"/>
            </w:tcBorders>
            <w:shd w:val="clear" w:color="auto" w:fill="CCEEFF"/>
          </w:tcPr>
          <w:p>
            <w:pPr>
              <w:spacing w:after="0"/>
              <w:rPr>
                <w:sz w:val="18"/>
                <w:szCs w:val="18"/>
                <w:color w:val="auto"/>
              </w:rPr>
            </w:pPr>
          </w:p>
        </w:tc>
        <w:tc>
          <w:tcPr>
            <w:tcW w:w="10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415.0</w:t>
            </w:r>
          </w:p>
        </w:tc>
        <w:tc>
          <w:tcPr>
            <w:tcW w:w="360" w:type="dxa"/>
            <w:vAlign w:val="bottom"/>
            <w:tcBorders>
              <w:bottom w:val="single" w:sz="8" w:color="auto"/>
            </w:tcBorders>
            <w:shd w:val="clear" w:color="auto" w:fill="CCEEFF"/>
          </w:tcPr>
          <w:p>
            <w:pPr>
              <w:spacing w:after="0"/>
              <w:rPr>
                <w:sz w:val="18"/>
                <w:szCs w:val="18"/>
                <w:color w:val="auto"/>
              </w:rPr>
            </w:pPr>
          </w:p>
        </w:tc>
        <w:tc>
          <w:tcPr>
            <w:tcW w:w="10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441.3</w:t>
            </w:r>
          </w:p>
        </w:tc>
        <w:tc>
          <w:tcPr>
            <w:tcW w:w="0" w:type="dxa"/>
            <w:vAlign w:val="bottom"/>
          </w:tcPr>
          <w:p>
            <w:pPr>
              <w:spacing w:after="0"/>
              <w:rPr>
                <w:sz w:val="1"/>
                <w:szCs w:val="1"/>
                <w:color w:val="auto"/>
              </w:rPr>
            </w:pPr>
          </w:p>
        </w:tc>
      </w:tr>
      <w:tr>
        <w:trPr>
          <w:trHeight w:val="217"/>
        </w:trPr>
        <w:tc>
          <w:tcPr>
            <w:tcW w:w="20" w:type="dxa"/>
            <w:vAlign w:val="bottom"/>
          </w:tcPr>
          <w:p>
            <w:pPr>
              <w:spacing w:after="0"/>
              <w:rPr>
                <w:sz w:val="18"/>
                <w:szCs w:val="18"/>
                <w:color w:val="auto"/>
              </w:rPr>
            </w:pPr>
          </w:p>
        </w:tc>
        <w:tc>
          <w:tcPr>
            <w:tcW w:w="1340" w:type="dxa"/>
            <w:vAlign w:val="bottom"/>
            <w:tcBorders>
              <w:bottom w:val="single" w:sz="8" w:color="auto"/>
            </w:tcBorders>
          </w:tcPr>
          <w:p>
            <w:pPr>
              <w:spacing w:after="0"/>
              <w:rPr>
                <w:sz w:val="18"/>
                <w:szCs w:val="18"/>
                <w:color w:val="auto"/>
              </w:rPr>
            </w:pPr>
          </w:p>
        </w:tc>
        <w:tc>
          <w:tcPr>
            <w:tcW w:w="3480" w:type="dxa"/>
            <w:vAlign w:val="bottom"/>
            <w:tcBorders>
              <w:bottom w:val="single" w:sz="8" w:color="auto"/>
            </w:tcBorders>
          </w:tcPr>
          <w:p>
            <w:pPr>
              <w:spacing w:after="0"/>
              <w:rPr>
                <w:sz w:val="18"/>
                <w:szCs w:val="18"/>
                <w:color w:val="auto"/>
              </w:rPr>
            </w:pPr>
          </w:p>
        </w:tc>
        <w:tc>
          <w:tcPr>
            <w:tcW w:w="280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b w:val="1"/>
                <w:bCs w:val="1"/>
                <w:color w:val="auto"/>
              </w:rPr>
              <w:t>$</w:t>
            </w:r>
          </w:p>
        </w:tc>
        <w:tc>
          <w:tcPr>
            <w:tcW w:w="104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b w:val="1"/>
                <w:bCs w:val="1"/>
                <w:color w:val="auto"/>
              </w:rPr>
              <w:t>1,078.8</w:t>
            </w:r>
          </w:p>
        </w:tc>
        <w:tc>
          <w:tcPr>
            <w:tcW w:w="34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color w:val="auto"/>
              </w:rPr>
              <w:t>$</w:t>
            </w:r>
          </w:p>
        </w:tc>
        <w:tc>
          <w:tcPr>
            <w:tcW w:w="102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960.7</w:t>
            </w:r>
          </w:p>
        </w:tc>
        <w:tc>
          <w:tcPr>
            <w:tcW w:w="36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color w:val="auto"/>
              </w:rPr>
              <w:t>$</w:t>
            </w:r>
          </w:p>
        </w:tc>
        <w:tc>
          <w:tcPr>
            <w:tcW w:w="102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982.1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8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Capital Expenditures:</w:t>
            </w:r>
          </w:p>
        </w:tc>
        <w:tc>
          <w:tcPr>
            <w:tcW w:w="280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820" w:type="dxa"/>
            <w:vAlign w:val="bottom"/>
            <w:gridSpan w:val="2"/>
          </w:tcPr>
          <w:p>
            <w:pPr>
              <w:spacing w:after="0"/>
              <w:rPr>
                <w:sz w:val="20"/>
                <w:szCs w:val="20"/>
                <w:color w:val="auto"/>
              </w:rPr>
            </w:pPr>
            <w:r>
              <w:rPr>
                <w:rFonts w:ascii="Arial" w:cs="Arial" w:eastAsia="Arial" w:hAnsi="Arial"/>
                <w:sz w:val="18"/>
                <w:szCs w:val="18"/>
                <w:color w:val="auto"/>
              </w:rPr>
              <w:t>Industrial &amp; Mobile</w:t>
            </w:r>
          </w:p>
        </w:tc>
        <w:tc>
          <w:tcPr>
            <w:tcW w:w="2800" w:type="dxa"/>
            <w:vAlign w:val="bottom"/>
          </w:tcPr>
          <w:p>
            <w:pPr>
              <w:jc w:val="right"/>
              <w:ind w:right="70"/>
              <w:spacing w:after="0"/>
              <w:rPr>
                <w:sz w:val="20"/>
                <w:szCs w:val="20"/>
                <w:color w:val="auto"/>
              </w:rPr>
            </w:pPr>
            <w:r>
              <w:rPr>
                <w:rFonts w:ascii="Arial" w:cs="Arial" w:eastAsia="Arial" w:hAnsi="Arial"/>
                <w:sz w:val="18"/>
                <w:szCs w:val="18"/>
                <w:b w:val="1"/>
                <w:bCs w:val="1"/>
                <w:color w:val="auto"/>
              </w:rPr>
              <w:t>$</w:t>
            </w:r>
          </w:p>
        </w:tc>
        <w:tc>
          <w:tcPr>
            <w:tcW w:w="1040" w:type="dxa"/>
            <w:vAlign w:val="bottom"/>
          </w:tcPr>
          <w:p>
            <w:pPr>
              <w:jc w:val="right"/>
              <w:ind w:right="10"/>
              <w:spacing w:after="0"/>
              <w:rPr>
                <w:sz w:val="20"/>
                <w:szCs w:val="20"/>
                <w:color w:val="auto"/>
              </w:rPr>
            </w:pPr>
            <w:r>
              <w:rPr>
                <w:rFonts w:ascii="Arial" w:cs="Arial" w:eastAsia="Arial" w:hAnsi="Arial"/>
                <w:sz w:val="18"/>
                <w:szCs w:val="18"/>
                <w:b w:val="1"/>
                <w:bCs w:val="1"/>
                <w:color w:val="auto"/>
              </w:rPr>
              <w:t>83.5</w:t>
            </w:r>
          </w:p>
        </w:tc>
        <w:tc>
          <w:tcPr>
            <w:tcW w:w="34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1020" w:type="dxa"/>
            <w:vAlign w:val="bottom"/>
          </w:tcPr>
          <w:p>
            <w:pPr>
              <w:jc w:val="right"/>
              <w:ind w:right="10"/>
              <w:spacing w:after="0"/>
              <w:rPr>
                <w:sz w:val="20"/>
                <w:szCs w:val="20"/>
                <w:color w:val="auto"/>
              </w:rPr>
            </w:pPr>
            <w:r>
              <w:rPr>
                <w:rFonts w:ascii="Arial" w:cs="Arial" w:eastAsia="Arial" w:hAnsi="Arial"/>
                <w:sz w:val="18"/>
                <w:szCs w:val="18"/>
                <w:color w:val="auto"/>
              </w:rPr>
              <w:t>92.8</w:t>
            </w:r>
          </w:p>
        </w:tc>
        <w:tc>
          <w:tcPr>
            <w:tcW w:w="36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1020" w:type="dxa"/>
            <w:vAlign w:val="bottom"/>
          </w:tcPr>
          <w:p>
            <w:pPr>
              <w:jc w:val="right"/>
              <w:ind w:right="10"/>
              <w:spacing w:after="0"/>
              <w:rPr>
                <w:sz w:val="20"/>
                <w:szCs w:val="20"/>
                <w:color w:val="auto"/>
              </w:rPr>
            </w:pPr>
            <w:r>
              <w:rPr>
                <w:rFonts w:ascii="Arial" w:cs="Arial" w:eastAsia="Arial" w:hAnsi="Arial"/>
                <w:sz w:val="18"/>
                <w:szCs w:val="18"/>
                <w:color w:val="auto"/>
              </w:rPr>
              <w:t>54.0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820" w:type="dxa"/>
            <w:vAlign w:val="bottom"/>
            <w:tcBorders>
              <w:bottom w:val="single" w:sz="8" w:color="auto"/>
            </w:tcBorders>
            <w:gridSpan w:val="2"/>
            <w:shd w:val="clear" w:color="auto" w:fill="CCEEFF"/>
          </w:tcPr>
          <w:p>
            <w:pPr>
              <w:spacing w:after="0"/>
              <w:rPr>
                <w:sz w:val="20"/>
                <w:szCs w:val="20"/>
                <w:color w:val="auto"/>
              </w:rPr>
            </w:pPr>
            <w:r>
              <w:rPr>
                <w:rFonts w:ascii="Arial" w:cs="Arial" w:eastAsia="Arial" w:hAnsi="Arial"/>
                <w:sz w:val="18"/>
                <w:szCs w:val="18"/>
                <w:color w:val="auto"/>
              </w:rPr>
              <w:t>Energy &amp; Distribution</w:t>
            </w:r>
          </w:p>
        </w:tc>
        <w:tc>
          <w:tcPr>
            <w:tcW w:w="2800" w:type="dxa"/>
            <w:vAlign w:val="bottom"/>
            <w:tcBorders>
              <w:bottom w:val="single" w:sz="8" w:color="auto"/>
            </w:tcBorders>
            <w:shd w:val="clear" w:color="auto" w:fill="CCEEFF"/>
          </w:tcPr>
          <w:p>
            <w:pPr>
              <w:spacing w:after="0"/>
              <w:rPr>
                <w:sz w:val="18"/>
                <w:szCs w:val="18"/>
                <w:color w:val="auto"/>
              </w:rPr>
            </w:pPr>
          </w:p>
        </w:tc>
        <w:tc>
          <w:tcPr>
            <w:tcW w:w="104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99.3</w:t>
            </w:r>
          </w:p>
        </w:tc>
        <w:tc>
          <w:tcPr>
            <w:tcW w:w="340" w:type="dxa"/>
            <w:vAlign w:val="bottom"/>
            <w:tcBorders>
              <w:bottom w:val="single" w:sz="8" w:color="auto"/>
            </w:tcBorders>
            <w:shd w:val="clear" w:color="auto" w:fill="CCEEFF"/>
          </w:tcPr>
          <w:p>
            <w:pPr>
              <w:spacing w:after="0"/>
              <w:rPr>
                <w:sz w:val="18"/>
                <w:szCs w:val="18"/>
                <w:color w:val="auto"/>
              </w:rPr>
            </w:pPr>
          </w:p>
        </w:tc>
        <w:tc>
          <w:tcPr>
            <w:tcW w:w="10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74.4</w:t>
            </w:r>
          </w:p>
        </w:tc>
        <w:tc>
          <w:tcPr>
            <w:tcW w:w="360" w:type="dxa"/>
            <w:vAlign w:val="bottom"/>
            <w:tcBorders>
              <w:bottom w:val="single" w:sz="8" w:color="auto"/>
            </w:tcBorders>
            <w:shd w:val="clear" w:color="auto" w:fill="CCEEFF"/>
          </w:tcPr>
          <w:p>
            <w:pPr>
              <w:spacing w:after="0"/>
              <w:rPr>
                <w:sz w:val="18"/>
                <w:szCs w:val="18"/>
                <w:color w:val="auto"/>
              </w:rPr>
            </w:pPr>
          </w:p>
        </w:tc>
        <w:tc>
          <w:tcPr>
            <w:tcW w:w="10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37.3</w:t>
            </w:r>
          </w:p>
        </w:tc>
        <w:tc>
          <w:tcPr>
            <w:tcW w:w="0" w:type="dxa"/>
            <w:vAlign w:val="bottom"/>
          </w:tcPr>
          <w:p>
            <w:pPr>
              <w:spacing w:after="0"/>
              <w:rPr>
                <w:sz w:val="1"/>
                <w:szCs w:val="1"/>
                <w:color w:val="auto"/>
              </w:rPr>
            </w:pPr>
          </w:p>
        </w:tc>
      </w:tr>
      <w:tr>
        <w:trPr>
          <w:trHeight w:val="217"/>
        </w:trPr>
        <w:tc>
          <w:tcPr>
            <w:tcW w:w="20" w:type="dxa"/>
            <w:vAlign w:val="bottom"/>
          </w:tcPr>
          <w:p>
            <w:pPr>
              <w:spacing w:after="0"/>
              <w:rPr>
                <w:sz w:val="18"/>
                <w:szCs w:val="18"/>
                <w:color w:val="auto"/>
              </w:rPr>
            </w:pPr>
          </w:p>
        </w:tc>
        <w:tc>
          <w:tcPr>
            <w:tcW w:w="1340" w:type="dxa"/>
            <w:vAlign w:val="bottom"/>
            <w:tcBorders>
              <w:bottom w:val="single" w:sz="8" w:color="auto"/>
            </w:tcBorders>
          </w:tcPr>
          <w:p>
            <w:pPr>
              <w:spacing w:after="0"/>
              <w:rPr>
                <w:sz w:val="18"/>
                <w:szCs w:val="18"/>
                <w:color w:val="auto"/>
              </w:rPr>
            </w:pPr>
          </w:p>
        </w:tc>
        <w:tc>
          <w:tcPr>
            <w:tcW w:w="3480" w:type="dxa"/>
            <w:vAlign w:val="bottom"/>
            <w:tcBorders>
              <w:bottom w:val="single" w:sz="8" w:color="auto"/>
            </w:tcBorders>
          </w:tcPr>
          <w:p>
            <w:pPr>
              <w:spacing w:after="0"/>
              <w:rPr>
                <w:sz w:val="18"/>
                <w:szCs w:val="18"/>
                <w:color w:val="auto"/>
              </w:rPr>
            </w:pPr>
          </w:p>
        </w:tc>
        <w:tc>
          <w:tcPr>
            <w:tcW w:w="280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b w:val="1"/>
                <w:bCs w:val="1"/>
                <w:color w:val="auto"/>
              </w:rPr>
              <w:t>$</w:t>
            </w:r>
          </w:p>
        </w:tc>
        <w:tc>
          <w:tcPr>
            <w:tcW w:w="104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b w:val="1"/>
                <w:bCs w:val="1"/>
                <w:color w:val="auto"/>
              </w:rPr>
              <w:t>182.8</w:t>
            </w:r>
          </w:p>
        </w:tc>
        <w:tc>
          <w:tcPr>
            <w:tcW w:w="34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color w:val="auto"/>
              </w:rPr>
              <w:t>$</w:t>
            </w:r>
          </w:p>
        </w:tc>
        <w:tc>
          <w:tcPr>
            <w:tcW w:w="102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167.2</w:t>
            </w:r>
          </w:p>
        </w:tc>
        <w:tc>
          <w:tcPr>
            <w:tcW w:w="36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color w:val="auto"/>
              </w:rPr>
              <w:t>$</w:t>
            </w:r>
          </w:p>
        </w:tc>
        <w:tc>
          <w:tcPr>
            <w:tcW w:w="102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91.3</w:t>
            </w:r>
          </w:p>
        </w:tc>
        <w:tc>
          <w:tcPr>
            <w:tcW w:w="0" w:type="dxa"/>
            <w:vAlign w:val="bottom"/>
          </w:tcPr>
          <w:p>
            <w:pPr>
              <w:spacing w:after="0"/>
              <w:rPr>
                <w:sz w:val="1"/>
                <w:szCs w:val="1"/>
                <w:color w:val="auto"/>
              </w:rPr>
            </w:pPr>
          </w:p>
        </w:tc>
      </w:tr>
      <w:tr>
        <w:trPr>
          <w:trHeight w:val="149"/>
        </w:trPr>
        <w:tc>
          <w:tcPr>
            <w:tcW w:w="20" w:type="dxa"/>
            <w:vAlign w:val="bottom"/>
            <w:vMerge w:val="restart"/>
          </w:tcPr>
          <w:p>
            <w:pPr>
              <w:spacing w:after="0"/>
              <w:rPr>
                <w:sz w:val="12"/>
                <w:szCs w:val="12"/>
                <w:color w:val="auto"/>
              </w:rPr>
            </w:pPr>
          </w:p>
        </w:tc>
        <w:tc>
          <w:tcPr>
            <w:tcW w:w="1340" w:type="dxa"/>
            <w:vAlign w:val="bottom"/>
            <w:shd w:val="clear" w:color="auto" w:fill="CCEEFF"/>
          </w:tcPr>
          <w:p>
            <w:pPr>
              <w:spacing w:after="0"/>
              <w:rPr>
                <w:sz w:val="12"/>
                <w:szCs w:val="12"/>
                <w:color w:val="auto"/>
              </w:rPr>
            </w:pPr>
          </w:p>
        </w:tc>
        <w:tc>
          <w:tcPr>
            <w:tcW w:w="3480" w:type="dxa"/>
            <w:vAlign w:val="bottom"/>
            <w:shd w:val="clear" w:color="auto" w:fill="CCEEFF"/>
          </w:tcPr>
          <w:p>
            <w:pPr>
              <w:spacing w:after="0"/>
              <w:rPr>
                <w:sz w:val="12"/>
                <w:szCs w:val="12"/>
                <w:color w:val="auto"/>
              </w:rPr>
            </w:pPr>
          </w:p>
        </w:tc>
        <w:tc>
          <w:tcPr>
            <w:tcW w:w="2800" w:type="dxa"/>
            <w:vAlign w:val="bottom"/>
            <w:shd w:val="clear" w:color="auto" w:fill="CCEEFF"/>
          </w:tcPr>
          <w:p>
            <w:pPr>
              <w:spacing w:after="0"/>
              <w:rPr>
                <w:sz w:val="12"/>
                <w:szCs w:val="12"/>
                <w:color w:val="auto"/>
              </w:rPr>
            </w:pPr>
          </w:p>
        </w:tc>
        <w:tc>
          <w:tcPr>
            <w:tcW w:w="1040" w:type="dxa"/>
            <w:vAlign w:val="bottom"/>
            <w:shd w:val="clear" w:color="auto" w:fill="CCEEFF"/>
          </w:tcPr>
          <w:p>
            <w:pPr>
              <w:spacing w:after="0"/>
              <w:rPr>
                <w:sz w:val="12"/>
                <w:szCs w:val="12"/>
                <w:color w:val="auto"/>
              </w:rPr>
            </w:pPr>
          </w:p>
        </w:tc>
        <w:tc>
          <w:tcPr>
            <w:tcW w:w="340" w:type="dxa"/>
            <w:vAlign w:val="bottom"/>
            <w:shd w:val="clear" w:color="auto" w:fill="CCEEFF"/>
          </w:tcPr>
          <w:p>
            <w:pPr>
              <w:spacing w:after="0"/>
              <w:rPr>
                <w:sz w:val="12"/>
                <w:szCs w:val="12"/>
                <w:color w:val="auto"/>
              </w:rPr>
            </w:pPr>
          </w:p>
        </w:tc>
        <w:tc>
          <w:tcPr>
            <w:tcW w:w="1020" w:type="dxa"/>
            <w:vAlign w:val="bottom"/>
            <w:shd w:val="clear" w:color="auto" w:fill="CCEEFF"/>
          </w:tcPr>
          <w:p>
            <w:pPr>
              <w:spacing w:after="0"/>
              <w:rPr>
                <w:sz w:val="12"/>
                <w:szCs w:val="12"/>
                <w:color w:val="auto"/>
              </w:rPr>
            </w:pPr>
          </w:p>
        </w:tc>
        <w:tc>
          <w:tcPr>
            <w:tcW w:w="360" w:type="dxa"/>
            <w:vAlign w:val="bottom"/>
            <w:shd w:val="clear" w:color="auto" w:fill="CCEEFF"/>
          </w:tcPr>
          <w:p>
            <w:pPr>
              <w:spacing w:after="0"/>
              <w:rPr>
                <w:sz w:val="12"/>
                <w:szCs w:val="12"/>
                <w:color w:val="auto"/>
              </w:rPr>
            </w:pPr>
          </w:p>
        </w:tc>
        <w:tc>
          <w:tcPr>
            <w:tcW w:w="10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820" w:type="dxa"/>
            <w:vAlign w:val="bottom"/>
            <w:gridSpan w:val="2"/>
          </w:tcPr>
          <w:p>
            <w:pPr>
              <w:spacing w:after="0"/>
              <w:rPr>
                <w:sz w:val="20"/>
                <w:szCs w:val="20"/>
                <w:color w:val="auto"/>
              </w:rPr>
            </w:pPr>
            <w:r>
              <w:rPr>
                <w:rFonts w:ascii="Arial" w:cs="Arial" w:eastAsia="Arial" w:hAnsi="Arial"/>
                <w:sz w:val="18"/>
                <w:szCs w:val="18"/>
                <w:color w:val="auto"/>
              </w:rPr>
              <w:t>Depreciation and Amortization:</w:t>
            </w:r>
          </w:p>
        </w:tc>
        <w:tc>
          <w:tcPr>
            <w:tcW w:w="28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8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Industrial &amp; Mobile</w:t>
            </w:r>
          </w:p>
        </w:tc>
        <w:tc>
          <w:tcPr>
            <w:tcW w:w="2800" w:type="dxa"/>
            <w:vAlign w:val="bottom"/>
            <w:shd w:val="clear" w:color="auto" w:fill="CCEEFF"/>
          </w:tcPr>
          <w:p>
            <w:pPr>
              <w:jc w:val="right"/>
              <w:ind w:right="70"/>
              <w:spacing w:after="0"/>
              <w:rPr>
                <w:sz w:val="20"/>
                <w:szCs w:val="20"/>
                <w:color w:val="auto"/>
              </w:rPr>
            </w:pPr>
            <w:r>
              <w:rPr>
                <w:rFonts w:ascii="Arial" w:cs="Arial" w:eastAsia="Arial" w:hAnsi="Arial"/>
                <w:sz w:val="18"/>
                <w:szCs w:val="18"/>
                <w:b w:val="1"/>
                <w:bCs w:val="1"/>
                <w:color w:val="auto"/>
              </w:rPr>
              <w:t>$</w:t>
            </w:r>
          </w:p>
        </w:tc>
        <w:tc>
          <w:tcPr>
            <w:tcW w:w="1040" w:type="dxa"/>
            <w:vAlign w:val="bottom"/>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22.1</w:t>
            </w:r>
          </w:p>
        </w:tc>
        <w:tc>
          <w:tcPr>
            <w:tcW w:w="34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102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24.2</w:t>
            </w:r>
          </w:p>
        </w:tc>
        <w:tc>
          <w:tcPr>
            <w:tcW w:w="36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102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24.1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82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auto"/>
              </w:rPr>
              <w:t>Energy &amp; Distribution</w:t>
            </w:r>
          </w:p>
        </w:tc>
        <w:tc>
          <w:tcPr>
            <w:tcW w:w="2800" w:type="dxa"/>
            <w:vAlign w:val="bottom"/>
            <w:tcBorders>
              <w:bottom w:val="single" w:sz="8" w:color="auto"/>
            </w:tcBorders>
          </w:tcPr>
          <w:p>
            <w:pPr>
              <w:spacing w:after="0"/>
              <w:rPr>
                <w:sz w:val="18"/>
                <w:szCs w:val="18"/>
                <w:color w:val="auto"/>
              </w:rPr>
            </w:pPr>
          </w:p>
        </w:tc>
        <w:tc>
          <w:tcPr>
            <w:tcW w:w="104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b w:val="1"/>
                <w:bCs w:val="1"/>
                <w:color w:val="auto"/>
              </w:rPr>
              <w:t>27.9</w:t>
            </w:r>
          </w:p>
        </w:tc>
        <w:tc>
          <w:tcPr>
            <w:tcW w:w="340" w:type="dxa"/>
            <w:vAlign w:val="bottom"/>
            <w:tcBorders>
              <w:bottom w:val="single" w:sz="8" w:color="auto"/>
            </w:tcBorders>
          </w:tcPr>
          <w:p>
            <w:pPr>
              <w:spacing w:after="0"/>
              <w:rPr>
                <w:sz w:val="18"/>
                <w:szCs w:val="18"/>
                <w:color w:val="auto"/>
              </w:rPr>
            </w:pPr>
          </w:p>
        </w:tc>
        <w:tc>
          <w:tcPr>
            <w:tcW w:w="102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22.0</w:t>
            </w:r>
          </w:p>
        </w:tc>
        <w:tc>
          <w:tcPr>
            <w:tcW w:w="360" w:type="dxa"/>
            <w:vAlign w:val="bottom"/>
            <w:tcBorders>
              <w:bottom w:val="single" w:sz="8" w:color="auto"/>
            </w:tcBorders>
          </w:tcPr>
          <w:p>
            <w:pPr>
              <w:spacing w:after="0"/>
              <w:rPr>
                <w:sz w:val="18"/>
                <w:szCs w:val="18"/>
                <w:color w:val="auto"/>
              </w:rPr>
            </w:pPr>
          </w:p>
        </w:tc>
        <w:tc>
          <w:tcPr>
            <w:tcW w:w="102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18.5</w:t>
            </w:r>
          </w:p>
        </w:tc>
        <w:tc>
          <w:tcPr>
            <w:tcW w:w="0" w:type="dxa"/>
            <w:vAlign w:val="bottom"/>
          </w:tcPr>
          <w:p>
            <w:pPr>
              <w:spacing w:after="0"/>
              <w:rPr>
                <w:sz w:val="1"/>
                <w:szCs w:val="1"/>
                <w:color w:val="auto"/>
              </w:rPr>
            </w:pPr>
          </w:p>
        </w:tc>
      </w:tr>
      <w:tr>
        <w:trPr>
          <w:trHeight w:val="217"/>
        </w:trPr>
        <w:tc>
          <w:tcPr>
            <w:tcW w:w="20" w:type="dxa"/>
            <w:vAlign w:val="bottom"/>
          </w:tcPr>
          <w:p>
            <w:pPr>
              <w:spacing w:after="0"/>
              <w:rPr>
                <w:sz w:val="18"/>
                <w:szCs w:val="18"/>
                <w:color w:val="auto"/>
              </w:rPr>
            </w:pPr>
          </w:p>
        </w:tc>
        <w:tc>
          <w:tcPr>
            <w:tcW w:w="1340" w:type="dxa"/>
            <w:vAlign w:val="bottom"/>
            <w:tcBorders>
              <w:bottom w:val="single" w:sz="8" w:color="auto"/>
            </w:tcBorders>
            <w:shd w:val="clear" w:color="auto" w:fill="CCEEFF"/>
          </w:tcPr>
          <w:p>
            <w:pPr>
              <w:spacing w:after="0"/>
              <w:rPr>
                <w:sz w:val="18"/>
                <w:szCs w:val="18"/>
                <w:color w:val="auto"/>
              </w:rPr>
            </w:pPr>
          </w:p>
        </w:tc>
        <w:tc>
          <w:tcPr>
            <w:tcW w:w="3480" w:type="dxa"/>
            <w:vAlign w:val="bottom"/>
            <w:tcBorders>
              <w:bottom w:val="single" w:sz="8" w:color="auto"/>
            </w:tcBorders>
            <w:shd w:val="clear" w:color="auto" w:fill="CCEEFF"/>
          </w:tcPr>
          <w:p>
            <w:pPr>
              <w:spacing w:after="0"/>
              <w:rPr>
                <w:sz w:val="18"/>
                <w:szCs w:val="18"/>
                <w:color w:val="auto"/>
              </w:rPr>
            </w:pPr>
          </w:p>
        </w:tc>
        <w:tc>
          <w:tcPr>
            <w:tcW w:w="280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b w:val="1"/>
                <w:bCs w:val="1"/>
                <w:color w:val="auto"/>
              </w:rPr>
              <w:t>$</w:t>
            </w:r>
          </w:p>
        </w:tc>
        <w:tc>
          <w:tcPr>
            <w:tcW w:w="104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50.0</w:t>
            </w:r>
          </w:p>
        </w:tc>
        <w:tc>
          <w:tcPr>
            <w:tcW w:w="34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10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46.2</w:t>
            </w:r>
          </w:p>
        </w:tc>
        <w:tc>
          <w:tcPr>
            <w:tcW w:w="36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10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42.6</w:t>
            </w:r>
          </w:p>
        </w:tc>
        <w:tc>
          <w:tcPr>
            <w:tcW w:w="0" w:type="dxa"/>
            <w:vAlign w:val="bottom"/>
          </w:tcPr>
          <w:p>
            <w:pPr>
              <w:spacing w:after="0"/>
              <w:rPr>
                <w:sz w:val="1"/>
                <w:szCs w:val="1"/>
                <w:color w:val="auto"/>
              </w:rPr>
            </w:pPr>
          </w:p>
        </w:tc>
      </w:tr>
    </w:tbl>
    <w:p>
      <w:pPr>
        <w:spacing w:after="0" w:line="202"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52">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p>
    <w:p>
      <w:pPr>
        <w:ind w:right="400" w:firstLine="456"/>
        <w:spacing w:after="0" w:line="277" w:lineRule="auto"/>
        <w:rPr>
          <w:sz w:val="20"/>
          <w:szCs w:val="20"/>
          <w:color w:val="auto"/>
        </w:rPr>
      </w:pPr>
      <w:r>
        <w:rPr>
          <w:rFonts w:ascii="Arial" w:cs="Arial" w:eastAsia="Arial" w:hAnsi="Arial"/>
          <w:sz w:val="18"/>
          <w:szCs w:val="18"/>
          <w:color w:val="auto"/>
        </w:rPr>
        <w:t>Net sales by geographic area are reported by the destination of net sales, which is reflective of how TimkenSteel operates its segments. Long-lived assets by geographic area are reported by the location of the subsidiary.</w:t>
      </w:r>
    </w:p>
    <w:p>
      <w:pPr>
        <w:spacing w:after="0" w:line="193"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4380" w:type="dxa"/>
            <w:vAlign w:val="bottom"/>
            <w:tcBorders>
              <w:bottom w:val="single" w:sz="8" w:color="auto"/>
            </w:tcBorders>
          </w:tcPr>
          <w:p>
            <w:pPr>
              <w:spacing w:after="0"/>
              <w:rPr>
                <w:sz w:val="20"/>
                <w:szCs w:val="20"/>
                <w:color w:val="auto"/>
              </w:rPr>
            </w:pPr>
          </w:p>
        </w:tc>
        <w:tc>
          <w:tcPr>
            <w:tcW w:w="3260" w:type="dxa"/>
            <w:vAlign w:val="bottom"/>
            <w:tcBorders>
              <w:bottom w:val="single" w:sz="8" w:color="auto"/>
            </w:tcBorders>
          </w:tcPr>
          <w:p>
            <w:pPr>
              <w:spacing w:after="0"/>
              <w:rPr>
                <w:sz w:val="20"/>
                <w:szCs w:val="20"/>
                <w:color w:val="auto"/>
              </w:rPr>
            </w:pPr>
          </w:p>
        </w:tc>
        <w:tc>
          <w:tcPr>
            <w:tcW w:w="1040" w:type="dxa"/>
            <w:vAlign w:val="bottom"/>
            <w:tcBorders>
              <w:bottom w:val="single" w:sz="8" w:color="auto"/>
            </w:tcBorders>
          </w:tcPr>
          <w:p>
            <w:pPr>
              <w:jc w:val="right"/>
              <w:ind w:right="430"/>
              <w:spacing w:after="0"/>
              <w:rPr>
                <w:sz w:val="20"/>
                <w:szCs w:val="20"/>
                <w:color w:val="auto"/>
              </w:rPr>
            </w:pPr>
            <w:r>
              <w:rPr>
                <w:rFonts w:ascii="Arial" w:cs="Arial" w:eastAsia="Arial" w:hAnsi="Arial"/>
                <w:sz w:val="18"/>
                <w:szCs w:val="18"/>
                <w:b w:val="1"/>
                <w:bCs w:val="1"/>
                <w:color w:val="auto"/>
              </w:rPr>
              <w:t>2013</w:t>
            </w:r>
          </w:p>
        </w:tc>
        <w:tc>
          <w:tcPr>
            <w:tcW w:w="340" w:type="dxa"/>
            <w:vAlign w:val="bottom"/>
            <w:tcBorders>
              <w:bottom w:val="single" w:sz="8" w:color="auto"/>
            </w:tcBorders>
          </w:tcPr>
          <w:p>
            <w:pPr>
              <w:spacing w:after="0"/>
              <w:rPr>
                <w:sz w:val="20"/>
                <w:szCs w:val="20"/>
                <w:color w:val="auto"/>
              </w:rPr>
            </w:pPr>
          </w:p>
        </w:tc>
        <w:tc>
          <w:tcPr>
            <w:tcW w:w="1020" w:type="dxa"/>
            <w:vAlign w:val="bottom"/>
            <w:tcBorders>
              <w:bottom w:val="single" w:sz="8" w:color="auto"/>
            </w:tcBorders>
          </w:tcPr>
          <w:p>
            <w:pPr>
              <w:jc w:val="right"/>
              <w:ind w:right="410"/>
              <w:spacing w:after="0"/>
              <w:rPr>
                <w:sz w:val="20"/>
                <w:szCs w:val="20"/>
                <w:color w:val="auto"/>
              </w:rPr>
            </w:pPr>
            <w:r>
              <w:rPr>
                <w:rFonts w:ascii="Arial" w:cs="Arial" w:eastAsia="Arial" w:hAnsi="Arial"/>
                <w:sz w:val="18"/>
                <w:szCs w:val="18"/>
                <w:color w:val="auto"/>
              </w:rPr>
              <w:t>2012</w:t>
            </w:r>
          </w:p>
        </w:tc>
        <w:tc>
          <w:tcPr>
            <w:tcW w:w="360" w:type="dxa"/>
            <w:vAlign w:val="bottom"/>
            <w:tcBorders>
              <w:bottom w:val="single" w:sz="8" w:color="auto"/>
            </w:tcBorders>
          </w:tcPr>
          <w:p>
            <w:pPr>
              <w:spacing w:after="0"/>
              <w:rPr>
                <w:sz w:val="20"/>
                <w:szCs w:val="20"/>
                <w:color w:val="auto"/>
              </w:rPr>
            </w:pPr>
          </w:p>
        </w:tc>
        <w:tc>
          <w:tcPr>
            <w:tcW w:w="1020" w:type="dxa"/>
            <w:vAlign w:val="bottom"/>
            <w:tcBorders>
              <w:bottom w:val="single" w:sz="8" w:color="auto"/>
            </w:tcBorders>
          </w:tcPr>
          <w:p>
            <w:pPr>
              <w:jc w:val="right"/>
              <w:ind w:right="410"/>
              <w:spacing w:after="0"/>
              <w:rPr>
                <w:sz w:val="20"/>
                <w:szCs w:val="20"/>
                <w:color w:val="auto"/>
              </w:rPr>
            </w:pPr>
            <w:r>
              <w:rPr>
                <w:rFonts w:ascii="Arial" w:cs="Arial" w:eastAsia="Arial" w:hAnsi="Arial"/>
                <w:sz w:val="18"/>
                <w:szCs w:val="18"/>
                <w:color w:val="auto"/>
              </w:rPr>
              <w:t>2011</w:t>
            </w:r>
          </w:p>
        </w:tc>
      </w:tr>
      <w:tr>
        <w:trPr>
          <w:trHeight w:val="210"/>
        </w:trPr>
        <w:tc>
          <w:tcPr>
            <w:tcW w:w="4380" w:type="dxa"/>
            <w:vAlign w:val="bottom"/>
            <w:shd w:val="clear" w:color="auto" w:fill="CCEEFF"/>
          </w:tcPr>
          <w:p>
            <w:pPr>
              <w:spacing w:after="0"/>
              <w:rPr>
                <w:sz w:val="20"/>
                <w:szCs w:val="20"/>
                <w:color w:val="auto"/>
              </w:rPr>
            </w:pPr>
            <w:r>
              <w:rPr>
                <w:rFonts w:ascii="Arial" w:cs="Arial" w:eastAsia="Arial" w:hAnsi="Arial"/>
                <w:sz w:val="18"/>
                <w:szCs w:val="18"/>
                <w:color w:val="auto"/>
              </w:rPr>
              <w:t>Net Sales:</w:t>
            </w:r>
          </w:p>
        </w:tc>
        <w:tc>
          <w:tcPr>
            <w:tcW w:w="326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r>
      <w:tr>
        <w:trPr>
          <w:trHeight w:val="216"/>
        </w:trPr>
        <w:tc>
          <w:tcPr>
            <w:tcW w:w="4380" w:type="dxa"/>
            <w:vAlign w:val="bottom"/>
          </w:tcPr>
          <w:p>
            <w:pPr>
              <w:spacing w:after="0"/>
              <w:rPr>
                <w:sz w:val="20"/>
                <w:szCs w:val="20"/>
                <w:color w:val="auto"/>
              </w:rPr>
            </w:pPr>
            <w:r>
              <w:rPr>
                <w:rFonts w:ascii="Arial" w:cs="Arial" w:eastAsia="Arial" w:hAnsi="Arial"/>
                <w:sz w:val="18"/>
                <w:szCs w:val="18"/>
                <w:color w:val="auto"/>
              </w:rPr>
              <w:t>United States</w:t>
            </w:r>
          </w:p>
        </w:tc>
        <w:tc>
          <w:tcPr>
            <w:tcW w:w="3260" w:type="dxa"/>
            <w:vAlign w:val="bottom"/>
          </w:tcPr>
          <w:p>
            <w:pPr>
              <w:jc w:val="right"/>
              <w:ind w:right="70"/>
              <w:spacing w:after="0"/>
              <w:rPr>
                <w:sz w:val="20"/>
                <w:szCs w:val="20"/>
                <w:color w:val="auto"/>
              </w:rPr>
            </w:pPr>
            <w:r>
              <w:rPr>
                <w:rFonts w:ascii="Arial" w:cs="Arial" w:eastAsia="Arial" w:hAnsi="Arial"/>
                <w:sz w:val="18"/>
                <w:szCs w:val="18"/>
                <w:b w:val="1"/>
                <w:bCs w:val="1"/>
                <w:color w:val="auto"/>
              </w:rPr>
              <w:t>$</w:t>
            </w:r>
          </w:p>
        </w:tc>
        <w:tc>
          <w:tcPr>
            <w:tcW w:w="1040" w:type="dxa"/>
            <w:vAlign w:val="bottom"/>
          </w:tcPr>
          <w:p>
            <w:pPr>
              <w:jc w:val="right"/>
              <w:ind w:right="10"/>
              <w:spacing w:after="0"/>
              <w:rPr>
                <w:sz w:val="20"/>
                <w:szCs w:val="20"/>
                <w:color w:val="auto"/>
              </w:rPr>
            </w:pPr>
            <w:r>
              <w:rPr>
                <w:rFonts w:ascii="Arial" w:cs="Arial" w:eastAsia="Arial" w:hAnsi="Arial"/>
                <w:sz w:val="18"/>
                <w:szCs w:val="18"/>
                <w:b w:val="1"/>
                <w:bCs w:val="1"/>
                <w:color w:val="auto"/>
              </w:rPr>
              <w:t>1,285.7</w:t>
            </w:r>
          </w:p>
        </w:tc>
        <w:tc>
          <w:tcPr>
            <w:tcW w:w="34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1020" w:type="dxa"/>
            <w:vAlign w:val="bottom"/>
          </w:tcPr>
          <w:p>
            <w:pPr>
              <w:jc w:val="right"/>
              <w:ind w:right="10"/>
              <w:spacing w:after="0"/>
              <w:rPr>
                <w:sz w:val="20"/>
                <w:szCs w:val="20"/>
                <w:color w:val="auto"/>
              </w:rPr>
            </w:pPr>
            <w:r>
              <w:rPr>
                <w:rFonts w:ascii="Arial" w:cs="Arial" w:eastAsia="Arial" w:hAnsi="Arial"/>
                <w:sz w:val="18"/>
                <w:szCs w:val="18"/>
                <w:color w:val="auto"/>
              </w:rPr>
              <w:t>1,632.0</w:t>
            </w:r>
          </w:p>
        </w:tc>
        <w:tc>
          <w:tcPr>
            <w:tcW w:w="36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1020" w:type="dxa"/>
            <w:vAlign w:val="bottom"/>
          </w:tcPr>
          <w:p>
            <w:pPr>
              <w:jc w:val="right"/>
              <w:ind w:right="10"/>
              <w:spacing w:after="0"/>
              <w:rPr>
                <w:sz w:val="20"/>
                <w:szCs w:val="20"/>
                <w:color w:val="auto"/>
              </w:rPr>
            </w:pPr>
            <w:r>
              <w:rPr>
                <w:rFonts w:ascii="Arial" w:cs="Arial" w:eastAsia="Arial" w:hAnsi="Arial"/>
                <w:sz w:val="18"/>
                <w:szCs w:val="18"/>
                <w:color w:val="auto"/>
              </w:rPr>
              <w:t>1,841.1</w:t>
            </w:r>
          </w:p>
        </w:tc>
      </w:tr>
      <w:tr>
        <w:trPr>
          <w:trHeight w:val="216"/>
        </w:trPr>
        <w:tc>
          <w:tcPr>
            <w:tcW w:w="438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color w:val="auto"/>
              </w:rPr>
              <w:t>Foreign</w:t>
            </w:r>
          </w:p>
        </w:tc>
        <w:tc>
          <w:tcPr>
            <w:tcW w:w="3260" w:type="dxa"/>
            <w:vAlign w:val="bottom"/>
            <w:tcBorders>
              <w:bottom w:val="single" w:sz="8" w:color="auto"/>
            </w:tcBorders>
            <w:shd w:val="clear" w:color="auto" w:fill="CCEEFF"/>
          </w:tcPr>
          <w:p>
            <w:pPr>
              <w:spacing w:after="0"/>
              <w:rPr>
                <w:sz w:val="18"/>
                <w:szCs w:val="18"/>
                <w:color w:val="auto"/>
              </w:rPr>
            </w:pPr>
          </w:p>
        </w:tc>
        <w:tc>
          <w:tcPr>
            <w:tcW w:w="104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95.2</w:t>
            </w:r>
          </w:p>
        </w:tc>
        <w:tc>
          <w:tcPr>
            <w:tcW w:w="340" w:type="dxa"/>
            <w:vAlign w:val="bottom"/>
            <w:tcBorders>
              <w:bottom w:val="single" w:sz="8" w:color="auto"/>
            </w:tcBorders>
            <w:shd w:val="clear" w:color="auto" w:fill="CCEEFF"/>
          </w:tcPr>
          <w:p>
            <w:pPr>
              <w:spacing w:after="0"/>
              <w:rPr>
                <w:sz w:val="18"/>
                <w:szCs w:val="18"/>
                <w:color w:val="auto"/>
              </w:rPr>
            </w:pPr>
          </w:p>
        </w:tc>
        <w:tc>
          <w:tcPr>
            <w:tcW w:w="10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96.7</w:t>
            </w:r>
          </w:p>
        </w:tc>
        <w:tc>
          <w:tcPr>
            <w:tcW w:w="360" w:type="dxa"/>
            <w:vAlign w:val="bottom"/>
            <w:tcBorders>
              <w:bottom w:val="single" w:sz="8" w:color="auto"/>
            </w:tcBorders>
            <w:shd w:val="clear" w:color="auto" w:fill="CCEEFF"/>
          </w:tcPr>
          <w:p>
            <w:pPr>
              <w:spacing w:after="0"/>
              <w:rPr>
                <w:sz w:val="18"/>
                <w:szCs w:val="18"/>
                <w:color w:val="auto"/>
              </w:rPr>
            </w:pPr>
          </w:p>
        </w:tc>
        <w:tc>
          <w:tcPr>
            <w:tcW w:w="10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115.4</w:t>
            </w:r>
          </w:p>
        </w:tc>
      </w:tr>
      <w:tr>
        <w:trPr>
          <w:trHeight w:val="217"/>
        </w:trPr>
        <w:tc>
          <w:tcPr>
            <w:tcW w:w="4380" w:type="dxa"/>
            <w:vAlign w:val="bottom"/>
            <w:tcBorders>
              <w:bottom w:val="single" w:sz="8" w:color="auto"/>
            </w:tcBorders>
          </w:tcPr>
          <w:p>
            <w:pPr>
              <w:spacing w:after="0"/>
              <w:rPr>
                <w:sz w:val="18"/>
                <w:szCs w:val="18"/>
                <w:color w:val="auto"/>
              </w:rPr>
            </w:pPr>
          </w:p>
        </w:tc>
        <w:tc>
          <w:tcPr>
            <w:tcW w:w="326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b w:val="1"/>
                <w:bCs w:val="1"/>
                <w:color w:val="auto"/>
              </w:rPr>
              <w:t>$</w:t>
            </w:r>
          </w:p>
        </w:tc>
        <w:tc>
          <w:tcPr>
            <w:tcW w:w="104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b w:val="1"/>
                <w:bCs w:val="1"/>
                <w:color w:val="auto"/>
              </w:rPr>
              <w:t>1,380.9</w:t>
            </w:r>
          </w:p>
        </w:tc>
        <w:tc>
          <w:tcPr>
            <w:tcW w:w="34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color w:val="auto"/>
              </w:rPr>
              <w:t>$</w:t>
            </w:r>
          </w:p>
        </w:tc>
        <w:tc>
          <w:tcPr>
            <w:tcW w:w="102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1,728.7</w:t>
            </w:r>
          </w:p>
        </w:tc>
        <w:tc>
          <w:tcPr>
            <w:tcW w:w="36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color w:val="auto"/>
              </w:rPr>
              <w:t>$</w:t>
            </w:r>
          </w:p>
        </w:tc>
        <w:tc>
          <w:tcPr>
            <w:tcW w:w="102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1,956.5</w:t>
            </w:r>
          </w:p>
        </w:tc>
      </w:tr>
      <w:tr>
        <w:trPr>
          <w:trHeight w:val="459"/>
        </w:trPr>
        <w:tc>
          <w:tcPr>
            <w:tcW w:w="4380" w:type="dxa"/>
            <w:vAlign w:val="bottom"/>
            <w:tcBorders>
              <w:bottom w:val="single" w:sz="8" w:color="auto"/>
            </w:tcBorders>
          </w:tcPr>
          <w:p>
            <w:pPr>
              <w:spacing w:after="0"/>
              <w:rPr>
                <w:sz w:val="24"/>
                <w:szCs w:val="24"/>
                <w:color w:val="auto"/>
              </w:rPr>
            </w:pPr>
          </w:p>
        </w:tc>
        <w:tc>
          <w:tcPr>
            <w:tcW w:w="3260" w:type="dxa"/>
            <w:vAlign w:val="bottom"/>
            <w:tcBorders>
              <w:bottom w:val="single" w:sz="8" w:color="auto"/>
            </w:tcBorders>
          </w:tcPr>
          <w:p>
            <w:pPr>
              <w:spacing w:after="0"/>
              <w:rPr>
                <w:sz w:val="24"/>
                <w:szCs w:val="24"/>
                <w:color w:val="auto"/>
              </w:rPr>
            </w:pPr>
          </w:p>
        </w:tc>
        <w:tc>
          <w:tcPr>
            <w:tcW w:w="1040" w:type="dxa"/>
            <w:vAlign w:val="bottom"/>
            <w:tcBorders>
              <w:bottom w:val="single" w:sz="8" w:color="auto"/>
            </w:tcBorders>
          </w:tcPr>
          <w:p>
            <w:pPr>
              <w:jc w:val="right"/>
              <w:ind w:right="430"/>
              <w:spacing w:after="0"/>
              <w:rPr>
                <w:sz w:val="20"/>
                <w:szCs w:val="20"/>
                <w:color w:val="auto"/>
              </w:rPr>
            </w:pPr>
            <w:r>
              <w:rPr>
                <w:rFonts w:ascii="Arial" w:cs="Arial" w:eastAsia="Arial" w:hAnsi="Arial"/>
                <w:sz w:val="18"/>
                <w:szCs w:val="18"/>
                <w:b w:val="1"/>
                <w:bCs w:val="1"/>
                <w:color w:val="auto"/>
              </w:rPr>
              <w:t>2013</w:t>
            </w:r>
          </w:p>
        </w:tc>
        <w:tc>
          <w:tcPr>
            <w:tcW w:w="340" w:type="dxa"/>
            <w:vAlign w:val="bottom"/>
            <w:tcBorders>
              <w:bottom w:val="single" w:sz="8" w:color="auto"/>
            </w:tcBorders>
          </w:tcPr>
          <w:p>
            <w:pPr>
              <w:spacing w:after="0"/>
              <w:rPr>
                <w:sz w:val="24"/>
                <w:szCs w:val="24"/>
                <w:color w:val="auto"/>
              </w:rPr>
            </w:pPr>
          </w:p>
        </w:tc>
        <w:tc>
          <w:tcPr>
            <w:tcW w:w="1020" w:type="dxa"/>
            <w:vAlign w:val="bottom"/>
            <w:tcBorders>
              <w:bottom w:val="single" w:sz="8" w:color="auto"/>
            </w:tcBorders>
          </w:tcPr>
          <w:p>
            <w:pPr>
              <w:jc w:val="right"/>
              <w:ind w:right="410"/>
              <w:spacing w:after="0"/>
              <w:rPr>
                <w:sz w:val="20"/>
                <w:szCs w:val="20"/>
                <w:color w:val="auto"/>
              </w:rPr>
            </w:pPr>
            <w:r>
              <w:rPr>
                <w:rFonts w:ascii="Arial" w:cs="Arial" w:eastAsia="Arial" w:hAnsi="Arial"/>
                <w:sz w:val="18"/>
                <w:szCs w:val="18"/>
                <w:color w:val="auto"/>
              </w:rPr>
              <w:t>2012</w:t>
            </w:r>
          </w:p>
        </w:tc>
        <w:tc>
          <w:tcPr>
            <w:tcW w:w="360" w:type="dxa"/>
            <w:vAlign w:val="bottom"/>
            <w:tcBorders>
              <w:bottom w:val="single" w:sz="8" w:color="auto"/>
            </w:tcBorders>
          </w:tcPr>
          <w:p>
            <w:pPr>
              <w:spacing w:after="0"/>
              <w:rPr>
                <w:sz w:val="24"/>
                <w:szCs w:val="24"/>
                <w:color w:val="auto"/>
              </w:rPr>
            </w:pPr>
          </w:p>
        </w:tc>
        <w:tc>
          <w:tcPr>
            <w:tcW w:w="1020" w:type="dxa"/>
            <w:vAlign w:val="bottom"/>
            <w:tcBorders>
              <w:bottom w:val="single" w:sz="8" w:color="auto"/>
            </w:tcBorders>
          </w:tcPr>
          <w:p>
            <w:pPr>
              <w:jc w:val="right"/>
              <w:ind w:right="410"/>
              <w:spacing w:after="0"/>
              <w:rPr>
                <w:sz w:val="20"/>
                <w:szCs w:val="20"/>
                <w:color w:val="auto"/>
              </w:rPr>
            </w:pPr>
            <w:r>
              <w:rPr>
                <w:rFonts w:ascii="Arial" w:cs="Arial" w:eastAsia="Arial" w:hAnsi="Arial"/>
                <w:sz w:val="18"/>
                <w:szCs w:val="18"/>
                <w:color w:val="auto"/>
              </w:rPr>
              <w:t>2011</w:t>
            </w:r>
          </w:p>
        </w:tc>
      </w:tr>
      <w:tr>
        <w:trPr>
          <w:trHeight w:val="210"/>
        </w:trPr>
        <w:tc>
          <w:tcPr>
            <w:tcW w:w="4380" w:type="dxa"/>
            <w:vAlign w:val="bottom"/>
            <w:shd w:val="clear" w:color="auto" w:fill="CCEEFF"/>
          </w:tcPr>
          <w:p>
            <w:pPr>
              <w:spacing w:after="0"/>
              <w:rPr>
                <w:sz w:val="20"/>
                <w:szCs w:val="20"/>
                <w:color w:val="auto"/>
              </w:rPr>
            </w:pPr>
            <w:r>
              <w:rPr>
                <w:rFonts w:ascii="Arial" w:cs="Arial" w:eastAsia="Arial" w:hAnsi="Arial"/>
                <w:sz w:val="18"/>
                <w:szCs w:val="18"/>
                <w:color w:val="auto"/>
              </w:rPr>
              <w:t>Long-lived Assets:</w:t>
            </w:r>
          </w:p>
        </w:tc>
        <w:tc>
          <w:tcPr>
            <w:tcW w:w="326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r>
      <w:tr>
        <w:trPr>
          <w:trHeight w:val="216"/>
        </w:trPr>
        <w:tc>
          <w:tcPr>
            <w:tcW w:w="4380" w:type="dxa"/>
            <w:vAlign w:val="bottom"/>
          </w:tcPr>
          <w:p>
            <w:pPr>
              <w:spacing w:after="0"/>
              <w:rPr>
                <w:sz w:val="20"/>
                <w:szCs w:val="20"/>
                <w:color w:val="auto"/>
              </w:rPr>
            </w:pPr>
            <w:r>
              <w:rPr>
                <w:rFonts w:ascii="Arial" w:cs="Arial" w:eastAsia="Arial" w:hAnsi="Arial"/>
                <w:sz w:val="18"/>
                <w:szCs w:val="18"/>
                <w:color w:val="auto"/>
              </w:rPr>
              <w:t>United States</w:t>
            </w:r>
          </w:p>
        </w:tc>
        <w:tc>
          <w:tcPr>
            <w:tcW w:w="3260" w:type="dxa"/>
            <w:vAlign w:val="bottom"/>
          </w:tcPr>
          <w:p>
            <w:pPr>
              <w:jc w:val="right"/>
              <w:ind w:right="70"/>
              <w:spacing w:after="0"/>
              <w:rPr>
                <w:sz w:val="20"/>
                <w:szCs w:val="20"/>
                <w:color w:val="auto"/>
              </w:rPr>
            </w:pPr>
            <w:r>
              <w:rPr>
                <w:rFonts w:ascii="Arial" w:cs="Arial" w:eastAsia="Arial" w:hAnsi="Arial"/>
                <w:sz w:val="18"/>
                <w:szCs w:val="18"/>
                <w:b w:val="1"/>
                <w:bCs w:val="1"/>
                <w:color w:val="auto"/>
              </w:rPr>
              <w:t>$</w:t>
            </w:r>
          </w:p>
        </w:tc>
        <w:tc>
          <w:tcPr>
            <w:tcW w:w="1040" w:type="dxa"/>
            <w:vAlign w:val="bottom"/>
          </w:tcPr>
          <w:p>
            <w:pPr>
              <w:jc w:val="right"/>
              <w:ind w:right="10"/>
              <w:spacing w:after="0"/>
              <w:rPr>
                <w:sz w:val="20"/>
                <w:szCs w:val="20"/>
                <w:color w:val="auto"/>
              </w:rPr>
            </w:pPr>
            <w:r>
              <w:rPr>
                <w:rFonts w:ascii="Arial" w:cs="Arial" w:eastAsia="Arial" w:hAnsi="Arial"/>
                <w:sz w:val="18"/>
                <w:szCs w:val="18"/>
                <w:b w:val="1"/>
                <w:bCs w:val="1"/>
                <w:color w:val="auto"/>
              </w:rPr>
              <w:t>682.4</w:t>
            </w:r>
          </w:p>
        </w:tc>
        <w:tc>
          <w:tcPr>
            <w:tcW w:w="34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1020" w:type="dxa"/>
            <w:vAlign w:val="bottom"/>
          </w:tcPr>
          <w:p>
            <w:pPr>
              <w:jc w:val="right"/>
              <w:ind w:right="10"/>
              <w:spacing w:after="0"/>
              <w:rPr>
                <w:sz w:val="20"/>
                <w:szCs w:val="20"/>
                <w:color w:val="auto"/>
              </w:rPr>
            </w:pPr>
            <w:r>
              <w:rPr>
                <w:rFonts w:ascii="Arial" w:cs="Arial" w:eastAsia="Arial" w:hAnsi="Arial"/>
                <w:sz w:val="18"/>
                <w:szCs w:val="18"/>
                <w:color w:val="auto"/>
              </w:rPr>
              <w:t>549.9</w:t>
            </w:r>
          </w:p>
        </w:tc>
        <w:tc>
          <w:tcPr>
            <w:tcW w:w="36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1020" w:type="dxa"/>
            <w:vAlign w:val="bottom"/>
          </w:tcPr>
          <w:p>
            <w:pPr>
              <w:jc w:val="right"/>
              <w:ind w:right="10"/>
              <w:spacing w:after="0"/>
              <w:rPr>
                <w:sz w:val="20"/>
                <w:szCs w:val="20"/>
                <w:color w:val="auto"/>
              </w:rPr>
            </w:pPr>
            <w:r>
              <w:rPr>
                <w:rFonts w:ascii="Arial" w:cs="Arial" w:eastAsia="Arial" w:hAnsi="Arial"/>
                <w:sz w:val="18"/>
                <w:szCs w:val="18"/>
                <w:color w:val="auto"/>
              </w:rPr>
              <w:t>422.3</w:t>
            </w:r>
          </w:p>
        </w:tc>
      </w:tr>
      <w:tr>
        <w:trPr>
          <w:trHeight w:val="216"/>
        </w:trPr>
        <w:tc>
          <w:tcPr>
            <w:tcW w:w="438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color w:val="auto"/>
              </w:rPr>
              <w:t>Foreign</w:t>
            </w:r>
          </w:p>
        </w:tc>
        <w:tc>
          <w:tcPr>
            <w:tcW w:w="3260" w:type="dxa"/>
            <w:vAlign w:val="bottom"/>
            <w:tcBorders>
              <w:bottom w:val="single" w:sz="8" w:color="auto"/>
            </w:tcBorders>
            <w:shd w:val="clear" w:color="auto" w:fill="CCEEFF"/>
          </w:tcPr>
          <w:p>
            <w:pPr>
              <w:spacing w:after="0"/>
              <w:rPr>
                <w:sz w:val="18"/>
                <w:szCs w:val="18"/>
                <w:color w:val="auto"/>
              </w:rPr>
            </w:pPr>
          </w:p>
        </w:tc>
        <w:tc>
          <w:tcPr>
            <w:tcW w:w="104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0.2</w:t>
            </w:r>
          </w:p>
        </w:tc>
        <w:tc>
          <w:tcPr>
            <w:tcW w:w="340" w:type="dxa"/>
            <w:vAlign w:val="bottom"/>
            <w:tcBorders>
              <w:bottom w:val="single" w:sz="8" w:color="auto"/>
            </w:tcBorders>
            <w:shd w:val="clear" w:color="auto" w:fill="CCEEFF"/>
          </w:tcPr>
          <w:p>
            <w:pPr>
              <w:spacing w:after="0"/>
              <w:rPr>
                <w:sz w:val="18"/>
                <w:szCs w:val="18"/>
                <w:color w:val="auto"/>
              </w:rPr>
            </w:pPr>
          </w:p>
        </w:tc>
        <w:tc>
          <w:tcPr>
            <w:tcW w:w="10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0.2</w:t>
            </w:r>
          </w:p>
        </w:tc>
        <w:tc>
          <w:tcPr>
            <w:tcW w:w="360" w:type="dxa"/>
            <w:vAlign w:val="bottom"/>
            <w:tcBorders>
              <w:bottom w:val="single" w:sz="8" w:color="auto"/>
            </w:tcBorders>
            <w:shd w:val="clear" w:color="auto" w:fill="CCEEFF"/>
          </w:tcPr>
          <w:p>
            <w:pPr>
              <w:spacing w:after="0"/>
              <w:rPr>
                <w:sz w:val="18"/>
                <w:szCs w:val="18"/>
                <w:color w:val="auto"/>
              </w:rPr>
            </w:pPr>
          </w:p>
        </w:tc>
        <w:tc>
          <w:tcPr>
            <w:tcW w:w="10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0.1</w:t>
            </w:r>
          </w:p>
        </w:tc>
      </w:tr>
      <w:tr>
        <w:trPr>
          <w:trHeight w:val="217"/>
        </w:trPr>
        <w:tc>
          <w:tcPr>
            <w:tcW w:w="4380" w:type="dxa"/>
            <w:vAlign w:val="bottom"/>
            <w:tcBorders>
              <w:bottom w:val="single" w:sz="8" w:color="auto"/>
            </w:tcBorders>
          </w:tcPr>
          <w:p>
            <w:pPr>
              <w:spacing w:after="0"/>
              <w:rPr>
                <w:sz w:val="18"/>
                <w:szCs w:val="18"/>
                <w:color w:val="auto"/>
              </w:rPr>
            </w:pPr>
          </w:p>
        </w:tc>
        <w:tc>
          <w:tcPr>
            <w:tcW w:w="326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b w:val="1"/>
                <w:bCs w:val="1"/>
                <w:color w:val="auto"/>
              </w:rPr>
              <w:t>$</w:t>
            </w:r>
          </w:p>
        </w:tc>
        <w:tc>
          <w:tcPr>
            <w:tcW w:w="104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b w:val="1"/>
                <w:bCs w:val="1"/>
                <w:color w:val="auto"/>
              </w:rPr>
              <w:t>682.6</w:t>
            </w:r>
          </w:p>
        </w:tc>
        <w:tc>
          <w:tcPr>
            <w:tcW w:w="34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color w:val="auto"/>
              </w:rPr>
              <w:t>$</w:t>
            </w:r>
          </w:p>
        </w:tc>
        <w:tc>
          <w:tcPr>
            <w:tcW w:w="102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550.1</w:t>
            </w:r>
          </w:p>
        </w:tc>
        <w:tc>
          <w:tcPr>
            <w:tcW w:w="36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color w:val="auto"/>
              </w:rPr>
              <w:t>$</w:t>
            </w:r>
          </w:p>
        </w:tc>
        <w:tc>
          <w:tcPr>
            <w:tcW w:w="102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422.4</w:t>
            </w:r>
          </w:p>
        </w:tc>
      </w:tr>
    </w:tbl>
    <w:p>
      <w:pPr>
        <w:spacing w:after="0" w:line="202" w:lineRule="exact"/>
        <w:rPr>
          <w:sz w:val="20"/>
          <w:szCs w:val="20"/>
          <w:color w:val="auto"/>
        </w:rPr>
      </w:pPr>
    </w:p>
    <w:p>
      <w:pPr>
        <w:ind w:right="140" w:firstLine="913"/>
        <w:spacing w:after="0" w:line="277" w:lineRule="auto"/>
        <w:rPr>
          <w:sz w:val="20"/>
          <w:szCs w:val="20"/>
          <w:color w:val="auto"/>
        </w:rPr>
      </w:pPr>
      <w:r>
        <w:rPr>
          <w:rFonts w:ascii="Arial" w:cs="Arial" w:eastAsia="Arial" w:hAnsi="Arial"/>
          <w:sz w:val="18"/>
          <w:szCs w:val="18"/>
          <w:color w:val="auto"/>
        </w:rPr>
        <w:t>TimkenSteel reclassified $59.1 million and $78.8 million of net sales from United States to Foreign for 2012 and 2011, respectively, to conform to the 2013 presentation. Such amounts are related to United States export sales.</w:t>
      </w:r>
    </w:p>
    <w:p>
      <w:pPr>
        <w:spacing w:after="0" w:line="153" w:lineRule="exact"/>
        <w:rPr>
          <w:sz w:val="20"/>
          <w:szCs w:val="20"/>
          <w:color w:val="auto"/>
        </w:rPr>
      </w:pPr>
    </w:p>
    <w:p>
      <w:pPr>
        <w:spacing w:after="0"/>
        <w:rPr>
          <w:sz w:val="20"/>
          <w:szCs w:val="20"/>
          <w:color w:val="auto"/>
        </w:rPr>
      </w:pPr>
      <w:r>
        <w:rPr>
          <w:rFonts w:ascii="Arial" w:cs="Arial" w:eastAsia="Arial" w:hAnsi="Arial"/>
          <w:sz w:val="23"/>
          <w:szCs w:val="23"/>
          <w:b w:val="1"/>
          <w:bCs w:val="1"/>
          <w:color w:val="auto"/>
        </w:rPr>
        <w:t>Note 12 - Income Taxes</w:t>
      </w:r>
    </w:p>
    <w:p>
      <w:pPr>
        <w:spacing w:after="0" w:line="239" w:lineRule="exact"/>
        <w:rPr>
          <w:sz w:val="20"/>
          <w:szCs w:val="20"/>
          <w:color w:val="auto"/>
        </w:rPr>
      </w:pPr>
    </w:p>
    <w:p>
      <w:pPr>
        <w:ind w:right="80" w:firstLine="913"/>
        <w:spacing w:after="0" w:line="255" w:lineRule="auto"/>
        <w:rPr>
          <w:sz w:val="20"/>
          <w:szCs w:val="20"/>
          <w:color w:val="auto"/>
        </w:rPr>
      </w:pPr>
      <w:r>
        <w:rPr>
          <w:rFonts w:ascii="Arial" w:cs="Arial" w:eastAsia="Arial" w:hAnsi="Arial"/>
          <w:sz w:val="18"/>
          <w:szCs w:val="18"/>
          <w:color w:val="auto"/>
        </w:rPr>
        <w:t>As previously discussed in Note 2 – Significant Accounting Policies, although TimkenSteel was historically included in consolidated income tax returns of Timken, TimkenSteel’s income taxes are computed and reported herein under the “separate return method.” Use of the separate return method may result in differences when the sum of the amounts allocated to stand-alone tax provisions are compared with amounts presented in Audited Consolidated Financial Statements. In that event, the related deferred tax assets and liabilities could be significantly different from those presented herein. Certain tax attributes, such as net operating loss carryforwards that were actually reflected in Timken’s Audited Consolidated Financial Statements may or may not exist at the stand-alone level for TimkenSteel.</w:t>
      </w:r>
    </w:p>
    <w:p>
      <w:pPr>
        <w:spacing w:after="0" w:line="193" w:lineRule="exact"/>
        <w:rPr>
          <w:sz w:val="20"/>
          <w:szCs w:val="20"/>
          <w:color w:val="auto"/>
        </w:rPr>
      </w:pPr>
    </w:p>
    <w:p>
      <w:pPr>
        <w:ind w:left="920"/>
        <w:spacing w:after="0"/>
        <w:rPr>
          <w:sz w:val="20"/>
          <w:szCs w:val="20"/>
          <w:color w:val="auto"/>
        </w:rPr>
      </w:pPr>
      <w:r>
        <w:rPr>
          <w:rFonts w:ascii="Arial" w:cs="Arial" w:eastAsia="Arial" w:hAnsi="Arial"/>
          <w:sz w:val="16"/>
          <w:szCs w:val="16"/>
          <w:color w:val="auto"/>
        </w:rPr>
        <w:t>Income from operations before income taxes, based on geographic location of the operations to which such earnings are attributable, is provided</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below.</w:t>
      </w:r>
    </w:p>
    <w:p>
      <w:pPr>
        <w:spacing w:after="0" w:line="234"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4380" w:type="dxa"/>
            <w:vAlign w:val="bottom"/>
            <w:tcBorders>
              <w:bottom w:val="single" w:sz="8" w:color="auto"/>
            </w:tcBorders>
          </w:tcPr>
          <w:p>
            <w:pPr>
              <w:spacing w:after="0"/>
              <w:rPr>
                <w:sz w:val="20"/>
                <w:szCs w:val="20"/>
                <w:color w:val="auto"/>
              </w:rPr>
            </w:pPr>
          </w:p>
        </w:tc>
        <w:tc>
          <w:tcPr>
            <w:tcW w:w="378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2013</w:t>
            </w:r>
          </w:p>
        </w:tc>
        <w:tc>
          <w:tcPr>
            <w:tcW w:w="520" w:type="dxa"/>
            <w:vAlign w:val="bottom"/>
            <w:tcBorders>
              <w:bottom w:val="single" w:sz="8" w:color="auto"/>
            </w:tcBorders>
          </w:tcPr>
          <w:p>
            <w:pPr>
              <w:spacing w:after="0"/>
              <w:rPr>
                <w:sz w:val="20"/>
                <w:szCs w:val="20"/>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2012</w:t>
            </w:r>
          </w:p>
        </w:tc>
        <w:tc>
          <w:tcPr>
            <w:tcW w:w="500" w:type="dxa"/>
            <w:vAlign w:val="bottom"/>
            <w:tcBorders>
              <w:bottom w:val="single" w:sz="8" w:color="auto"/>
            </w:tcBorders>
          </w:tcPr>
          <w:p>
            <w:pPr>
              <w:spacing w:after="0"/>
              <w:rPr>
                <w:sz w:val="20"/>
                <w:szCs w:val="20"/>
                <w:color w:val="auto"/>
              </w:rPr>
            </w:pPr>
          </w:p>
        </w:tc>
        <w:tc>
          <w:tcPr>
            <w:tcW w:w="360" w:type="dxa"/>
            <w:vAlign w:val="bottom"/>
            <w:tcBorders>
              <w:bottom w:val="single" w:sz="8" w:color="auto"/>
            </w:tcBorders>
          </w:tcPr>
          <w:p>
            <w:pPr>
              <w:spacing w:after="0"/>
              <w:rPr>
                <w:sz w:val="20"/>
                <w:szCs w:val="20"/>
                <w:color w:val="auto"/>
              </w:rPr>
            </w:pPr>
          </w:p>
        </w:tc>
        <w:tc>
          <w:tcPr>
            <w:tcW w:w="1020" w:type="dxa"/>
            <w:vAlign w:val="bottom"/>
            <w:tcBorders>
              <w:bottom w:val="single" w:sz="8" w:color="auto"/>
            </w:tcBorders>
          </w:tcPr>
          <w:p>
            <w:pPr>
              <w:jc w:val="right"/>
              <w:ind w:right="410"/>
              <w:spacing w:after="0"/>
              <w:rPr>
                <w:sz w:val="20"/>
                <w:szCs w:val="20"/>
                <w:color w:val="auto"/>
              </w:rPr>
            </w:pPr>
            <w:r>
              <w:rPr>
                <w:rFonts w:ascii="Arial" w:cs="Arial" w:eastAsia="Arial" w:hAnsi="Arial"/>
                <w:sz w:val="18"/>
                <w:szCs w:val="18"/>
                <w:color w:val="auto"/>
              </w:rPr>
              <w:t>2011</w:t>
            </w:r>
          </w:p>
        </w:tc>
      </w:tr>
      <w:tr>
        <w:trPr>
          <w:trHeight w:val="210"/>
        </w:trPr>
        <w:tc>
          <w:tcPr>
            <w:tcW w:w="4380" w:type="dxa"/>
            <w:vAlign w:val="bottom"/>
            <w:shd w:val="clear" w:color="auto" w:fill="CCEEFF"/>
          </w:tcPr>
          <w:p>
            <w:pPr>
              <w:spacing w:after="0"/>
              <w:rPr>
                <w:sz w:val="20"/>
                <w:szCs w:val="20"/>
                <w:color w:val="auto"/>
              </w:rPr>
            </w:pPr>
            <w:r>
              <w:rPr>
                <w:rFonts w:ascii="Arial" w:cs="Arial" w:eastAsia="Arial" w:hAnsi="Arial"/>
                <w:sz w:val="18"/>
                <w:szCs w:val="18"/>
                <w:color w:val="auto"/>
              </w:rPr>
              <w:t>United States</w:t>
            </w:r>
          </w:p>
        </w:tc>
        <w:tc>
          <w:tcPr>
            <w:tcW w:w="3780" w:type="dxa"/>
            <w:vAlign w:val="bottom"/>
            <w:shd w:val="clear" w:color="auto" w:fill="CCEEFF"/>
          </w:tcPr>
          <w:p>
            <w:pPr>
              <w:jc w:val="right"/>
              <w:ind w:right="590"/>
              <w:spacing w:after="0"/>
              <w:rPr>
                <w:sz w:val="20"/>
                <w:szCs w:val="20"/>
                <w:color w:val="auto"/>
              </w:rPr>
            </w:pPr>
            <w:r>
              <w:rPr>
                <w:rFonts w:ascii="Arial" w:cs="Arial" w:eastAsia="Arial" w:hAnsi="Arial"/>
                <w:sz w:val="18"/>
                <w:szCs w:val="18"/>
                <w:b w:val="1"/>
                <w:bCs w:val="1"/>
                <w:color w:val="auto"/>
              </w:rPr>
              <w:t>$</w:t>
            </w:r>
          </w:p>
        </w:tc>
        <w:tc>
          <w:tcPr>
            <w:tcW w:w="520" w:type="dxa"/>
            <w:vAlign w:val="bottom"/>
            <w:shd w:val="clear" w:color="auto" w:fill="CCEEFF"/>
          </w:tcPr>
          <w:p>
            <w:pPr>
              <w:jc w:val="right"/>
              <w:ind w:right="10"/>
              <w:spacing w:after="0"/>
              <w:rPr>
                <w:sz w:val="20"/>
                <w:szCs w:val="20"/>
                <w:color w:val="auto"/>
              </w:rPr>
            </w:pPr>
            <w:r>
              <w:rPr>
                <w:rFonts w:ascii="Arial" w:cs="Arial" w:eastAsia="Arial" w:hAnsi="Arial"/>
                <w:sz w:val="18"/>
                <w:szCs w:val="18"/>
                <w:b w:val="1"/>
                <w:bCs w:val="1"/>
                <w:color w:val="auto"/>
                <w:w w:val="88"/>
              </w:rPr>
              <w:t>125.9</w:t>
            </w:r>
          </w:p>
        </w:tc>
        <w:tc>
          <w:tcPr>
            <w:tcW w:w="860" w:type="dxa"/>
            <w:vAlign w:val="bottom"/>
            <w:shd w:val="clear" w:color="auto" w:fill="CCEEFF"/>
          </w:tcPr>
          <w:p>
            <w:pPr>
              <w:jc w:val="right"/>
              <w:ind w:right="590"/>
              <w:spacing w:after="0"/>
              <w:rPr>
                <w:sz w:val="20"/>
                <w:szCs w:val="20"/>
                <w:color w:val="auto"/>
              </w:rPr>
            </w:pPr>
            <w:r>
              <w:rPr>
                <w:rFonts w:ascii="Arial" w:cs="Arial" w:eastAsia="Arial" w:hAnsi="Arial"/>
                <w:sz w:val="18"/>
                <w:szCs w:val="18"/>
                <w:color w:val="auto"/>
              </w:rPr>
              <w:t>$</w:t>
            </w:r>
          </w:p>
        </w:tc>
        <w:tc>
          <w:tcPr>
            <w:tcW w:w="5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w w:val="84"/>
              </w:rPr>
              <w:t>231.9</w:t>
            </w:r>
          </w:p>
        </w:tc>
        <w:tc>
          <w:tcPr>
            <w:tcW w:w="36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102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249.2</w:t>
            </w:r>
          </w:p>
        </w:tc>
      </w:tr>
      <w:tr>
        <w:trPr>
          <w:trHeight w:val="216"/>
        </w:trPr>
        <w:tc>
          <w:tcPr>
            <w:tcW w:w="438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Non-United States</w:t>
            </w:r>
          </w:p>
        </w:tc>
        <w:tc>
          <w:tcPr>
            <w:tcW w:w="3780" w:type="dxa"/>
            <w:vAlign w:val="bottom"/>
            <w:tcBorders>
              <w:bottom w:val="single" w:sz="8" w:color="auto"/>
            </w:tcBorders>
          </w:tcPr>
          <w:p>
            <w:pPr>
              <w:spacing w:after="0"/>
              <w:rPr>
                <w:sz w:val="18"/>
                <w:szCs w:val="18"/>
                <w:color w:val="auto"/>
              </w:rPr>
            </w:pPr>
          </w:p>
        </w:tc>
        <w:tc>
          <w:tcPr>
            <w:tcW w:w="52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b w:val="1"/>
                <w:bCs w:val="1"/>
                <w:color w:val="auto"/>
              </w:rPr>
              <w:t>1.7</w:t>
            </w:r>
          </w:p>
        </w:tc>
        <w:tc>
          <w:tcPr>
            <w:tcW w:w="860" w:type="dxa"/>
            <w:vAlign w:val="bottom"/>
            <w:tcBorders>
              <w:bottom w:val="single" w:sz="8" w:color="auto"/>
            </w:tcBorders>
          </w:tcPr>
          <w:p>
            <w:pPr>
              <w:spacing w:after="0"/>
              <w:rPr>
                <w:sz w:val="18"/>
                <w:szCs w:val="18"/>
                <w:color w:val="auto"/>
              </w:rPr>
            </w:pPr>
          </w:p>
        </w:tc>
        <w:tc>
          <w:tcPr>
            <w:tcW w:w="50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2.4</w:t>
            </w:r>
          </w:p>
        </w:tc>
        <w:tc>
          <w:tcPr>
            <w:tcW w:w="360" w:type="dxa"/>
            <w:vAlign w:val="bottom"/>
            <w:tcBorders>
              <w:bottom w:val="single" w:sz="8" w:color="auto"/>
            </w:tcBorders>
          </w:tcPr>
          <w:p>
            <w:pPr>
              <w:spacing w:after="0"/>
              <w:rPr>
                <w:sz w:val="18"/>
                <w:szCs w:val="18"/>
                <w:color w:val="auto"/>
              </w:rPr>
            </w:pPr>
          </w:p>
        </w:tc>
        <w:tc>
          <w:tcPr>
            <w:tcW w:w="102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3.1</w:t>
            </w:r>
          </w:p>
        </w:tc>
      </w:tr>
      <w:tr>
        <w:trPr>
          <w:trHeight w:val="217"/>
        </w:trPr>
        <w:tc>
          <w:tcPr>
            <w:tcW w:w="438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color w:val="auto"/>
              </w:rPr>
              <w:t>Income from operations before income taxes</w:t>
            </w:r>
          </w:p>
        </w:tc>
        <w:tc>
          <w:tcPr>
            <w:tcW w:w="3780" w:type="dxa"/>
            <w:vAlign w:val="bottom"/>
            <w:tcBorders>
              <w:bottom w:val="single" w:sz="8" w:color="auto"/>
            </w:tcBorders>
            <w:shd w:val="clear" w:color="auto" w:fill="CCEEFF"/>
          </w:tcPr>
          <w:p>
            <w:pPr>
              <w:jc w:val="right"/>
              <w:ind w:right="590"/>
              <w:spacing w:after="0"/>
              <w:rPr>
                <w:sz w:val="20"/>
                <w:szCs w:val="20"/>
                <w:color w:val="auto"/>
              </w:rPr>
            </w:pPr>
            <w:r>
              <w:rPr>
                <w:rFonts w:ascii="Arial" w:cs="Arial" w:eastAsia="Arial" w:hAnsi="Arial"/>
                <w:sz w:val="18"/>
                <w:szCs w:val="18"/>
                <w:b w:val="1"/>
                <w:bCs w:val="1"/>
                <w:color w:val="auto"/>
              </w:rPr>
              <w:t>$</w:t>
            </w:r>
          </w:p>
        </w:tc>
        <w:tc>
          <w:tcPr>
            <w:tcW w:w="5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w w:val="88"/>
              </w:rPr>
              <w:t>127.6</w:t>
            </w:r>
          </w:p>
        </w:tc>
        <w:tc>
          <w:tcPr>
            <w:tcW w:w="860" w:type="dxa"/>
            <w:vAlign w:val="bottom"/>
            <w:tcBorders>
              <w:bottom w:val="single" w:sz="8" w:color="auto"/>
            </w:tcBorders>
            <w:shd w:val="clear" w:color="auto" w:fill="CCEEFF"/>
          </w:tcPr>
          <w:p>
            <w:pPr>
              <w:jc w:val="right"/>
              <w:ind w:right="590"/>
              <w:spacing w:after="0"/>
              <w:rPr>
                <w:sz w:val="20"/>
                <w:szCs w:val="20"/>
                <w:color w:val="auto"/>
              </w:rPr>
            </w:pPr>
            <w:r>
              <w:rPr>
                <w:rFonts w:ascii="Arial" w:cs="Arial" w:eastAsia="Arial" w:hAnsi="Arial"/>
                <w:sz w:val="18"/>
                <w:szCs w:val="18"/>
                <w:color w:val="auto"/>
              </w:rPr>
              <w:t>$</w:t>
            </w:r>
          </w:p>
        </w:tc>
        <w:tc>
          <w:tcPr>
            <w:tcW w:w="50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w w:val="84"/>
              </w:rPr>
              <w:t>234.3</w:t>
            </w:r>
          </w:p>
        </w:tc>
        <w:tc>
          <w:tcPr>
            <w:tcW w:w="36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10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252.3</w:t>
            </w:r>
          </w:p>
        </w:tc>
      </w:tr>
      <w:tr>
        <w:trPr>
          <w:trHeight w:val="365"/>
        </w:trPr>
        <w:tc>
          <w:tcPr>
            <w:tcW w:w="4380" w:type="dxa"/>
            <w:vAlign w:val="bottom"/>
          </w:tcPr>
          <w:p>
            <w:pPr>
              <w:spacing w:after="0"/>
              <w:rPr>
                <w:sz w:val="24"/>
                <w:szCs w:val="24"/>
                <w:color w:val="auto"/>
              </w:rPr>
            </w:pPr>
          </w:p>
        </w:tc>
        <w:tc>
          <w:tcPr>
            <w:tcW w:w="3780" w:type="dxa"/>
            <w:vAlign w:val="bottom"/>
          </w:tcPr>
          <w:p>
            <w:pPr>
              <w:jc w:val="right"/>
              <w:ind w:right="2190"/>
              <w:spacing w:after="0"/>
              <w:rPr>
                <w:sz w:val="20"/>
                <w:szCs w:val="20"/>
                <w:color w:val="auto"/>
              </w:rPr>
            </w:pPr>
            <w:r>
              <w:rPr>
                <w:rFonts w:ascii="Arial" w:cs="Arial" w:eastAsia="Arial" w:hAnsi="Arial"/>
                <w:sz w:val="18"/>
                <w:szCs w:val="18"/>
                <w:color w:val="auto"/>
              </w:rPr>
              <w:t>F-18</w:t>
            </w:r>
          </w:p>
        </w:tc>
        <w:tc>
          <w:tcPr>
            <w:tcW w:w="52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020" w:type="dxa"/>
            <w:vAlign w:val="bottom"/>
          </w:tcPr>
          <w:p>
            <w:pPr>
              <w:spacing w:after="0"/>
              <w:rPr>
                <w:sz w:val="24"/>
                <w:szCs w:val="24"/>
                <w:color w:val="auto"/>
              </w:rPr>
            </w:pPr>
          </w:p>
        </w:tc>
      </w:tr>
    </w:tbl>
    <w:p>
      <w:pPr>
        <w:sectPr>
          <w:pgSz w:w="11900" w:h="16838" w:orient="portrait"/>
          <w:cols w:equalWidth="0" w:num="1">
            <w:col w:w="11420"/>
          </w:cols>
          <w:pgMar w:left="240" w:top="446" w:right="239" w:bottom="1440" w:gutter="0" w:footer="0" w:header="0"/>
        </w:sectPr>
      </w:pPr>
    </w:p>
    <w:bookmarkStart w:id="125" w:name="page126"/>
    <w:bookmarkEnd w:id="125"/>
    <w:p>
      <w:pPr>
        <w:spacing w:after="0" w:line="1"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53">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p>
    <w:tbl>
      <w:tblPr>
        <w:tblLayout w:type="fixed"/>
        <w:tblInd w:w="0" w:type="dxa"/>
        <w:tblCellMar>
          <w:top w:w="0" w:type="dxa"/>
          <w:left w:w="0" w:type="dxa"/>
          <w:bottom w:w="0" w:type="dxa"/>
          <w:right w:w="0" w:type="dxa"/>
        </w:tblCellMar>
      </w:tblPr>
      <w:tr>
        <w:trPr>
          <w:trHeight w:val="207"/>
        </w:trPr>
        <w:tc>
          <w:tcPr>
            <w:tcW w:w="1360" w:type="dxa"/>
            <w:vAlign w:val="bottom"/>
            <w:tcBorders>
              <w:bottom w:val="single" w:sz="8" w:color="0000EE"/>
            </w:tcBorders>
          </w:tcPr>
          <w:p>
            <w:pPr>
              <w:spacing w:after="0"/>
              <w:rPr>
                <w:rFonts w:ascii="Arial" w:cs="Arial" w:eastAsia="Arial" w:hAnsi="Arial"/>
                <w:sz w:val="18"/>
                <w:szCs w:val="18"/>
                <w:b w:val="1"/>
                <w:bCs w:val="1"/>
                <w:color w:val="0000EE"/>
                <w:w w:val="88"/>
              </w:rPr>
            </w:pPr>
            <w:hyperlink w:anchor="page4">
              <w:r>
                <w:rPr>
                  <w:rFonts w:ascii="Arial" w:cs="Arial" w:eastAsia="Arial" w:hAnsi="Arial"/>
                  <w:sz w:val="18"/>
                  <w:szCs w:val="18"/>
                  <w:b w:val="1"/>
                  <w:bCs w:val="1"/>
                  <w:color w:val="0000EE"/>
                  <w:w w:val="88"/>
                </w:rPr>
                <w:t>Table of Contents</w:t>
              </w:r>
            </w:hyperlink>
          </w:p>
        </w:tc>
        <w:tc>
          <w:tcPr>
            <w:tcW w:w="4900" w:type="dxa"/>
            <w:vAlign w:val="bottom"/>
          </w:tcPr>
          <w:p>
            <w:pPr>
              <w:spacing w:after="0"/>
              <w:rPr>
                <w:sz w:val="17"/>
                <w:szCs w:val="17"/>
                <w:color w:val="auto"/>
              </w:rPr>
            </w:pPr>
          </w:p>
        </w:tc>
        <w:tc>
          <w:tcPr>
            <w:tcW w:w="138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040" w:type="dxa"/>
            <w:vAlign w:val="bottom"/>
          </w:tcPr>
          <w:p>
            <w:pPr>
              <w:spacing w:after="0"/>
              <w:rPr>
                <w:sz w:val="17"/>
                <w:szCs w:val="17"/>
                <w:color w:val="auto"/>
              </w:rPr>
            </w:pPr>
          </w:p>
        </w:tc>
      </w:tr>
      <w:tr>
        <w:trPr>
          <w:trHeight w:val="534"/>
        </w:trPr>
        <w:tc>
          <w:tcPr>
            <w:tcW w:w="6260" w:type="dxa"/>
            <w:vAlign w:val="bottom"/>
            <w:gridSpan w:val="2"/>
          </w:tcPr>
          <w:p>
            <w:pPr>
              <w:ind w:left="920"/>
              <w:spacing w:after="0"/>
              <w:rPr>
                <w:sz w:val="20"/>
                <w:szCs w:val="20"/>
                <w:color w:val="auto"/>
              </w:rPr>
            </w:pPr>
            <w:r>
              <w:rPr>
                <w:rFonts w:ascii="Arial" w:cs="Arial" w:eastAsia="Arial" w:hAnsi="Arial"/>
                <w:sz w:val="18"/>
                <w:szCs w:val="18"/>
                <w:color w:val="auto"/>
              </w:rPr>
              <w:t>The provision for income taxes consisted of the following:</w:t>
            </w:r>
          </w:p>
        </w:tc>
        <w:tc>
          <w:tcPr>
            <w:tcW w:w="138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040" w:type="dxa"/>
            <w:vAlign w:val="bottom"/>
          </w:tcPr>
          <w:p>
            <w:pPr>
              <w:spacing w:after="0"/>
              <w:rPr>
                <w:sz w:val="24"/>
                <w:szCs w:val="24"/>
                <w:color w:val="auto"/>
              </w:rPr>
            </w:pPr>
          </w:p>
        </w:tc>
      </w:tr>
      <w:tr>
        <w:trPr>
          <w:trHeight w:val="338"/>
        </w:trPr>
        <w:tc>
          <w:tcPr>
            <w:tcW w:w="1360" w:type="dxa"/>
            <w:vAlign w:val="bottom"/>
            <w:tcBorders>
              <w:bottom w:val="single" w:sz="8" w:color="auto"/>
            </w:tcBorders>
          </w:tcPr>
          <w:p>
            <w:pPr>
              <w:spacing w:after="0"/>
              <w:rPr>
                <w:sz w:val="24"/>
                <w:szCs w:val="24"/>
                <w:color w:val="auto"/>
              </w:rPr>
            </w:pPr>
          </w:p>
        </w:tc>
        <w:tc>
          <w:tcPr>
            <w:tcW w:w="4900" w:type="dxa"/>
            <w:vAlign w:val="bottom"/>
            <w:tcBorders>
              <w:bottom w:val="single" w:sz="8" w:color="auto"/>
            </w:tcBorders>
          </w:tcPr>
          <w:p>
            <w:pPr>
              <w:spacing w:after="0"/>
              <w:rPr>
                <w:sz w:val="24"/>
                <w:szCs w:val="24"/>
                <w:color w:val="auto"/>
              </w:rPr>
            </w:pPr>
          </w:p>
        </w:tc>
        <w:tc>
          <w:tcPr>
            <w:tcW w:w="1380" w:type="dxa"/>
            <w:vAlign w:val="bottom"/>
            <w:tcBorders>
              <w:bottom w:val="single" w:sz="8" w:color="auto"/>
            </w:tcBorders>
          </w:tcPr>
          <w:p>
            <w:pPr>
              <w:spacing w:after="0"/>
              <w:rPr>
                <w:sz w:val="24"/>
                <w:szCs w:val="24"/>
                <w:color w:val="auto"/>
              </w:rPr>
            </w:pPr>
          </w:p>
        </w:tc>
        <w:tc>
          <w:tcPr>
            <w:tcW w:w="1020" w:type="dxa"/>
            <w:vAlign w:val="bottom"/>
            <w:tcBorders>
              <w:bottom w:val="single" w:sz="8" w:color="auto"/>
            </w:tcBorders>
          </w:tcPr>
          <w:p>
            <w:pPr>
              <w:jc w:val="right"/>
              <w:ind w:right="430"/>
              <w:spacing w:after="0"/>
              <w:rPr>
                <w:sz w:val="20"/>
                <w:szCs w:val="20"/>
                <w:color w:val="auto"/>
              </w:rPr>
            </w:pPr>
            <w:r>
              <w:rPr>
                <w:rFonts w:ascii="Arial" w:cs="Arial" w:eastAsia="Arial" w:hAnsi="Arial"/>
                <w:sz w:val="18"/>
                <w:szCs w:val="18"/>
                <w:b w:val="1"/>
                <w:bCs w:val="1"/>
                <w:color w:val="auto"/>
              </w:rPr>
              <w:t>2013</w:t>
            </w:r>
          </w:p>
        </w:tc>
        <w:tc>
          <w:tcPr>
            <w:tcW w:w="340" w:type="dxa"/>
            <w:vAlign w:val="bottom"/>
            <w:tcBorders>
              <w:bottom w:val="single" w:sz="8" w:color="auto"/>
            </w:tcBorders>
          </w:tcPr>
          <w:p>
            <w:pPr>
              <w:spacing w:after="0"/>
              <w:rPr>
                <w:sz w:val="24"/>
                <w:szCs w:val="24"/>
                <w:color w:val="auto"/>
              </w:rPr>
            </w:pPr>
          </w:p>
        </w:tc>
        <w:tc>
          <w:tcPr>
            <w:tcW w:w="1040" w:type="dxa"/>
            <w:vAlign w:val="bottom"/>
            <w:tcBorders>
              <w:bottom w:val="single" w:sz="8" w:color="auto"/>
            </w:tcBorders>
          </w:tcPr>
          <w:p>
            <w:pPr>
              <w:jc w:val="right"/>
              <w:ind w:right="430"/>
              <w:spacing w:after="0"/>
              <w:rPr>
                <w:sz w:val="20"/>
                <w:szCs w:val="20"/>
                <w:color w:val="auto"/>
              </w:rPr>
            </w:pPr>
            <w:r>
              <w:rPr>
                <w:rFonts w:ascii="Arial" w:cs="Arial" w:eastAsia="Arial" w:hAnsi="Arial"/>
                <w:sz w:val="18"/>
                <w:szCs w:val="18"/>
                <w:color w:val="auto"/>
              </w:rPr>
              <w:t>2012</w:t>
            </w:r>
          </w:p>
        </w:tc>
        <w:tc>
          <w:tcPr>
            <w:tcW w:w="340" w:type="dxa"/>
            <w:vAlign w:val="bottom"/>
            <w:tcBorders>
              <w:bottom w:val="single" w:sz="8" w:color="auto"/>
            </w:tcBorders>
          </w:tcPr>
          <w:p>
            <w:pPr>
              <w:spacing w:after="0"/>
              <w:rPr>
                <w:sz w:val="24"/>
                <w:szCs w:val="24"/>
                <w:color w:val="auto"/>
              </w:rPr>
            </w:pPr>
          </w:p>
        </w:tc>
        <w:tc>
          <w:tcPr>
            <w:tcW w:w="1040" w:type="dxa"/>
            <w:vAlign w:val="bottom"/>
            <w:tcBorders>
              <w:bottom w:val="single" w:sz="8" w:color="auto"/>
            </w:tcBorders>
          </w:tcPr>
          <w:p>
            <w:pPr>
              <w:jc w:val="right"/>
              <w:ind w:right="430"/>
              <w:spacing w:after="0"/>
              <w:rPr>
                <w:sz w:val="20"/>
                <w:szCs w:val="20"/>
                <w:color w:val="auto"/>
              </w:rPr>
            </w:pPr>
            <w:r>
              <w:rPr>
                <w:rFonts w:ascii="Arial" w:cs="Arial" w:eastAsia="Arial" w:hAnsi="Arial"/>
                <w:sz w:val="18"/>
                <w:szCs w:val="18"/>
                <w:color w:val="auto"/>
              </w:rPr>
              <w:t>2011</w:t>
            </w:r>
          </w:p>
        </w:tc>
      </w:tr>
      <w:tr>
        <w:trPr>
          <w:trHeight w:val="210"/>
        </w:trPr>
        <w:tc>
          <w:tcPr>
            <w:tcW w:w="62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Current:</w:t>
            </w:r>
          </w:p>
        </w:tc>
        <w:tc>
          <w:tcPr>
            <w:tcW w:w="138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r>
      <w:tr>
        <w:trPr>
          <w:trHeight w:val="216"/>
        </w:trPr>
        <w:tc>
          <w:tcPr>
            <w:tcW w:w="6260" w:type="dxa"/>
            <w:vAlign w:val="bottom"/>
            <w:gridSpan w:val="2"/>
          </w:tcPr>
          <w:p>
            <w:pPr>
              <w:spacing w:after="0"/>
              <w:rPr>
                <w:sz w:val="20"/>
                <w:szCs w:val="20"/>
                <w:color w:val="auto"/>
              </w:rPr>
            </w:pPr>
            <w:r>
              <w:rPr>
                <w:rFonts w:ascii="Arial" w:cs="Arial" w:eastAsia="Arial" w:hAnsi="Arial"/>
                <w:sz w:val="18"/>
                <w:szCs w:val="18"/>
                <w:color w:val="auto"/>
              </w:rPr>
              <w:t>Federal</w:t>
            </w:r>
          </w:p>
        </w:tc>
        <w:tc>
          <w:tcPr>
            <w:tcW w:w="1380" w:type="dxa"/>
            <w:vAlign w:val="bottom"/>
          </w:tcPr>
          <w:p>
            <w:pPr>
              <w:jc w:val="right"/>
              <w:ind w:right="70"/>
              <w:spacing w:after="0"/>
              <w:rPr>
                <w:sz w:val="20"/>
                <w:szCs w:val="20"/>
                <w:color w:val="auto"/>
              </w:rPr>
            </w:pPr>
            <w:r>
              <w:rPr>
                <w:rFonts w:ascii="Arial" w:cs="Arial" w:eastAsia="Arial" w:hAnsi="Arial"/>
                <w:sz w:val="18"/>
                <w:szCs w:val="18"/>
                <w:b w:val="1"/>
                <w:bCs w:val="1"/>
                <w:color w:val="auto"/>
              </w:rPr>
              <w:t>$</w:t>
            </w:r>
          </w:p>
        </w:tc>
        <w:tc>
          <w:tcPr>
            <w:tcW w:w="1020" w:type="dxa"/>
            <w:vAlign w:val="bottom"/>
          </w:tcPr>
          <w:p>
            <w:pPr>
              <w:jc w:val="right"/>
              <w:ind w:right="10"/>
              <w:spacing w:after="0"/>
              <w:rPr>
                <w:sz w:val="20"/>
                <w:szCs w:val="20"/>
                <w:color w:val="auto"/>
              </w:rPr>
            </w:pPr>
            <w:r>
              <w:rPr>
                <w:rFonts w:ascii="Arial" w:cs="Arial" w:eastAsia="Arial" w:hAnsi="Arial"/>
                <w:sz w:val="18"/>
                <w:szCs w:val="18"/>
                <w:b w:val="1"/>
                <w:bCs w:val="1"/>
                <w:color w:val="auto"/>
              </w:rPr>
              <w:t>18.5</w:t>
            </w:r>
          </w:p>
        </w:tc>
        <w:tc>
          <w:tcPr>
            <w:tcW w:w="34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1040" w:type="dxa"/>
            <w:vAlign w:val="bottom"/>
          </w:tcPr>
          <w:p>
            <w:pPr>
              <w:jc w:val="right"/>
              <w:ind w:right="10"/>
              <w:spacing w:after="0"/>
              <w:rPr>
                <w:sz w:val="20"/>
                <w:szCs w:val="20"/>
                <w:color w:val="auto"/>
              </w:rPr>
            </w:pPr>
            <w:r>
              <w:rPr>
                <w:rFonts w:ascii="Arial" w:cs="Arial" w:eastAsia="Arial" w:hAnsi="Arial"/>
                <w:sz w:val="18"/>
                <w:szCs w:val="18"/>
                <w:color w:val="auto"/>
              </w:rPr>
              <w:t>65.6</w:t>
            </w:r>
          </w:p>
        </w:tc>
        <w:tc>
          <w:tcPr>
            <w:tcW w:w="34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1040" w:type="dxa"/>
            <w:vAlign w:val="bottom"/>
          </w:tcPr>
          <w:p>
            <w:pPr>
              <w:jc w:val="right"/>
              <w:ind w:right="10"/>
              <w:spacing w:after="0"/>
              <w:rPr>
                <w:sz w:val="20"/>
                <w:szCs w:val="20"/>
                <w:color w:val="auto"/>
              </w:rPr>
            </w:pPr>
            <w:r>
              <w:rPr>
                <w:rFonts w:ascii="Arial" w:cs="Arial" w:eastAsia="Arial" w:hAnsi="Arial"/>
                <w:sz w:val="18"/>
                <w:szCs w:val="18"/>
                <w:color w:val="auto"/>
              </w:rPr>
              <w:t>69.3</w:t>
            </w:r>
          </w:p>
        </w:tc>
      </w:tr>
      <w:tr>
        <w:trPr>
          <w:trHeight w:val="216"/>
        </w:trPr>
        <w:tc>
          <w:tcPr>
            <w:tcW w:w="62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State and local</w:t>
            </w:r>
          </w:p>
        </w:tc>
        <w:tc>
          <w:tcPr>
            <w:tcW w:w="1380" w:type="dxa"/>
            <w:vAlign w:val="bottom"/>
            <w:shd w:val="clear" w:color="auto" w:fill="CCEEFF"/>
          </w:tcPr>
          <w:p>
            <w:pPr>
              <w:spacing w:after="0"/>
              <w:rPr>
                <w:sz w:val="18"/>
                <w:szCs w:val="18"/>
                <w:color w:val="auto"/>
              </w:rPr>
            </w:pPr>
          </w:p>
        </w:tc>
        <w:tc>
          <w:tcPr>
            <w:tcW w:w="1020" w:type="dxa"/>
            <w:vAlign w:val="bottom"/>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3.5</w:t>
            </w:r>
          </w:p>
        </w:tc>
        <w:tc>
          <w:tcPr>
            <w:tcW w:w="340" w:type="dxa"/>
            <w:vAlign w:val="bottom"/>
            <w:shd w:val="clear" w:color="auto" w:fill="CCEEFF"/>
          </w:tcPr>
          <w:p>
            <w:pPr>
              <w:spacing w:after="0"/>
              <w:rPr>
                <w:sz w:val="18"/>
                <w:szCs w:val="18"/>
                <w:color w:val="auto"/>
              </w:rPr>
            </w:pPr>
          </w:p>
        </w:tc>
        <w:tc>
          <w:tcPr>
            <w:tcW w:w="104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5.4</w:t>
            </w:r>
          </w:p>
        </w:tc>
        <w:tc>
          <w:tcPr>
            <w:tcW w:w="340" w:type="dxa"/>
            <w:vAlign w:val="bottom"/>
            <w:shd w:val="clear" w:color="auto" w:fill="CCEEFF"/>
          </w:tcPr>
          <w:p>
            <w:pPr>
              <w:spacing w:after="0"/>
              <w:rPr>
                <w:sz w:val="18"/>
                <w:szCs w:val="18"/>
                <w:color w:val="auto"/>
              </w:rPr>
            </w:pPr>
          </w:p>
        </w:tc>
        <w:tc>
          <w:tcPr>
            <w:tcW w:w="104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6.2</w:t>
            </w:r>
          </w:p>
        </w:tc>
      </w:tr>
      <w:tr>
        <w:trPr>
          <w:trHeight w:val="216"/>
        </w:trPr>
        <w:tc>
          <w:tcPr>
            <w:tcW w:w="626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auto"/>
              </w:rPr>
              <w:t>Foreign</w:t>
            </w:r>
          </w:p>
        </w:tc>
        <w:tc>
          <w:tcPr>
            <w:tcW w:w="1380" w:type="dxa"/>
            <w:vAlign w:val="bottom"/>
            <w:tcBorders>
              <w:bottom w:val="single" w:sz="8" w:color="auto"/>
            </w:tcBorders>
          </w:tcPr>
          <w:p>
            <w:pPr>
              <w:spacing w:after="0"/>
              <w:rPr>
                <w:sz w:val="18"/>
                <w:szCs w:val="18"/>
                <w:color w:val="auto"/>
              </w:rPr>
            </w:pPr>
          </w:p>
        </w:tc>
        <w:tc>
          <w:tcPr>
            <w:tcW w:w="102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b w:val="1"/>
                <w:bCs w:val="1"/>
                <w:color w:val="auto"/>
              </w:rPr>
              <w:t>0.1</w:t>
            </w:r>
          </w:p>
        </w:tc>
        <w:tc>
          <w:tcPr>
            <w:tcW w:w="340" w:type="dxa"/>
            <w:vAlign w:val="bottom"/>
            <w:tcBorders>
              <w:bottom w:val="single" w:sz="8" w:color="auto"/>
            </w:tcBorders>
          </w:tcPr>
          <w:p>
            <w:pPr>
              <w:spacing w:after="0"/>
              <w:rPr>
                <w:sz w:val="18"/>
                <w:szCs w:val="18"/>
                <w:color w:val="auto"/>
              </w:rPr>
            </w:pPr>
          </w:p>
        </w:tc>
        <w:tc>
          <w:tcPr>
            <w:tcW w:w="104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1.0</w:t>
            </w:r>
          </w:p>
        </w:tc>
        <w:tc>
          <w:tcPr>
            <w:tcW w:w="340" w:type="dxa"/>
            <w:vAlign w:val="bottom"/>
            <w:tcBorders>
              <w:bottom w:val="single" w:sz="8" w:color="auto"/>
            </w:tcBorders>
          </w:tcPr>
          <w:p>
            <w:pPr>
              <w:spacing w:after="0"/>
              <w:rPr>
                <w:sz w:val="18"/>
                <w:szCs w:val="18"/>
                <w:color w:val="auto"/>
              </w:rPr>
            </w:pPr>
          </w:p>
        </w:tc>
        <w:tc>
          <w:tcPr>
            <w:tcW w:w="104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0.3</w:t>
            </w:r>
          </w:p>
        </w:tc>
      </w:tr>
      <w:tr>
        <w:trPr>
          <w:trHeight w:val="217"/>
        </w:trPr>
        <w:tc>
          <w:tcPr>
            <w:tcW w:w="1360" w:type="dxa"/>
            <w:vAlign w:val="bottom"/>
            <w:tcBorders>
              <w:bottom w:val="single" w:sz="8" w:color="auto"/>
            </w:tcBorders>
            <w:shd w:val="clear" w:color="auto" w:fill="CCEEFF"/>
          </w:tcPr>
          <w:p>
            <w:pPr>
              <w:spacing w:after="0"/>
              <w:rPr>
                <w:sz w:val="18"/>
                <w:szCs w:val="18"/>
                <w:color w:val="auto"/>
              </w:rPr>
            </w:pPr>
          </w:p>
        </w:tc>
        <w:tc>
          <w:tcPr>
            <w:tcW w:w="4900" w:type="dxa"/>
            <w:vAlign w:val="bottom"/>
            <w:tcBorders>
              <w:bottom w:val="single" w:sz="8" w:color="auto"/>
            </w:tcBorders>
            <w:shd w:val="clear" w:color="auto" w:fill="CCEEFF"/>
          </w:tcPr>
          <w:p>
            <w:pPr>
              <w:spacing w:after="0"/>
              <w:rPr>
                <w:sz w:val="18"/>
                <w:szCs w:val="18"/>
                <w:color w:val="auto"/>
              </w:rPr>
            </w:pPr>
          </w:p>
        </w:tc>
        <w:tc>
          <w:tcPr>
            <w:tcW w:w="138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b w:val="1"/>
                <w:bCs w:val="1"/>
                <w:color w:val="auto"/>
              </w:rPr>
              <w:t>$</w:t>
            </w:r>
          </w:p>
        </w:tc>
        <w:tc>
          <w:tcPr>
            <w:tcW w:w="10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22.1</w:t>
            </w:r>
          </w:p>
        </w:tc>
        <w:tc>
          <w:tcPr>
            <w:tcW w:w="34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104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72.0</w:t>
            </w:r>
          </w:p>
        </w:tc>
        <w:tc>
          <w:tcPr>
            <w:tcW w:w="34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104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75.8</w:t>
            </w:r>
          </w:p>
        </w:tc>
      </w:tr>
      <w:tr>
        <w:trPr>
          <w:trHeight w:val="216"/>
        </w:trPr>
        <w:tc>
          <w:tcPr>
            <w:tcW w:w="6260" w:type="dxa"/>
            <w:vAlign w:val="bottom"/>
            <w:gridSpan w:val="2"/>
          </w:tcPr>
          <w:p>
            <w:pPr>
              <w:spacing w:after="0"/>
              <w:rPr>
                <w:sz w:val="20"/>
                <w:szCs w:val="20"/>
                <w:color w:val="auto"/>
              </w:rPr>
            </w:pPr>
            <w:r>
              <w:rPr>
                <w:rFonts w:ascii="Arial" w:cs="Arial" w:eastAsia="Arial" w:hAnsi="Arial"/>
                <w:sz w:val="18"/>
                <w:szCs w:val="18"/>
                <w:color w:val="auto"/>
              </w:rPr>
              <w:t>Deferred:</w:t>
            </w:r>
          </w:p>
        </w:tc>
        <w:tc>
          <w:tcPr>
            <w:tcW w:w="138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040" w:type="dxa"/>
            <w:vAlign w:val="bottom"/>
          </w:tcPr>
          <w:p>
            <w:pPr>
              <w:spacing w:after="0"/>
              <w:rPr>
                <w:sz w:val="18"/>
                <w:szCs w:val="18"/>
                <w:color w:val="auto"/>
              </w:rPr>
            </w:pPr>
          </w:p>
        </w:tc>
      </w:tr>
      <w:tr>
        <w:trPr>
          <w:trHeight w:val="216"/>
        </w:trPr>
        <w:tc>
          <w:tcPr>
            <w:tcW w:w="62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Federal</w:t>
            </w:r>
          </w:p>
        </w:tc>
        <w:tc>
          <w:tcPr>
            <w:tcW w:w="1380" w:type="dxa"/>
            <w:vAlign w:val="bottom"/>
            <w:shd w:val="clear" w:color="auto" w:fill="CCEEFF"/>
          </w:tcPr>
          <w:p>
            <w:pPr>
              <w:jc w:val="right"/>
              <w:ind w:right="70"/>
              <w:spacing w:after="0"/>
              <w:rPr>
                <w:sz w:val="20"/>
                <w:szCs w:val="20"/>
                <w:color w:val="auto"/>
              </w:rPr>
            </w:pPr>
            <w:r>
              <w:rPr>
                <w:rFonts w:ascii="Arial" w:cs="Arial" w:eastAsia="Arial" w:hAnsi="Arial"/>
                <w:sz w:val="18"/>
                <w:szCs w:val="18"/>
                <w:b w:val="1"/>
                <w:bCs w:val="1"/>
                <w:color w:val="auto"/>
              </w:rPr>
              <w:t>$</w:t>
            </w:r>
          </w:p>
        </w:tc>
        <w:tc>
          <w:tcPr>
            <w:tcW w:w="1020" w:type="dxa"/>
            <w:vAlign w:val="bottom"/>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15.5</w:t>
            </w:r>
          </w:p>
        </w:tc>
        <w:tc>
          <w:tcPr>
            <w:tcW w:w="34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104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6.8</w:t>
            </w:r>
          </w:p>
        </w:tc>
        <w:tc>
          <w:tcPr>
            <w:tcW w:w="34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104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8.7</w:t>
            </w:r>
          </w:p>
        </w:tc>
      </w:tr>
      <w:tr>
        <w:trPr>
          <w:trHeight w:val="216"/>
        </w:trPr>
        <w:tc>
          <w:tcPr>
            <w:tcW w:w="6260" w:type="dxa"/>
            <w:vAlign w:val="bottom"/>
            <w:gridSpan w:val="2"/>
          </w:tcPr>
          <w:p>
            <w:pPr>
              <w:spacing w:after="0"/>
              <w:rPr>
                <w:sz w:val="20"/>
                <w:szCs w:val="20"/>
                <w:color w:val="auto"/>
              </w:rPr>
            </w:pPr>
            <w:r>
              <w:rPr>
                <w:rFonts w:ascii="Arial" w:cs="Arial" w:eastAsia="Arial" w:hAnsi="Arial"/>
                <w:sz w:val="18"/>
                <w:szCs w:val="18"/>
                <w:color w:val="auto"/>
              </w:rPr>
              <w:t>State and local</w:t>
            </w:r>
          </w:p>
        </w:tc>
        <w:tc>
          <w:tcPr>
            <w:tcW w:w="1380" w:type="dxa"/>
            <w:vAlign w:val="bottom"/>
          </w:tcPr>
          <w:p>
            <w:pPr>
              <w:spacing w:after="0"/>
              <w:rPr>
                <w:sz w:val="18"/>
                <w:szCs w:val="18"/>
                <w:color w:val="auto"/>
              </w:rPr>
            </w:pPr>
          </w:p>
        </w:tc>
        <w:tc>
          <w:tcPr>
            <w:tcW w:w="1020" w:type="dxa"/>
            <w:vAlign w:val="bottom"/>
          </w:tcPr>
          <w:p>
            <w:pPr>
              <w:jc w:val="right"/>
              <w:ind w:right="10"/>
              <w:spacing w:after="0"/>
              <w:rPr>
                <w:sz w:val="20"/>
                <w:szCs w:val="20"/>
                <w:color w:val="auto"/>
              </w:rPr>
            </w:pPr>
            <w:r>
              <w:rPr>
                <w:rFonts w:ascii="Arial" w:cs="Arial" w:eastAsia="Arial" w:hAnsi="Arial"/>
                <w:sz w:val="18"/>
                <w:szCs w:val="18"/>
                <w:b w:val="1"/>
                <w:bCs w:val="1"/>
                <w:color w:val="auto"/>
              </w:rPr>
              <w:t>0.5</w:t>
            </w:r>
          </w:p>
        </w:tc>
        <w:tc>
          <w:tcPr>
            <w:tcW w:w="340" w:type="dxa"/>
            <w:vAlign w:val="bottom"/>
          </w:tcPr>
          <w:p>
            <w:pPr>
              <w:spacing w:after="0"/>
              <w:rPr>
                <w:sz w:val="18"/>
                <w:szCs w:val="18"/>
                <w:color w:val="auto"/>
              </w:rPr>
            </w:pPr>
          </w:p>
        </w:tc>
        <w:tc>
          <w:tcPr>
            <w:tcW w:w="1040" w:type="dxa"/>
            <w:vAlign w:val="bottom"/>
          </w:tcPr>
          <w:p>
            <w:pPr>
              <w:jc w:val="right"/>
              <w:ind w:right="10"/>
              <w:spacing w:after="0"/>
              <w:rPr>
                <w:sz w:val="20"/>
                <w:szCs w:val="20"/>
                <w:color w:val="auto"/>
              </w:rPr>
            </w:pPr>
            <w:r>
              <w:rPr>
                <w:rFonts w:ascii="Arial" w:cs="Arial" w:eastAsia="Arial" w:hAnsi="Arial"/>
                <w:sz w:val="18"/>
                <w:szCs w:val="18"/>
                <w:color w:val="auto"/>
              </w:rPr>
              <w:t>0.2</w:t>
            </w:r>
          </w:p>
        </w:tc>
        <w:tc>
          <w:tcPr>
            <w:tcW w:w="340" w:type="dxa"/>
            <w:vAlign w:val="bottom"/>
          </w:tcPr>
          <w:p>
            <w:pPr>
              <w:spacing w:after="0"/>
              <w:rPr>
                <w:sz w:val="18"/>
                <w:szCs w:val="18"/>
                <w:color w:val="auto"/>
              </w:rPr>
            </w:pPr>
          </w:p>
        </w:tc>
        <w:tc>
          <w:tcPr>
            <w:tcW w:w="1040" w:type="dxa"/>
            <w:vAlign w:val="bottom"/>
          </w:tcPr>
          <w:p>
            <w:pPr>
              <w:jc w:val="right"/>
              <w:ind w:right="10"/>
              <w:spacing w:after="0"/>
              <w:rPr>
                <w:sz w:val="20"/>
                <w:szCs w:val="20"/>
                <w:color w:val="auto"/>
              </w:rPr>
            </w:pPr>
            <w:r>
              <w:rPr>
                <w:rFonts w:ascii="Arial" w:cs="Arial" w:eastAsia="Arial" w:hAnsi="Arial"/>
                <w:sz w:val="18"/>
                <w:szCs w:val="18"/>
                <w:color w:val="auto"/>
              </w:rPr>
              <w:t>0.7</w:t>
            </w:r>
          </w:p>
        </w:tc>
      </w:tr>
      <w:tr>
        <w:trPr>
          <w:trHeight w:val="216"/>
        </w:trPr>
        <w:tc>
          <w:tcPr>
            <w:tcW w:w="6260" w:type="dxa"/>
            <w:vAlign w:val="bottom"/>
            <w:tcBorders>
              <w:bottom w:val="single" w:sz="8" w:color="auto"/>
            </w:tcBorders>
            <w:gridSpan w:val="2"/>
            <w:shd w:val="clear" w:color="auto" w:fill="CCEEFF"/>
          </w:tcPr>
          <w:p>
            <w:pPr>
              <w:spacing w:after="0"/>
              <w:rPr>
                <w:sz w:val="20"/>
                <w:szCs w:val="20"/>
                <w:color w:val="auto"/>
              </w:rPr>
            </w:pPr>
            <w:r>
              <w:rPr>
                <w:rFonts w:ascii="Arial" w:cs="Arial" w:eastAsia="Arial" w:hAnsi="Arial"/>
                <w:sz w:val="18"/>
                <w:szCs w:val="18"/>
                <w:color w:val="auto"/>
              </w:rPr>
              <w:t>Foreign</w:t>
            </w:r>
          </w:p>
        </w:tc>
        <w:tc>
          <w:tcPr>
            <w:tcW w:w="1380" w:type="dxa"/>
            <w:vAlign w:val="bottom"/>
            <w:tcBorders>
              <w:bottom w:val="single" w:sz="8" w:color="auto"/>
            </w:tcBorders>
            <w:shd w:val="clear" w:color="auto" w:fill="CCEEFF"/>
          </w:tcPr>
          <w:p>
            <w:pPr>
              <w:spacing w:after="0"/>
              <w:rPr>
                <w:sz w:val="18"/>
                <w:szCs w:val="18"/>
                <w:color w:val="auto"/>
              </w:rPr>
            </w:pPr>
          </w:p>
        </w:tc>
        <w:tc>
          <w:tcPr>
            <w:tcW w:w="10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w:t>
            </w:r>
          </w:p>
        </w:tc>
        <w:tc>
          <w:tcPr>
            <w:tcW w:w="340" w:type="dxa"/>
            <w:vAlign w:val="bottom"/>
            <w:tcBorders>
              <w:bottom w:val="single" w:sz="8" w:color="auto"/>
            </w:tcBorders>
            <w:shd w:val="clear" w:color="auto" w:fill="CCEEFF"/>
          </w:tcPr>
          <w:p>
            <w:pPr>
              <w:spacing w:after="0"/>
              <w:rPr>
                <w:sz w:val="18"/>
                <w:szCs w:val="18"/>
                <w:color w:val="auto"/>
              </w:rPr>
            </w:pPr>
          </w:p>
        </w:tc>
        <w:tc>
          <w:tcPr>
            <w:tcW w:w="104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0.1</w:t>
            </w:r>
          </w:p>
        </w:tc>
        <w:tc>
          <w:tcPr>
            <w:tcW w:w="340" w:type="dxa"/>
            <w:vAlign w:val="bottom"/>
            <w:tcBorders>
              <w:bottom w:val="single" w:sz="8" w:color="auto"/>
            </w:tcBorders>
            <w:shd w:val="clear" w:color="auto" w:fill="CCEEFF"/>
          </w:tcPr>
          <w:p>
            <w:pPr>
              <w:spacing w:after="0"/>
              <w:rPr>
                <w:sz w:val="18"/>
                <w:szCs w:val="18"/>
                <w:color w:val="auto"/>
              </w:rPr>
            </w:pP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(0.1)</w:t>
            </w:r>
          </w:p>
        </w:tc>
      </w:tr>
      <w:tr>
        <w:trPr>
          <w:trHeight w:val="210"/>
        </w:trPr>
        <w:tc>
          <w:tcPr>
            <w:tcW w:w="1360" w:type="dxa"/>
            <w:vAlign w:val="bottom"/>
            <w:tcBorders>
              <w:bottom w:val="single" w:sz="8" w:color="auto"/>
            </w:tcBorders>
          </w:tcPr>
          <w:p>
            <w:pPr>
              <w:spacing w:after="0"/>
              <w:rPr>
                <w:sz w:val="18"/>
                <w:szCs w:val="18"/>
                <w:color w:val="auto"/>
              </w:rPr>
            </w:pPr>
          </w:p>
        </w:tc>
        <w:tc>
          <w:tcPr>
            <w:tcW w:w="4900" w:type="dxa"/>
            <w:vAlign w:val="bottom"/>
            <w:tcBorders>
              <w:bottom w:val="single" w:sz="8" w:color="auto"/>
            </w:tcBorders>
          </w:tcPr>
          <w:p>
            <w:pPr>
              <w:spacing w:after="0"/>
              <w:rPr>
                <w:sz w:val="18"/>
                <w:szCs w:val="18"/>
                <w:color w:val="auto"/>
              </w:rPr>
            </w:pPr>
          </w:p>
        </w:tc>
        <w:tc>
          <w:tcPr>
            <w:tcW w:w="1380" w:type="dxa"/>
            <w:vAlign w:val="bottom"/>
            <w:tcBorders>
              <w:bottom w:val="single" w:sz="8" w:color="auto"/>
            </w:tcBorders>
          </w:tcPr>
          <w:p>
            <w:pPr>
              <w:spacing w:after="0"/>
              <w:rPr>
                <w:sz w:val="18"/>
                <w:szCs w:val="18"/>
                <w:color w:val="auto"/>
              </w:rPr>
            </w:pPr>
          </w:p>
        </w:tc>
        <w:tc>
          <w:tcPr>
            <w:tcW w:w="102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b w:val="1"/>
                <w:bCs w:val="1"/>
                <w:color w:val="auto"/>
              </w:rPr>
              <w:t>16.0</w:t>
            </w:r>
          </w:p>
        </w:tc>
        <w:tc>
          <w:tcPr>
            <w:tcW w:w="340" w:type="dxa"/>
            <w:vAlign w:val="bottom"/>
            <w:tcBorders>
              <w:bottom w:val="single" w:sz="8" w:color="auto"/>
            </w:tcBorders>
          </w:tcPr>
          <w:p>
            <w:pPr>
              <w:spacing w:after="0"/>
              <w:rPr>
                <w:sz w:val="18"/>
                <w:szCs w:val="18"/>
                <w:color w:val="auto"/>
              </w:rPr>
            </w:pPr>
          </w:p>
        </w:tc>
        <w:tc>
          <w:tcPr>
            <w:tcW w:w="104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7.1</w:t>
            </w:r>
          </w:p>
        </w:tc>
        <w:tc>
          <w:tcPr>
            <w:tcW w:w="340" w:type="dxa"/>
            <w:vAlign w:val="bottom"/>
            <w:tcBorders>
              <w:bottom w:val="single" w:sz="8" w:color="auto"/>
            </w:tcBorders>
          </w:tcPr>
          <w:p>
            <w:pPr>
              <w:spacing w:after="0"/>
              <w:rPr>
                <w:sz w:val="18"/>
                <w:szCs w:val="18"/>
                <w:color w:val="auto"/>
              </w:rPr>
            </w:pPr>
          </w:p>
        </w:tc>
        <w:tc>
          <w:tcPr>
            <w:tcW w:w="104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9.3</w:t>
            </w:r>
          </w:p>
        </w:tc>
      </w:tr>
      <w:tr>
        <w:trPr>
          <w:trHeight w:val="217"/>
        </w:trPr>
        <w:tc>
          <w:tcPr>
            <w:tcW w:w="6260" w:type="dxa"/>
            <w:vAlign w:val="bottom"/>
            <w:tcBorders>
              <w:bottom w:val="single" w:sz="8" w:color="auto"/>
            </w:tcBorders>
            <w:gridSpan w:val="2"/>
            <w:shd w:val="clear" w:color="auto" w:fill="CCEEFF"/>
          </w:tcPr>
          <w:p>
            <w:pPr>
              <w:spacing w:after="0"/>
              <w:rPr>
                <w:sz w:val="20"/>
                <w:szCs w:val="20"/>
                <w:color w:val="auto"/>
              </w:rPr>
            </w:pPr>
            <w:r>
              <w:rPr>
                <w:rFonts w:ascii="Arial" w:cs="Arial" w:eastAsia="Arial" w:hAnsi="Arial"/>
                <w:sz w:val="18"/>
                <w:szCs w:val="18"/>
                <w:color w:val="auto"/>
              </w:rPr>
              <w:t>United States and foreign tax expense on income</w:t>
            </w:r>
          </w:p>
        </w:tc>
        <w:tc>
          <w:tcPr>
            <w:tcW w:w="138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b w:val="1"/>
                <w:bCs w:val="1"/>
                <w:color w:val="auto"/>
              </w:rPr>
              <w:t>$</w:t>
            </w:r>
          </w:p>
        </w:tc>
        <w:tc>
          <w:tcPr>
            <w:tcW w:w="10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38.1</w:t>
            </w:r>
          </w:p>
        </w:tc>
        <w:tc>
          <w:tcPr>
            <w:tcW w:w="34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104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79.1</w:t>
            </w:r>
          </w:p>
        </w:tc>
        <w:tc>
          <w:tcPr>
            <w:tcW w:w="34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104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85.1</w:t>
            </w:r>
          </w:p>
        </w:tc>
      </w:tr>
    </w:tbl>
    <w:p>
      <w:pPr>
        <w:spacing w:after="0" w:line="202" w:lineRule="exact"/>
        <w:rPr>
          <w:sz w:val="20"/>
          <w:szCs w:val="20"/>
          <w:color w:val="auto"/>
        </w:rPr>
      </w:pPr>
    </w:p>
    <w:p>
      <w:pPr>
        <w:ind w:right="540" w:firstLine="913"/>
        <w:spacing w:after="0" w:line="277" w:lineRule="auto"/>
        <w:rPr>
          <w:sz w:val="20"/>
          <w:szCs w:val="20"/>
          <w:color w:val="auto"/>
        </w:rPr>
      </w:pPr>
      <w:r>
        <w:rPr>
          <w:rFonts w:ascii="Arial" w:cs="Arial" w:eastAsia="Arial" w:hAnsi="Arial"/>
          <w:sz w:val="18"/>
          <w:szCs w:val="18"/>
          <w:color w:val="auto"/>
        </w:rPr>
        <w:t>Tax payments made by Timken, related to TimkenSteel, for the years ended December 31, 2013, 2012 and 2011 were $22.1 million, $72.0 million and $75.8 million, respectively.</w:t>
      </w:r>
    </w:p>
    <w:p>
      <w:pPr>
        <w:spacing w:after="0" w:line="170" w:lineRule="exact"/>
        <w:rPr>
          <w:sz w:val="20"/>
          <w:szCs w:val="20"/>
          <w:color w:val="auto"/>
        </w:rPr>
      </w:pPr>
    </w:p>
    <w:p>
      <w:pPr>
        <w:ind w:right="140" w:firstLine="913"/>
        <w:spacing w:after="0" w:line="277" w:lineRule="auto"/>
        <w:rPr>
          <w:sz w:val="20"/>
          <w:szCs w:val="20"/>
          <w:color w:val="auto"/>
        </w:rPr>
      </w:pPr>
      <w:r>
        <w:rPr>
          <w:rFonts w:ascii="Arial" w:cs="Arial" w:eastAsia="Arial" w:hAnsi="Arial"/>
          <w:sz w:val="18"/>
          <w:szCs w:val="18"/>
          <w:color w:val="auto"/>
        </w:rPr>
        <w:t>The following table is the reconciliation between the provision for income taxes and the amount computed by applying the U.S. Federal income tax rate of 35% to income before taxes:</w:t>
      </w:r>
    </w:p>
    <w:p>
      <w:pPr>
        <w:spacing w:after="0" w:line="193"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800" w:type="dxa"/>
            <w:vAlign w:val="bottom"/>
            <w:tcBorders>
              <w:bottom w:val="single" w:sz="8" w:color="auto"/>
            </w:tcBorders>
          </w:tcPr>
          <w:p>
            <w:pPr>
              <w:spacing w:after="0"/>
              <w:rPr>
                <w:sz w:val="20"/>
                <w:szCs w:val="20"/>
                <w:color w:val="auto"/>
              </w:rPr>
            </w:pPr>
          </w:p>
        </w:tc>
        <w:tc>
          <w:tcPr>
            <w:tcW w:w="208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2013</w:t>
            </w:r>
          </w:p>
        </w:tc>
        <w:tc>
          <w:tcPr>
            <w:tcW w:w="620" w:type="dxa"/>
            <w:vAlign w:val="bottom"/>
            <w:tcBorders>
              <w:bottom w:val="single" w:sz="8" w:color="auto"/>
            </w:tcBorders>
          </w:tcPr>
          <w:p>
            <w:pPr>
              <w:spacing w:after="0"/>
              <w:rPr>
                <w:sz w:val="20"/>
                <w:szCs w:val="20"/>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2012</w:t>
            </w:r>
          </w:p>
        </w:tc>
        <w:tc>
          <w:tcPr>
            <w:tcW w:w="580" w:type="dxa"/>
            <w:vAlign w:val="bottom"/>
            <w:tcBorders>
              <w:bottom w:val="single" w:sz="8" w:color="auto"/>
            </w:tcBorders>
          </w:tcPr>
          <w:p>
            <w:pPr>
              <w:spacing w:after="0"/>
              <w:rPr>
                <w:sz w:val="20"/>
                <w:szCs w:val="20"/>
                <w:color w:val="auto"/>
              </w:rPr>
            </w:pPr>
          </w:p>
        </w:tc>
        <w:tc>
          <w:tcPr>
            <w:tcW w:w="340" w:type="dxa"/>
            <w:vAlign w:val="bottom"/>
            <w:tcBorders>
              <w:bottom w:val="single" w:sz="8" w:color="auto"/>
            </w:tcBorders>
          </w:tcPr>
          <w:p>
            <w:pPr>
              <w:spacing w:after="0"/>
              <w:rPr>
                <w:sz w:val="20"/>
                <w:szCs w:val="20"/>
                <w:color w:val="auto"/>
              </w:rPr>
            </w:pPr>
          </w:p>
        </w:tc>
        <w:tc>
          <w:tcPr>
            <w:tcW w:w="1120" w:type="dxa"/>
            <w:vAlign w:val="bottom"/>
            <w:tcBorders>
              <w:bottom w:val="single" w:sz="8" w:color="auto"/>
            </w:tcBorders>
          </w:tcPr>
          <w:p>
            <w:pPr>
              <w:jc w:val="right"/>
              <w:ind w:right="530"/>
              <w:spacing w:after="0"/>
              <w:rPr>
                <w:sz w:val="20"/>
                <w:szCs w:val="20"/>
                <w:color w:val="auto"/>
              </w:rPr>
            </w:pPr>
            <w:r>
              <w:rPr>
                <w:rFonts w:ascii="Arial" w:cs="Arial" w:eastAsia="Arial" w:hAnsi="Arial"/>
                <w:sz w:val="18"/>
                <w:szCs w:val="18"/>
                <w:color w:val="auto"/>
              </w:rPr>
              <w:t>2011</w:t>
            </w:r>
          </w:p>
        </w:tc>
      </w:tr>
      <w:tr>
        <w:trPr>
          <w:trHeight w:val="210"/>
        </w:trPr>
        <w:tc>
          <w:tcPr>
            <w:tcW w:w="5800" w:type="dxa"/>
            <w:vAlign w:val="bottom"/>
            <w:shd w:val="clear" w:color="auto" w:fill="CCEEFF"/>
          </w:tcPr>
          <w:p>
            <w:pPr>
              <w:spacing w:after="0"/>
              <w:rPr>
                <w:sz w:val="20"/>
                <w:szCs w:val="20"/>
                <w:color w:val="auto"/>
              </w:rPr>
            </w:pPr>
            <w:r>
              <w:rPr>
                <w:rFonts w:ascii="Arial" w:cs="Arial" w:eastAsia="Arial" w:hAnsi="Arial"/>
                <w:sz w:val="18"/>
                <w:szCs w:val="18"/>
                <w:color w:val="auto"/>
              </w:rPr>
              <w:t>Income tax at the U.S. federal statutory rate</w:t>
            </w:r>
          </w:p>
        </w:tc>
        <w:tc>
          <w:tcPr>
            <w:tcW w:w="2080" w:type="dxa"/>
            <w:vAlign w:val="bottom"/>
            <w:shd w:val="clear" w:color="auto" w:fill="CCEEFF"/>
          </w:tcPr>
          <w:p>
            <w:pPr>
              <w:jc w:val="right"/>
              <w:ind w:right="630"/>
              <w:spacing w:after="0"/>
              <w:rPr>
                <w:sz w:val="20"/>
                <w:szCs w:val="20"/>
                <w:color w:val="auto"/>
              </w:rPr>
            </w:pPr>
            <w:r>
              <w:rPr>
                <w:rFonts w:ascii="Arial" w:cs="Arial" w:eastAsia="Arial" w:hAnsi="Arial"/>
                <w:sz w:val="18"/>
                <w:szCs w:val="18"/>
                <w:b w:val="1"/>
                <w:bCs w:val="1"/>
                <w:color w:val="auto"/>
              </w:rPr>
              <w:t>$</w:t>
            </w:r>
          </w:p>
        </w:tc>
        <w:tc>
          <w:tcPr>
            <w:tcW w:w="620" w:type="dxa"/>
            <w:vAlign w:val="bottom"/>
            <w:shd w:val="clear" w:color="auto" w:fill="CCEEFF"/>
          </w:tcPr>
          <w:p>
            <w:pPr>
              <w:jc w:val="right"/>
              <w:ind w:right="170"/>
              <w:spacing w:after="0"/>
              <w:rPr>
                <w:sz w:val="20"/>
                <w:szCs w:val="20"/>
                <w:color w:val="auto"/>
              </w:rPr>
            </w:pPr>
            <w:r>
              <w:rPr>
                <w:rFonts w:ascii="Arial" w:cs="Arial" w:eastAsia="Arial" w:hAnsi="Arial"/>
                <w:sz w:val="18"/>
                <w:szCs w:val="18"/>
                <w:b w:val="1"/>
                <w:bCs w:val="1"/>
                <w:color w:val="auto"/>
                <w:w w:val="96"/>
              </w:rPr>
              <w:t>44.6</w:t>
            </w:r>
          </w:p>
        </w:tc>
        <w:tc>
          <w:tcPr>
            <w:tcW w:w="880" w:type="dxa"/>
            <w:vAlign w:val="bottom"/>
            <w:shd w:val="clear" w:color="auto" w:fill="CCEEFF"/>
          </w:tcPr>
          <w:p>
            <w:pPr>
              <w:jc w:val="right"/>
              <w:ind w:right="630"/>
              <w:spacing w:after="0"/>
              <w:rPr>
                <w:sz w:val="20"/>
                <w:szCs w:val="20"/>
                <w:color w:val="auto"/>
              </w:rPr>
            </w:pPr>
            <w:r>
              <w:rPr>
                <w:rFonts w:ascii="Arial" w:cs="Arial" w:eastAsia="Arial" w:hAnsi="Arial"/>
                <w:sz w:val="18"/>
                <w:szCs w:val="18"/>
                <w:color w:val="auto"/>
              </w:rPr>
              <w:t>$</w:t>
            </w:r>
          </w:p>
        </w:tc>
        <w:tc>
          <w:tcPr>
            <w:tcW w:w="580" w:type="dxa"/>
            <w:vAlign w:val="bottom"/>
            <w:shd w:val="clear" w:color="auto" w:fill="CCEEFF"/>
          </w:tcPr>
          <w:p>
            <w:pPr>
              <w:jc w:val="right"/>
              <w:ind w:right="130"/>
              <w:spacing w:after="0"/>
              <w:rPr>
                <w:sz w:val="20"/>
                <w:szCs w:val="20"/>
                <w:color w:val="auto"/>
              </w:rPr>
            </w:pPr>
            <w:r>
              <w:rPr>
                <w:rFonts w:ascii="Arial" w:cs="Arial" w:eastAsia="Arial" w:hAnsi="Arial"/>
                <w:sz w:val="18"/>
                <w:szCs w:val="18"/>
                <w:color w:val="auto"/>
                <w:w w:val="96"/>
              </w:rPr>
              <w:t>82.0</w:t>
            </w:r>
          </w:p>
        </w:tc>
        <w:tc>
          <w:tcPr>
            <w:tcW w:w="34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1120" w:type="dxa"/>
            <w:vAlign w:val="bottom"/>
            <w:shd w:val="clear" w:color="auto" w:fill="CCEEFF"/>
          </w:tcPr>
          <w:p>
            <w:pPr>
              <w:jc w:val="right"/>
              <w:ind w:right="110"/>
              <w:spacing w:after="0"/>
              <w:rPr>
                <w:sz w:val="20"/>
                <w:szCs w:val="20"/>
                <w:color w:val="auto"/>
              </w:rPr>
            </w:pPr>
            <w:r>
              <w:rPr>
                <w:rFonts w:ascii="Arial" w:cs="Arial" w:eastAsia="Arial" w:hAnsi="Arial"/>
                <w:sz w:val="18"/>
                <w:szCs w:val="18"/>
                <w:color w:val="auto"/>
              </w:rPr>
              <w:t>88.3</w:t>
            </w:r>
          </w:p>
        </w:tc>
      </w:tr>
      <w:tr>
        <w:trPr>
          <w:trHeight w:val="216"/>
        </w:trPr>
        <w:tc>
          <w:tcPr>
            <w:tcW w:w="5800" w:type="dxa"/>
            <w:vAlign w:val="bottom"/>
          </w:tcPr>
          <w:p>
            <w:pPr>
              <w:spacing w:after="0"/>
              <w:rPr>
                <w:sz w:val="20"/>
                <w:szCs w:val="20"/>
                <w:color w:val="auto"/>
              </w:rPr>
            </w:pPr>
            <w:r>
              <w:rPr>
                <w:rFonts w:ascii="Arial" w:cs="Arial" w:eastAsia="Arial" w:hAnsi="Arial"/>
                <w:sz w:val="18"/>
                <w:szCs w:val="18"/>
                <w:color w:val="auto"/>
              </w:rPr>
              <w:t>Adjustments:</w:t>
            </w:r>
          </w:p>
        </w:tc>
        <w:tc>
          <w:tcPr>
            <w:tcW w:w="208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120" w:type="dxa"/>
            <w:vAlign w:val="bottom"/>
          </w:tcPr>
          <w:p>
            <w:pPr>
              <w:spacing w:after="0"/>
              <w:rPr>
                <w:sz w:val="18"/>
                <w:szCs w:val="18"/>
                <w:color w:val="auto"/>
              </w:rPr>
            </w:pPr>
          </w:p>
        </w:tc>
      </w:tr>
      <w:tr>
        <w:trPr>
          <w:trHeight w:val="216"/>
        </w:trPr>
        <w:tc>
          <w:tcPr>
            <w:tcW w:w="5800" w:type="dxa"/>
            <w:vAlign w:val="bottom"/>
            <w:shd w:val="clear" w:color="auto" w:fill="CCEEFF"/>
          </w:tcPr>
          <w:p>
            <w:pPr>
              <w:spacing w:after="0"/>
              <w:rPr>
                <w:sz w:val="20"/>
                <w:szCs w:val="20"/>
                <w:color w:val="auto"/>
              </w:rPr>
            </w:pPr>
            <w:r>
              <w:rPr>
                <w:rFonts w:ascii="Arial" w:cs="Arial" w:eastAsia="Arial" w:hAnsi="Arial"/>
                <w:sz w:val="18"/>
                <w:szCs w:val="18"/>
                <w:color w:val="auto"/>
              </w:rPr>
              <w:t>State and local income taxes, net of federal tax benefit</w:t>
            </w:r>
          </w:p>
        </w:tc>
        <w:tc>
          <w:tcPr>
            <w:tcW w:w="2080" w:type="dxa"/>
            <w:vAlign w:val="bottom"/>
            <w:shd w:val="clear" w:color="auto" w:fill="CCEEFF"/>
          </w:tcPr>
          <w:p>
            <w:pPr>
              <w:spacing w:after="0"/>
              <w:rPr>
                <w:sz w:val="18"/>
                <w:szCs w:val="18"/>
                <w:color w:val="auto"/>
              </w:rPr>
            </w:pPr>
          </w:p>
        </w:tc>
        <w:tc>
          <w:tcPr>
            <w:tcW w:w="620" w:type="dxa"/>
            <w:vAlign w:val="bottom"/>
            <w:shd w:val="clear" w:color="auto" w:fill="CCEEFF"/>
          </w:tcPr>
          <w:p>
            <w:pPr>
              <w:jc w:val="right"/>
              <w:ind w:right="170"/>
              <w:spacing w:after="0"/>
              <w:rPr>
                <w:sz w:val="20"/>
                <w:szCs w:val="20"/>
                <w:color w:val="auto"/>
              </w:rPr>
            </w:pPr>
            <w:r>
              <w:rPr>
                <w:rFonts w:ascii="Arial" w:cs="Arial" w:eastAsia="Arial" w:hAnsi="Arial"/>
                <w:sz w:val="18"/>
                <w:szCs w:val="18"/>
                <w:b w:val="1"/>
                <w:bCs w:val="1"/>
                <w:color w:val="auto"/>
              </w:rPr>
              <w:t>2.5</w:t>
            </w:r>
          </w:p>
        </w:tc>
        <w:tc>
          <w:tcPr>
            <w:tcW w:w="880" w:type="dxa"/>
            <w:vAlign w:val="bottom"/>
            <w:shd w:val="clear" w:color="auto" w:fill="CCEEFF"/>
          </w:tcPr>
          <w:p>
            <w:pPr>
              <w:spacing w:after="0"/>
              <w:rPr>
                <w:sz w:val="18"/>
                <w:szCs w:val="18"/>
                <w:color w:val="auto"/>
              </w:rPr>
            </w:pPr>
          </w:p>
        </w:tc>
        <w:tc>
          <w:tcPr>
            <w:tcW w:w="580" w:type="dxa"/>
            <w:vAlign w:val="bottom"/>
            <w:shd w:val="clear" w:color="auto" w:fill="CCEEFF"/>
          </w:tcPr>
          <w:p>
            <w:pPr>
              <w:jc w:val="right"/>
              <w:ind w:right="130"/>
              <w:spacing w:after="0"/>
              <w:rPr>
                <w:sz w:val="20"/>
                <w:szCs w:val="20"/>
                <w:color w:val="auto"/>
              </w:rPr>
            </w:pPr>
            <w:r>
              <w:rPr>
                <w:rFonts w:ascii="Arial" w:cs="Arial" w:eastAsia="Arial" w:hAnsi="Arial"/>
                <w:sz w:val="18"/>
                <w:szCs w:val="18"/>
                <w:color w:val="auto"/>
              </w:rPr>
              <w:t>3.7</w:t>
            </w:r>
          </w:p>
        </w:tc>
        <w:tc>
          <w:tcPr>
            <w:tcW w:w="340" w:type="dxa"/>
            <w:vAlign w:val="bottom"/>
            <w:shd w:val="clear" w:color="auto" w:fill="CCEEFF"/>
          </w:tcPr>
          <w:p>
            <w:pPr>
              <w:spacing w:after="0"/>
              <w:rPr>
                <w:sz w:val="18"/>
                <w:szCs w:val="18"/>
                <w:color w:val="auto"/>
              </w:rPr>
            </w:pPr>
          </w:p>
        </w:tc>
        <w:tc>
          <w:tcPr>
            <w:tcW w:w="1120" w:type="dxa"/>
            <w:vAlign w:val="bottom"/>
            <w:shd w:val="clear" w:color="auto" w:fill="CCEEFF"/>
          </w:tcPr>
          <w:p>
            <w:pPr>
              <w:jc w:val="right"/>
              <w:ind w:right="110"/>
              <w:spacing w:after="0"/>
              <w:rPr>
                <w:sz w:val="20"/>
                <w:szCs w:val="20"/>
                <w:color w:val="auto"/>
              </w:rPr>
            </w:pPr>
            <w:r>
              <w:rPr>
                <w:rFonts w:ascii="Arial" w:cs="Arial" w:eastAsia="Arial" w:hAnsi="Arial"/>
                <w:sz w:val="18"/>
                <w:szCs w:val="18"/>
                <w:color w:val="auto"/>
              </w:rPr>
              <w:t>4.6</w:t>
            </w:r>
          </w:p>
        </w:tc>
      </w:tr>
      <w:tr>
        <w:trPr>
          <w:trHeight w:val="216"/>
        </w:trPr>
        <w:tc>
          <w:tcPr>
            <w:tcW w:w="5800" w:type="dxa"/>
            <w:vAlign w:val="bottom"/>
          </w:tcPr>
          <w:p>
            <w:pPr>
              <w:spacing w:after="0"/>
              <w:rPr>
                <w:sz w:val="20"/>
                <w:szCs w:val="20"/>
                <w:color w:val="auto"/>
              </w:rPr>
            </w:pPr>
            <w:r>
              <w:rPr>
                <w:rFonts w:ascii="Arial" w:cs="Arial" w:eastAsia="Arial" w:hAnsi="Arial"/>
                <w:sz w:val="18"/>
                <w:szCs w:val="18"/>
                <w:color w:val="auto"/>
              </w:rPr>
              <w:t>Utilization of foreign net operating losses</w:t>
            </w:r>
          </w:p>
        </w:tc>
        <w:tc>
          <w:tcPr>
            <w:tcW w:w="2080" w:type="dxa"/>
            <w:vAlign w:val="bottom"/>
          </w:tcPr>
          <w:p>
            <w:pPr>
              <w:spacing w:after="0"/>
              <w:rPr>
                <w:sz w:val="18"/>
                <w:szCs w:val="18"/>
                <w:color w:val="auto"/>
              </w:rPr>
            </w:pPr>
          </w:p>
        </w:tc>
        <w:tc>
          <w:tcPr>
            <w:tcW w:w="620" w:type="dxa"/>
            <w:vAlign w:val="bottom"/>
          </w:tcPr>
          <w:p>
            <w:pPr>
              <w:jc w:val="right"/>
              <w:ind w:right="170"/>
              <w:spacing w:after="0"/>
              <w:rPr>
                <w:sz w:val="20"/>
                <w:szCs w:val="20"/>
                <w:color w:val="auto"/>
              </w:rPr>
            </w:pPr>
            <w:r>
              <w:rPr>
                <w:rFonts w:ascii="Arial" w:cs="Arial" w:eastAsia="Arial" w:hAnsi="Arial"/>
                <w:sz w:val="18"/>
                <w:szCs w:val="18"/>
                <w:b w:val="1"/>
                <w:bCs w:val="1"/>
                <w:color w:val="auto"/>
              </w:rPr>
              <w:t>—</w:t>
            </w:r>
          </w:p>
        </w:tc>
        <w:tc>
          <w:tcPr>
            <w:tcW w:w="880" w:type="dxa"/>
            <w:vAlign w:val="bottom"/>
          </w:tcPr>
          <w:p>
            <w:pPr>
              <w:spacing w:after="0"/>
              <w:rPr>
                <w:sz w:val="18"/>
                <w:szCs w:val="18"/>
                <w:color w:val="auto"/>
              </w:rPr>
            </w:pPr>
          </w:p>
        </w:tc>
        <w:tc>
          <w:tcPr>
            <w:tcW w:w="580" w:type="dxa"/>
            <w:vAlign w:val="bottom"/>
          </w:tcPr>
          <w:p>
            <w:pPr>
              <w:jc w:val="right"/>
              <w:ind w:right="130"/>
              <w:spacing w:after="0"/>
              <w:rPr>
                <w:sz w:val="20"/>
                <w:szCs w:val="20"/>
                <w:color w:val="auto"/>
              </w:rPr>
            </w:pPr>
            <w:r>
              <w:rPr>
                <w:rFonts w:ascii="Arial" w:cs="Arial" w:eastAsia="Arial" w:hAnsi="Arial"/>
                <w:sz w:val="18"/>
                <w:szCs w:val="18"/>
                <w:color w:val="auto"/>
              </w:rPr>
              <w:t>—</w:t>
            </w:r>
          </w:p>
        </w:tc>
        <w:tc>
          <w:tcPr>
            <w:tcW w:w="340" w:type="dxa"/>
            <w:vAlign w:val="bottom"/>
          </w:tcPr>
          <w:p>
            <w:pPr>
              <w:spacing w:after="0"/>
              <w:rPr>
                <w:sz w:val="18"/>
                <w:szCs w:val="18"/>
                <w:color w:val="auto"/>
              </w:rPr>
            </w:pPr>
          </w:p>
        </w:tc>
        <w:tc>
          <w:tcPr>
            <w:tcW w:w="1120" w:type="dxa"/>
            <w:vAlign w:val="bottom"/>
          </w:tcPr>
          <w:p>
            <w:pPr>
              <w:jc w:val="right"/>
              <w:ind w:right="50"/>
              <w:spacing w:after="0"/>
              <w:rPr>
                <w:sz w:val="20"/>
                <w:szCs w:val="20"/>
                <w:color w:val="auto"/>
              </w:rPr>
            </w:pPr>
            <w:r>
              <w:rPr>
                <w:rFonts w:ascii="Arial" w:cs="Arial" w:eastAsia="Arial" w:hAnsi="Arial"/>
                <w:sz w:val="18"/>
                <w:szCs w:val="18"/>
                <w:color w:val="auto"/>
              </w:rPr>
              <w:t>(0.1)</w:t>
            </w:r>
          </w:p>
        </w:tc>
      </w:tr>
      <w:tr>
        <w:trPr>
          <w:trHeight w:val="216"/>
        </w:trPr>
        <w:tc>
          <w:tcPr>
            <w:tcW w:w="5800" w:type="dxa"/>
            <w:vAlign w:val="bottom"/>
            <w:shd w:val="clear" w:color="auto" w:fill="CCEEFF"/>
          </w:tcPr>
          <w:p>
            <w:pPr>
              <w:spacing w:after="0"/>
              <w:rPr>
                <w:sz w:val="20"/>
                <w:szCs w:val="20"/>
                <w:color w:val="auto"/>
              </w:rPr>
            </w:pPr>
            <w:r>
              <w:rPr>
                <w:rFonts w:ascii="Arial" w:cs="Arial" w:eastAsia="Arial" w:hAnsi="Arial"/>
                <w:sz w:val="18"/>
                <w:szCs w:val="18"/>
                <w:color w:val="auto"/>
              </w:rPr>
              <w:t>Foreign losses without current tax benefits</w:t>
            </w:r>
          </w:p>
        </w:tc>
        <w:tc>
          <w:tcPr>
            <w:tcW w:w="2080" w:type="dxa"/>
            <w:vAlign w:val="bottom"/>
            <w:shd w:val="clear" w:color="auto" w:fill="CCEEFF"/>
          </w:tcPr>
          <w:p>
            <w:pPr>
              <w:spacing w:after="0"/>
              <w:rPr>
                <w:sz w:val="18"/>
                <w:szCs w:val="18"/>
                <w:color w:val="auto"/>
              </w:rPr>
            </w:pPr>
          </w:p>
        </w:tc>
        <w:tc>
          <w:tcPr>
            <w:tcW w:w="620" w:type="dxa"/>
            <w:vAlign w:val="bottom"/>
            <w:shd w:val="clear" w:color="auto" w:fill="CCEEFF"/>
          </w:tcPr>
          <w:p>
            <w:pPr>
              <w:jc w:val="right"/>
              <w:ind w:right="170"/>
              <w:spacing w:after="0"/>
              <w:rPr>
                <w:sz w:val="20"/>
                <w:szCs w:val="20"/>
                <w:color w:val="auto"/>
              </w:rPr>
            </w:pPr>
            <w:r>
              <w:rPr>
                <w:rFonts w:ascii="Arial" w:cs="Arial" w:eastAsia="Arial" w:hAnsi="Arial"/>
                <w:sz w:val="18"/>
                <w:szCs w:val="18"/>
                <w:b w:val="1"/>
                <w:bCs w:val="1"/>
                <w:color w:val="auto"/>
              </w:rPr>
              <w:t>—</w:t>
            </w:r>
          </w:p>
        </w:tc>
        <w:tc>
          <w:tcPr>
            <w:tcW w:w="880" w:type="dxa"/>
            <w:vAlign w:val="bottom"/>
            <w:shd w:val="clear" w:color="auto" w:fill="CCEEFF"/>
          </w:tcPr>
          <w:p>
            <w:pPr>
              <w:spacing w:after="0"/>
              <w:rPr>
                <w:sz w:val="18"/>
                <w:szCs w:val="18"/>
                <w:color w:val="auto"/>
              </w:rPr>
            </w:pPr>
          </w:p>
        </w:tc>
        <w:tc>
          <w:tcPr>
            <w:tcW w:w="580" w:type="dxa"/>
            <w:vAlign w:val="bottom"/>
            <w:shd w:val="clear" w:color="auto" w:fill="CCEEFF"/>
          </w:tcPr>
          <w:p>
            <w:pPr>
              <w:jc w:val="right"/>
              <w:ind w:right="130"/>
              <w:spacing w:after="0"/>
              <w:rPr>
                <w:sz w:val="20"/>
                <w:szCs w:val="20"/>
                <w:color w:val="auto"/>
              </w:rPr>
            </w:pPr>
            <w:r>
              <w:rPr>
                <w:rFonts w:ascii="Arial" w:cs="Arial" w:eastAsia="Arial" w:hAnsi="Arial"/>
                <w:sz w:val="18"/>
                <w:szCs w:val="18"/>
                <w:color w:val="auto"/>
              </w:rPr>
              <w:t>0.5</w:t>
            </w:r>
          </w:p>
        </w:tc>
        <w:tc>
          <w:tcPr>
            <w:tcW w:w="340" w:type="dxa"/>
            <w:vAlign w:val="bottom"/>
            <w:shd w:val="clear" w:color="auto" w:fill="CCEEFF"/>
          </w:tcPr>
          <w:p>
            <w:pPr>
              <w:spacing w:after="0"/>
              <w:rPr>
                <w:sz w:val="18"/>
                <w:szCs w:val="18"/>
                <w:color w:val="auto"/>
              </w:rPr>
            </w:pPr>
          </w:p>
        </w:tc>
        <w:tc>
          <w:tcPr>
            <w:tcW w:w="1120" w:type="dxa"/>
            <w:vAlign w:val="bottom"/>
            <w:shd w:val="clear" w:color="auto" w:fill="CCEEFF"/>
          </w:tcPr>
          <w:p>
            <w:pPr>
              <w:jc w:val="right"/>
              <w:ind w:right="110"/>
              <w:spacing w:after="0"/>
              <w:rPr>
                <w:sz w:val="20"/>
                <w:szCs w:val="20"/>
                <w:color w:val="auto"/>
              </w:rPr>
            </w:pPr>
            <w:r>
              <w:rPr>
                <w:rFonts w:ascii="Arial" w:cs="Arial" w:eastAsia="Arial" w:hAnsi="Arial"/>
                <w:sz w:val="18"/>
                <w:szCs w:val="18"/>
                <w:color w:val="auto"/>
              </w:rPr>
              <w:t>0.1</w:t>
            </w:r>
          </w:p>
        </w:tc>
      </w:tr>
      <w:tr>
        <w:trPr>
          <w:trHeight w:val="216"/>
        </w:trPr>
        <w:tc>
          <w:tcPr>
            <w:tcW w:w="5800" w:type="dxa"/>
            <w:vAlign w:val="bottom"/>
          </w:tcPr>
          <w:p>
            <w:pPr>
              <w:spacing w:after="0"/>
              <w:rPr>
                <w:sz w:val="20"/>
                <w:szCs w:val="20"/>
                <w:color w:val="auto"/>
              </w:rPr>
            </w:pPr>
            <w:r>
              <w:rPr>
                <w:rFonts w:ascii="Arial" w:cs="Arial" w:eastAsia="Arial" w:hAnsi="Arial"/>
                <w:sz w:val="18"/>
                <w:szCs w:val="18"/>
                <w:color w:val="auto"/>
              </w:rPr>
              <w:t>Foreign earnings taxed at different rates including tax holidays</w:t>
            </w:r>
          </w:p>
        </w:tc>
        <w:tc>
          <w:tcPr>
            <w:tcW w:w="2080" w:type="dxa"/>
            <w:vAlign w:val="bottom"/>
          </w:tcPr>
          <w:p>
            <w:pPr>
              <w:spacing w:after="0"/>
              <w:rPr>
                <w:sz w:val="18"/>
                <w:szCs w:val="18"/>
                <w:color w:val="auto"/>
              </w:rPr>
            </w:pPr>
          </w:p>
        </w:tc>
        <w:tc>
          <w:tcPr>
            <w:tcW w:w="620" w:type="dxa"/>
            <w:vAlign w:val="bottom"/>
          </w:tcPr>
          <w:p>
            <w:pPr>
              <w:jc w:val="right"/>
              <w:ind w:right="110"/>
              <w:spacing w:after="0"/>
              <w:rPr>
                <w:sz w:val="20"/>
                <w:szCs w:val="20"/>
                <w:color w:val="auto"/>
              </w:rPr>
            </w:pPr>
            <w:r>
              <w:rPr>
                <w:rFonts w:ascii="Arial" w:cs="Arial" w:eastAsia="Arial" w:hAnsi="Arial"/>
                <w:sz w:val="18"/>
                <w:szCs w:val="18"/>
                <w:b w:val="1"/>
                <w:bCs w:val="1"/>
                <w:color w:val="auto"/>
              </w:rPr>
              <w:t>(0.3)</w:t>
            </w:r>
          </w:p>
        </w:tc>
        <w:tc>
          <w:tcPr>
            <w:tcW w:w="880" w:type="dxa"/>
            <w:vAlign w:val="bottom"/>
          </w:tcPr>
          <w:p>
            <w:pPr>
              <w:spacing w:after="0"/>
              <w:rPr>
                <w:sz w:val="18"/>
                <w:szCs w:val="18"/>
                <w:color w:val="auto"/>
              </w:rPr>
            </w:pPr>
          </w:p>
        </w:tc>
        <w:tc>
          <w:tcPr>
            <w:tcW w:w="580" w:type="dxa"/>
            <w:vAlign w:val="bottom"/>
          </w:tcPr>
          <w:p>
            <w:pPr>
              <w:jc w:val="right"/>
              <w:ind w:right="130"/>
              <w:spacing w:after="0"/>
              <w:rPr>
                <w:sz w:val="20"/>
                <w:szCs w:val="20"/>
                <w:color w:val="auto"/>
              </w:rPr>
            </w:pPr>
            <w:r>
              <w:rPr>
                <w:rFonts w:ascii="Arial" w:cs="Arial" w:eastAsia="Arial" w:hAnsi="Arial"/>
                <w:sz w:val="18"/>
                <w:szCs w:val="18"/>
                <w:color w:val="auto"/>
              </w:rPr>
              <w:t>0.3</w:t>
            </w:r>
          </w:p>
        </w:tc>
        <w:tc>
          <w:tcPr>
            <w:tcW w:w="340" w:type="dxa"/>
            <w:vAlign w:val="bottom"/>
          </w:tcPr>
          <w:p>
            <w:pPr>
              <w:spacing w:after="0"/>
              <w:rPr>
                <w:sz w:val="18"/>
                <w:szCs w:val="18"/>
                <w:color w:val="auto"/>
              </w:rPr>
            </w:pPr>
          </w:p>
        </w:tc>
        <w:tc>
          <w:tcPr>
            <w:tcW w:w="1120" w:type="dxa"/>
            <w:vAlign w:val="bottom"/>
          </w:tcPr>
          <w:p>
            <w:pPr>
              <w:jc w:val="right"/>
              <w:ind w:right="50"/>
              <w:spacing w:after="0"/>
              <w:rPr>
                <w:sz w:val="20"/>
                <w:szCs w:val="20"/>
                <w:color w:val="auto"/>
              </w:rPr>
            </w:pPr>
            <w:r>
              <w:rPr>
                <w:rFonts w:ascii="Arial" w:cs="Arial" w:eastAsia="Arial" w:hAnsi="Arial"/>
                <w:sz w:val="18"/>
                <w:szCs w:val="18"/>
                <w:color w:val="auto"/>
              </w:rPr>
              <w:t>(0.1)</w:t>
            </w:r>
          </w:p>
        </w:tc>
      </w:tr>
      <w:tr>
        <w:trPr>
          <w:trHeight w:val="216"/>
        </w:trPr>
        <w:tc>
          <w:tcPr>
            <w:tcW w:w="5800" w:type="dxa"/>
            <w:vAlign w:val="bottom"/>
            <w:shd w:val="clear" w:color="auto" w:fill="CCEEFF"/>
          </w:tcPr>
          <w:p>
            <w:pPr>
              <w:spacing w:after="0"/>
              <w:rPr>
                <w:sz w:val="20"/>
                <w:szCs w:val="20"/>
                <w:color w:val="auto"/>
              </w:rPr>
            </w:pPr>
            <w:r>
              <w:rPr>
                <w:rFonts w:ascii="Arial" w:cs="Arial" w:eastAsia="Arial" w:hAnsi="Arial"/>
                <w:sz w:val="18"/>
                <w:szCs w:val="18"/>
                <w:color w:val="auto"/>
              </w:rPr>
              <w:t>U.S. domestic manufacturing deduction</w:t>
            </w:r>
          </w:p>
        </w:tc>
        <w:tc>
          <w:tcPr>
            <w:tcW w:w="2080" w:type="dxa"/>
            <w:vAlign w:val="bottom"/>
            <w:shd w:val="clear" w:color="auto" w:fill="CCEEFF"/>
          </w:tcPr>
          <w:p>
            <w:pPr>
              <w:spacing w:after="0"/>
              <w:rPr>
                <w:sz w:val="18"/>
                <w:szCs w:val="18"/>
                <w:color w:val="auto"/>
              </w:rPr>
            </w:pPr>
          </w:p>
        </w:tc>
        <w:tc>
          <w:tcPr>
            <w:tcW w:w="620" w:type="dxa"/>
            <w:vAlign w:val="bottom"/>
            <w:shd w:val="clear" w:color="auto" w:fill="CCEEFF"/>
          </w:tcPr>
          <w:p>
            <w:pPr>
              <w:jc w:val="right"/>
              <w:ind w:right="110"/>
              <w:spacing w:after="0"/>
              <w:rPr>
                <w:sz w:val="20"/>
                <w:szCs w:val="20"/>
                <w:color w:val="auto"/>
              </w:rPr>
            </w:pPr>
            <w:r>
              <w:rPr>
                <w:rFonts w:ascii="Arial" w:cs="Arial" w:eastAsia="Arial" w:hAnsi="Arial"/>
                <w:sz w:val="18"/>
                <w:szCs w:val="18"/>
                <w:b w:val="1"/>
                <w:bCs w:val="1"/>
                <w:color w:val="auto"/>
              </w:rPr>
              <w:t>(2.3)</w:t>
            </w:r>
          </w:p>
        </w:tc>
        <w:tc>
          <w:tcPr>
            <w:tcW w:w="880" w:type="dxa"/>
            <w:vAlign w:val="bottom"/>
            <w:shd w:val="clear" w:color="auto" w:fill="CCEEFF"/>
          </w:tcPr>
          <w:p>
            <w:pPr>
              <w:spacing w:after="0"/>
              <w:rPr>
                <w:sz w:val="18"/>
                <w:szCs w:val="18"/>
                <w:color w:val="auto"/>
              </w:rPr>
            </w:pPr>
          </w:p>
        </w:tc>
        <w:tc>
          <w:tcPr>
            <w:tcW w:w="58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(6.4)</w:t>
            </w:r>
          </w:p>
        </w:tc>
        <w:tc>
          <w:tcPr>
            <w:tcW w:w="340" w:type="dxa"/>
            <w:vAlign w:val="bottom"/>
            <w:shd w:val="clear" w:color="auto" w:fill="CCEEFF"/>
          </w:tcPr>
          <w:p>
            <w:pPr>
              <w:spacing w:after="0"/>
              <w:rPr>
                <w:sz w:val="18"/>
                <w:szCs w:val="18"/>
                <w:color w:val="auto"/>
              </w:rPr>
            </w:pPr>
          </w:p>
        </w:tc>
        <w:tc>
          <w:tcPr>
            <w:tcW w:w="112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(6.6)</w:t>
            </w:r>
          </w:p>
        </w:tc>
      </w:tr>
      <w:tr>
        <w:trPr>
          <w:trHeight w:val="216"/>
        </w:trPr>
        <w:tc>
          <w:tcPr>
            <w:tcW w:w="5800" w:type="dxa"/>
            <w:vAlign w:val="bottom"/>
          </w:tcPr>
          <w:p>
            <w:pPr>
              <w:spacing w:after="0"/>
              <w:rPr>
                <w:sz w:val="20"/>
                <w:szCs w:val="20"/>
                <w:color w:val="auto"/>
              </w:rPr>
            </w:pPr>
            <w:r>
              <w:rPr>
                <w:rFonts w:ascii="Arial" w:cs="Arial" w:eastAsia="Arial" w:hAnsi="Arial"/>
                <w:sz w:val="18"/>
                <w:szCs w:val="18"/>
                <w:color w:val="auto"/>
              </w:rPr>
              <w:t>U.S. research tax credit</w:t>
            </w:r>
          </w:p>
        </w:tc>
        <w:tc>
          <w:tcPr>
            <w:tcW w:w="2080" w:type="dxa"/>
            <w:vAlign w:val="bottom"/>
          </w:tcPr>
          <w:p>
            <w:pPr>
              <w:spacing w:after="0"/>
              <w:rPr>
                <w:sz w:val="18"/>
                <w:szCs w:val="18"/>
                <w:color w:val="auto"/>
              </w:rPr>
            </w:pPr>
          </w:p>
        </w:tc>
        <w:tc>
          <w:tcPr>
            <w:tcW w:w="620" w:type="dxa"/>
            <w:vAlign w:val="bottom"/>
          </w:tcPr>
          <w:p>
            <w:pPr>
              <w:jc w:val="right"/>
              <w:ind w:right="110"/>
              <w:spacing w:after="0"/>
              <w:rPr>
                <w:sz w:val="20"/>
                <w:szCs w:val="20"/>
                <w:color w:val="auto"/>
              </w:rPr>
            </w:pPr>
            <w:r>
              <w:rPr>
                <w:rFonts w:ascii="Arial" w:cs="Arial" w:eastAsia="Arial" w:hAnsi="Arial"/>
                <w:sz w:val="18"/>
                <w:szCs w:val="18"/>
                <w:b w:val="1"/>
                <w:bCs w:val="1"/>
                <w:color w:val="auto"/>
              </w:rPr>
              <w:t>(0.5)</w:t>
            </w:r>
          </w:p>
        </w:tc>
        <w:tc>
          <w:tcPr>
            <w:tcW w:w="880" w:type="dxa"/>
            <w:vAlign w:val="bottom"/>
          </w:tcPr>
          <w:p>
            <w:pPr>
              <w:spacing w:after="0"/>
              <w:rPr>
                <w:sz w:val="18"/>
                <w:szCs w:val="18"/>
                <w:color w:val="auto"/>
              </w:rPr>
            </w:pPr>
          </w:p>
        </w:tc>
        <w:tc>
          <w:tcPr>
            <w:tcW w:w="580" w:type="dxa"/>
            <w:vAlign w:val="bottom"/>
          </w:tcPr>
          <w:p>
            <w:pPr>
              <w:jc w:val="right"/>
              <w:ind w:right="70"/>
              <w:spacing w:after="0"/>
              <w:rPr>
                <w:sz w:val="20"/>
                <w:szCs w:val="20"/>
                <w:color w:val="auto"/>
              </w:rPr>
            </w:pPr>
            <w:r>
              <w:rPr>
                <w:rFonts w:ascii="Arial" w:cs="Arial" w:eastAsia="Arial" w:hAnsi="Arial"/>
                <w:sz w:val="18"/>
                <w:szCs w:val="18"/>
                <w:color w:val="auto"/>
              </w:rPr>
              <w:t>(0.6)</w:t>
            </w:r>
          </w:p>
        </w:tc>
        <w:tc>
          <w:tcPr>
            <w:tcW w:w="340" w:type="dxa"/>
            <w:vAlign w:val="bottom"/>
          </w:tcPr>
          <w:p>
            <w:pPr>
              <w:spacing w:after="0"/>
              <w:rPr>
                <w:sz w:val="18"/>
                <w:szCs w:val="18"/>
                <w:color w:val="auto"/>
              </w:rPr>
            </w:pPr>
          </w:p>
        </w:tc>
        <w:tc>
          <w:tcPr>
            <w:tcW w:w="1120" w:type="dxa"/>
            <w:vAlign w:val="bottom"/>
          </w:tcPr>
          <w:p>
            <w:pPr>
              <w:jc w:val="right"/>
              <w:ind w:right="50"/>
              <w:spacing w:after="0"/>
              <w:rPr>
                <w:sz w:val="20"/>
                <w:szCs w:val="20"/>
                <w:color w:val="auto"/>
              </w:rPr>
            </w:pPr>
            <w:r>
              <w:rPr>
                <w:rFonts w:ascii="Arial" w:cs="Arial" w:eastAsia="Arial" w:hAnsi="Arial"/>
                <w:sz w:val="18"/>
                <w:szCs w:val="18"/>
                <w:color w:val="auto"/>
              </w:rPr>
              <w:t>(0.6)</w:t>
            </w:r>
          </w:p>
        </w:tc>
      </w:tr>
      <w:tr>
        <w:trPr>
          <w:trHeight w:val="216"/>
        </w:trPr>
        <w:tc>
          <w:tcPr>
            <w:tcW w:w="5800" w:type="dxa"/>
            <w:vAlign w:val="bottom"/>
            <w:shd w:val="clear" w:color="auto" w:fill="CCEEFF"/>
          </w:tcPr>
          <w:p>
            <w:pPr>
              <w:spacing w:after="0"/>
              <w:rPr>
                <w:sz w:val="20"/>
                <w:szCs w:val="20"/>
                <w:color w:val="auto"/>
              </w:rPr>
            </w:pPr>
            <w:r>
              <w:rPr>
                <w:rFonts w:ascii="Arial" w:cs="Arial" w:eastAsia="Arial" w:hAnsi="Arial"/>
                <w:sz w:val="18"/>
                <w:szCs w:val="18"/>
                <w:color w:val="auto"/>
              </w:rPr>
              <w:t>Accruals and settlements related to tax audits</w:t>
            </w:r>
          </w:p>
        </w:tc>
        <w:tc>
          <w:tcPr>
            <w:tcW w:w="2080" w:type="dxa"/>
            <w:vAlign w:val="bottom"/>
            <w:shd w:val="clear" w:color="auto" w:fill="CCEEFF"/>
          </w:tcPr>
          <w:p>
            <w:pPr>
              <w:spacing w:after="0"/>
              <w:rPr>
                <w:sz w:val="18"/>
                <w:szCs w:val="18"/>
                <w:color w:val="auto"/>
              </w:rPr>
            </w:pPr>
          </w:p>
        </w:tc>
        <w:tc>
          <w:tcPr>
            <w:tcW w:w="620" w:type="dxa"/>
            <w:vAlign w:val="bottom"/>
            <w:shd w:val="clear" w:color="auto" w:fill="CCEEFF"/>
          </w:tcPr>
          <w:p>
            <w:pPr>
              <w:jc w:val="right"/>
              <w:ind w:right="110"/>
              <w:spacing w:after="0"/>
              <w:rPr>
                <w:sz w:val="20"/>
                <w:szCs w:val="20"/>
                <w:color w:val="auto"/>
              </w:rPr>
            </w:pPr>
            <w:r>
              <w:rPr>
                <w:rFonts w:ascii="Arial" w:cs="Arial" w:eastAsia="Arial" w:hAnsi="Arial"/>
                <w:sz w:val="18"/>
                <w:szCs w:val="18"/>
                <w:b w:val="1"/>
                <w:bCs w:val="1"/>
                <w:color w:val="auto"/>
              </w:rPr>
              <w:t>(6.1)</w:t>
            </w:r>
          </w:p>
        </w:tc>
        <w:tc>
          <w:tcPr>
            <w:tcW w:w="880" w:type="dxa"/>
            <w:vAlign w:val="bottom"/>
            <w:shd w:val="clear" w:color="auto" w:fill="CCEEFF"/>
          </w:tcPr>
          <w:p>
            <w:pPr>
              <w:spacing w:after="0"/>
              <w:rPr>
                <w:sz w:val="18"/>
                <w:szCs w:val="18"/>
                <w:color w:val="auto"/>
              </w:rPr>
            </w:pPr>
          </w:p>
        </w:tc>
        <w:tc>
          <w:tcPr>
            <w:tcW w:w="580" w:type="dxa"/>
            <w:vAlign w:val="bottom"/>
            <w:shd w:val="clear" w:color="auto" w:fill="CCEEFF"/>
          </w:tcPr>
          <w:p>
            <w:pPr>
              <w:jc w:val="right"/>
              <w:ind w:right="130"/>
              <w:spacing w:after="0"/>
              <w:rPr>
                <w:sz w:val="20"/>
                <w:szCs w:val="20"/>
                <w:color w:val="auto"/>
              </w:rPr>
            </w:pPr>
            <w:r>
              <w:rPr>
                <w:rFonts w:ascii="Arial" w:cs="Arial" w:eastAsia="Arial" w:hAnsi="Arial"/>
                <w:sz w:val="18"/>
                <w:szCs w:val="18"/>
                <w:color w:val="auto"/>
              </w:rPr>
              <w:t>0.2</w:t>
            </w:r>
          </w:p>
        </w:tc>
        <w:tc>
          <w:tcPr>
            <w:tcW w:w="340" w:type="dxa"/>
            <w:vAlign w:val="bottom"/>
            <w:shd w:val="clear" w:color="auto" w:fill="CCEEFF"/>
          </w:tcPr>
          <w:p>
            <w:pPr>
              <w:spacing w:after="0"/>
              <w:rPr>
                <w:sz w:val="18"/>
                <w:szCs w:val="18"/>
                <w:color w:val="auto"/>
              </w:rPr>
            </w:pPr>
          </w:p>
        </w:tc>
        <w:tc>
          <w:tcPr>
            <w:tcW w:w="1120" w:type="dxa"/>
            <w:vAlign w:val="bottom"/>
            <w:shd w:val="clear" w:color="auto" w:fill="CCEEFF"/>
          </w:tcPr>
          <w:p>
            <w:pPr>
              <w:jc w:val="right"/>
              <w:ind w:right="110"/>
              <w:spacing w:after="0"/>
              <w:rPr>
                <w:sz w:val="20"/>
                <w:szCs w:val="20"/>
                <w:color w:val="auto"/>
              </w:rPr>
            </w:pPr>
            <w:r>
              <w:rPr>
                <w:rFonts w:ascii="Arial" w:cs="Arial" w:eastAsia="Arial" w:hAnsi="Arial"/>
                <w:sz w:val="18"/>
                <w:szCs w:val="18"/>
                <w:color w:val="auto"/>
              </w:rPr>
              <w:t>0.2</w:t>
            </w:r>
          </w:p>
        </w:tc>
      </w:tr>
      <w:tr>
        <w:trPr>
          <w:trHeight w:val="216"/>
        </w:trPr>
        <w:tc>
          <w:tcPr>
            <w:tcW w:w="580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Other items, net</w:t>
            </w:r>
          </w:p>
        </w:tc>
        <w:tc>
          <w:tcPr>
            <w:tcW w:w="2080" w:type="dxa"/>
            <w:vAlign w:val="bottom"/>
            <w:tcBorders>
              <w:bottom w:val="single" w:sz="8" w:color="auto"/>
            </w:tcBorders>
          </w:tcPr>
          <w:p>
            <w:pPr>
              <w:spacing w:after="0"/>
              <w:rPr>
                <w:sz w:val="18"/>
                <w:szCs w:val="18"/>
                <w:color w:val="auto"/>
              </w:rPr>
            </w:pPr>
          </w:p>
        </w:tc>
        <w:tc>
          <w:tcPr>
            <w:tcW w:w="620" w:type="dxa"/>
            <w:vAlign w:val="bottom"/>
            <w:tcBorders>
              <w:bottom w:val="single" w:sz="8" w:color="auto"/>
            </w:tcBorders>
          </w:tcPr>
          <w:p>
            <w:pPr>
              <w:jc w:val="right"/>
              <w:ind w:right="170"/>
              <w:spacing w:after="0"/>
              <w:rPr>
                <w:sz w:val="20"/>
                <w:szCs w:val="20"/>
                <w:color w:val="auto"/>
              </w:rPr>
            </w:pPr>
            <w:r>
              <w:rPr>
                <w:rFonts w:ascii="Arial" w:cs="Arial" w:eastAsia="Arial" w:hAnsi="Arial"/>
                <w:sz w:val="18"/>
                <w:szCs w:val="18"/>
                <w:b w:val="1"/>
                <w:bCs w:val="1"/>
                <w:color w:val="auto"/>
              </w:rPr>
              <w:t>0.2</w:t>
            </w:r>
          </w:p>
        </w:tc>
        <w:tc>
          <w:tcPr>
            <w:tcW w:w="880" w:type="dxa"/>
            <w:vAlign w:val="bottom"/>
            <w:tcBorders>
              <w:bottom w:val="single" w:sz="8" w:color="auto"/>
            </w:tcBorders>
          </w:tcPr>
          <w:p>
            <w:pPr>
              <w:spacing w:after="0"/>
              <w:rPr>
                <w:sz w:val="18"/>
                <w:szCs w:val="18"/>
                <w:color w:val="auto"/>
              </w:rPr>
            </w:pPr>
          </w:p>
        </w:tc>
        <w:tc>
          <w:tcPr>
            <w:tcW w:w="58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color w:val="auto"/>
              </w:rPr>
              <w:t>(0.6)</w:t>
            </w:r>
          </w:p>
        </w:tc>
        <w:tc>
          <w:tcPr>
            <w:tcW w:w="340" w:type="dxa"/>
            <w:vAlign w:val="bottom"/>
            <w:tcBorders>
              <w:bottom w:val="single" w:sz="8" w:color="auto"/>
            </w:tcBorders>
          </w:tcPr>
          <w:p>
            <w:pPr>
              <w:spacing w:after="0"/>
              <w:rPr>
                <w:sz w:val="18"/>
                <w:szCs w:val="18"/>
                <w:color w:val="auto"/>
              </w:rPr>
            </w:pPr>
          </w:p>
        </w:tc>
        <w:tc>
          <w:tcPr>
            <w:tcW w:w="112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rPr>
              <w:t>(0.7)</w:t>
            </w:r>
          </w:p>
        </w:tc>
      </w:tr>
      <w:tr>
        <w:trPr>
          <w:trHeight w:val="210"/>
        </w:trPr>
        <w:tc>
          <w:tcPr>
            <w:tcW w:w="580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color w:val="auto"/>
              </w:rPr>
              <w:t>Provision for income taxes</w:t>
            </w:r>
          </w:p>
        </w:tc>
        <w:tc>
          <w:tcPr>
            <w:tcW w:w="2080" w:type="dxa"/>
            <w:vAlign w:val="bottom"/>
            <w:tcBorders>
              <w:bottom w:val="single" w:sz="8" w:color="auto"/>
            </w:tcBorders>
            <w:shd w:val="clear" w:color="auto" w:fill="CCEEFF"/>
          </w:tcPr>
          <w:p>
            <w:pPr>
              <w:jc w:val="right"/>
              <w:ind w:right="630"/>
              <w:spacing w:after="0"/>
              <w:rPr>
                <w:sz w:val="20"/>
                <w:szCs w:val="20"/>
                <w:color w:val="auto"/>
              </w:rPr>
            </w:pPr>
            <w:r>
              <w:rPr>
                <w:rFonts w:ascii="Arial" w:cs="Arial" w:eastAsia="Arial" w:hAnsi="Arial"/>
                <w:sz w:val="18"/>
                <w:szCs w:val="18"/>
                <w:b w:val="1"/>
                <w:bCs w:val="1"/>
                <w:color w:val="auto"/>
              </w:rPr>
              <w:t>$</w:t>
            </w:r>
          </w:p>
        </w:tc>
        <w:tc>
          <w:tcPr>
            <w:tcW w:w="620" w:type="dxa"/>
            <w:vAlign w:val="bottom"/>
            <w:tcBorders>
              <w:bottom w:val="single" w:sz="8" w:color="auto"/>
            </w:tcBorders>
            <w:shd w:val="clear" w:color="auto" w:fill="CCEEFF"/>
          </w:tcPr>
          <w:p>
            <w:pPr>
              <w:jc w:val="right"/>
              <w:ind w:right="170"/>
              <w:spacing w:after="0"/>
              <w:rPr>
                <w:sz w:val="20"/>
                <w:szCs w:val="20"/>
                <w:color w:val="auto"/>
              </w:rPr>
            </w:pPr>
            <w:r>
              <w:rPr>
                <w:rFonts w:ascii="Arial" w:cs="Arial" w:eastAsia="Arial" w:hAnsi="Arial"/>
                <w:sz w:val="18"/>
                <w:szCs w:val="18"/>
                <w:b w:val="1"/>
                <w:bCs w:val="1"/>
                <w:color w:val="auto"/>
                <w:w w:val="96"/>
              </w:rPr>
              <w:t>38.1</w:t>
            </w:r>
          </w:p>
        </w:tc>
        <w:tc>
          <w:tcPr>
            <w:tcW w:w="880" w:type="dxa"/>
            <w:vAlign w:val="bottom"/>
            <w:tcBorders>
              <w:bottom w:val="single" w:sz="8" w:color="auto"/>
            </w:tcBorders>
            <w:shd w:val="clear" w:color="auto" w:fill="CCEEFF"/>
          </w:tcPr>
          <w:p>
            <w:pPr>
              <w:jc w:val="right"/>
              <w:ind w:right="630"/>
              <w:spacing w:after="0"/>
              <w:rPr>
                <w:sz w:val="20"/>
                <w:szCs w:val="20"/>
                <w:color w:val="auto"/>
              </w:rPr>
            </w:pPr>
            <w:r>
              <w:rPr>
                <w:rFonts w:ascii="Arial" w:cs="Arial" w:eastAsia="Arial" w:hAnsi="Arial"/>
                <w:sz w:val="18"/>
                <w:szCs w:val="18"/>
                <w:color w:val="auto"/>
              </w:rPr>
              <w:t>$</w:t>
            </w:r>
          </w:p>
        </w:tc>
        <w:tc>
          <w:tcPr>
            <w:tcW w:w="580" w:type="dxa"/>
            <w:vAlign w:val="bottom"/>
            <w:tcBorders>
              <w:bottom w:val="single" w:sz="8" w:color="auto"/>
            </w:tcBorders>
            <w:shd w:val="clear" w:color="auto" w:fill="CCEEFF"/>
          </w:tcPr>
          <w:p>
            <w:pPr>
              <w:jc w:val="right"/>
              <w:ind w:right="130"/>
              <w:spacing w:after="0"/>
              <w:rPr>
                <w:sz w:val="20"/>
                <w:szCs w:val="20"/>
                <w:color w:val="auto"/>
              </w:rPr>
            </w:pPr>
            <w:r>
              <w:rPr>
                <w:rFonts w:ascii="Arial" w:cs="Arial" w:eastAsia="Arial" w:hAnsi="Arial"/>
                <w:sz w:val="18"/>
                <w:szCs w:val="18"/>
                <w:color w:val="auto"/>
                <w:w w:val="96"/>
              </w:rPr>
              <w:t>79.1</w:t>
            </w:r>
          </w:p>
        </w:tc>
        <w:tc>
          <w:tcPr>
            <w:tcW w:w="34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1120" w:type="dxa"/>
            <w:vAlign w:val="bottom"/>
            <w:tcBorders>
              <w:bottom w:val="single" w:sz="8" w:color="auto"/>
            </w:tcBorders>
            <w:shd w:val="clear" w:color="auto" w:fill="CCEEFF"/>
          </w:tcPr>
          <w:p>
            <w:pPr>
              <w:jc w:val="right"/>
              <w:ind w:right="110"/>
              <w:spacing w:after="0"/>
              <w:rPr>
                <w:sz w:val="20"/>
                <w:szCs w:val="20"/>
                <w:color w:val="auto"/>
              </w:rPr>
            </w:pPr>
            <w:r>
              <w:rPr>
                <w:rFonts w:ascii="Arial" w:cs="Arial" w:eastAsia="Arial" w:hAnsi="Arial"/>
                <w:sz w:val="18"/>
                <w:szCs w:val="18"/>
                <w:color w:val="auto"/>
              </w:rPr>
              <w:t>85.1</w:t>
            </w:r>
          </w:p>
        </w:tc>
      </w:tr>
      <w:tr>
        <w:trPr>
          <w:trHeight w:val="217"/>
        </w:trPr>
        <w:tc>
          <w:tcPr>
            <w:tcW w:w="580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Effective income tax rate</w:t>
            </w:r>
          </w:p>
        </w:tc>
        <w:tc>
          <w:tcPr>
            <w:tcW w:w="2080" w:type="dxa"/>
            <w:vAlign w:val="bottom"/>
            <w:tcBorders>
              <w:bottom w:val="single" w:sz="8" w:color="auto"/>
            </w:tcBorders>
          </w:tcPr>
          <w:p>
            <w:pPr>
              <w:spacing w:after="0"/>
              <w:rPr>
                <w:sz w:val="18"/>
                <w:szCs w:val="18"/>
                <w:color w:val="auto"/>
              </w:rPr>
            </w:pPr>
          </w:p>
        </w:tc>
        <w:tc>
          <w:tcPr>
            <w:tcW w:w="62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29.9%</w:t>
            </w:r>
          </w:p>
        </w:tc>
        <w:tc>
          <w:tcPr>
            <w:tcW w:w="880" w:type="dxa"/>
            <w:vAlign w:val="bottom"/>
            <w:tcBorders>
              <w:bottom w:val="single" w:sz="8" w:color="auto"/>
            </w:tcBorders>
          </w:tcPr>
          <w:p>
            <w:pPr>
              <w:spacing w:after="0"/>
              <w:rPr>
                <w:sz w:val="18"/>
                <w:szCs w:val="18"/>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7"/>
              </w:rPr>
              <w:t>33.8%</w:t>
            </w:r>
          </w:p>
        </w:tc>
        <w:tc>
          <w:tcPr>
            <w:tcW w:w="340" w:type="dxa"/>
            <w:vAlign w:val="bottom"/>
            <w:tcBorders>
              <w:bottom w:val="single" w:sz="8" w:color="auto"/>
            </w:tcBorders>
          </w:tcPr>
          <w:p>
            <w:pPr>
              <w:spacing w:after="0"/>
              <w:rPr>
                <w:sz w:val="18"/>
                <w:szCs w:val="18"/>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33.7%</w:t>
            </w:r>
          </w:p>
        </w:tc>
      </w:tr>
    </w:tbl>
    <w:p>
      <w:pPr>
        <w:spacing w:after="0" w:line="202" w:lineRule="exact"/>
        <w:rPr>
          <w:sz w:val="20"/>
          <w:szCs w:val="20"/>
          <w:color w:val="auto"/>
        </w:rPr>
      </w:pPr>
    </w:p>
    <w:p>
      <w:pPr>
        <w:ind w:right="20" w:firstLine="913"/>
        <w:spacing w:after="0" w:line="255" w:lineRule="auto"/>
        <w:rPr>
          <w:sz w:val="20"/>
          <w:szCs w:val="20"/>
          <w:color w:val="auto"/>
        </w:rPr>
      </w:pPr>
      <w:r>
        <w:rPr>
          <w:rFonts w:ascii="Arial" w:cs="Arial" w:eastAsia="Arial" w:hAnsi="Arial"/>
          <w:sz w:val="18"/>
          <w:szCs w:val="18"/>
          <w:color w:val="auto"/>
        </w:rPr>
        <w:t>Income tax expense includes U.S. and international income taxes. Except as required under U.S. tax law, management does not provide U.S. taxes on undistributed earnings of foreign subsidiaries that have not been previously taxed since management intends to invest such undistributed earnings indefinitely outside the United States. Undistributed earnings of foreign subsidiaries that are invested indefinitely outside of the United States were $6.4 million, $9.0 million and $8.6 million at December 31, 2013, 2012 and 2011, respectively. Determination of the unrecognized deferred tax liability that would be incurred if such amounts were repatriated would be zero due to the foreign tax credits that would be available to offset any U.S. tax liability that would be incurred.</w:t>
      </w:r>
    </w:p>
    <w:p>
      <w:pPr>
        <w:spacing w:after="0" w:line="12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F-19</w:t>
      </w:r>
    </w:p>
    <w:p>
      <w:pPr>
        <w:sectPr>
          <w:pgSz w:w="11900" w:h="16838" w:orient="portrait"/>
          <w:cols w:equalWidth="0" w:num="1">
            <w:col w:w="11420"/>
          </w:cols>
          <w:pgMar w:left="240" w:top="446" w:right="239" w:bottom="1440" w:gutter="0" w:footer="0" w:header="0"/>
        </w:sectPr>
      </w:pPr>
    </w:p>
    <w:bookmarkStart w:id="126" w:name="page127"/>
    <w:bookmarkEnd w:id="126"/>
    <w:tbl>
      <w:tblPr>
        <w:tblLayout w:type="fixed"/>
        <w:tblInd w:w="0" w:type="dxa"/>
        <w:tblCellMar>
          <w:top w:w="0" w:type="dxa"/>
          <w:left w:w="0" w:type="dxa"/>
          <w:bottom w:w="0" w:type="dxa"/>
          <w:right w:w="0" w:type="dxa"/>
        </w:tblCellMar>
      </w:tblPr>
      <w:tr>
        <w:trPr>
          <w:trHeight w:val="207"/>
        </w:trPr>
        <w:tc>
          <w:tcPr>
            <w:tcW w:w="1360" w:type="dxa"/>
            <w:vAlign w:val="bottom"/>
            <w:tcBorders>
              <w:bottom w:val="single" w:sz="8" w:color="0000EE"/>
            </w:tcBorders>
          </w:tcPr>
          <w:p>
            <w:pPr>
              <w:spacing w:after="0"/>
              <w:rPr>
                <w:rFonts w:ascii="Arial" w:cs="Arial" w:eastAsia="Arial" w:hAnsi="Arial"/>
                <w:sz w:val="18"/>
                <w:szCs w:val="18"/>
                <w:b w:val="1"/>
                <w:bCs w:val="1"/>
                <w:color w:val="0000EE"/>
                <w:w w:val="88"/>
              </w:rPr>
            </w:pPr>
            <w:hyperlink w:anchor="page4">
              <w:r>
                <w:rPr>
                  <w:rFonts w:ascii="Arial" w:cs="Arial" w:eastAsia="Arial" w:hAnsi="Arial"/>
                  <w:sz w:val="18"/>
                  <w:szCs w:val="18"/>
                  <w:b w:val="1"/>
                  <w:bCs w:val="1"/>
                  <w:color w:val="0000EE"/>
                  <w:w w:val="88"/>
                </w:rPr>
                <w:t>Table of Contents</w:t>
              </w:r>
            </w:hyperlink>
          </w:p>
        </w:tc>
        <w:tc>
          <w:tcPr>
            <w:tcW w:w="4180" w:type="dxa"/>
            <w:vAlign w:val="bottom"/>
          </w:tcPr>
          <w:p>
            <w:pPr>
              <w:spacing w:after="0"/>
              <w:rPr>
                <w:sz w:val="17"/>
                <w:szCs w:val="17"/>
                <w:color w:val="auto"/>
              </w:rPr>
            </w:pPr>
          </w:p>
        </w:tc>
        <w:tc>
          <w:tcPr>
            <w:tcW w:w="346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960" w:type="dxa"/>
            <w:vAlign w:val="bottom"/>
          </w:tcPr>
          <w:p>
            <w:pPr>
              <w:spacing w:after="0"/>
              <w:rPr>
                <w:sz w:val="17"/>
                <w:szCs w:val="17"/>
                <w:color w:val="auto"/>
              </w:rPr>
            </w:pPr>
          </w:p>
        </w:tc>
      </w:tr>
      <w:tr>
        <w:trPr>
          <w:trHeight w:val="534"/>
        </w:trPr>
        <w:tc>
          <w:tcPr>
            <w:tcW w:w="10460" w:type="dxa"/>
            <w:vAlign w:val="bottom"/>
            <w:gridSpan w:val="5"/>
          </w:tcPr>
          <w:p>
            <w:pPr>
              <w:ind w:left="920"/>
              <w:spacing w:after="0"/>
              <w:rPr>
                <w:sz w:val="20"/>
                <w:szCs w:val="20"/>
                <w:color w:val="auto"/>
              </w:rPr>
            </w:pPr>
            <w:r>
              <w:rPr>
                <w:rFonts w:ascii="Arial" w:cs="Arial" w:eastAsia="Arial" w:hAnsi="Arial"/>
                <w:sz w:val="18"/>
                <w:szCs w:val="18"/>
                <w:color w:val="auto"/>
                <w:w w:val="91"/>
              </w:rPr>
              <w:t>The effect of temporary differences giving rise to deferred tax assets and liabilities at December 31, 2013 and 2012 was as follows:</w:t>
            </w:r>
          </w:p>
        </w:tc>
        <w:tc>
          <w:tcPr>
            <w:tcW w:w="960" w:type="dxa"/>
            <w:vAlign w:val="bottom"/>
          </w:tcPr>
          <w:p>
            <w:pPr>
              <w:spacing w:after="0"/>
              <w:rPr>
                <w:sz w:val="24"/>
                <w:szCs w:val="24"/>
                <w:color w:val="auto"/>
              </w:rPr>
            </w:pPr>
          </w:p>
        </w:tc>
      </w:tr>
      <w:tr>
        <w:trPr>
          <w:trHeight w:val="338"/>
        </w:trPr>
        <w:tc>
          <w:tcPr>
            <w:tcW w:w="1360" w:type="dxa"/>
            <w:vAlign w:val="bottom"/>
            <w:tcBorders>
              <w:bottom w:val="single" w:sz="8" w:color="auto"/>
            </w:tcBorders>
          </w:tcPr>
          <w:p>
            <w:pPr>
              <w:spacing w:after="0"/>
              <w:rPr>
                <w:sz w:val="24"/>
                <w:szCs w:val="24"/>
                <w:color w:val="auto"/>
              </w:rPr>
            </w:pPr>
          </w:p>
        </w:tc>
        <w:tc>
          <w:tcPr>
            <w:tcW w:w="4180" w:type="dxa"/>
            <w:vAlign w:val="bottom"/>
            <w:tcBorders>
              <w:bottom w:val="single" w:sz="8" w:color="auto"/>
            </w:tcBorders>
          </w:tcPr>
          <w:p>
            <w:pPr>
              <w:spacing w:after="0"/>
              <w:rPr>
                <w:sz w:val="24"/>
                <w:szCs w:val="24"/>
                <w:color w:val="auto"/>
              </w:rPr>
            </w:pPr>
          </w:p>
        </w:tc>
        <w:tc>
          <w:tcPr>
            <w:tcW w:w="3460" w:type="dxa"/>
            <w:vAlign w:val="bottom"/>
            <w:tcBorders>
              <w:bottom w:val="single" w:sz="8" w:color="auto"/>
            </w:tcBorders>
          </w:tcPr>
          <w:p>
            <w:pPr>
              <w:spacing w:after="0"/>
              <w:rPr>
                <w:sz w:val="24"/>
                <w:szCs w:val="24"/>
                <w:color w:val="auto"/>
              </w:rPr>
            </w:pPr>
          </w:p>
        </w:tc>
        <w:tc>
          <w:tcPr>
            <w:tcW w:w="1060" w:type="dxa"/>
            <w:vAlign w:val="bottom"/>
            <w:tcBorders>
              <w:bottom w:val="single" w:sz="8" w:color="auto"/>
            </w:tcBorders>
          </w:tcPr>
          <w:p>
            <w:pPr>
              <w:jc w:val="right"/>
              <w:ind w:right="450"/>
              <w:spacing w:after="0"/>
              <w:rPr>
                <w:sz w:val="20"/>
                <w:szCs w:val="20"/>
                <w:color w:val="auto"/>
              </w:rPr>
            </w:pPr>
            <w:r>
              <w:rPr>
                <w:rFonts w:ascii="Arial" w:cs="Arial" w:eastAsia="Arial" w:hAnsi="Arial"/>
                <w:sz w:val="18"/>
                <w:szCs w:val="18"/>
                <w:b w:val="1"/>
                <w:bCs w:val="1"/>
                <w:color w:val="auto"/>
              </w:rPr>
              <w:t>2013</w:t>
            </w:r>
          </w:p>
        </w:tc>
        <w:tc>
          <w:tcPr>
            <w:tcW w:w="400" w:type="dxa"/>
            <w:vAlign w:val="bottom"/>
            <w:tcBorders>
              <w:bottom w:val="single" w:sz="8" w:color="auto"/>
            </w:tcBorders>
          </w:tcPr>
          <w:p>
            <w:pPr>
              <w:spacing w:after="0"/>
              <w:rPr>
                <w:sz w:val="24"/>
                <w:szCs w:val="24"/>
                <w:color w:val="auto"/>
              </w:rPr>
            </w:pPr>
          </w:p>
        </w:tc>
        <w:tc>
          <w:tcPr>
            <w:tcW w:w="960" w:type="dxa"/>
            <w:vAlign w:val="bottom"/>
            <w:tcBorders>
              <w:bottom w:val="single" w:sz="8" w:color="auto"/>
            </w:tcBorders>
          </w:tcPr>
          <w:p>
            <w:pPr>
              <w:jc w:val="right"/>
              <w:ind w:right="430"/>
              <w:spacing w:after="0"/>
              <w:rPr>
                <w:sz w:val="20"/>
                <w:szCs w:val="20"/>
                <w:color w:val="auto"/>
              </w:rPr>
            </w:pPr>
            <w:r>
              <w:rPr>
                <w:rFonts w:ascii="Arial" w:cs="Arial" w:eastAsia="Arial" w:hAnsi="Arial"/>
                <w:sz w:val="18"/>
                <w:szCs w:val="18"/>
                <w:color w:val="auto"/>
              </w:rPr>
              <w:t>2012</w:t>
            </w:r>
          </w:p>
        </w:tc>
      </w:tr>
      <w:tr>
        <w:trPr>
          <w:trHeight w:val="210"/>
        </w:trPr>
        <w:tc>
          <w:tcPr>
            <w:tcW w:w="55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Deferred tax assets:</w:t>
            </w:r>
          </w:p>
        </w:tc>
        <w:tc>
          <w:tcPr>
            <w:tcW w:w="346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r>
      <w:tr>
        <w:trPr>
          <w:trHeight w:val="216"/>
        </w:trPr>
        <w:tc>
          <w:tcPr>
            <w:tcW w:w="5540" w:type="dxa"/>
            <w:vAlign w:val="bottom"/>
            <w:gridSpan w:val="2"/>
          </w:tcPr>
          <w:p>
            <w:pPr>
              <w:spacing w:after="0"/>
              <w:rPr>
                <w:sz w:val="20"/>
                <w:szCs w:val="20"/>
                <w:color w:val="auto"/>
              </w:rPr>
            </w:pPr>
            <w:r>
              <w:rPr>
                <w:rFonts w:ascii="Arial" w:cs="Arial" w:eastAsia="Arial" w:hAnsi="Arial"/>
                <w:sz w:val="18"/>
                <w:szCs w:val="18"/>
                <w:color w:val="auto"/>
              </w:rPr>
              <w:t>Other employee benefit accruals</w:t>
            </w:r>
          </w:p>
        </w:tc>
        <w:tc>
          <w:tcPr>
            <w:tcW w:w="3460" w:type="dxa"/>
            <w:vAlign w:val="bottom"/>
          </w:tcPr>
          <w:p>
            <w:pPr>
              <w:jc w:val="right"/>
              <w:ind w:right="70"/>
              <w:spacing w:after="0"/>
              <w:rPr>
                <w:sz w:val="20"/>
                <w:szCs w:val="20"/>
                <w:color w:val="auto"/>
              </w:rPr>
            </w:pPr>
            <w:r>
              <w:rPr>
                <w:rFonts w:ascii="Arial" w:cs="Arial" w:eastAsia="Arial" w:hAnsi="Arial"/>
                <w:sz w:val="18"/>
                <w:szCs w:val="18"/>
                <w:b w:val="1"/>
                <w:bCs w:val="1"/>
                <w:color w:val="auto"/>
              </w:rPr>
              <w:t>$</w:t>
            </w:r>
          </w:p>
        </w:tc>
        <w:tc>
          <w:tcPr>
            <w:tcW w:w="1060" w:type="dxa"/>
            <w:vAlign w:val="bottom"/>
          </w:tcPr>
          <w:p>
            <w:pPr>
              <w:jc w:val="right"/>
              <w:ind w:right="50"/>
              <w:spacing w:after="0"/>
              <w:rPr>
                <w:sz w:val="20"/>
                <w:szCs w:val="20"/>
                <w:color w:val="auto"/>
              </w:rPr>
            </w:pPr>
            <w:r>
              <w:rPr>
                <w:rFonts w:ascii="Arial" w:cs="Arial" w:eastAsia="Arial" w:hAnsi="Arial"/>
                <w:sz w:val="18"/>
                <w:szCs w:val="18"/>
                <w:b w:val="1"/>
                <w:bCs w:val="1"/>
                <w:color w:val="auto"/>
              </w:rPr>
              <w:t>5.2</w:t>
            </w:r>
          </w:p>
        </w:tc>
        <w:tc>
          <w:tcPr>
            <w:tcW w:w="400" w:type="dxa"/>
            <w:vAlign w:val="bottom"/>
          </w:tcPr>
          <w:p>
            <w:pPr>
              <w:jc w:val="right"/>
              <w:ind w:right="150"/>
              <w:spacing w:after="0"/>
              <w:rPr>
                <w:sz w:val="20"/>
                <w:szCs w:val="20"/>
                <w:color w:val="auto"/>
              </w:rPr>
            </w:pPr>
            <w:r>
              <w:rPr>
                <w:rFonts w:ascii="Arial" w:cs="Arial" w:eastAsia="Arial" w:hAnsi="Arial"/>
                <w:sz w:val="18"/>
                <w:szCs w:val="18"/>
                <w:color w:val="auto"/>
              </w:rPr>
              <w:t>$</w:t>
            </w:r>
          </w:p>
        </w:tc>
        <w:tc>
          <w:tcPr>
            <w:tcW w:w="960" w:type="dxa"/>
            <w:vAlign w:val="bottom"/>
          </w:tcPr>
          <w:p>
            <w:pPr>
              <w:jc w:val="right"/>
              <w:ind w:right="10"/>
              <w:spacing w:after="0"/>
              <w:rPr>
                <w:sz w:val="20"/>
                <w:szCs w:val="20"/>
                <w:color w:val="auto"/>
              </w:rPr>
            </w:pPr>
            <w:r>
              <w:rPr>
                <w:rFonts w:ascii="Arial" w:cs="Arial" w:eastAsia="Arial" w:hAnsi="Arial"/>
                <w:sz w:val="18"/>
                <w:szCs w:val="18"/>
                <w:color w:val="auto"/>
              </w:rPr>
              <w:t>5.6</w:t>
            </w:r>
          </w:p>
        </w:tc>
      </w:tr>
      <w:tr>
        <w:trPr>
          <w:trHeight w:val="216"/>
        </w:trPr>
        <w:tc>
          <w:tcPr>
            <w:tcW w:w="55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Tax loss carryforwards</w:t>
            </w:r>
          </w:p>
        </w:tc>
        <w:tc>
          <w:tcPr>
            <w:tcW w:w="3460" w:type="dxa"/>
            <w:vAlign w:val="bottom"/>
            <w:shd w:val="clear" w:color="auto" w:fill="CCEEFF"/>
          </w:tcPr>
          <w:p>
            <w:pPr>
              <w:spacing w:after="0"/>
              <w:rPr>
                <w:sz w:val="18"/>
                <w:szCs w:val="18"/>
                <w:color w:val="auto"/>
              </w:rPr>
            </w:pPr>
          </w:p>
        </w:tc>
        <w:tc>
          <w:tcPr>
            <w:tcW w:w="1060" w:type="dxa"/>
            <w:vAlign w:val="bottom"/>
            <w:shd w:val="clear" w:color="auto" w:fill="CCEEFF"/>
          </w:tcPr>
          <w:p>
            <w:pPr>
              <w:jc w:val="right"/>
              <w:ind w:right="50"/>
              <w:spacing w:after="0"/>
              <w:rPr>
                <w:sz w:val="20"/>
                <w:szCs w:val="20"/>
                <w:color w:val="auto"/>
              </w:rPr>
            </w:pPr>
            <w:r>
              <w:rPr>
                <w:rFonts w:ascii="Arial" w:cs="Arial" w:eastAsia="Arial" w:hAnsi="Arial"/>
                <w:sz w:val="18"/>
                <w:szCs w:val="18"/>
                <w:b w:val="1"/>
                <w:bCs w:val="1"/>
                <w:color w:val="auto"/>
              </w:rPr>
              <w:t>14.1</w:t>
            </w:r>
          </w:p>
        </w:tc>
        <w:tc>
          <w:tcPr>
            <w:tcW w:w="400" w:type="dxa"/>
            <w:vAlign w:val="bottom"/>
            <w:shd w:val="clear" w:color="auto" w:fill="CCEEFF"/>
          </w:tcPr>
          <w:p>
            <w:pPr>
              <w:spacing w:after="0"/>
              <w:rPr>
                <w:sz w:val="18"/>
                <w:szCs w:val="18"/>
                <w:color w:val="auto"/>
              </w:rPr>
            </w:pPr>
          </w:p>
        </w:tc>
        <w:tc>
          <w:tcPr>
            <w:tcW w:w="96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14.1</w:t>
            </w:r>
          </w:p>
        </w:tc>
      </w:tr>
      <w:tr>
        <w:trPr>
          <w:trHeight w:val="216"/>
        </w:trPr>
        <w:tc>
          <w:tcPr>
            <w:tcW w:w="5540" w:type="dxa"/>
            <w:vAlign w:val="bottom"/>
            <w:gridSpan w:val="2"/>
          </w:tcPr>
          <w:p>
            <w:pPr>
              <w:spacing w:after="0"/>
              <w:rPr>
                <w:sz w:val="20"/>
                <w:szCs w:val="20"/>
                <w:color w:val="auto"/>
              </w:rPr>
            </w:pPr>
            <w:r>
              <w:rPr>
                <w:rFonts w:ascii="Arial" w:cs="Arial" w:eastAsia="Arial" w:hAnsi="Arial"/>
                <w:sz w:val="18"/>
                <w:szCs w:val="18"/>
                <w:color w:val="auto"/>
              </w:rPr>
              <w:t>Intangible assets</w:t>
            </w:r>
          </w:p>
        </w:tc>
        <w:tc>
          <w:tcPr>
            <w:tcW w:w="3460" w:type="dxa"/>
            <w:vAlign w:val="bottom"/>
          </w:tcPr>
          <w:p>
            <w:pPr>
              <w:spacing w:after="0"/>
              <w:rPr>
                <w:sz w:val="18"/>
                <w:szCs w:val="18"/>
                <w:color w:val="auto"/>
              </w:rPr>
            </w:pPr>
          </w:p>
        </w:tc>
        <w:tc>
          <w:tcPr>
            <w:tcW w:w="1060" w:type="dxa"/>
            <w:vAlign w:val="bottom"/>
          </w:tcPr>
          <w:p>
            <w:pPr>
              <w:jc w:val="right"/>
              <w:ind w:right="50"/>
              <w:spacing w:after="0"/>
              <w:rPr>
                <w:sz w:val="20"/>
                <w:szCs w:val="20"/>
                <w:color w:val="auto"/>
              </w:rPr>
            </w:pPr>
            <w:r>
              <w:rPr>
                <w:rFonts w:ascii="Arial" w:cs="Arial" w:eastAsia="Arial" w:hAnsi="Arial"/>
                <w:sz w:val="18"/>
                <w:szCs w:val="18"/>
                <w:b w:val="1"/>
                <w:bCs w:val="1"/>
                <w:color w:val="auto"/>
              </w:rPr>
              <w:t>3.1</w:t>
            </w:r>
          </w:p>
        </w:tc>
        <w:tc>
          <w:tcPr>
            <w:tcW w:w="400" w:type="dxa"/>
            <w:vAlign w:val="bottom"/>
          </w:tcPr>
          <w:p>
            <w:pPr>
              <w:spacing w:after="0"/>
              <w:rPr>
                <w:sz w:val="18"/>
                <w:szCs w:val="18"/>
                <w:color w:val="auto"/>
              </w:rPr>
            </w:pPr>
          </w:p>
        </w:tc>
        <w:tc>
          <w:tcPr>
            <w:tcW w:w="960" w:type="dxa"/>
            <w:vAlign w:val="bottom"/>
          </w:tcPr>
          <w:p>
            <w:pPr>
              <w:jc w:val="right"/>
              <w:ind w:right="10"/>
              <w:spacing w:after="0"/>
              <w:rPr>
                <w:sz w:val="20"/>
                <w:szCs w:val="20"/>
                <w:color w:val="auto"/>
              </w:rPr>
            </w:pPr>
            <w:r>
              <w:rPr>
                <w:rFonts w:ascii="Arial" w:cs="Arial" w:eastAsia="Arial" w:hAnsi="Arial"/>
                <w:sz w:val="18"/>
                <w:szCs w:val="18"/>
                <w:color w:val="auto"/>
              </w:rPr>
              <w:t>2.6</w:t>
            </w:r>
          </w:p>
        </w:tc>
      </w:tr>
      <w:tr>
        <w:trPr>
          <w:trHeight w:val="216"/>
        </w:trPr>
        <w:tc>
          <w:tcPr>
            <w:tcW w:w="55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Other, net</w:t>
            </w:r>
          </w:p>
        </w:tc>
        <w:tc>
          <w:tcPr>
            <w:tcW w:w="3460" w:type="dxa"/>
            <w:vAlign w:val="bottom"/>
            <w:shd w:val="clear" w:color="auto" w:fill="CCEEFF"/>
          </w:tcPr>
          <w:p>
            <w:pPr>
              <w:spacing w:after="0"/>
              <w:rPr>
                <w:sz w:val="18"/>
                <w:szCs w:val="18"/>
                <w:color w:val="auto"/>
              </w:rPr>
            </w:pPr>
          </w:p>
        </w:tc>
        <w:tc>
          <w:tcPr>
            <w:tcW w:w="1060" w:type="dxa"/>
            <w:vAlign w:val="bottom"/>
            <w:shd w:val="clear" w:color="auto" w:fill="CCEEFF"/>
          </w:tcPr>
          <w:p>
            <w:pPr>
              <w:jc w:val="right"/>
              <w:ind w:right="50"/>
              <w:spacing w:after="0"/>
              <w:rPr>
                <w:sz w:val="20"/>
                <w:szCs w:val="20"/>
                <w:color w:val="auto"/>
              </w:rPr>
            </w:pPr>
            <w:r>
              <w:rPr>
                <w:rFonts w:ascii="Arial" w:cs="Arial" w:eastAsia="Arial" w:hAnsi="Arial"/>
                <w:sz w:val="18"/>
                <w:szCs w:val="18"/>
                <w:b w:val="1"/>
                <w:bCs w:val="1"/>
                <w:color w:val="auto"/>
              </w:rPr>
              <w:t>8.3</w:t>
            </w:r>
          </w:p>
        </w:tc>
        <w:tc>
          <w:tcPr>
            <w:tcW w:w="400" w:type="dxa"/>
            <w:vAlign w:val="bottom"/>
            <w:shd w:val="clear" w:color="auto" w:fill="CCEEFF"/>
          </w:tcPr>
          <w:p>
            <w:pPr>
              <w:spacing w:after="0"/>
              <w:rPr>
                <w:sz w:val="18"/>
                <w:szCs w:val="18"/>
                <w:color w:val="auto"/>
              </w:rPr>
            </w:pPr>
          </w:p>
        </w:tc>
        <w:tc>
          <w:tcPr>
            <w:tcW w:w="96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7.9</w:t>
            </w:r>
          </w:p>
        </w:tc>
      </w:tr>
      <w:tr>
        <w:trPr>
          <w:trHeight w:val="216"/>
        </w:trPr>
        <w:tc>
          <w:tcPr>
            <w:tcW w:w="554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auto"/>
              </w:rPr>
              <w:t>Valuation allowances</w:t>
            </w:r>
          </w:p>
        </w:tc>
        <w:tc>
          <w:tcPr>
            <w:tcW w:w="3460" w:type="dxa"/>
            <w:vAlign w:val="bottom"/>
            <w:tcBorders>
              <w:bottom w:val="single" w:sz="8" w:color="auto"/>
            </w:tcBorders>
          </w:tcPr>
          <w:p>
            <w:pPr>
              <w:spacing w:after="0"/>
              <w:rPr>
                <w:sz w:val="18"/>
                <w:szCs w:val="18"/>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(14.1)</w:t>
            </w:r>
          </w:p>
        </w:tc>
        <w:tc>
          <w:tcPr>
            <w:tcW w:w="400" w:type="dxa"/>
            <w:vAlign w:val="bottom"/>
            <w:tcBorders>
              <w:bottom w:val="single" w:sz="8" w:color="auto"/>
            </w:tcBorders>
          </w:tcPr>
          <w:p>
            <w:pPr>
              <w:spacing w:after="0"/>
              <w:rPr>
                <w:sz w:val="18"/>
                <w:szCs w:val="18"/>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(14.7)</w:t>
            </w:r>
          </w:p>
        </w:tc>
      </w:tr>
      <w:tr>
        <w:trPr>
          <w:trHeight w:val="210"/>
        </w:trPr>
        <w:tc>
          <w:tcPr>
            <w:tcW w:w="55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Deferred tax assets subtotal</w:t>
            </w:r>
          </w:p>
        </w:tc>
        <w:tc>
          <w:tcPr>
            <w:tcW w:w="3460" w:type="dxa"/>
            <w:vAlign w:val="bottom"/>
            <w:shd w:val="clear" w:color="auto" w:fill="CCEEFF"/>
          </w:tcPr>
          <w:p>
            <w:pPr>
              <w:jc w:val="right"/>
              <w:ind w:right="70"/>
              <w:spacing w:after="0"/>
              <w:rPr>
                <w:sz w:val="20"/>
                <w:szCs w:val="20"/>
                <w:color w:val="auto"/>
              </w:rPr>
            </w:pPr>
            <w:r>
              <w:rPr>
                <w:rFonts w:ascii="Arial" w:cs="Arial" w:eastAsia="Arial" w:hAnsi="Arial"/>
                <w:sz w:val="18"/>
                <w:szCs w:val="18"/>
                <w:b w:val="1"/>
                <w:bCs w:val="1"/>
                <w:color w:val="auto"/>
              </w:rPr>
              <w:t>$</w:t>
            </w:r>
          </w:p>
        </w:tc>
        <w:tc>
          <w:tcPr>
            <w:tcW w:w="1060" w:type="dxa"/>
            <w:vAlign w:val="bottom"/>
            <w:shd w:val="clear" w:color="auto" w:fill="CCEEFF"/>
          </w:tcPr>
          <w:p>
            <w:pPr>
              <w:jc w:val="right"/>
              <w:ind w:right="50"/>
              <w:spacing w:after="0"/>
              <w:rPr>
                <w:sz w:val="20"/>
                <w:szCs w:val="20"/>
                <w:color w:val="auto"/>
              </w:rPr>
            </w:pPr>
            <w:r>
              <w:rPr>
                <w:rFonts w:ascii="Arial" w:cs="Arial" w:eastAsia="Arial" w:hAnsi="Arial"/>
                <w:sz w:val="18"/>
                <w:szCs w:val="18"/>
                <w:b w:val="1"/>
                <w:bCs w:val="1"/>
                <w:color w:val="auto"/>
              </w:rPr>
              <w:t>16.6</w:t>
            </w:r>
          </w:p>
        </w:tc>
        <w:tc>
          <w:tcPr>
            <w:tcW w:w="400" w:type="dxa"/>
            <w:vAlign w:val="bottom"/>
            <w:shd w:val="clear" w:color="auto" w:fill="CCEEFF"/>
          </w:tcPr>
          <w:p>
            <w:pPr>
              <w:jc w:val="right"/>
              <w:ind w:right="150"/>
              <w:spacing w:after="0"/>
              <w:rPr>
                <w:sz w:val="20"/>
                <w:szCs w:val="20"/>
                <w:color w:val="auto"/>
              </w:rPr>
            </w:pPr>
            <w:r>
              <w:rPr>
                <w:rFonts w:ascii="Arial" w:cs="Arial" w:eastAsia="Arial" w:hAnsi="Arial"/>
                <w:sz w:val="18"/>
                <w:szCs w:val="18"/>
                <w:color w:val="auto"/>
              </w:rPr>
              <w:t>$</w:t>
            </w:r>
          </w:p>
        </w:tc>
        <w:tc>
          <w:tcPr>
            <w:tcW w:w="96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15.5</w:t>
            </w:r>
          </w:p>
        </w:tc>
      </w:tr>
      <w:tr>
        <w:trPr>
          <w:trHeight w:val="216"/>
        </w:trPr>
        <w:tc>
          <w:tcPr>
            <w:tcW w:w="5540" w:type="dxa"/>
            <w:vAlign w:val="bottom"/>
            <w:gridSpan w:val="2"/>
          </w:tcPr>
          <w:p>
            <w:pPr>
              <w:spacing w:after="0"/>
              <w:rPr>
                <w:sz w:val="20"/>
                <w:szCs w:val="20"/>
                <w:color w:val="auto"/>
              </w:rPr>
            </w:pPr>
            <w:r>
              <w:rPr>
                <w:rFonts w:ascii="Arial" w:cs="Arial" w:eastAsia="Arial" w:hAnsi="Arial"/>
                <w:sz w:val="18"/>
                <w:szCs w:val="18"/>
                <w:color w:val="auto"/>
              </w:rPr>
              <w:t>Deferred tax liabilities:</w:t>
            </w:r>
          </w:p>
        </w:tc>
        <w:tc>
          <w:tcPr>
            <w:tcW w:w="346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960" w:type="dxa"/>
            <w:vAlign w:val="bottom"/>
          </w:tcPr>
          <w:p>
            <w:pPr>
              <w:spacing w:after="0"/>
              <w:rPr>
                <w:sz w:val="18"/>
                <w:szCs w:val="18"/>
                <w:color w:val="auto"/>
              </w:rPr>
            </w:pPr>
          </w:p>
        </w:tc>
      </w:tr>
      <w:tr>
        <w:trPr>
          <w:trHeight w:val="216"/>
        </w:trPr>
        <w:tc>
          <w:tcPr>
            <w:tcW w:w="55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Depreciation</w:t>
            </w:r>
          </w:p>
        </w:tc>
        <w:tc>
          <w:tcPr>
            <w:tcW w:w="3460" w:type="dxa"/>
            <w:vAlign w:val="bottom"/>
            <w:shd w:val="clear" w:color="auto" w:fill="CCEEFF"/>
          </w:tcPr>
          <w:p>
            <w:pPr>
              <w:jc w:val="right"/>
              <w:ind w:right="70"/>
              <w:spacing w:after="0"/>
              <w:rPr>
                <w:sz w:val="20"/>
                <w:szCs w:val="20"/>
                <w:color w:val="auto"/>
              </w:rPr>
            </w:pPr>
            <w:r>
              <w:rPr>
                <w:rFonts w:ascii="Arial" w:cs="Arial" w:eastAsia="Arial" w:hAnsi="Arial"/>
                <w:sz w:val="18"/>
                <w:szCs w:val="18"/>
                <w:b w:val="1"/>
                <w:bCs w:val="1"/>
                <w:color w:val="auto"/>
              </w:rPr>
              <w:t>$</w:t>
            </w: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(93.4)</w:t>
            </w:r>
          </w:p>
        </w:tc>
        <w:tc>
          <w:tcPr>
            <w:tcW w:w="400" w:type="dxa"/>
            <w:vAlign w:val="bottom"/>
            <w:shd w:val="clear" w:color="auto" w:fill="CCEEFF"/>
          </w:tcPr>
          <w:p>
            <w:pPr>
              <w:jc w:val="right"/>
              <w:ind w:right="150"/>
              <w:spacing w:after="0"/>
              <w:rPr>
                <w:sz w:val="20"/>
                <w:szCs w:val="20"/>
                <w:color w:val="auto"/>
              </w:rPr>
            </w:pPr>
            <w:r>
              <w:rPr>
                <w:rFonts w:ascii="Arial" w:cs="Arial" w:eastAsia="Arial" w:hAnsi="Arial"/>
                <w:sz w:val="18"/>
                <w:szCs w:val="18"/>
                <w:color w:val="auto"/>
              </w:rPr>
              <w:t>$</w:t>
            </w: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(76.1)</w:t>
            </w:r>
          </w:p>
        </w:tc>
      </w:tr>
      <w:tr>
        <w:trPr>
          <w:trHeight w:val="216"/>
        </w:trPr>
        <w:tc>
          <w:tcPr>
            <w:tcW w:w="554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auto"/>
              </w:rPr>
              <w:t>Inventory</w:t>
            </w:r>
          </w:p>
        </w:tc>
        <w:tc>
          <w:tcPr>
            <w:tcW w:w="3460" w:type="dxa"/>
            <w:vAlign w:val="bottom"/>
            <w:tcBorders>
              <w:bottom w:val="single" w:sz="8" w:color="auto"/>
            </w:tcBorders>
          </w:tcPr>
          <w:p>
            <w:pPr>
              <w:spacing w:after="0"/>
              <w:rPr>
                <w:sz w:val="18"/>
                <w:szCs w:val="18"/>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(7.6)</w:t>
            </w:r>
          </w:p>
        </w:tc>
        <w:tc>
          <w:tcPr>
            <w:tcW w:w="400" w:type="dxa"/>
            <w:vAlign w:val="bottom"/>
            <w:tcBorders>
              <w:bottom w:val="single" w:sz="8" w:color="auto"/>
            </w:tcBorders>
          </w:tcPr>
          <w:p>
            <w:pPr>
              <w:spacing w:after="0"/>
              <w:rPr>
                <w:sz w:val="18"/>
                <w:szCs w:val="18"/>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(7.7)</w:t>
            </w:r>
          </w:p>
        </w:tc>
      </w:tr>
      <w:tr>
        <w:trPr>
          <w:trHeight w:val="210"/>
        </w:trPr>
        <w:tc>
          <w:tcPr>
            <w:tcW w:w="5540" w:type="dxa"/>
            <w:vAlign w:val="bottom"/>
            <w:tcBorders>
              <w:bottom w:val="single" w:sz="8" w:color="auto"/>
            </w:tcBorders>
            <w:gridSpan w:val="2"/>
            <w:shd w:val="clear" w:color="auto" w:fill="CCEEFF"/>
          </w:tcPr>
          <w:p>
            <w:pPr>
              <w:spacing w:after="0"/>
              <w:rPr>
                <w:sz w:val="20"/>
                <w:szCs w:val="20"/>
                <w:color w:val="auto"/>
              </w:rPr>
            </w:pPr>
            <w:r>
              <w:rPr>
                <w:rFonts w:ascii="Arial" w:cs="Arial" w:eastAsia="Arial" w:hAnsi="Arial"/>
                <w:sz w:val="18"/>
                <w:szCs w:val="18"/>
                <w:color w:val="auto"/>
              </w:rPr>
              <w:t>Deferred tax liabilities subtotal</w:t>
            </w:r>
          </w:p>
        </w:tc>
        <w:tc>
          <w:tcPr>
            <w:tcW w:w="3460" w:type="dxa"/>
            <w:vAlign w:val="bottom"/>
            <w:tcBorders>
              <w:bottom w:val="single" w:sz="8" w:color="auto"/>
            </w:tcBorders>
            <w:shd w:val="clear" w:color="auto" w:fill="CCEEFF"/>
          </w:tcPr>
          <w:p>
            <w:pPr>
              <w:spacing w:after="0"/>
              <w:rPr>
                <w:sz w:val="18"/>
                <w:szCs w:val="18"/>
                <w:color w:val="auto"/>
              </w:rPr>
            </w:pPr>
          </w:p>
        </w:tc>
        <w:tc>
          <w:tcPr>
            <w:tcW w:w="1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(101.0)</w:t>
            </w:r>
          </w:p>
        </w:tc>
        <w:tc>
          <w:tcPr>
            <w:tcW w:w="400" w:type="dxa"/>
            <w:vAlign w:val="bottom"/>
            <w:tcBorders>
              <w:bottom w:val="single" w:sz="8" w:color="auto"/>
            </w:tcBorders>
            <w:shd w:val="clear" w:color="auto" w:fill="CCEEFF"/>
          </w:tcPr>
          <w:p>
            <w:pPr>
              <w:spacing w:after="0"/>
              <w:rPr>
                <w:sz w:val="18"/>
                <w:szCs w:val="18"/>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(83.8)</w:t>
            </w:r>
          </w:p>
        </w:tc>
      </w:tr>
      <w:tr>
        <w:trPr>
          <w:trHeight w:val="217"/>
        </w:trPr>
        <w:tc>
          <w:tcPr>
            <w:tcW w:w="554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auto"/>
              </w:rPr>
              <w:t>Net deferred tax liabilities</w:t>
            </w:r>
          </w:p>
        </w:tc>
        <w:tc>
          <w:tcPr>
            <w:tcW w:w="346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b w:val="1"/>
                <w:bCs w:val="1"/>
                <w:color w:val="auto"/>
              </w:rPr>
              <w:t>$</w:t>
            </w: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(84.4)</w:t>
            </w:r>
          </w:p>
        </w:tc>
        <w:tc>
          <w:tcPr>
            <w:tcW w:w="400" w:type="dxa"/>
            <w:vAlign w:val="bottom"/>
            <w:tcBorders>
              <w:bottom w:val="single" w:sz="8" w:color="auto"/>
            </w:tcBorders>
          </w:tcPr>
          <w:p>
            <w:pPr>
              <w:jc w:val="right"/>
              <w:ind w:right="150"/>
              <w:spacing w:after="0"/>
              <w:rPr>
                <w:sz w:val="20"/>
                <w:szCs w:val="20"/>
                <w:color w:val="auto"/>
              </w:rPr>
            </w:pPr>
            <w:r>
              <w:rPr>
                <w:rFonts w:ascii="Arial" w:cs="Arial" w:eastAsia="Arial" w:hAnsi="Arial"/>
                <w:sz w:val="18"/>
                <w:szCs w:val="18"/>
                <w:color w:val="auto"/>
              </w:rPr>
              <w:t>$</w:t>
            </w: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(68.3)</w:t>
            </w:r>
          </w:p>
        </w:tc>
      </w:tr>
    </w:tbl>
    <w:p>
      <w:pPr>
        <w:spacing w:after="0" w:line="202"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54">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p>
    <w:p>
      <w:pPr>
        <w:ind w:right="80" w:firstLine="913"/>
        <w:spacing w:after="0" w:line="257" w:lineRule="auto"/>
        <w:rPr>
          <w:sz w:val="20"/>
          <w:szCs w:val="20"/>
          <w:color w:val="auto"/>
        </w:rPr>
      </w:pPr>
      <w:r>
        <w:rPr>
          <w:rFonts w:ascii="Arial" w:cs="Arial" w:eastAsia="Arial" w:hAnsi="Arial"/>
          <w:sz w:val="18"/>
          <w:szCs w:val="18"/>
          <w:color w:val="auto"/>
        </w:rPr>
        <w:t>As of December 31, 2013, TimkenSteel had loss carryforwards in various non-U.S. jurisdictions with tax benefits totaling $14.1 million having various expiration dates. TimkenSteel has provided valuation allowances of $14.1 million against these carryforwards. The majority of the non-U.S. loss carryforwards represent local country net operating losses for branches of TimkenSteel or entities treated as branches of TimkenSteel under U.S. tax law. Tax benefits have been recorded for these losses in the United States. The related local country net operating loss carryforwards are offset fully by valuation allowances.</w:t>
      </w:r>
    </w:p>
    <w:p>
      <w:pPr>
        <w:spacing w:after="0" w:line="188" w:lineRule="exact"/>
        <w:rPr>
          <w:sz w:val="20"/>
          <w:szCs w:val="20"/>
          <w:color w:val="auto"/>
        </w:rPr>
      </w:pPr>
    </w:p>
    <w:p>
      <w:pPr>
        <w:ind w:right="100" w:firstLine="913"/>
        <w:spacing w:after="0" w:line="257" w:lineRule="auto"/>
        <w:rPr>
          <w:sz w:val="20"/>
          <w:szCs w:val="20"/>
          <w:color w:val="auto"/>
        </w:rPr>
      </w:pPr>
      <w:r>
        <w:rPr>
          <w:rFonts w:ascii="Arial" w:cs="Arial" w:eastAsia="Arial" w:hAnsi="Arial"/>
          <w:sz w:val="18"/>
          <w:szCs w:val="18"/>
          <w:color w:val="auto"/>
        </w:rPr>
        <w:t>As of December 31, 2013, TimkenSteel had $0.7 million of total gross unrecognized tax benefits. Included in this amount was $0.4 million, which represented the amount of unrecognized tax benefits that would favorably impact TimkenSteel’s effective income tax rate in any future periods if such benefits were recognized. As of December 31, 2013, TimkenSteel does not anticipate a change in its unrecognized tax positions during the next 12 months. TimkenSteel had accrued $0.1 million of interest and penalties related to uncertain tax positions as of December 31, 2013. TimkenSteel records interest and penalties related to uncertain tax positions as a component of income tax expense.</w:t>
      </w:r>
    </w:p>
    <w:p>
      <w:pPr>
        <w:spacing w:after="0" w:line="188" w:lineRule="exact"/>
        <w:rPr>
          <w:sz w:val="20"/>
          <w:szCs w:val="20"/>
          <w:color w:val="auto"/>
        </w:rPr>
      </w:pPr>
    </w:p>
    <w:p>
      <w:pPr>
        <w:ind w:right="100" w:firstLine="913"/>
        <w:spacing w:after="0" w:line="279" w:lineRule="auto"/>
        <w:rPr>
          <w:sz w:val="20"/>
          <w:szCs w:val="20"/>
          <w:color w:val="auto"/>
        </w:rPr>
      </w:pPr>
      <w:r>
        <w:rPr>
          <w:rFonts w:ascii="Arial" w:cs="Arial" w:eastAsia="Arial" w:hAnsi="Arial"/>
          <w:sz w:val="17"/>
          <w:szCs w:val="17"/>
          <w:color w:val="auto"/>
        </w:rPr>
        <w:t>As of December 31, 2012, TimkenSteel had $8.0 million of total gross unrecognized tax benefits. Included in this amount was $4.1 million, which represented the amount of unrecognized tax benefits that would favorably impact TimkenSteel’s effective income tax rate in any future periods if such benefits were recognized. TimkenSteel had accrued $1.1 million of interest and penalties related to uncertain tax positions as of December 31, 2012. TimkenSteel records interest and penalties related to uncertain tax positions as a component of income tax expense.</w:t>
      </w:r>
    </w:p>
    <w:p>
      <w:pPr>
        <w:spacing w:after="0" w:line="17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The following table reconciles TimkenSteel’s total gross unrecognized tax benefits for the years ended December 31, 2013 and 2012:</w:t>
      </w:r>
    </w:p>
    <w:p>
      <w:pPr>
        <w:spacing w:after="0" w:line="248"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660" w:type="dxa"/>
            <w:vAlign w:val="bottom"/>
            <w:tcBorders>
              <w:bottom w:val="single" w:sz="8" w:color="auto"/>
            </w:tcBorders>
          </w:tcPr>
          <w:p>
            <w:pPr>
              <w:spacing w:after="0"/>
              <w:rPr>
                <w:sz w:val="20"/>
                <w:szCs w:val="20"/>
                <w:color w:val="auto"/>
              </w:rPr>
            </w:pPr>
          </w:p>
        </w:tc>
        <w:tc>
          <w:tcPr>
            <w:tcW w:w="392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2013</w:t>
            </w:r>
          </w:p>
        </w:tc>
        <w:tc>
          <w:tcPr>
            <w:tcW w:w="480" w:type="dxa"/>
            <w:vAlign w:val="bottom"/>
            <w:tcBorders>
              <w:bottom w:val="single" w:sz="8" w:color="auto"/>
            </w:tcBorders>
          </w:tcPr>
          <w:p>
            <w:pPr>
              <w:spacing w:after="0"/>
              <w:rPr>
                <w:sz w:val="20"/>
                <w:szCs w:val="20"/>
                <w:color w:val="auto"/>
              </w:rPr>
            </w:pPr>
          </w:p>
        </w:tc>
        <w:tc>
          <w:tcPr>
            <w:tcW w:w="320" w:type="dxa"/>
            <w:vAlign w:val="bottom"/>
            <w:tcBorders>
              <w:bottom w:val="single" w:sz="8" w:color="auto"/>
            </w:tcBorders>
          </w:tcPr>
          <w:p>
            <w:pPr>
              <w:spacing w:after="0"/>
              <w:rPr>
                <w:sz w:val="20"/>
                <w:szCs w:val="20"/>
                <w:color w:val="auto"/>
              </w:rPr>
            </w:pPr>
          </w:p>
        </w:tc>
        <w:tc>
          <w:tcPr>
            <w:tcW w:w="1040" w:type="dxa"/>
            <w:vAlign w:val="bottom"/>
            <w:tcBorders>
              <w:bottom w:val="single" w:sz="8" w:color="auto"/>
            </w:tcBorders>
          </w:tcPr>
          <w:p>
            <w:pPr>
              <w:jc w:val="right"/>
              <w:ind w:right="430"/>
              <w:spacing w:after="0"/>
              <w:rPr>
                <w:sz w:val="20"/>
                <w:szCs w:val="20"/>
                <w:color w:val="auto"/>
              </w:rPr>
            </w:pPr>
            <w:r>
              <w:rPr>
                <w:rFonts w:ascii="Arial" w:cs="Arial" w:eastAsia="Arial" w:hAnsi="Arial"/>
                <w:sz w:val="18"/>
                <w:szCs w:val="18"/>
                <w:color w:val="auto"/>
              </w:rPr>
              <w:t>2012</w:t>
            </w:r>
          </w:p>
        </w:tc>
      </w:tr>
      <w:tr>
        <w:trPr>
          <w:trHeight w:val="210"/>
        </w:trPr>
        <w:tc>
          <w:tcPr>
            <w:tcW w:w="5660" w:type="dxa"/>
            <w:vAlign w:val="bottom"/>
            <w:shd w:val="clear" w:color="auto" w:fill="CCEEFF"/>
          </w:tcPr>
          <w:p>
            <w:pPr>
              <w:spacing w:after="0"/>
              <w:rPr>
                <w:sz w:val="20"/>
                <w:szCs w:val="20"/>
                <w:color w:val="auto"/>
              </w:rPr>
            </w:pPr>
            <w:r>
              <w:rPr>
                <w:rFonts w:ascii="Arial" w:cs="Arial" w:eastAsia="Arial" w:hAnsi="Arial"/>
                <w:sz w:val="18"/>
                <w:szCs w:val="18"/>
                <w:color w:val="auto"/>
              </w:rPr>
              <w:t>Beginning balance, January 1</w:t>
            </w:r>
          </w:p>
        </w:tc>
        <w:tc>
          <w:tcPr>
            <w:tcW w:w="3920" w:type="dxa"/>
            <w:vAlign w:val="bottom"/>
            <w:shd w:val="clear" w:color="auto" w:fill="CCEEFF"/>
          </w:tcPr>
          <w:p>
            <w:pPr>
              <w:jc w:val="right"/>
              <w:ind w:right="650"/>
              <w:spacing w:after="0"/>
              <w:rPr>
                <w:sz w:val="20"/>
                <w:szCs w:val="20"/>
                <w:color w:val="auto"/>
              </w:rPr>
            </w:pPr>
            <w:r>
              <w:rPr>
                <w:rFonts w:ascii="Arial" w:cs="Arial" w:eastAsia="Arial" w:hAnsi="Arial"/>
                <w:sz w:val="18"/>
                <w:szCs w:val="18"/>
                <w:b w:val="1"/>
                <w:bCs w:val="1"/>
                <w:color w:val="auto"/>
              </w:rPr>
              <w:t>$</w:t>
            </w:r>
          </w:p>
        </w:tc>
        <w:tc>
          <w:tcPr>
            <w:tcW w:w="480" w:type="dxa"/>
            <w:vAlign w:val="bottom"/>
            <w:shd w:val="clear" w:color="auto" w:fill="CCEEFF"/>
          </w:tcPr>
          <w:p>
            <w:pPr>
              <w:jc w:val="right"/>
              <w:ind w:right="50"/>
              <w:spacing w:after="0"/>
              <w:rPr>
                <w:sz w:val="20"/>
                <w:szCs w:val="20"/>
                <w:color w:val="auto"/>
              </w:rPr>
            </w:pPr>
            <w:r>
              <w:rPr>
                <w:rFonts w:ascii="Arial" w:cs="Arial" w:eastAsia="Arial" w:hAnsi="Arial"/>
                <w:sz w:val="18"/>
                <w:szCs w:val="18"/>
                <w:b w:val="1"/>
                <w:bCs w:val="1"/>
                <w:color w:val="auto"/>
              </w:rPr>
              <w:t>8.0</w:t>
            </w:r>
          </w:p>
        </w:tc>
        <w:tc>
          <w:tcPr>
            <w:tcW w:w="32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104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8.0</w:t>
            </w:r>
          </w:p>
        </w:tc>
      </w:tr>
      <w:tr>
        <w:trPr>
          <w:trHeight w:val="216"/>
        </w:trPr>
        <w:tc>
          <w:tcPr>
            <w:tcW w:w="5660" w:type="dxa"/>
            <w:vAlign w:val="bottom"/>
          </w:tcPr>
          <w:p>
            <w:pPr>
              <w:spacing w:after="0"/>
              <w:rPr>
                <w:sz w:val="20"/>
                <w:szCs w:val="20"/>
                <w:color w:val="auto"/>
              </w:rPr>
            </w:pPr>
            <w:r>
              <w:rPr>
                <w:rFonts w:ascii="Arial" w:cs="Arial" w:eastAsia="Arial" w:hAnsi="Arial"/>
                <w:sz w:val="18"/>
                <w:szCs w:val="18"/>
                <w:color w:val="auto"/>
              </w:rPr>
              <w:t>Tax positions related to prior years:</w:t>
            </w:r>
          </w:p>
        </w:tc>
        <w:tc>
          <w:tcPr>
            <w:tcW w:w="392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40" w:type="dxa"/>
            <w:vAlign w:val="bottom"/>
          </w:tcPr>
          <w:p>
            <w:pPr>
              <w:spacing w:after="0"/>
              <w:rPr>
                <w:sz w:val="18"/>
                <w:szCs w:val="18"/>
                <w:color w:val="auto"/>
              </w:rPr>
            </w:pPr>
          </w:p>
        </w:tc>
      </w:tr>
      <w:tr>
        <w:trPr>
          <w:trHeight w:val="216"/>
        </w:trPr>
        <w:tc>
          <w:tcPr>
            <w:tcW w:w="5660" w:type="dxa"/>
            <w:vAlign w:val="bottom"/>
            <w:shd w:val="clear" w:color="auto" w:fill="CCEEFF"/>
          </w:tcPr>
          <w:p>
            <w:pPr>
              <w:spacing w:after="0"/>
              <w:rPr>
                <w:sz w:val="20"/>
                <w:szCs w:val="20"/>
                <w:color w:val="auto"/>
              </w:rPr>
            </w:pPr>
            <w:r>
              <w:rPr>
                <w:rFonts w:ascii="Arial" w:cs="Arial" w:eastAsia="Arial" w:hAnsi="Arial"/>
                <w:sz w:val="18"/>
                <w:szCs w:val="18"/>
                <w:color w:val="auto"/>
              </w:rPr>
              <w:t>Additions</w:t>
            </w:r>
          </w:p>
        </w:tc>
        <w:tc>
          <w:tcPr>
            <w:tcW w:w="3920" w:type="dxa"/>
            <w:vAlign w:val="bottom"/>
            <w:shd w:val="clear" w:color="auto" w:fill="CCEEFF"/>
          </w:tcPr>
          <w:p>
            <w:pPr>
              <w:spacing w:after="0"/>
              <w:rPr>
                <w:sz w:val="18"/>
                <w:szCs w:val="18"/>
                <w:color w:val="auto"/>
              </w:rPr>
            </w:pPr>
          </w:p>
        </w:tc>
        <w:tc>
          <w:tcPr>
            <w:tcW w:w="480" w:type="dxa"/>
            <w:vAlign w:val="bottom"/>
            <w:shd w:val="clear" w:color="auto" w:fill="CCEEFF"/>
          </w:tcPr>
          <w:p>
            <w:pPr>
              <w:jc w:val="right"/>
              <w:ind w:right="50"/>
              <w:spacing w:after="0"/>
              <w:rPr>
                <w:sz w:val="20"/>
                <w:szCs w:val="20"/>
                <w:color w:val="auto"/>
              </w:rPr>
            </w:pPr>
            <w:r>
              <w:rPr>
                <w:rFonts w:ascii="Arial" w:cs="Arial" w:eastAsia="Arial" w:hAnsi="Arial"/>
                <w:sz w:val="18"/>
                <w:szCs w:val="18"/>
                <w:b w:val="1"/>
                <w:bCs w:val="1"/>
                <w:color w:val="auto"/>
              </w:rPr>
              <w:t>0.3</w:t>
            </w:r>
          </w:p>
        </w:tc>
        <w:tc>
          <w:tcPr>
            <w:tcW w:w="320" w:type="dxa"/>
            <w:vAlign w:val="bottom"/>
            <w:shd w:val="clear" w:color="auto" w:fill="CCEEFF"/>
          </w:tcPr>
          <w:p>
            <w:pPr>
              <w:spacing w:after="0"/>
              <w:rPr>
                <w:sz w:val="18"/>
                <w:szCs w:val="18"/>
                <w:color w:val="auto"/>
              </w:rPr>
            </w:pPr>
          </w:p>
        </w:tc>
        <w:tc>
          <w:tcPr>
            <w:tcW w:w="104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0.1</w:t>
            </w:r>
          </w:p>
        </w:tc>
      </w:tr>
      <w:tr>
        <w:trPr>
          <w:trHeight w:val="216"/>
        </w:trPr>
        <w:tc>
          <w:tcPr>
            <w:tcW w:w="5660" w:type="dxa"/>
            <w:vAlign w:val="bottom"/>
          </w:tcPr>
          <w:p>
            <w:pPr>
              <w:spacing w:after="0"/>
              <w:rPr>
                <w:sz w:val="20"/>
                <w:szCs w:val="20"/>
                <w:color w:val="auto"/>
              </w:rPr>
            </w:pPr>
            <w:r>
              <w:rPr>
                <w:rFonts w:ascii="Arial" w:cs="Arial" w:eastAsia="Arial" w:hAnsi="Arial"/>
                <w:sz w:val="18"/>
                <w:szCs w:val="18"/>
                <w:color w:val="auto"/>
              </w:rPr>
              <w:t>Reductions</w:t>
            </w:r>
          </w:p>
        </w:tc>
        <w:tc>
          <w:tcPr>
            <w:tcW w:w="3920" w:type="dxa"/>
            <w:vAlign w:val="bottom"/>
          </w:tcPr>
          <w:p>
            <w:pPr>
              <w:spacing w:after="0"/>
              <w:rPr>
                <w:sz w:val="18"/>
                <w:szCs w:val="18"/>
                <w:color w:val="auto"/>
              </w:rPr>
            </w:pPr>
          </w:p>
        </w:tc>
        <w:tc>
          <w:tcPr>
            <w:tcW w:w="480" w:type="dxa"/>
            <w:vAlign w:val="bottom"/>
          </w:tcPr>
          <w:p>
            <w:pPr>
              <w:jc w:val="right"/>
              <w:spacing w:after="0"/>
              <w:rPr>
                <w:sz w:val="20"/>
                <w:szCs w:val="20"/>
                <w:color w:val="auto"/>
              </w:rPr>
            </w:pPr>
            <w:r>
              <w:rPr>
                <w:rFonts w:ascii="Arial" w:cs="Arial" w:eastAsia="Arial" w:hAnsi="Arial"/>
                <w:sz w:val="18"/>
                <w:szCs w:val="18"/>
                <w:b w:val="1"/>
                <w:bCs w:val="1"/>
                <w:color w:val="auto"/>
              </w:rPr>
              <w:t>(6.0)</w:t>
            </w:r>
          </w:p>
        </w:tc>
        <w:tc>
          <w:tcPr>
            <w:tcW w:w="32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(0.1)</w:t>
            </w:r>
          </w:p>
        </w:tc>
      </w:tr>
      <w:tr>
        <w:trPr>
          <w:trHeight w:val="216"/>
        </w:trPr>
        <w:tc>
          <w:tcPr>
            <w:tcW w:w="566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color w:val="auto"/>
              </w:rPr>
              <w:t>Settlements</w:t>
            </w:r>
          </w:p>
        </w:tc>
        <w:tc>
          <w:tcPr>
            <w:tcW w:w="3920" w:type="dxa"/>
            <w:vAlign w:val="bottom"/>
            <w:tcBorders>
              <w:bottom w:val="single" w:sz="8" w:color="auto"/>
            </w:tcBorders>
            <w:shd w:val="clear" w:color="auto" w:fill="CCEEFF"/>
          </w:tcPr>
          <w:p>
            <w:pPr>
              <w:spacing w:after="0"/>
              <w:rPr>
                <w:sz w:val="18"/>
                <w:szCs w:val="18"/>
                <w:color w:val="auto"/>
              </w:rPr>
            </w:pPr>
          </w:p>
        </w:tc>
        <w:tc>
          <w:tcPr>
            <w:tcW w:w="4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(1.6)</w:t>
            </w:r>
          </w:p>
        </w:tc>
        <w:tc>
          <w:tcPr>
            <w:tcW w:w="320" w:type="dxa"/>
            <w:vAlign w:val="bottom"/>
            <w:tcBorders>
              <w:bottom w:val="single" w:sz="8" w:color="auto"/>
            </w:tcBorders>
            <w:shd w:val="clear" w:color="auto" w:fill="CCEEFF"/>
          </w:tcPr>
          <w:p>
            <w:pPr>
              <w:spacing w:after="0"/>
              <w:rPr>
                <w:sz w:val="18"/>
                <w:szCs w:val="18"/>
                <w:color w:val="auto"/>
              </w:rPr>
            </w:pPr>
          </w:p>
        </w:tc>
        <w:tc>
          <w:tcPr>
            <w:tcW w:w="104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r>
      <w:tr>
        <w:trPr>
          <w:trHeight w:val="217"/>
        </w:trPr>
        <w:tc>
          <w:tcPr>
            <w:tcW w:w="566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Ending balance, December 31</w:t>
            </w:r>
          </w:p>
        </w:tc>
        <w:tc>
          <w:tcPr>
            <w:tcW w:w="3920" w:type="dxa"/>
            <w:vAlign w:val="bottom"/>
            <w:tcBorders>
              <w:bottom w:val="single" w:sz="8" w:color="auto"/>
            </w:tcBorders>
          </w:tcPr>
          <w:p>
            <w:pPr>
              <w:jc w:val="right"/>
              <w:ind w:right="650"/>
              <w:spacing w:after="0"/>
              <w:rPr>
                <w:sz w:val="20"/>
                <w:szCs w:val="20"/>
                <w:color w:val="auto"/>
              </w:rPr>
            </w:pPr>
            <w:r>
              <w:rPr>
                <w:rFonts w:ascii="Arial" w:cs="Arial" w:eastAsia="Arial" w:hAnsi="Arial"/>
                <w:sz w:val="18"/>
                <w:szCs w:val="18"/>
                <w:b w:val="1"/>
                <w:bCs w:val="1"/>
                <w:color w:val="auto"/>
              </w:rPr>
              <w:t>$</w:t>
            </w:r>
          </w:p>
        </w:tc>
        <w:tc>
          <w:tcPr>
            <w:tcW w:w="48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b w:val="1"/>
                <w:bCs w:val="1"/>
                <w:color w:val="auto"/>
              </w:rPr>
              <w:t>0.7</w:t>
            </w:r>
          </w:p>
        </w:tc>
        <w:tc>
          <w:tcPr>
            <w:tcW w:w="32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color w:val="auto"/>
              </w:rPr>
              <w:t>$</w:t>
            </w:r>
          </w:p>
        </w:tc>
        <w:tc>
          <w:tcPr>
            <w:tcW w:w="104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8.0</w:t>
            </w:r>
          </w:p>
        </w:tc>
      </w:tr>
    </w:tbl>
    <w:p>
      <w:pPr>
        <w:spacing w:after="0" w:line="202" w:lineRule="exact"/>
        <w:rPr>
          <w:sz w:val="20"/>
          <w:szCs w:val="20"/>
          <w:color w:val="auto"/>
        </w:rPr>
      </w:pPr>
    </w:p>
    <w:p>
      <w:pPr>
        <w:ind w:right="220" w:firstLine="913"/>
        <w:spacing w:after="0" w:line="277" w:lineRule="auto"/>
        <w:rPr>
          <w:sz w:val="20"/>
          <w:szCs w:val="20"/>
          <w:color w:val="auto"/>
        </w:rPr>
      </w:pPr>
      <w:r>
        <w:rPr>
          <w:rFonts w:ascii="Arial" w:cs="Arial" w:eastAsia="Arial" w:hAnsi="Arial"/>
          <w:sz w:val="18"/>
          <w:szCs w:val="18"/>
          <w:color w:val="auto"/>
        </w:rPr>
        <w:t>During 2013, gross unrecognized tax benefits decreased primarily due to net reductions related to various prior year tax matters, including IRS audit settlements and U.S. state and local tax issues.</w:t>
      </w:r>
    </w:p>
    <w:p>
      <w:pPr>
        <w:spacing w:after="0" w:line="170" w:lineRule="exact"/>
        <w:rPr>
          <w:sz w:val="20"/>
          <w:szCs w:val="20"/>
          <w:color w:val="auto"/>
        </w:rPr>
      </w:pPr>
    </w:p>
    <w:p>
      <w:pPr>
        <w:ind w:right="580" w:firstLine="913"/>
        <w:spacing w:after="0" w:line="277" w:lineRule="auto"/>
        <w:rPr>
          <w:sz w:val="20"/>
          <w:szCs w:val="20"/>
          <w:color w:val="auto"/>
        </w:rPr>
      </w:pPr>
      <w:r>
        <w:rPr>
          <w:rFonts w:ascii="Arial" w:cs="Arial" w:eastAsia="Arial" w:hAnsi="Arial"/>
          <w:sz w:val="18"/>
          <w:szCs w:val="18"/>
          <w:color w:val="auto"/>
        </w:rPr>
        <w:t>During 2012, gross unrecognized tax benefits remained unchanged primarily due to net additions related to various prior year tax matters, including U.S. state and local taxes offset by reductions to the same.</w:t>
      </w:r>
    </w:p>
    <w:p>
      <w:pPr>
        <w:spacing w:after="0" w:line="1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F-20</w:t>
      </w:r>
    </w:p>
    <w:p>
      <w:pPr>
        <w:sectPr>
          <w:pgSz w:w="11900" w:h="16838" w:orient="portrait"/>
          <w:cols w:equalWidth="0" w:num="1">
            <w:col w:w="11420"/>
          </w:cols>
          <w:pgMar w:left="240" w:top="446" w:right="239" w:bottom="1440" w:gutter="0" w:footer="0" w:header="0"/>
        </w:sectPr>
      </w:pPr>
    </w:p>
    <w:bookmarkStart w:id="127" w:name="page128"/>
    <w:bookmarkEnd w:id="12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5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80" w:firstLine="913"/>
        <w:spacing w:after="0" w:line="259" w:lineRule="auto"/>
        <w:rPr>
          <w:sz w:val="20"/>
          <w:szCs w:val="20"/>
          <w:color w:val="auto"/>
        </w:rPr>
      </w:pPr>
      <w:r>
        <w:rPr>
          <w:rFonts w:ascii="Arial" w:cs="Arial" w:eastAsia="Arial" w:hAnsi="Arial"/>
          <w:sz w:val="18"/>
          <w:szCs w:val="18"/>
          <w:color w:val="auto"/>
        </w:rPr>
        <w:t>As of December 31, 2013, Timken is subject to examination by the IRS for tax years 2006 to the present. Timken is also subject to tax examination in various U.S. state and local tax jurisdictions for tax years 2006 to the present. Timken is also subject to tax examination in various foreign tax jurisdictions, including Brazil and Mexico for tax years 2007 to the present, China for tax years 2010 to the present and the United Kingdom for tax years 2011 to the present.</w:t>
      </w:r>
    </w:p>
    <w:p>
      <w:pPr>
        <w:spacing w:after="0" w:line="385" w:lineRule="exact"/>
        <w:rPr>
          <w:sz w:val="20"/>
          <w:szCs w:val="20"/>
          <w:color w:val="auto"/>
        </w:rPr>
      </w:pPr>
    </w:p>
    <w:p>
      <w:pPr>
        <w:spacing w:after="0"/>
        <w:rPr>
          <w:sz w:val="20"/>
          <w:szCs w:val="20"/>
          <w:color w:val="auto"/>
        </w:rPr>
      </w:pPr>
      <w:r>
        <w:rPr>
          <w:rFonts w:ascii="Arial" w:cs="Arial" w:eastAsia="Arial" w:hAnsi="Arial"/>
          <w:sz w:val="23"/>
          <w:szCs w:val="23"/>
          <w:b w:val="1"/>
          <w:bCs w:val="1"/>
          <w:color w:val="auto"/>
        </w:rPr>
        <w:t>Note 13 - Research and Development</w:t>
      </w:r>
    </w:p>
    <w:p>
      <w:pPr>
        <w:spacing w:after="0" w:line="239" w:lineRule="exact"/>
        <w:rPr>
          <w:sz w:val="20"/>
          <w:szCs w:val="20"/>
          <w:color w:val="auto"/>
        </w:rPr>
      </w:pPr>
    </w:p>
    <w:p>
      <w:pPr>
        <w:ind w:right="280" w:firstLine="913"/>
        <w:spacing w:after="0" w:line="312" w:lineRule="auto"/>
        <w:rPr>
          <w:sz w:val="20"/>
          <w:szCs w:val="20"/>
          <w:color w:val="auto"/>
        </w:rPr>
      </w:pPr>
      <w:r>
        <w:rPr>
          <w:rFonts w:ascii="Arial" w:cs="Arial" w:eastAsia="Arial" w:hAnsi="Arial"/>
          <w:sz w:val="16"/>
          <w:szCs w:val="16"/>
          <w:color w:val="auto"/>
        </w:rPr>
        <w:t>Expenditures for TimkenSteel research and development amounted to $9.4 million, $11.2 million and $10.2 million in 2013, 2012 and 2011, respectively, and were recorded as a component of selling, general and administrative expenses in the Consolidated Statements of Comprehensive Income. These expenditures may fluctuate from year-to-year depending on special projects and the needs of TimkenSteel and its customers.</w:t>
      </w:r>
    </w:p>
    <w:p>
      <w:pPr>
        <w:spacing w:after="0" w:line="345" w:lineRule="exact"/>
        <w:rPr>
          <w:sz w:val="20"/>
          <w:szCs w:val="20"/>
          <w:color w:val="auto"/>
        </w:rPr>
      </w:pPr>
    </w:p>
    <w:p>
      <w:pPr>
        <w:spacing w:after="0"/>
        <w:rPr>
          <w:sz w:val="20"/>
          <w:szCs w:val="20"/>
          <w:color w:val="auto"/>
        </w:rPr>
      </w:pPr>
      <w:r>
        <w:rPr>
          <w:rFonts w:ascii="Arial" w:cs="Arial" w:eastAsia="Arial" w:hAnsi="Arial"/>
          <w:sz w:val="23"/>
          <w:szCs w:val="23"/>
          <w:b w:val="1"/>
          <w:bCs w:val="1"/>
          <w:color w:val="auto"/>
        </w:rPr>
        <w:t>Note 14 - Relationship with Parent and Related Entities</w:t>
      </w:r>
    </w:p>
    <w:p>
      <w:pPr>
        <w:spacing w:after="0" w:line="239" w:lineRule="exact"/>
        <w:rPr>
          <w:sz w:val="20"/>
          <w:szCs w:val="20"/>
          <w:color w:val="auto"/>
        </w:rPr>
      </w:pPr>
    </w:p>
    <w:p>
      <w:pPr>
        <w:ind w:right="120" w:firstLine="913"/>
        <w:spacing w:after="0" w:line="272" w:lineRule="auto"/>
        <w:rPr>
          <w:sz w:val="20"/>
          <w:szCs w:val="20"/>
          <w:color w:val="auto"/>
        </w:rPr>
      </w:pPr>
      <w:r>
        <w:rPr>
          <w:rFonts w:ascii="Arial" w:cs="Arial" w:eastAsia="Arial" w:hAnsi="Arial"/>
          <w:sz w:val="17"/>
          <w:szCs w:val="17"/>
          <w:color w:val="auto"/>
        </w:rPr>
        <w:t>Historically, TimkenSteel has been managed and operated in the normal course of business with other affiliates of Timken. Accordingly, certain shared costs have been allocated to TimkenSteel and reflected as expenses in the stand-alone Audited Consolidated Financial Statements. Management of Timken and TimkenSteel consider the allocation methodologies used to be reasonable and appropriate reflections of historical expenses of Timken attributable to TimkenSteel for purposes of the stand-alone financial statements; however, the expenses reflected in the Audited Consolidated Financial Statements may not be indicative of the actual expenses that would have been incurred during the periods presented if TimkenSteel historically operated as a separate, stand-alone entity. In addition, the expenses reflected in the Audited Consolidated Financial Statements may not be indicative of expenses that will be incurred in the future by TimkenSteel.</w:t>
      </w:r>
    </w:p>
    <w:p>
      <w:pPr>
        <w:spacing w:after="0" w:line="178" w:lineRule="exact"/>
        <w:rPr>
          <w:sz w:val="20"/>
          <w:szCs w:val="20"/>
          <w:color w:val="auto"/>
        </w:rPr>
      </w:pPr>
    </w:p>
    <w:p>
      <w:pPr>
        <w:jc w:val="both"/>
        <w:ind w:right="60" w:firstLine="913"/>
        <w:spacing w:after="0" w:line="286" w:lineRule="auto"/>
        <w:rPr>
          <w:sz w:val="20"/>
          <w:szCs w:val="20"/>
          <w:color w:val="auto"/>
        </w:rPr>
      </w:pPr>
      <w:r>
        <w:rPr>
          <w:rFonts w:ascii="Arial" w:cs="Arial" w:eastAsia="Arial" w:hAnsi="Arial"/>
          <w:sz w:val="17"/>
          <w:szCs w:val="17"/>
          <w:color w:val="auto"/>
        </w:rPr>
        <w:t>Transactions between Timken and TimkenSteel, with the exception of sales and purchase transactions and reimbursements for payments made to third-party service providers by Timken on TimkenSteel’s behalf, are reflected in equity in the Consolidated Balance Sheets as Net Parent Investment and in the Consolidated Statements of Cash Flows as a financing activity in Net transfers (to)/from Parent and affiliates.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Corporate Costs/Allocations</w:t>
      </w:r>
    </w:p>
    <w:p>
      <w:pPr>
        <w:spacing w:after="0" w:line="225" w:lineRule="exact"/>
        <w:rPr>
          <w:sz w:val="20"/>
          <w:szCs w:val="20"/>
          <w:color w:val="auto"/>
        </w:rPr>
      </w:pPr>
    </w:p>
    <w:p>
      <w:pPr>
        <w:ind w:right="20" w:firstLine="913"/>
        <w:spacing w:after="0" w:line="271" w:lineRule="auto"/>
        <w:rPr>
          <w:sz w:val="20"/>
          <w:szCs w:val="20"/>
          <w:color w:val="auto"/>
        </w:rPr>
      </w:pPr>
      <w:r>
        <w:rPr>
          <w:rFonts w:ascii="Arial" w:cs="Arial" w:eastAsia="Arial" w:hAnsi="Arial"/>
          <w:sz w:val="17"/>
          <w:szCs w:val="17"/>
          <w:color w:val="auto"/>
        </w:rPr>
        <w:t>The Audited Consolidated Financial Statements include corporate costs incurred by Timken for services that are provided to or on behalf of TimkenSteel. These costs consist of allocated cost pools and direct costs. Corporate costs have been directly charged to, or allocated to, TimkenSteel using methods management believes are consistent and reasonable. TimkenSteel direct costs are incurred directly by TimkenSteel based on negotiated usage rates and dedicated employee assignments. The method for allocating corporate function costs to TimkenSteel is based on various proportionate formulas involving allocation factors. The methods for allocating corporate administration costs to TimkenSteel are based on revenue. However, the expenses reflected in the Audited Consolidated Financial Statements may not be indicative of the actual expenses that would have been incurred during the periods presented if TimkenSteel historically operated as a separate, stand-alone entity. All corporate charges and allocations have been deemed paid by TimkenSteel to Timken in the period in which the cost was recorded in the Consolidated Statements of Comprehensive Income.</w:t>
      </w:r>
    </w:p>
    <w:p>
      <w:pPr>
        <w:spacing w:after="0" w:line="179" w:lineRule="exact"/>
        <w:rPr>
          <w:sz w:val="20"/>
          <w:szCs w:val="20"/>
          <w:color w:val="auto"/>
        </w:rPr>
      </w:pPr>
    </w:p>
    <w:p>
      <w:pPr>
        <w:ind w:left="920"/>
        <w:spacing w:after="0"/>
        <w:rPr>
          <w:sz w:val="20"/>
          <w:szCs w:val="20"/>
          <w:color w:val="auto"/>
        </w:rPr>
      </w:pPr>
      <w:r>
        <w:rPr>
          <w:rFonts w:ascii="Arial" w:cs="Arial" w:eastAsia="Arial" w:hAnsi="Arial"/>
          <w:sz w:val="18"/>
          <w:szCs w:val="18"/>
          <w:color w:val="auto"/>
        </w:rPr>
        <w:t>Allocated corporate costs included in selling, general and administrative expenses were as follows:</w:t>
      </w:r>
    </w:p>
    <w:p>
      <w:pPr>
        <w:spacing w:after="0" w:line="248"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3900" w:type="dxa"/>
            <w:vAlign w:val="bottom"/>
            <w:tcBorders>
              <w:bottom w:val="single" w:sz="8" w:color="auto"/>
            </w:tcBorders>
          </w:tcPr>
          <w:p>
            <w:pPr>
              <w:spacing w:after="0"/>
              <w:rPr>
                <w:sz w:val="20"/>
                <w:szCs w:val="20"/>
                <w:color w:val="auto"/>
              </w:rPr>
            </w:pPr>
          </w:p>
        </w:tc>
        <w:tc>
          <w:tcPr>
            <w:tcW w:w="430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2013</w:t>
            </w:r>
          </w:p>
        </w:tc>
        <w:tc>
          <w:tcPr>
            <w:tcW w:w="480" w:type="dxa"/>
            <w:vAlign w:val="bottom"/>
            <w:tcBorders>
              <w:bottom w:val="single" w:sz="8" w:color="auto"/>
            </w:tcBorders>
          </w:tcPr>
          <w:p>
            <w:pPr>
              <w:spacing w:after="0"/>
              <w:rPr>
                <w:sz w:val="20"/>
                <w:szCs w:val="20"/>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2012</w:t>
            </w:r>
          </w:p>
        </w:tc>
        <w:tc>
          <w:tcPr>
            <w:tcW w:w="460" w:type="dxa"/>
            <w:vAlign w:val="bottom"/>
            <w:tcBorders>
              <w:bottom w:val="single" w:sz="8" w:color="auto"/>
            </w:tcBorders>
          </w:tcPr>
          <w:p>
            <w:pPr>
              <w:spacing w:after="0"/>
              <w:rPr>
                <w:sz w:val="20"/>
                <w:szCs w:val="20"/>
                <w:color w:val="auto"/>
              </w:rPr>
            </w:pPr>
          </w:p>
        </w:tc>
        <w:tc>
          <w:tcPr>
            <w:tcW w:w="360" w:type="dxa"/>
            <w:vAlign w:val="bottom"/>
            <w:tcBorders>
              <w:bottom w:val="single" w:sz="8" w:color="auto"/>
            </w:tcBorders>
          </w:tcPr>
          <w:p>
            <w:pPr>
              <w:spacing w:after="0"/>
              <w:rPr>
                <w:sz w:val="20"/>
                <w:szCs w:val="20"/>
                <w:color w:val="auto"/>
              </w:rPr>
            </w:pPr>
          </w:p>
        </w:tc>
        <w:tc>
          <w:tcPr>
            <w:tcW w:w="1020" w:type="dxa"/>
            <w:vAlign w:val="bottom"/>
            <w:tcBorders>
              <w:bottom w:val="single" w:sz="8" w:color="auto"/>
            </w:tcBorders>
          </w:tcPr>
          <w:p>
            <w:pPr>
              <w:jc w:val="right"/>
              <w:ind w:right="410"/>
              <w:spacing w:after="0"/>
              <w:rPr>
                <w:sz w:val="20"/>
                <w:szCs w:val="20"/>
                <w:color w:val="auto"/>
              </w:rPr>
            </w:pPr>
            <w:r>
              <w:rPr>
                <w:rFonts w:ascii="Arial" w:cs="Arial" w:eastAsia="Arial" w:hAnsi="Arial"/>
                <w:sz w:val="18"/>
                <w:szCs w:val="18"/>
                <w:color w:val="auto"/>
              </w:rPr>
              <w:t>2011</w:t>
            </w:r>
          </w:p>
        </w:tc>
      </w:tr>
      <w:tr>
        <w:trPr>
          <w:trHeight w:val="210"/>
        </w:trPr>
        <w:tc>
          <w:tcPr>
            <w:tcW w:w="3900" w:type="dxa"/>
            <w:vAlign w:val="bottom"/>
            <w:shd w:val="clear" w:color="auto" w:fill="CCEEFF"/>
          </w:tcPr>
          <w:p>
            <w:pPr>
              <w:spacing w:after="0"/>
              <w:rPr>
                <w:sz w:val="20"/>
                <w:szCs w:val="20"/>
                <w:color w:val="auto"/>
              </w:rPr>
            </w:pPr>
            <w:r>
              <w:rPr>
                <w:rFonts w:ascii="Arial" w:cs="Arial" w:eastAsia="Arial" w:hAnsi="Arial"/>
                <w:sz w:val="18"/>
                <w:szCs w:val="18"/>
                <w:color w:val="auto"/>
              </w:rPr>
              <w:t>Finance center</w:t>
            </w:r>
          </w:p>
        </w:tc>
        <w:tc>
          <w:tcPr>
            <w:tcW w:w="4300" w:type="dxa"/>
            <w:vAlign w:val="bottom"/>
            <w:shd w:val="clear" w:color="auto" w:fill="CCEEFF"/>
          </w:tcPr>
          <w:p>
            <w:pPr>
              <w:jc w:val="right"/>
              <w:ind w:right="630"/>
              <w:spacing w:after="0"/>
              <w:rPr>
                <w:sz w:val="20"/>
                <w:szCs w:val="20"/>
                <w:color w:val="auto"/>
              </w:rPr>
            </w:pPr>
            <w:r>
              <w:rPr>
                <w:rFonts w:ascii="Arial" w:cs="Arial" w:eastAsia="Arial" w:hAnsi="Arial"/>
                <w:sz w:val="18"/>
                <w:szCs w:val="18"/>
                <w:b w:val="1"/>
                <w:bCs w:val="1"/>
                <w:color w:val="auto"/>
              </w:rPr>
              <w:t>$</w:t>
            </w:r>
          </w:p>
        </w:tc>
        <w:tc>
          <w:tcPr>
            <w:tcW w:w="480" w:type="dxa"/>
            <w:vAlign w:val="bottom"/>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3.9</w:t>
            </w:r>
          </w:p>
        </w:tc>
        <w:tc>
          <w:tcPr>
            <w:tcW w:w="900" w:type="dxa"/>
            <w:vAlign w:val="bottom"/>
            <w:shd w:val="clear" w:color="auto" w:fill="CCEEFF"/>
          </w:tcPr>
          <w:p>
            <w:pPr>
              <w:jc w:val="right"/>
              <w:ind w:right="630"/>
              <w:spacing w:after="0"/>
              <w:rPr>
                <w:sz w:val="20"/>
                <w:szCs w:val="20"/>
                <w:color w:val="auto"/>
              </w:rPr>
            </w:pPr>
            <w:r>
              <w:rPr>
                <w:rFonts w:ascii="Arial" w:cs="Arial" w:eastAsia="Arial" w:hAnsi="Arial"/>
                <w:sz w:val="18"/>
                <w:szCs w:val="18"/>
                <w:color w:val="auto"/>
              </w:rPr>
              <w:t>$</w:t>
            </w:r>
          </w:p>
        </w:tc>
        <w:tc>
          <w:tcPr>
            <w:tcW w:w="46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4.4</w:t>
            </w:r>
          </w:p>
        </w:tc>
        <w:tc>
          <w:tcPr>
            <w:tcW w:w="36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102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4.7</w:t>
            </w:r>
          </w:p>
        </w:tc>
      </w:tr>
      <w:tr>
        <w:trPr>
          <w:trHeight w:val="216"/>
        </w:trPr>
        <w:tc>
          <w:tcPr>
            <w:tcW w:w="3900" w:type="dxa"/>
            <w:vAlign w:val="bottom"/>
          </w:tcPr>
          <w:p>
            <w:pPr>
              <w:spacing w:after="0"/>
              <w:rPr>
                <w:sz w:val="20"/>
                <w:szCs w:val="20"/>
                <w:color w:val="auto"/>
              </w:rPr>
            </w:pPr>
            <w:r>
              <w:rPr>
                <w:rFonts w:ascii="Arial" w:cs="Arial" w:eastAsia="Arial" w:hAnsi="Arial"/>
                <w:sz w:val="18"/>
                <w:szCs w:val="18"/>
                <w:color w:val="auto"/>
              </w:rPr>
              <w:t>Law center</w:t>
            </w:r>
          </w:p>
        </w:tc>
        <w:tc>
          <w:tcPr>
            <w:tcW w:w="4300" w:type="dxa"/>
            <w:vAlign w:val="bottom"/>
          </w:tcPr>
          <w:p>
            <w:pPr>
              <w:spacing w:after="0"/>
              <w:rPr>
                <w:sz w:val="18"/>
                <w:szCs w:val="18"/>
                <w:color w:val="auto"/>
              </w:rPr>
            </w:pPr>
          </w:p>
        </w:tc>
        <w:tc>
          <w:tcPr>
            <w:tcW w:w="480" w:type="dxa"/>
            <w:vAlign w:val="bottom"/>
          </w:tcPr>
          <w:p>
            <w:pPr>
              <w:jc w:val="right"/>
              <w:ind w:right="10"/>
              <w:spacing w:after="0"/>
              <w:rPr>
                <w:sz w:val="20"/>
                <w:szCs w:val="20"/>
                <w:color w:val="auto"/>
              </w:rPr>
            </w:pPr>
            <w:r>
              <w:rPr>
                <w:rFonts w:ascii="Arial" w:cs="Arial" w:eastAsia="Arial" w:hAnsi="Arial"/>
                <w:sz w:val="18"/>
                <w:szCs w:val="18"/>
                <w:b w:val="1"/>
                <w:bCs w:val="1"/>
                <w:color w:val="auto"/>
              </w:rPr>
              <w:t>1.3</w:t>
            </w:r>
          </w:p>
        </w:tc>
        <w:tc>
          <w:tcPr>
            <w:tcW w:w="900" w:type="dxa"/>
            <w:vAlign w:val="bottom"/>
          </w:tcPr>
          <w:p>
            <w:pPr>
              <w:spacing w:after="0"/>
              <w:rPr>
                <w:sz w:val="18"/>
                <w:szCs w:val="18"/>
                <w:color w:val="auto"/>
              </w:rPr>
            </w:pPr>
          </w:p>
        </w:tc>
        <w:tc>
          <w:tcPr>
            <w:tcW w:w="460" w:type="dxa"/>
            <w:vAlign w:val="bottom"/>
          </w:tcPr>
          <w:p>
            <w:pPr>
              <w:jc w:val="right"/>
              <w:ind w:right="10"/>
              <w:spacing w:after="0"/>
              <w:rPr>
                <w:sz w:val="20"/>
                <w:szCs w:val="20"/>
                <w:color w:val="auto"/>
              </w:rPr>
            </w:pPr>
            <w:r>
              <w:rPr>
                <w:rFonts w:ascii="Arial" w:cs="Arial" w:eastAsia="Arial" w:hAnsi="Arial"/>
                <w:sz w:val="18"/>
                <w:szCs w:val="18"/>
                <w:color w:val="auto"/>
              </w:rPr>
              <w:t>1.6</w:t>
            </w:r>
          </w:p>
        </w:tc>
        <w:tc>
          <w:tcPr>
            <w:tcW w:w="360" w:type="dxa"/>
            <w:vAlign w:val="bottom"/>
          </w:tcPr>
          <w:p>
            <w:pPr>
              <w:spacing w:after="0"/>
              <w:rPr>
                <w:sz w:val="18"/>
                <w:szCs w:val="18"/>
                <w:color w:val="auto"/>
              </w:rPr>
            </w:pPr>
          </w:p>
        </w:tc>
        <w:tc>
          <w:tcPr>
            <w:tcW w:w="1020" w:type="dxa"/>
            <w:vAlign w:val="bottom"/>
          </w:tcPr>
          <w:p>
            <w:pPr>
              <w:jc w:val="right"/>
              <w:ind w:right="10"/>
              <w:spacing w:after="0"/>
              <w:rPr>
                <w:sz w:val="20"/>
                <w:szCs w:val="20"/>
                <w:color w:val="auto"/>
              </w:rPr>
            </w:pPr>
            <w:r>
              <w:rPr>
                <w:rFonts w:ascii="Arial" w:cs="Arial" w:eastAsia="Arial" w:hAnsi="Arial"/>
                <w:sz w:val="18"/>
                <w:szCs w:val="18"/>
                <w:color w:val="auto"/>
              </w:rPr>
              <w:t>1.7</w:t>
            </w:r>
          </w:p>
        </w:tc>
      </w:tr>
      <w:tr>
        <w:trPr>
          <w:trHeight w:val="216"/>
        </w:trPr>
        <w:tc>
          <w:tcPr>
            <w:tcW w:w="3900" w:type="dxa"/>
            <w:vAlign w:val="bottom"/>
            <w:shd w:val="clear" w:color="auto" w:fill="CCEEFF"/>
          </w:tcPr>
          <w:p>
            <w:pPr>
              <w:spacing w:after="0"/>
              <w:rPr>
                <w:sz w:val="20"/>
                <w:szCs w:val="20"/>
                <w:color w:val="auto"/>
              </w:rPr>
            </w:pPr>
            <w:r>
              <w:rPr>
                <w:rFonts w:ascii="Arial" w:cs="Arial" w:eastAsia="Arial" w:hAnsi="Arial"/>
                <w:sz w:val="18"/>
                <w:szCs w:val="18"/>
                <w:color w:val="auto"/>
              </w:rPr>
              <w:t>Corporate administration</w:t>
            </w:r>
          </w:p>
        </w:tc>
        <w:tc>
          <w:tcPr>
            <w:tcW w:w="4300" w:type="dxa"/>
            <w:vAlign w:val="bottom"/>
            <w:shd w:val="clear" w:color="auto" w:fill="CCEEFF"/>
          </w:tcPr>
          <w:p>
            <w:pPr>
              <w:spacing w:after="0"/>
              <w:rPr>
                <w:sz w:val="18"/>
                <w:szCs w:val="18"/>
                <w:color w:val="auto"/>
              </w:rPr>
            </w:pPr>
          </w:p>
        </w:tc>
        <w:tc>
          <w:tcPr>
            <w:tcW w:w="480" w:type="dxa"/>
            <w:vAlign w:val="bottom"/>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9.3</w:t>
            </w:r>
          </w:p>
        </w:tc>
        <w:tc>
          <w:tcPr>
            <w:tcW w:w="900" w:type="dxa"/>
            <w:vAlign w:val="bottom"/>
            <w:shd w:val="clear" w:color="auto" w:fill="CCEEFF"/>
          </w:tcPr>
          <w:p>
            <w:pPr>
              <w:spacing w:after="0"/>
              <w:rPr>
                <w:sz w:val="18"/>
                <w:szCs w:val="18"/>
                <w:color w:val="auto"/>
              </w:rPr>
            </w:pPr>
          </w:p>
        </w:tc>
        <w:tc>
          <w:tcPr>
            <w:tcW w:w="46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9.6</w:t>
            </w:r>
          </w:p>
        </w:tc>
        <w:tc>
          <w:tcPr>
            <w:tcW w:w="360" w:type="dxa"/>
            <w:vAlign w:val="bottom"/>
            <w:shd w:val="clear" w:color="auto" w:fill="CCEEFF"/>
          </w:tcPr>
          <w:p>
            <w:pPr>
              <w:spacing w:after="0"/>
              <w:rPr>
                <w:sz w:val="18"/>
                <w:szCs w:val="18"/>
                <w:color w:val="auto"/>
              </w:rPr>
            </w:pPr>
          </w:p>
        </w:tc>
        <w:tc>
          <w:tcPr>
            <w:tcW w:w="102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9.2</w:t>
            </w:r>
          </w:p>
        </w:tc>
      </w:tr>
      <w:tr>
        <w:trPr>
          <w:trHeight w:val="216"/>
        </w:trPr>
        <w:tc>
          <w:tcPr>
            <w:tcW w:w="3900" w:type="dxa"/>
            <w:vAlign w:val="bottom"/>
          </w:tcPr>
          <w:p>
            <w:pPr>
              <w:spacing w:after="0"/>
              <w:rPr>
                <w:sz w:val="20"/>
                <w:szCs w:val="20"/>
                <w:color w:val="auto"/>
              </w:rPr>
            </w:pPr>
            <w:r>
              <w:rPr>
                <w:rFonts w:ascii="Arial" w:cs="Arial" w:eastAsia="Arial" w:hAnsi="Arial"/>
                <w:sz w:val="18"/>
                <w:szCs w:val="18"/>
                <w:color w:val="auto"/>
              </w:rPr>
              <w:t>Corporate information systems</w:t>
            </w:r>
          </w:p>
        </w:tc>
        <w:tc>
          <w:tcPr>
            <w:tcW w:w="4300" w:type="dxa"/>
            <w:vAlign w:val="bottom"/>
          </w:tcPr>
          <w:p>
            <w:pPr>
              <w:spacing w:after="0"/>
              <w:rPr>
                <w:sz w:val="18"/>
                <w:szCs w:val="18"/>
                <w:color w:val="auto"/>
              </w:rPr>
            </w:pPr>
          </w:p>
        </w:tc>
        <w:tc>
          <w:tcPr>
            <w:tcW w:w="480" w:type="dxa"/>
            <w:vAlign w:val="bottom"/>
          </w:tcPr>
          <w:p>
            <w:pPr>
              <w:jc w:val="right"/>
              <w:ind w:right="10"/>
              <w:spacing w:after="0"/>
              <w:rPr>
                <w:sz w:val="20"/>
                <w:szCs w:val="20"/>
                <w:color w:val="auto"/>
              </w:rPr>
            </w:pPr>
            <w:r>
              <w:rPr>
                <w:rFonts w:ascii="Arial" w:cs="Arial" w:eastAsia="Arial" w:hAnsi="Arial"/>
                <w:sz w:val="18"/>
                <w:szCs w:val="18"/>
                <w:b w:val="1"/>
                <w:bCs w:val="1"/>
                <w:color w:val="auto"/>
              </w:rPr>
              <w:t>4.3</w:t>
            </w:r>
          </w:p>
        </w:tc>
        <w:tc>
          <w:tcPr>
            <w:tcW w:w="900" w:type="dxa"/>
            <w:vAlign w:val="bottom"/>
          </w:tcPr>
          <w:p>
            <w:pPr>
              <w:spacing w:after="0"/>
              <w:rPr>
                <w:sz w:val="18"/>
                <w:szCs w:val="18"/>
                <w:color w:val="auto"/>
              </w:rPr>
            </w:pPr>
          </w:p>
        </w:tc>
        <w:tc>
          <w:tcPr>
            <w:tcW w:w="460" w:type="dxa"/>
            <w:vAlign w:val="bottom"/>
          </w:tcPr>
          <w:p>
            <w:pPr>
              <w:jc w:val="right"/>
              <w:ind w:right="10"/>
              <w:spacing w:after="0"/>
              <w:rPr>
                <w:sz w:val="20"/>
                <w:szCs w:val="20"/>
                <w:color w:val="auto"/>
              </w:rPr>
            </w:pPr>
            <w:r>
              <w:rPr>
                <w:rFonts w:ascii="Arial" w:cs="Arial" w:eastAsia="Arial" w:hAnsi="Arial"/>
                <w:sz w:val="18"/>
                <w:szCs w:val="18"/>
                <w:color w:val="auto"/>
              </w:rPr>
              <w:t>4.5</w:t>
            </w:r>
          </w:p>
        </w:tc>
        <w:tc>
          <w:tcPr>
            <w:tcW w:w="360" w:type="dxa"/>
            <w:vAlign w:val="bottom"/>
          </w:tcPr>
          <w:p>
            <w:pPr>
              <w:spacing w:after="0"/>
              <w:rPr>
                <w:sz w:val="18"/>
                <w:szCs w:val="18"/>
                <w:color w:val="auto"/>
              </w:rPr>
            </w:pPr>
          </w:p>
        </w:tc>
        <w:tc>
          <w:tcPr>
            <w:tcW w:w="1020" w:type="dxa"/>
            <w:vAlign w:val="bottom"/>
          </w:tcPr>
          <w:p>
            <w:pPr>
              <w:jc w:val="right"/>
              <w:ind w:right="10"/>
              <w:spacing w:after="0"/>
              <w:rPr>
                <w:sz w:val="20"/>
                <w:szCs w:val="20"/>
                <w:color w:val="auto"/>
              </w:rPr>
            </w:pPr>
            <w:r>
              <w:rPr>
                <w:rFonts w:ascii="Arial" w:cs="Arial" w:eastAsia="Arial" w:hAnsi="Arial"/>
                <w:sz w:val="18"/>
                <w:szCs w:val="18"/>
                <w:color w:val="auto"/>
              </w:rPr>
              <w:t>4.4</w:t>
            </w:r>
          </w:p>
        </w:tc>
      </w:tr>
      <w:tr>
        <w:trPr>
          <w:trHeight w:val="216"/>
        </w:trPr>
        <w:tc>
          <w:tcPr>
            <w:tcW w:w="3900" w:type="dxa"/>
            <w:vAlign w:val="bottom"/>
            <w:shd w:val="clear" w:color="auto" w:fill="CCEEFF"/>
          </w:tcPr>
          <w:p>
            <w:pPr>
              <w:spacing w:after="0"/>
              <w:rPr>
                <w:sz w:val="20"/>
                <w:szCs w:val="20"/>
                <w:color w:val="auto"/>
              </w:rPr>
            </w:pPr>
            <w:r>
              <w:rPr>
                <w:rFonts w:ascii="Arial" w:cs="Arial" w:eastAsia="Arial" w:hAnsi="Arial"/>
                <w:sz w:val="18"/>
                <w:szCs w:val="18"/>
                <w:color w:val="auto"/>
              </w:rPr>
              <w:t>Organization advancement</w:t>
            </w:r>
          </w:p>
        </w:tc>
        <w:tc>
          <w:tcPr>
            <w:tcW w:w="4300" w:type="dxa"/>
            <w:vAlign w:val="bottom"/>
            <w:shd w:val="clear" w:color="auto" w:fill="CCEEFF"/>
          </w:tcPr>
          <w:p>
            <w:pPr>
              <w:spacing w:after="0"/>
              <w:rPr>
                <w:sz w:val="18"/>
                <w:szCs w:val="18"/>
                <w:color w:val="auto"/>
              </w:rPr>
            </w:pPr>
          </w:p>
        </w:tc>
        <w:tc>
          <w:tcPr>
            <w:tcW w:w="480" w:type="dxa"/>
            <w:vAlign w:val="bottom"/>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3.5</w:t>
            </w:r>
          </w:p>
        </w:tc>
        <w:tc>
          <w:tcPr>
            <w:tcW w:w="900" w:type="dxa"/>
            <w:vAlign w:val="bottom"/>
            <w:shd w:val="clear" w:color="auto" w:fill="CCEEFF"/>
          </w:tcPr>
          <w:p>
            <w:pPr>
              <w:spacing w:after="0"/>
              <w:rPr>
                <w:sz w:val="18"/>
                <w:szCs w:val="18"/>
                <w:color w:val="auto"/>
              </w:rPr>
            </w:pPr>
          </w:p>
        </w:tc>
        <w:tc>
          <w:tcPr>
            <w:tcW w:w="46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3.0</w:t>
            </w:r>
          </w:p>
        </w:tc>
        <w:tc>
          <w:tcPr>
            <w:tcW w:w="360" w:type="dxa"/>
            <w:vAlign w:val="bottom"/>
            <w:shd w:val="clear" w:color="auto" w:fill="CCEEFF"/>
          </w:tcPr>
          <w:p>
            <w:pPr>
              <w:spacing w:after="0"/>
              <w:rPr>
                <w:sz w:val="18"/>
                <w:szCs w:val="18"/>
                <w:color w:val="auto"/>
              </w:rPr>
            </w:pPr>
          </w:p>
        </w:tc>
        <w:tc>
          <w:tcPr>
            <w:tcW w:w="102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2.9</w:t>
            </w:r>
          </w:p>
        </w:tc>
      </w:tr>
      <w:tr>
        <w:trPr>
          <w:trHeight w:val="216"/>
        </w:trPr>
        <w:tc>
          <w:tcPr>
            <w:tcW w:w="3900" w:type="dxa"/>
            <w:vAlign w:val="bottom"/>
          </w:tcPr>
          <w:p>
            <w:pPr>
              <w:spacing w:after="0"/>
              <w:rPr>
                <w:sz w:val="20"/>
                <w:szCs w:val="20"/>
                <w:color w:val="auto"/>
              </w:rPr>
            </w:pPr>
            <w:r>
              <w:rPr>
                <w:rFonts w:ascii="Arial" w:cs="Arial" w:eastAsia="Arial" w:hAnsi="Arial"/>
                <w:sz w:val="18"/>
                <w:szCs w:val="18"/>
                <w:color w:val="auto"/>
              </w:rPr>
              <w:t>Corporate communications</w:t>
            </w:r>
          </w:p>
        </w:tc>
        <w:tc>
          <w:tcPr>
            <w:tcW w:w="4300" w:type="dxa"/>
            <w:vAlign w:val="bottom"/>
          </w:tcPr>
          <w:p>
            <w:pPr>
              <w:spacing w:after="0"/>
              <w:rPr>
                <w:sz w:val="18"/>
                <w:szCs w:val="18"/>
                <w:color w:val="auto"/>
              </w:rPr>
            </w:pPr>
          </w:p>
        </w:tc>
        <w:tc>
          <w:tcPr>
            <w:tcW w:w="480" w:type="dxa"/>
            <w:vAlign w:val="bottom"/>
          </w:tcPr>
          <w:p>
            <w:pPr>
              <w:jc w:val="right"/>
              <w:ind w:right="10"/>
              <w:spacing w:after="0"/>
              <w:rPr>
                <w:sz w:val="20"/>
                <w:szCs w:val="20"/>
                <w:color w:val="auto"/>
              </w:rPr>
            </w:pPr>
            <w:r>
              <w:rPr>
                <w:rFonts w:ascii="Arial" w:cs="Arial" w:eastAsia="Arial" w:hAnsi="Arial"/>
                <w:sz w:val="18"/>
                <w:szCs w:val="18"/>
                <w:b w:val="1"/>
                <w:bCs w:val="1"/>
                <w:color w:val="auto"/>
              </w:rPr>
              <w:t>0.3</w:t>
            </w:r>
          </w:p>
        </w:tc>
        <w:tc>
          <w:tcPr>
            <w:tcW w:w="900" w:type="dxa"/>
            <w:vAlign w:val="bottom"/>
          </w:tcPr>
          <w:p>
            <w:pPr>
              <w:spacing w:after="0"/>
              <w:rPr>
                <w:sz w:val="18"/>
                <w:szCs w:val="18"/>
                <w:color w:val="auto"/>
              </w:rPr>
            </w:pPr>
          </w:p>
        </w:tc>
        <w:tc>
          <w:tcPr>
            <w:tcW w:w="460" w:type="dxa"/>
            <w:vAlign w:val="bottom"/>
          </w:tcPr>
          <w:p>
            <w:pPr>
              <w:jc w:val="right"/>
              <w:ind w:right="10"/>
              <w:spacing w:after="0"/>
              <w:rPr>
                <w:sz w:val="20"/>
                <w:szCs w:val="20"/>
                <w:color w:val="auto"/>
              </w:rPr>
            </w:pPr>
            <w:r>
              <w:rPr>
                <w:rFonts w:ascii="Arial" w:cs="Arial" w:eastAsia="Arial" w:hAnsi="Arial"/>
                <w:sz w:val="18"/>
                <w:szCs w:val="18"/>
                <w:color w:val="auto"/>
              </w:rPr>
              <w:t>0.4</w:t>
            </w:r>
          </w:p>
        </w:tc>
        <w:tc>
          <w:tcPr>
            <w:tcW w:w="360" w:type="dxa"/>
            <w:vAlign w:val="bottom"/>
          </w:tcPr>
          <w:p>
            <w:pPr>
              <w:spacing w:after="0"/>
              <w:rPr>
                <w:sz w:val="18"/>
                <w:szCs w:val="18"/>
                <w:color w:val="auto"/>
              </w:rPr>
            </w:pPr>
          </w:p>
        </w:tc>
        <w:tc>
          <w:tcPr>
            <w:tcW w:w="1020" w:type="dxa"/>
            <w:vAlign w:val="bottom"/>
          </w:tcPr>
          <w:p>
            <w:pPr>
              <w:jc w:val="right"/>
              <w:ind w:right="10"/>
              <w:spacing w:after="0"/>
              <w:rPr>
                <w:sz w:val="20"/>
                <w:szCs w:val="20"/>
                <w:color w:val="auto"/>
              </w:rPr>
            </w:pPr>
            <w:r>
              <w:rPr>
                <w:rFonts w:ascii="Arial" w:cs="Arial" w:eastAsia="Arial" w:hAnsi="Arial"/>
                <w:sz w:val="18"/>
                <w:szCs w:val="18"/>
                <w:color w:val="auto"/>
              </w:rPr>
              <w:t>0.4</w:t>
            </w:r>
          </w:p>
        </w:tc>
      </w:tr>
      <w:tr>
        <w:trPr>
          <w:trHeight w:val="216"/>
        </w:trPr>
        <w:tc>
          <w:tcPr>
            <w:tcW w:w="390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color w:val="auto"/>
              </w:rPr>
              <w:t>Strategic management</w:t>
            </w:r>
          </w:p>
        </w:tc>
        <w:tc>
          <w:tcPr>
            <w:tcW w:w="4300" w:type="dxa"/>
            <w:vAlign w:val="bottom"/>
            <w:tcBorders>
              <w:bottom w:val="single" w:sz="8" w:color="auto"/>
            </w:tcBorders>
            <w:shd w:val="clear" w:color="auto" w:fill="CCEEFF"/>
          </w:tcPr>
          <w:p>
            <w:pPr>
              <w:spacing w:after="0"/>
              <w:rPr>
                <w:sz w:val="18"/>
                <w:szCs w:val="18"/>
                <w:color w:val="auto"/>
              </w:rPr>
            </w:pPr>
          </w:p>
        </w:tc>
        <w:tc>
          <w:tcPr>
            <w:tcW w:w="48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0.6</w:t>
            </w:r>
          </w:p>
        </w:tc>
        <w:tc>
          <w:tcPr>
            <w:tcW w:w="900" w:type="dxa"/>
            <w:vAlign w:val="bottom"/>
            <w:tcBorders>
              <w:bottom w:val="single" w:sz="8" w:color="auto"/>
            </w:tcBorders>
            <w:shd w:val="clear" w:color="auto" w:fill="CCEEFF"/>
          </w:tcPr>
          <w:p>
            <w:pPr>
              <w:spacing w:after="0"/>
              <w:rPr>
                <w:sz w:val="18"/>
                <w:szCs w:val="18"/>
                <w:color w:val="auto"/>
              </w:rPr>
            </w:pPr>
          </w:p>
        </w:tc>
        <w:tc>
          <w:tcPr>
            <w:tcW w:w="46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0.8</w:t>
            </w:r>
          </w:p>
        </w:tc>
        <w:tc>
          <w:tcPr>
            <w:tcW w:w="360" w:type="dxa"/>
            <w:vAlign w:val="bottom"/>
            <w:tcBorders>
              <w:bottom w:val="single" w:sz="8" w:color="auto"/>
            </w:tcBorders>
            <w:shd w:val="clear" w:color="auto" w:fill="CCEEFF"/>
          </w:tcPr>
          <w:p>
            <w:pPr>
              <w:spacing w:after="0"/>
              <w:rPr>
                <w:sz w:val="18"/>
                <w:szCs w:val="18"/>
                <w:color w:val="auto"/>
              </w:rPr>
            </w:pPr>
          </w:p>
        </w:tc>
        <w:tc>
          <w:tcPr>
            <w:tcW w:w="10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0.6</w:t>
            </w:r>
          </w:p>
        </w:tc>
      </w:tr>
      <w:tr>
        <w:trPr>
          <w:trHeight w:val="217"/>
        </w:trPr>
        <w:tc>
          <w:tcPr>
            <w:tcW w:w="390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Total Allocations</w:t>
            </w:r>
          </w:p>
        </w:tc>
        <w:tc>
          <w:tcPr>
            <w:tcW w:w="4300" w:type="dxa"/>
            <w:vAlign w:val="bottom"/>
            <w:tcBorders>
              <w:bottom w:val="single" w:sz="8" w:color="auto"/>
            </w:tcBorders>
          </w:tcPr>
          <w:p>
            <w:pPr>
              <w:jc w:val="right"/>
              <w:ind w:right="630"/>
              <w:spacing w:after="0"/>
              <w:rPr>
                <w:sz w:val="20"/>
                <w:szCs w:val="20"/>
                <w:color w:val="auto"/>
              </w:rPr>
            </w:pPr>
            <w:r>
              <w:rPr>
                <w:rFonts w:ascii="Arial" w:cs="Arial" w:eastAsia="Arial" w:hAnsi="Arial"/>
                <w:sz w:val="18"/>
                <w:szCs w:val="18"/>
                <w:b w:val="1"/>
                <w:bCs w:val="1"/>
                <w:color w:val="auto"/>
              </w:rPr>
              <w:t>$</w:t>
            </w:r>
          </w:p>
        </w:tc>
        <w:tc>
          <w:tcPr>
            <w:tcW w:w="48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b w:val="1"/>
                <w:bCs w:val="1"/>
                <w:color w:val="auto"/>
              </w:rPr>
              <w:t>23.2</w:t>
            </w:r>
          </w:p>
        </w:tc>
        <w:tc>
          <w:tcPr>
            <w:tcW w:w="900" w:type="dxa"/>
            <w:vAlign w:val="bottom"/>
            <w:tcBorders>
              <w:bottom w:val="single" w:sz="8" w:color="auto"/>
            </w:tcBorders>
          </w:tcPr>
          <w:p>
            <w:pPr>
              <w:jc w:val="right"/>
              <w:ind w:right="630"/>
              <w:spacing w:after="0"/>
              <w:rPr>
                <w:sz w:val="20"/>
                <w:szCs w:val="20"/>
                <w:color w:val="auto"/>
              </w:rPr>
            </w:pPr>
            <w:r>
              <w:rPr>
                <w:rFonts w:ascii="Arial" w:cs="Arial" w:eastAsia="Arial" w:hAnsi="Arial"/>
                <w:sz w:val="18"/>
                <w:szCs w:val="18"/>
                <w:b w:val="1"/>
                <w:bCs w:val="1"/>
                <w:color w:val="auto"/>
              </w:rPr>
              <w:t>$</w:t>
            </w:r>
          </w:p>
        </w:tc>
        <w:tc>
          <w:tcPr>
            <w:tcW w:w="46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b w:val="1"/>
                <w:bCs w:val="1"/>
                <w:color w:val="auto"/>
                <w:w w:val="96"/>
              </w:rPr>
              <w:t>24.3</w:t>
            </w:r>
          </w:p>
        </w:tc>
        <w:tc>
          <w:tcPr>
            <w:tcW w:w="36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b w:val="1"/>
                <w:bCs w:val="1"/>
                <w:color w:val="auto"/>
              </w:rPr>
              <w:t>$</w:t>
            </w:r>
          </w:p>
        </w:tc>
        <w:tc>
          <w:tcPr>
            <w:tcW w:w="102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b w:val="1"/>
                <w:bCs w:val="1"/>
                <w:color w:val="auto"/>
              </w:rPr>
              <w:t>23.9</w:t>
            </w:r>
          </w:p>
        </w:tc>
      </w:tr>
      <w:tr>
        <w:trPr>
          <w:trHeight w:val="365"/>
        </w:trPr>
        <w:tc>
          <w:tcPr>
            <w:tcW w:w="3900" w:type="dxa"/>
            <w:vAlign w:val="bottom"/>
          </w:tcPr>
          <w:p>
            <w:pPr>
              <w:spacing w:after="0"/>
              <w:rPr>
                <w:sz w:val="24"/>
                <w:szCs w:val="24"/>
                <w:color w:val="auto"/>
              </w:rPr>
            </w:pPr>
          </w:p>
        </w:tc>
        <w:tc>
          <w:tcPr>
            <w:tcW w:w="4300" w:type="dxa"/>
            <w:vAlign w:val="bottom"/>
          </w:tcPr>
          <w:p>
            <w:pPr>
              <w:jc w:val="right"/>
              <w:ind w:right="2230"/>
              <w:spacing w:after="0"/>
              <w:rPr>
                <w:sz w:val="20"/>
                <w:szCs w:val="20"/>
                <w:color w:val="auto"/>
              </w:rPr>
            </w:pPr>
            <w:r>
              <w:rPr>
                <w:rFonts w:ascii="Arial" w:cs="Arial" w:eastAsia="Arial" w:hAnsi="Arial"/>
                <w:sz w:val="18"/>
                <w:szCs w:val="18"/>
                <w:color w:val="auto"/>
              </w:rPr>
              <w:t>F-21</w:t>
            </w:r>
          </w:p>
        </w:tc>
        <w:tc>
          <w:tcPr>
            <w:tcW w:w="48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020" w:type="dxa"/>
            <w:vAlign w:val="bottom"/>
          </w:tcPr>
          <w:p>
            <w:pPr>
              <w:spacing w:after="0"/>
              <w:rPr>
                <w:sz w:val="24"/>
                <w:szCs w:val="24"/>
                <w:color w:val="auto"/>
              </w:rPr>
            </w:pPr>
          </w:p>
        </w:tc>
      </w:tr>
    </w:tbl>
    <w:p>
      <w:pPr>
        <w:sectPr>
          <w:pgSz w:w="11900" w:h="16838" w:orient="portrait"/>
          <w:cols w:equalWidth="0" w:num="1">
            <w:col w:w="11420"/>
          </w:cols>
          <w:pgMar w:left="240" w:top="459" w:right="239" w:bottom="1440" w:gutter="0" w:footer="0" w:header="0"/>
        </w:sectPr>
      </w:pPr>
    </w:p>
    <w:bookmarkStart w:id="128" w:name="page129"/>
    <w:bookmarkEnd w:id="12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56">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Cash Management and Financing</w:t>
      </w:r>
    </w:p>
    <w:p>
      <w:pPr>
        <w:spacing w:after="0" w:line="225" w:lineRule="exact"/>
        <w:rPr>
          <w:sz w:val="20"/>
          <w:szCs w:val="20"/>
          <w:color w:val="auto"/>
        </w:rPr>
      </w:pPr>
    </w:p>
    <w:p>
      <w:pPr>
        <w:ind w:firstLine="913"/>
        <w:spacing w:after="0" w:line="297" w:lineRule="auto"/>
        <w:rPr>
          <w:sz w:val="20"/>
          <w:szCs w:val="20"/>
          <w:color w:val="auto"/>
        </w:rPr>
      </w:pPr>
      <w:r>
        <w:rPr>
          <w:rFonts w:ascii="Arial" w:cs="Arial" w:eastAsia="Arial" w:hAnsi="Arial"/>
          <w:sz w:val="16"/>
          <w:szCs w:val="16"/>
          <w:color w:val="auto"/>
        </w:rPr>
        <w:t>Timken uses a centralized approach to cash management and financing its operations, including the operations of TimkenSteel. Accordingly, none of the cash and cash equivalents have been allocated to TimkenSteel in the Audited Consolidated Financial Statements. Disbursements are made through centralized accounts payable systems, which are operated by Timken. Cash receipts are transferred to centralized accounts, also maintained by Timken. As cash is disbursed and received by Timken, it is accounted for by TimkenSteel through the Net Parent Investment. All short- and long-term debt is financed by Timken and financing decisions for wholly and majority owned subsidiaries is determined by Timken’s corporate treasury operations.</w:t>
      </w:r>
    </w:p>
    <w:p>
      <w:pPr>
        <w:spacing w:after="0" w:line="15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Transactions with Other Timken Businesses</w:t>
      </w:r>
    </w:p>
    <w:p>
      <w:pPr>
        <w:spacing w:after="0" w:line="225" w:lineRule="exact"/>
        <w:rPr>
          <w:sz w:val="20"/>
          <w:szCs w:val="20"/>
          <w:color w:val="auto"/>
        </w:rPr>
      </w:pPr>
    </w:p>
    <w:p>
      <w:pPr>
        <w:ind w:right="60" w:firstLine="913"/>
        <w:spacing w:after="0" w:line="254" w:lineRule="auto"/>
        <w:rPr>
          <w:sz w:val="20"/>
          <w:szCs w:val="20"/>
          <w:color w:val="auto"/>
        </w:rPr>
      </w:pPr>
      <w:r>
        <w:rPr>
          <w:rFonts w:ascii="Arial" w:cs="Arial" w:eastAsia="Arial" w:hAnsi="Arial"/>
          <w:sz w:val="18"/>
          <w:szCs w:val="18"/>
          <w:color w:val="auto"/>
        </w:rPr>
        <w:t>Throughout the periods covered by the Audited Consolidated Financial Statements, TimkenSteel sold finished goods to Timken’s other businesses. Revenues from related party sales of products totaled $75.1 million, or 5.4% of net sales, in 2013, $101.2 million, or 5.9% of net sales, in 2012 and $119.8 million, or 6.1% of net sales, in 2011. The cost of products sold to related parties was $55.1 million, $77.5 million and $92.3 million during 2013, 2012 and 2011, respectively. In addition, TimkenSteel has historically made pension contributions to the Timken UK Pension Scheme, which provides benefits to eligible employees and retirees of both Timken and TimkenSteel. Timken agreed to remit cash to settle with TimkenSteel the portion of the net pension contributions related to eligible Timken employees and retirees prior to the completion of the spinoff. TimkenSteel recorded receivables from other Timken businesses relating to the above transactions totaling $26.7 million, $23.8 million and $31.3 million as of December 31, 2013, 2012 and 2011, respectively.</w:t>
      </w:r>
    </w:p>
    <w:p>
      <w:pPr>
        <w:spacing w:after="0" w:line="192" w:lineRule="exact"/>
        <w:rPr>
          <w:sz w:val="20"/>
          <w:szCs w:val="20"/>
          <w:color w:val="auto"/>
        </w:rPr>
      </w:pPr>
    </w:p>
    <w:p>
      <w:pPr>
        <w:ind w:right="100" w:firstLine="913"/>
        <w:spacing w:after="0" w:line="279" w:lineRule="auto"/>
        <w:rPr>
          <w:sz w:val="20"/>
          <w:szCs w:val="20"/>
          <w:color w:val="auto"/>
        </w:rPr>
      </w:pPr>
      <w:r>
        <w:rPr>
          <w:rFonts w:ascii="Arial" w:cs="Arial" w:eastAsia="Arial" w:hAnsi="Arial"/>
          <w:sz w:val="17"/>
          <w:szCs w:val="17"/>
          <w:color w:val="auto"/>
        </w:rPr>
        <w:t>TimkenSteel purchased material from a related party for approximately $5.0 million, $6.2 million and $4.6 million during 2013, 2012 and 2011, respectively. In addition, certain of TimkenSteel’s third-party service providers are paid by Timken on behalf of TimkenSteel. TimkenSteel subsequently reimburses Timken for such payments in cash. TimkenSteel recorded payables due to Timken and its businesses relating to the above transactions totaling $17.7 million, $19.4 million and $21.8 million as of December 31, 2013, 2012 and 2011, respectively.</w:t>
      </w:r>
    </w:p>
    <w:p>
      <w:pPr>
        <w:spacing w:after="0" w:line="370" w:lineRule="exact"/>
        <w:rPr>
          <w:sz w:val="20"/>
          <w:szCs w:val="20"/>
          <w:color w:val="auto"/>
        </w:rPr>
      </w:pPr>
    </w:p>
    <w:p>
      <w:pPr>
        <w:spacing w:after="0"/>
        <w:rPr>
          <w:sz w:val="20"/>
          <w:szCs w:val="20"/>
          <w:color w:val="auto"/>
        </w:rPr>
      </w:pPr>
      <w:r>
        <w:rPr>
          <w:rFonts w:ascii="Arial" w:cs="Arial" w:eastAsia="Arial" w:hAnsi="Arial"/>
          <w:sz w:val="23"/>
          <w:szCs w:val="23"/>
          <w:b w:val="1"/>
          <w:bCs w:val="1"/>
          <w:color w:val="auto"/>
        </w:rPr>
        <w:t>Note 15 - Subsequent Events</w:t>
      </w:r>
    </w:p>
    <w:p>
      <w:pPr>
        <w:spacing w:after="0" w:line="239" w:lineRule="exact"/>
        <w:rPr>
          <w:sz w:val="20"/>
          <w:szCs w:val="20"/>
          <w:color w:val="auto"/>
        </w:rPr>
      </w:pPr>
    </w:p>
    <w:p>
      <w:pPr>
        <w:ind w:right="460" w:firstLine="913"/>
        <w:spacing w:after="0" w:line="277" w:lineRule="auto"/>
        <w:rPr>
          <w:sz w:val="20"/>
          <w:szCs w:val="20"/>
          <w:color w:val="auto"/>
        </w:rPr>
      </w:pPr>
      <w:r>
        <w:rPr>
          <w:rFonts w:ascii="Arial" w:cs="Arial" w:eastAsia="Arial" w:hAnsi="Arial"/>
          <w:sz w:val="18"/>
          <w:szCs w:val="18"/>
          <w:color w:val="auto"/>
        </w:rPr>
        <w:t>These Audited Consolidated Financial Statements reflect management’s evaluation of subsequent events, through March 28, 2014, the date TimkenSteel’s Audited Consolidated Financial Statements were available to be issued.</w:t>
      </w:r>
    </w:p>
    <w:p>
      <w:pPr>
        <w:spacing w:after="0" w:line="10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F-22</w:t>
      </w:r>
    </w:p>
    <w:p>
      <w:pPr>
        <w:sectPr>
          <w:pgSz w:w="11900" w:h="16838" w:orient="portrait"/>
          <w:cols w:equalWidth="0" w:num="1">
            <w:col w:w="11400"/>
          </w:cols>
          <w:pgMar w:left="240" w:top="459" w:right="259" w:bottom="1440" w:gutter="0" w:footer="0" w:header="0"/>
        </w:sectPr>
      </w:pPr>
    </w:p>
    <w:bookmarkStart w:id="129" w:name="page130"/>
    <w:bookmarkEnd w:id="12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57">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1" w:lineRule="exact"/>
        <w:rPr>
          <w:sz w:val="20"/>
          <w:szCs w:val="20"/>
          <w:color w:val="auto"/>
        </w:rPr>
      </w:pPr>
    </w:p>
    <w:p>
      <w:pPr>
        <w:jc w:val="center"/>
        <w:spacing w:after="0"/>
        <w:rPr>
          <w:sz w:val="20"/>
          <w:szCs w:val="20"/>
          <w:color w:val="auto"/>
        </w:rPr>
      </w:pPr>
      <w:r>
        <w:rPr>
          <w:rFonts w:ascii="Arial" w:cs="Arial" w:eastAsia="Arial" w:hAnsi="Arial"/>
          <w:sz w:val="25"/>
          <w:szCs w:val="25"/>
          <w:b w:val="1"/>
          <w:bCs w:val="1"/>
          <w:color w:val="auto"/>
        </w:rPr>
        <w:t>Schedule II-Valuation and Qualifying Accounts</w:t>
      </w:r>
    </w:p>
    <w:p>
      <w:pPr>
        <w:spacing w:after="0" w:line="257"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500" w:type="dxa"/>
            <w:vAlign w:val="bottom"/>
            <w:tcBorders>
              <w:bottom w:val="single" w:sz="8" w:color="auto"/>
            </w:tcBorders>
          </w:tcPr>
          <w:p>
            <w:pPr>
              <w:ind w:left="80"/>
              <w:spacing w:after="0"/>
              <w:rPr>
                <w:sz w:val="20"/>
                <w:szCs w:val="20"/>
                <w:color w:val="auto"/>
              </w:rPr>
            </w:pPr>
            <w:r>
              <w:rPr>
                <w:rFonts w:ascii="Arial" w:cs="Arial" w:eastAsia="Arial" w:hAnsi="Arial"/>
                <w:sz w:val="18"/>
                <w:szCs w:val="18"/>
                <w:b w:val="1"/>
                <w:bCs w:val="1"/>
                <w:color w:val="auto"/>
              </w:rPr>
              <w:t>Allowance for uncollectible accounts:</w:t>
            </w:r>
          </w:p>
        </w:tc>
        <w:tc>
          <w:tcPr>
            <w:tcW w:w="270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2013</w:t>
            </w:r>
          </w:p>
        </w:tc>
        <w:tc>
          <w:tcPr>
            <w:tcW w:w="480" w:type="dxa"/>
            <w:vAlign w:val="bottom"/>
            <w:tcBorders>
              <w:bottom w:val="single" w:sz="8" w:color="auto"/>
            </w:tcBorders>
          </w:tcPr>
          <w:p>
            <w:pPr>
              <w:spacing w:after="0"/>
              <w:rPr>
                <w:sz w:val="20"/>
                <w:szCs w:val="20"/>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2012</w:t>
            </w:r>
          </w:p>
        </w:tc>
        <w:tc>
          <w:tcPr>
            <w:tcW w:w="480" w:type="dxa"/>
            <w:vAlign w:val="bottom"/>
            <w:tcBorders>
              <w:bottom w:val="single" w:sz="8" w:color="auto"/>
            </w:tcBorders>
          </w:tcPr>
          <w:p>
            <w:pPr>
              <w:spacing w:after="0"/>
              <w:rPr>
                <w:sz w:val="20"/>
                <w:szCs w:val="20"/>
                <w:color w:val="auto"/>
              </w:rPr>
            </w:pPr>
          </w:p>
        </w:tc>
        <w:tc>
          <w:tcPr>
            <w:tcW w:w="320" w:type="dxa"/>
            <w:vAlign w:val="bottom"/>
            <w:tcBorders>
              <w:bottom w:val="single" w:sz="8" w:color="auto"/>
            </w:tcBorders>
          </w:tcPr>
          <w:p>
            <w:pPr>
              <w:spacing w:after="0"/>
              <w:rPr>
                <w:sz w:val="20"/>
                <w:szCs w:val="20"/>
                <w:color w:val="auto"/>
              </w:rPr>
            </w:pPr>
          </w:p>
        </w:tc>
        <w:tc>
          <w:tcPr>
            <w:tcW w:w="1040" w:type="dxa"/>
            <w:vAlign w:val="bottom"/>
            <w:tcBorders>
              <w:bottom w:val="single" w:sz="8" w:color="auto"/>
            </w:tcBorders>
          </w:tcPr>
          <w:p>
            <w:pPr>
              <w:jc w:val="right"/>
              <w:ind w:right="430"/>
              <w:spacing w:after="0"/>
              <w:rPr>
                <w:sz w:val="20"/>
                <w:szCs w:val="20"/>
                <w:color w:val="auto"/>
              </w:rPr>
            </w:pPr>
            <w:r>
              <w:rPr>
                <w:rFonts w:ascii="Arial" w:cs="Arial" w:eastAsia="Arial" w:hAnsi="Arial"/>
                <w:sz w:val="18"/>
                <w:szCs w:val="18"/>
                <w:color w:val="auto"/>
              </w:rPr>
              <w:t>2011</w:t>
            </w:r>
          </w:p>
        </w:tc>
      </w:tr>
      <w:tr>
        <w:trPr>
          <w:trHeight w:val="210"/>
        </w:trPr>
        <w:tc>
          <w:tcPr>
            <w:tcW w:w="5500" w:type="dxa"/>
            <w:vAlign w:val="bottom"/>
            <w:shd w:val="clear" w:color="auto" w:fill="CCEEFF"/>
          </w:tcPr>
          <w:p>
            <w:pPr>
              <w:spacing w:after="0"/>
              <w:rPr>
                <w:sz w:val="20"/>
                <w:szCs w:val="20"/>
                <w:color w:val="auto"/>
              </w:rPr>
            </w:pPr>
            <w:r>
              <w:rPr>
                <w:rFonts w:ascii="Arial" w:cs="Arial" w:eastAsia="Arial" w:hAnsi="Arial"/>
                <w:sz w:val="18"/>
                <w:szCs w:val="18"/>
                <w:color w:val="auto"/>
              </w:rPr>
              <w:t>Balance at Beginning of Period</w:t>
            </w:r>
          </w:p>
        </w:tc>
        <w:tc>
          <w:tcPr>
            <w:tcW w:w="2700" w:type="dxa"/>
            <w:vAlign w:val="bottom"/>
            <w:shd w:val="clear" w:color="auto" w:fill="CCEEFF"/>
          </w:tcPr>
          <w:p>
            <w:pPr>
              <w:jc w:val="right"/>
              <w:ind w:right="630"/>
              <w:spacing w:after="0"/>
              <w:rPr>
                <w:sz w:val="20"/>
                <w:szCs w:val="20"/>
                <w:color w:val="auto"/>
              </w:rPr>
            </w:pPr>
            <w:r>
              <w:rPr>
                <w:rFonts w:ascii="Arial" w:cs="Arial" w:eastAsia="Arial" w:hAnsi="Arial"/>
                <w:sz w:val="18"/>
                <w:szCs w:val="18"/>
                <w:b w:val="1"/>
                <w:bCs w:val="1"/>
                <w:color w:val="auto"/>
              </w:rPr>
              <w:t>$</w:t>
            </w:r>
          </w:p>
        </w:tc>
        <w:tc>
          <w:tcPr>
            <w:tcW w:w="480" w:type="dxa"/>
            <w:vAlign w:val="bottom"/>
            <w:shd w:val="clear" w:color="auto" w:fill="CCEEFF"/>
          </w:tcPr>
          <w:p>
            <w:pPr>
              <w:jc w:val="right"/>
              <w:ind w:right="30"/>
              <w:spacing w:after="0"/>
              <w:rPr>
                <w:sz w:val="20"/>
                <w:szCs w:val="20"/>
                <w:color w:val="auto"/>
              </w:rPr>
            </w:pPr>
            <w:r>
              <w:rPr>
                <w:rFonts w:ascii="Arial" w:cs="Arial" w:eastAsia="Arial" w:hAnsi="Arial"/>
                <w:sz w:val="18"/>
                <w:szCs w:val="18"/>
                <w:b w:val="1"/>
                <w:bCs w:val="1"/>
                <w:color w:val="auto"/>
              </w:rPr>
              <w:t>1.1</w:t>
            </w:r>
          </w:p>
        </w:tc>
        <w:tc>
          <w:tcPr>
            <w:tcW w:w="900" w:type="dxa"/>
            <w:vAlign w:val="bottom"/>
            <w:shd w:val="clear" w:color="auto" w:fill="CCEEFF"/>
          </w:tcPr>
          <w:p>
            <w:pPr>
              <w:jc w:val="right"/>
              <w:ind w:right="650"/>
              <w:spacing w:after="0"/>
              <w:rPr>
                <w:sz w:val="20"/>
                <w:szCs w:val="20"/>
                <w:color w:val="auto"/>
              </w:rPr>
            </w:pPr>
            <w:r>
              <w:rPr>
                <w:rFonts w:ascii="Arial" w:cs="Arial" w:eastAsia="Arial" w:hAnsi="Arial"/>
                <w:sz w:val="18"/>
                <w:szCs w:val="18"/>
                <w:color w:val="auto"/>
              </w:rPr>
              <w:t>$</w:t>
            </w:r>
          </w:p>
        </w:tc>
        <w:tc>
          <w:tcPr>
            <w:tcW w:w="48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2.4</w:t>
            </w:r>
          </w:p>
        </w:tc>
        <w:tc>
          <w:tcPr>
            <w:tcW w:w="32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104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5.0</w:t>
            </w:r>
          </w:p>
        </w:tc>
      </w:tr>
      <w:tr>
        <w:trPr>
          <w:trHeight w:val="216"/>
        </w:trPr>
        <w:tc>
          <w:tcPr>
            <w:tcW w:w="5500" w:type="dxa"/>
            <w:vAlign w:val="bottom"/>
          </w:tcPr>
          <w:p>
            <w:pPr>
              <w:spacing w:after="0"/>
              <w:rPr>
                <w:sz w:val="20"/>
                <w:szCs w:val="20"/>
                <w:color w:val="auto"/>
              </w:rPr>
            </w:pPr>
            <w:r>
              <w:rPr>
                <w:rFonts w:ascii="Arial" w:cs="Arial" w:eastAsia="Arial" w:hAnsi="Arial"/>
                <w:sz w:val="18"/>
                <w:szCs w:val="18"/>
                <w:color w:val="auto"/>
              </w:rPr>
              <w:t>Additions:</w:t>
            </w:r>
          </w:p>
        </w:tc>
        <w:tc>
          <w:tcPr>
            <w:tcW w:w="270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40" w:type="dxa"/>
            <w:vAlign w:val="bottom"/>
          </w:tcPr>
          <w:p>
            <w:pPr>
              <w:spacing w:after="0"/>
              <w:rPr>
                <w:sz w:val="18"/>
                <w:szCs w:val="18"/>
                <w:color w:val="auto"/>
              </w:rPr>
            </w:pPr>
          </w:p>
        </w:tc>
      </w:tr>
      <w:tr>
        <w:trPr>
          <w:trHeight w:val="216"/>
        </w:trPr>
        <w:tc>
          <w:tcPr>
            <w:tcW w:w="5500" w:type="dxa"/>
            <w:vAlign w:val="bottom"/>
            <w:shd w:val="clear" w:color="auto" w:fill="CCEEFF"/>
          </w:tcPr>
          <w:p>
            <w:pPr>
              <w:ind w:left="180"/>
              <w:spacing w:after="0"/>
              <w:rPr>
                <w:sz w:val="20"/>
                <w:szCs w:val="20"/>
                <w:color w:val="auto"/>
              </w:rPr>
            </w:pPr>
            <w:r>
              <w:rPr>
                <w:rFonts w:ascii="Arial" w:cs="Arial" w:eastAsia="Arial" w:hAnsi="Arial"/>
                <w:sz w:val="18"/>
                <w:szCs w:val="18"/>
                <w:color w:val="auto"/>
              </w:rPr>
              <w:t>Charged to Costs and Expenses (1)</w:t>
            </w:r>
          </w:p>
        </w:tc>
        <w:tc>
          <w:tcPr>
            <w:tcW w:w="270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(0.9)</w:t>
            </w:r>
          </w:p>
        </w:tc>
        <w:tc>
          <w:tcPr>
            <w:tcW w:w="90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(0.9)</w:t>
            </w:r>
          </w:p>
        </w:tc>
        <w:tc>
          <w:tcPr>
            <w:tcW w:w="320" w:type="dxa"/>
            <w:vAlign w:val="bottom"/>
            <w:shd w:val="clear" w:color="auto" w:fill="CCEEFF"/>
          </w:tcPr>
          <w:p>
            <w:pPr>
              <w:spacing w:after="0"/>
              <w:rPr>
                <w:sz w:val="18"/>
                <w:szCs w:val="18"/>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w:t>
            </w:r>
          </w:p>
        </w:tc>
      </w:tr>
      <w:tr>
        <w:trPr>
          <w:trHeight w:val="216"/>
        </w:trPr>
        <w:tc>
          <w:tcPr>
            <w:tcW w:w="550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Deductions (2)</w:t>
            </w:r>
          </w:p>
        </w:tc>
        <w:tc>
          <w:tcPr>
            <w:tcW w:w="2700" w:type="dxa"/>
            <w:vAlign w:val="bottom"/>
            <w:tcBorders>
              <w:bottom w:val="single" w:sz="8" w:color="auto"/>
            </w:tcBorders>
          </w:tcPr>
          <w:p>
            <w:pPr>
              <w:spacing w:after="0"/>
              <w:rPr>
                <w:sz w:val="18"/>
                <w:szCs w:val="18"/>
                <w:color w:val="auto"/>
              </w:rPr>
            </w:pPr>
          </w:p>
        </w:tc>
        <w:tc>
          <w:tcPr>
            <w:tcW w:w="48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b w:val="1"/>
                <w:bCs w:val="1"/>
                <w:color w:val="auto"/>
              </w:rPr>
              <w:t>—</w:t>
            </w:r>
          </w:p>
        </w:tc>
        <w:tc>
          <w:tcPr>
            <w:tcW w:w="900" w:type="dxa"/>
            <w:vAlign w:val="bottom"/>
            <w:tcBorders>
              <w:bottom w:val="single" w:sz="8" w:color="auto"/>
            </w:tcBorders>
          </w:tcPr>
          <w:p>
            <w:pPr>
              <w:spacing w:after="0"/>
              <w:rPr>
                <w:sz w:val="18"/>
                <w:szCs w:val="18"/>
                <w:color w:val="auto"/>
              </w:rPr>
            </w:pPr>
          </w:p>
        </w:tc>
        <w:tc>
          <w:tcPr>
            <w:tcW w:w="48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0.4</w:t>
            </w:r>
          </w:p>
        </w:tc>
        <w:tc>
          <w:tcPr>
            <w:tcW w:w="320" w:type="dxa"/>
            <w:vAlign w:val="bottom"/>
            <w:tcBorders>
              <w:bottom w:val="single" w:sz="8" w:color="auto"/>
            </w:tcBorders>
          </w:tcPr>
          <w:p>
            <w:pPr>
              <w:spacing w:after="0"/>
              <w:rPr>
                <w:sz w:val="18"/>
                <w:szCs w:val="18"/>
                <w:color w:val="auto"/>
              </w:rPr>
            </w:pPr>
          </w:p>
        </w:tc>
        <w:tc>
          <w:tcPr>
            <w:tcW w:w="104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0.4</w:t>
            </w:r>
          </w:p>
        </w:tc>
      </w:tr>
      <w:tr>
        <w:trPr>
          <w:trHeight w:val="217"/>
        </w:trPr>
        <w:tc>
          <w:tcPr>
            <w:tcW w:w="550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color w:val="auto"/>
              </w:rPr>
              <w:t>Balance at End of Period</w:t>
            </w:r>
          </w:p>
        </w:tc>
        <w:tc>
          <w:tcPr>
            <w:tcW w:w="2700" w:type="dxa"/>
            <w:vAlign w:val="bottom"/>
            <w:tcBorders>
              <w:bottom w:val="single" w:sz="8" w:color="auto"/>
            </w:tcBorders>
            <w:shd w:val="clear" w:color="auto" w:fill="CCEEFF"/>
          </w:tcPr>
          <w:p>
            <w:pPr>
              <w:jc w:val="right"/>
              <w:ind w:right="630"/>
              <w:spacing w:after="0"/>
              <w:rPr>
                <w:sz w:val="20"/>
                <w:szCs w:val="20"/>
                <w:color w:val="auto"/>
              </w:rPr>
            </w:pPr>
            <w:r>
              <w:rPr>
                <w:rFonts w:ascii="Arial" w:cs="Arial" w:eastAsia="Arial" w:hAnsi="Arial"/>
                <w:sz w:val="18"/>
                <w:szCs w:val="18"/>
                <w:b w:val="1"/>
                <w:bCs w:val="1"/>
                <w:color w:val="auto"/>
              </w:rPr>
              <w:t>$</w:t>
            </w:r>
          </w:p>
        </w:tc>
        <w:tc>
          <w:tcPr>
            <w:tcW w:w="48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b w:val="1"/>
                <w:bCs w:val="1"/>
                <w:color w:val="auto"/>
              </w:rPr>
              <w:t>0.2</w:t>
            </w:r>
          </w:p>
        </w:tc>
        <w:tc>
          <w:tcPr>
            <w:tcW w:w="900" w:type="dxa"/>
            <w:vAlign w:val="bottom"/>
            <w:tcBorders>
              <w:bottom w:val="single" w:sz="8" w:color="auto"/>
            </w:tcBorders>
            <w:shd w:val="clear" w:color="auto" w:fill="CCEEFF"/>
          </w:tcPr>
          <w:p>
            <w:pPr>
              <w:jc w:val="right"/>
              <w:ind w:right="650"/>
              <w:spacing w:after="0"/>
              <w:rPr>
                <w:sz w:val="20"/>
                <w:szCs w:val="20"/>
                <w:color w:val="auto"/>
              </w:rPr>
            </w:pPr>
            <w:r>
              <w:rPr>
                <w:rFonts w:ascii="Arial" w:cs="Arial" w:eastAsia="Arial" w:hAnsi="Arial"/>
                <w:sz w:val="18"/>
                <w:szCs w:val="18"/>
                <w:color w:val="auto"/>
              </w:rPr>
              <w:t>$</w:t>
            </w:r>
          </w:p>
        </w:tc>
        <w:tc>
          <w:tcPr>
            <w:tcW w:w="48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1.1</w:t>
            </w:r>
          </w:p>
        </w:tc>
        <w:tc>
          <w:tcPr>
            <w:tcW w:w="32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104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2.4</w:t>
            </w:r>
          </w:p>
        </w:tc>
      </w:tr>
      <w:tr>
        <w:trPr>
          <w:trHeight w:val="365"/>
        </w:trPr>
        <w:tc>
          <w:tcPr>
            <w:tcW w:w="5500" w:type="dxa"/>
            <w:vAlign w:val="bottom"/>
            <w:tcBorders>
              <w:bottom w:val="single" w:sz="8" w:color="auto"/>
            </w:tcBorders>
          </w:tcPr>
          <w:p>
            <w:pPr>
              <w:ind w:left="80"/>
              <w:spacing w:after="0"/>
              <w:rPr>
                <w:sz w:val="20"/>
                <w:szCs w:val="20"/>
                <w:color w:val="auto"/>
              </w:rPr>
            </w:pPr>
            <w:r>
              <w:rPr>
                <w:rFonts w:ascii="Arial" w:cs="Arial" w:eastAsia="Arial" w:hAnsi="Arial"/>
                <w:sz w:val="18"/>
                <w:szCs w:val="18"/>
                <w:b w:val="1"/>
                <w:bCs w:val="1"/>
                <w:color w:val="auto"/>
              </w:rPr>
              <w:t>Allowance for surplus and obsolete inventory:</w:t>
            </w:r>
          </w:p>
        </w:tc>
        <w:tc>
          <w:tcPr>
            <w:tcW w:w="270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2013</w:t>
            </w:r>
          </w:p>
        </w:tc>
        <w:tc>
          <w:tcPr>
            <w:tcW w:w="480" w:type="dxa"/>
            <w:vAlign w:val="bottom"/>
            <w:tcBorders>
              <w:bottom w:val="single" w:sz="8" w:color="auto"/>
            </w:tcBorders>
          </w:tcPr>
          <w:p>
            <w:pPr>
              <w:spacing w:after="0"/>
              <w:rPr>
                <w:sz w:val="24"/>
                <w:szCs w:val="24"/>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2012</w:t>
            </w:r>
          </w:p>
        </w:tc>
        <w:tc>
          <w:tcPr>
            <w:tcW w:w="48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040" w:type="dxa"/>
            <w:vAlign w:val="bottom"/>
            <w:tcBorders>
              <w:bottom w:val="single" w:sz="8" w:color="auto"/>
            </w:tcBorders>
          </w:tcPr>
          <w:p>
            <w:pPr>
              <w:jc w:val="right"/>
              <w:ind w:right="430"/>
              <w:spacing w:after="0"/>
              <w:rPr>
                <w:sz w:val="20"/>
                <w:szCs w:val="20"/>
                <w:color w:val="auto"/>
              </w:rPr>
            </w:pPr>
            <w:r>
              <w:rPr>
                <w:rFonts w:ascii="Arial" w:cs="Arial" w:eastAsia="Arial" w:hAnsi="Arial"/>
                <w:sz w:val="18"/>
                <w:szCs w:val="18"/>
                <w:color w:val="auto"/>
              </w:rPr>
              <w:t>2011</w:t>
            </w:r>
          </w:p>
        </w:tc>
      </w:tr>
      <w:tr>
        <w:trPr>
          <w:trHeight w:val="210"/>
        </w:trPr>
        <w:tc>
          <w:tcPr>
            <w:tcW w:w="5500" w:type="dxa"/>
            <w:vAlign w:val="bottom"/>
            <w:shd w:val="clear" w:color="auto" w:fill="CCEEFF"/>
          </w:tcPr>
          <w:p>
            <w:pPr>
              <w:spacing w:after="0"/>
              <w:rPr>
                <w:sz w:val="20"/>
                <w:szCs w:val="20"/>
                <w:color w:val="auto"/>
              </w:rPr>
            </w:pPr>
            <w:r>
              <w:rPr>
                <w:rFonts w:ascii="Arial" w:cs="Arial" w:eastAsia="Arial" w:hAnsi="Arial"/>
                <w:sz w:val="18"/>
                <w:szCs w:val="18"/>
                <w:color w:val="auto"/>
              </w:rPr>
              <w:t>Balance at Beginning of Period</w:t>
            </w:r>
          </w:p>
        </w:tc>
        <w:tc>
          <w:tcPr>
            <w:tcW w:w="2700" w:type="dxa"/>
            <w:vAlign w:val="bottom"/>
            <w:shd w:val="clear" w:color="auto" w:fill="CCEEFF"/>
          </w:tcPr>
          <w:p>
            <w:pPr>
              <w:jc w:val="right"/>
              <w:ind w:right="630"/>
              <w:spacing w:after="0"/>
              <w:rPr>
                <w:sz w:val="20"/>
                <w:szCs w:val="20"/>
                <w:color w:val="auto"/>
              </w:rPr>
            </w:pPr>
            <w:r>
              <w:rPr>
                <w:rFonts w:ascii="Arial" w:cs="Arial" w:eastAsia="Arial" w:hAnsi="Arial"/>
                <w:sz w:val="18"/>
                <w:szCs w:val="18"/>
                <w:b w:val="1"/>
                <w:bCs w:val="1"/>
                <w:color w:val="auto"/>
              </w:rPr>
              <w:t>$</w:t>
            </w:r>
          </w:p>
        </w:tc>
        <w:tc>
          <w:tcPr>
            <w:tcW w:w="480" w:type="dxa"/>
            <w:vAlign w:val="bottom"/>
            <w:shd w:val="clear" w:color="auto" w:fill="CCEEFF"/>
          </w:tcPr>
          <w:p>
            <w:pPr>
              <w:jc w:val="right"/>
              <w:ind w:right="30"/>
              <w:spacing w:after="0"/>
              <w:rPr>
                <w:sz w:val="20"/>
                <w:szCs w:val="20"/>
                <w:color w:val="auto"/>
              </w:rPr>
            </w:pPr>
            <w:r>
              <w:rPr>
                <w:rFonts w:ascii="Arial" w:cs="Arial" w:eastAsia="Arial" w:hAnsi="Arial"/>
                <w:sz w:val="18"/>
                <w:szCs w:val="18"/>
                <w:b w:val="1"/>
                <w:bCs w:val="1"/>
                <w:color w:val="auto"/>
              </w:rPr>
              <w:t>1.5</w:t>
            </w:r>
          </w:p>
        </w:tc>
        <w:tc>
          <w:tcPr>
            <w:tcW w:w="900" w:type="dxa"/>
            <w:vAlign w:val="bottom"/>
            <w:shd w:val="clear" w:color="auto" w:fill="CCEEFF"/>
          </w:tcPr>
          <w:p>
            <w:pPr>
              <w:jc w:val="right"/>
              <w:ind w:right="650"/>
              <w:spacing w:after="0"/>
              <w:rPr>
                <w:sz w:val="20"/>
                <w:szCs w:val="20"/>
                <w:color w:val="auto"/>
              </w:rPr>
            </w:pPr>
            <w:r>
              <w:rPr>
                <w:rFonts w:ascii="Arial" w:cs="Arial" w:eastAsia="Arial" w:hAnsi="Arial"/>
                <w:sz w:val="18"/>
                <w:szCs w:val="18"/>
                <w:color w:val="auto"/>
              </w:rPr>
              <w:t>$</w:t>
            </w:r>
          </w:p>
        </w:tc>
        <w:tc>
          <w:tcPr>
            <w:tcW w:w="48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1.6</w:t>
            </w:r>
          </w:p>
        </w:tc>
        <w:tc>
          <w:tcPr>
            <w:tcW w:w="32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104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0.7</w:t>
            </w:r>
          </w:p>
        </w:tc>
      </w:tr>
      <w:tr>
        <w:trPr>
          <w:trHeight w:val="216"/>
        </w:trPr>
        <w:tc>
          <w:tcPr>
            <w:tcW w:w="5500" w:type="dxa"/>
            <w:vAlign w:val="bottom"/>
          </w:tcPr>
          <w:p>
            <w:pPr>
              <w:spacing w:after="0"/>
              <w:rPr>
                <w:sz w:val="20"/>
                <w:szCs w:val="20"/>
                <w:color w:val="auto"/>
              </w:rPr>
            </w:pPr>
            <w:r>
              <w:rPr>
                <w:rFonts w:ascii="Arial" w:cs="Arial" w:eastAsia="Arial" w:hAnsi="Arial"/>
                <w:sz w:val="18"/>
                <w:szCs w:val="18"/>
                <w:color w:val="auto"/>
              </w:rPr>
              <w:t>Additions:</w:t>
            </w:r>
          </w:p>
        </w:tc>
        <w:tc>
          <w:tcPr>
            <w:tcW w:w="270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40" w:type="dxa"/>
            <w:vAlign w:val="bottom"/>
          </w:tcPr>
          <w:p>
            <w:pPr>
              <w:spacing w:after="0"/>
              <w:rPr>
                <w:sz w:val="18"/>
                <w:szCs w:val="18"/>
                <w:color w:val="auto"/>
              </w:rPr>
            </w:pPr>
          </w:p>
        </w:tc>
      </w:tr>
      <w:tr>
        <w:trPr>
          <w:trHeight w:val="216"/>
        </w:trPr>
        <w:tc>
          <w:tcPr>
            <w:tcW w:w="5500" w:type="dxa"/>
            <w:vAlign w:val="bottom"/>
            <w:shd w:val="clear" w:color="auto" w:fill="CCEEFF"/>
          </w:tcPr>
          <w:p>
            <w:pPr>
              <w:ind w:left="180"/>
              <w:spacing w:after="0"/>
              <w:rPr>
                <w:sz w:val="20"/>
                <w:szCs w:val="20"/>
                <w:color w:val="auto"/>
              </w:rPr>
            </w:pPr>
            <w:r>
              <w:rPr>
                <w:rFonts w:ascii="Arial" w:cs="Arial" w:eastAsia="Arial" w:hAnsi="Arial"/>
                <w:sz w:val="18"/>
                <w:szCs w:val="18"/>
                <w:color w:val="auto"/>
              </w:rPr>
              <w:t>Charged to Costs and Expenses (3)</w:t>
            </w:r>
          </w:p>
        </w:tc>
        <w:tc>
          <w:tcPr>
            <w:tcW w:w="2700" w:type="dxa"/>
            <w:vAlign w:val="bottom"/>
            <w:shd w:val="clear" w:color="auto" w:fill="CCEEFF"/>
          </w:tcPr>
          <w:p>
            <w:pPr>
              <w:spacing w:after="0"/>
              <w:rPr>
                <w:sz w:val="18"/>
                <w:szCs w:val="18"/>
                <w:color w:val="auto"/>
              </w:rPr>
            </w:pPr>
          </w:p>
        </w:tc>
        <w:tc>
          <w:tcPr>
            <w:tcW w:w="480" w:type="dxa"/>
            <w:vAlign w:val="bottom"/>
            <w:shd w:val="clear" w:color="auto" w:fill="CCEEFF"/>
          </w:tcPr>
          <w:p>
            <w:pPr>
              <w:jc w:val="right"/>
              <w:ind w:right="30"/>
              <w:spacing w:after="0"/>
              <w:rPr>
                <w:sz w:val="20"/>
                <w:szCs w:val="20"/>
                <w:color w:val="auto"/>
              </w:rPr>
            </w:pPr>
            <w:r>
              <w:rPr>
                <w:rFonts w:ascii="Arial" w:cs="Arial" w:eastAsia="Arial" w:hAnsi="Arial"/>
                <w:sz w:val="18"/>
                <w:szCs w:val="18"/>
                <w:b w:val="1"/>
                <w:bCs w:val="1"/>
                <w:color w:val="auto"/>
              </w:rPr>
              <w:t>1.7</w:t>
            </w:r>
          </w:p>
        </w:tc>
        <w:tc>
          <w:tcPr>
            <w:tcW w:w="900" w:type="dxa"/>
            <w:vAlign w:val="bottom"/>
            <w:shd w:val="clear" w:color="auto" w:fill="CCEEFF"/>
          </w:tcPr>
          <w:p>
            <w:pPr>
              <w:spacing w:after="0"/>
              <w:rPr>
                <w:sz w:val="18"/>
                <w:szCs w:val="18"/>
                <w:color w:val="auto"/>
              </w:rPr>
            </w:pPr>
          </w:p>
        </w:tc>
        <w:tc>
          <w:tcPr>
            <w:tcW w:w="48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1.0</w:t>
            </w:r>
          </w:p>
        </w:tc>
        <w:tc>
          <w:tcPr>
            <w:tcW w:w="320" w:type="dxa"/>
            <w:vAlign w:val="bottom"/>
            <w:shd w:val="clear" w:color="auto" w:fill="CCEEFF"/>
          </w:tcPr>
          <w:p>
            <w:pPr>
              <w:spacing w:after="0"/>
              <w:rPr>
                <w:sz w:val="18"/>
                <w:szCs w:val="18"/>
                <w:color w:val="auto"/>
              </w:rPr>
            </w:pPr>
          </w:p>
        </w:tc>
        <w:tc>
          <w:tcPr>
            <w:tcW w:w="104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2.2</w:t>
            </w:r>
          </w:p>
        </w:tc>
      </w:tr>
      <w:tr>
        <w:trPr>
          <w:trHeight w:val="216"/>
        </w:trPr>
        <w:tc>
          <w:tcPr>
            <w:tcW w:w="550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Deductions (4)</w:t>
            </w:r>
          </w:p>
        </w:tc>
        <w:tc>
          <w:tcPr>
            <w:tcW w:w="2700" w:type="dxa"/>
            <w:vAlign w:val="bottom"/>
            <w:tcBorders>
              <w:bottom w:val="single" w:sz="8" w:color="auto"/>
            </w:tcBorders>
          </w:tcPr>
          <w:p>
            <w:pPr>
              <w:spacing w:after="0"/>
              <w:rPr>
                <w:sz w:val="18"/>
                <w:szCs w:val="18"/>
                <w:color w:val="auto"/>
              </w:rPr>
            </w:pPr>
          </w:p>
        </w:tc>
        <w:tc>
          <w:tcPr>
            <w:tcW w:w="48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b w:val="1"/>
                <w:bCs w:val="1"/>
                <w:color w:val="auto"/>
              </w:rPr>
              <w:t>1.3</w:t>
            </w:r>
          </w:p>
        </w:tc>
        <w:tc>
          <w:tcPr>
            <w:tcW w:w="900" w:type="dxa"/>
            <w:vAlign w:val="bottom"/>
            <w:tcBorders>
              <w:bottom w:val="single" w:sz="8" w:color="auto"/>
            </w:tcBorders>
          </w:tcPr>
          <w:p>
            <w:pPr>
              <w:spacing w:after="0"/>
              <w:rPr>
                <w:sz w:val="18"/>
                <w:szCs w:val="18"/>
                <w:color w:val="auto"/>
              </w:rPr>
            </w:pPr>
          </w:p>
        </w:tc>
        <w:tc>
          <w:tcPr>
            <w:tcW w:w="48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1.1</w:t>
            </w:r>
          </w:p>
        </w:tc>
        <w:tc>
          <w:tcPr>
            <w:tcW w:w="320" w:type="dxa"/>
            <w:vAlign w:val="bottom"/>
            <w:tcBorders>
              <w:bottom w:val="single" w:sz="8" w:color="auto"/>
            </w:tcBorders>
          </w:tcPr>
          <w:p>
            <w:pPr>
              <w:spacing w:after="0"/>
              <w:rPr>
                <w:sz w:val="18"/>
                <w:szCs w:val="18"/>
                <w:color w:val="auto"/>
              </w:rPr>
            </w:pPr>
          </w:p>
        </w:tc>
        <w:tc>
          <w:tcPr>
            <w:tcW w:w="104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1.3</w:t>
            </w:r>
          </w:p>
        </w:tc>
      </w:tr>
      <w:tr>
        <w:trPr>
          <w:trHeight w:val="217"/>
        </w:trPr>
        <w:tc>
          <w:tcPr>
            <w:tcW w:w="550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color w:val="auto"/>
              </w:rPr>
              <w:t>Balance at End of Period</w:t>
            </w:r>
          </w:p>
        </w:tc>
        <w:tc>
          <w:tcPr>
            <w:tcW w:w="2700" w:type="dxa"/>
            <w:vAlign w:val="bottom"/>
            <w:tcBorders>
              <w:bottom w:val="single" w:sz="8" w:color="auto"/>
            </w:tcBorders>
            <w:shd w:val="clear" w:color="auto" w:fill="CCEEFF"/>
          </w:tcPr>
          <w:p>
            <w:pPr>
              <w:jc w:val="right"/>
              <w:ind w:right="630"/>
              <w:spacing w:after="0"/>
              <w:rPr>
                <w:sz w:val="20"/>
                <w:szCs w:val="20"/>
                <w:color w:val="auto"/>
              </w:rPr>
            </w:pPr>
            <w:r>
              <w:rPr>
                <w:rFonts w:ascii="Arial" w:cs="Arial" w:eastAsia="Arial" w:hAnsi="Arial"/>
                <w:sz w:val="18"/>
                <w:szCs w:val="18"/>
                <w:b w:val="1"/>
                <w:bCs w:val="1"/>
                <w:color w:val="auto"/>
              </w:rPr>
              <w:t>$</w:t>
            </w:r>
          </w:p>
        </w:tc>
        <w:tc>
          <w:tcPr>
            <w:tcW w:w="48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b w:val="1"/>
                <w:bCs w:val="1"/>
                <w:color w:val="auto"/>
              </w:rPr>
              <w:t>1.9</w:t>
            </w:r>
          </w:p>
        </w:tc>
        <w:tc>
          <w:tcPr>
            <w:tcW w:w="900" w:type="dxa"/>
            <w:vAlign w:val="bottom"/>
            <w:tcBorders>
              <w:bottom w:val="single" w:sz="8" w:color="auto"/>
            </w:tcBorders>
            <w:shd w:val="clear" w:color="auto" w:fill="CCEEFF"/>
          </w:tcPr>
          <w:p>
            <w:pPr>
              <w:jc w:val="right"/>
              <w:ind w:right="650"/>
              <w:spacing w:after="0"/>
              <w:rPr>
                <w:sz w:val="20"/>
                <w:szCs w:val="20"/>
                <w:color w:val="auto"/>
              </w:rPr>
            </w:pPr>
            <w:r>
              <w:rPr>
                <w:rFonts w:ascii="Arial" w:cs="Arial" w:eastAsia="Arial" w:hAnsi="Arial"/>
                <w:sz w:val="18"/>
                <w:szCs w:val="18"/>
                <w:color w:val="auto"/>
              </w:rPr>
              <w:t>$</w:t>
            </w:r>
          </w:p>
        </w:tc>
        <w:tc>
          <w:tcPr>
            <w:tcW w:w="48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1.5</w:t>
            </w:r>
          </w:p>
        </w:tc>
        <w:tc>
          <w:tcPr>
            <w:tcW w:w="32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104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1.6</w:t>
            </w:r>
          </w:p>
        </w:tc>
      </w:tr>
      <w:tr>
        <w:trPr>
          <w:trHeight w:val="365"/>
        </w:trPr>
        <w:tc>
          <w:tcPr>
            <w:tcW w:w="5500" w:type="dxa"/>
            <w:vAlign w:val="bottom"/>
            <w:tcBorders>
              <w:bottom w:val="single" w:sz="8" w:color="auto"/>
            </w:tcBorders>
          </w:tcPr>
          <w:p>
            <w:pPr>
              <w:ind w:left="100"/>
              <w:spacing w:after="0"/>
              <w:rPr>
                <w:sz w:val="20"/>
                <w:szCs w:val="20"/>
                <w:color w:val="auto"/>
              </w:rPr>
            </w:pPr>
            <w:r>
              <w:rPr>
                <w:rFonts w:ascii="Arial" w:cs="Arial" w:eastAsia="Arial" w:hAnsi="Arial"/>
                <w:sz w:val="18"/>
                <w:szCs w:val="18"/>
                <w:b w:val="1"/>
                <w:bCs w:val="1"/>
                <w:color w:val="auto"/>
              </w:rPr>
              <w:t>Valuation allowance on deferred tax assets:</w:t>
            </w:r>
          </w:p>
        </w:tc>
        <w:tc>
          <w:tcPr>
            <w:tcW w:w="270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2013</w:t>
            </w:r>
          </w:p>
        </w:tc>
        <w:tc>
          <w:tcPr>
            <w:tcW w:w="480" w:type="dxa"/>
            <w:vAlign w:val="bottom"/>
            <w:tcBorders>
              <w:bottom w:val="single" w:sz="8" w:color="auto"/>
            </w:tcBorders>
          </w:tcPr>
          <w:p>
            <w:pPr>
              <w:spacing w:after="0"/>
              <w:rPr>
                <w:sz w:val="24"/>
                <w:szCs w:val="24"/>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2012</w:t>
            </w:r>
          </w:p>
        </w:tc>
        <w:tc>
          <w:tcPr>
            <w:tcW w:w="48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040" w:type="dxa"/>
            <w:vAlign w:val="bottom"/>
            <w:tcBorders>
              <w:bottom w:val="single" w:sz="8" w:color="auto"/>
            </w:tcBorders>
          </w:tcPr>
          <w:p>
            <w:pPr>
              <w:jc w:val="right"/>
              <w:ind w:right="430"/>
              <w:spacing w:after="0"/>
              <w:rPr>
                <w:sz w:val="20"/>
                <w:szCs w:val="20"/>
                <w:color w:val="auto"/>
              </w:rPr>
            </w:pPr>
            <w:r>
              <w:rPr>
                <w:rFonts w:ascii="Arial" w:cs="Arial" w:eastAsia="Arial" w:hAnsi="Arial"/>
                <w:sz w:val="18"/>
                <w:szCs w:val="18"/>
                <w:color w:val="auto"/>
              </w:rPr>
              <w:t>2011</w:t>
            </w:r>
          </w:p>
        </w:tc>
      </w:tr>
      <w:tr>
        <w:trPr>
          <w:trHeight w:val="210"/>
        </w:trPr>
        <w:tc>
          <w:tcPr>
            <w:tcW w:w="5500" w:type="dxa"/>
            <w:vAlign w:val="bottom"/>
            <w:shd w:val="clear" w:color="auto" w:fill="CCEEFF"/>
          </w:tcPr>
          <w:p>
            <w:pPr>
              <w:spacing w:after="0"/>
              <w:rPr>
                <w:sz w:val="20"/>
                <w:szCs w:val="20"/>
                <w:color w:val="auto"/>
              </w:rPr>
            </w:pPr>
            <w:r>
              <w:rPr>
                <w:rFonts w:ascii="Arial" w:cs="Arial" w:eastAsia="Arial" w:hAnsi="Arial"/>
                <w:sz w:val="18"/>
                <w:szCs w:val="18"/>
                <w:color w:val="auto"/>
              </w:rPr>
              <w:t>Balance at Beginning of Period</w:t>
            </w:r>
          </w:p>
        </w:tc>
        <w:tc>
          <w:tcPr>
            <w:tcW w:w="2700" w:type="dxa"/>
            <w:vAlign w:val="bottom"/>
            <w:shd w:val="clear" w:color="auto" w:fill="CCEEFF"/>
          </w:tcPr>
          <w:p>
            <w:pPr>
              <w:jc w:val="right"/>
              <w:ind w:right="630"/>
              <w:spacing w:after="0"/>
              <w:rPr>
                <w:sz w:val="20"/>
                <w:szCs w:val="20"/>
                <w:color w:val="auto"/>
              </w:rPr>
            </w:pPr>
            <w:r>
              <w:rPr>
                <w:rFonts w:ascii="Arial" w:cs="Arial" w:eastAsia="Arial" w:hAnsi="Arial"/>
                <w:sz w:val="18"/>
                <w:szCs w:val="18"/>
                <w:b w:val="1"/>
                <w:bCs w:val="1"/>
                <w:color w:val="auto"/>
              </w:rPr>
              <w:t>$</w:t>
            </w:r>
          </w:p>
        </w:tc>
        <w:tc>
          <w:tcPr>
            <w:tcW w:w="480" w:type="dxa"/>
            <w:vAlign w:val="bottom"/>
            <w:shd w:val="clear" w:color="auto" w:fill="CCEEFF"/>
          </w:tcPr>
          <w:p>
            <w:pPr>
              <w:jc w:val="right"/>
              <w:ind w:right="30"/>
              <w:spacing w:after="0"/>
              <w:rPr>
                <w:sz w:val="20"/>
                <w:szCs w:val="20"/>
                <w:color w:val="auto"/>
              </w:rPr>
            </w:pPr>
            <w:r>
              <w:rPr>
                <w:rFonts w:ascii="Arial" w:cs="Arial" w:eastAsia="Arial" w:hAnsi="Arial"/>
                <w:sz w:val="18"/>
                <w:szCs w:val="18"/>
                <w:b w:val="1"/>
                <w:bCs w:val="1"/>
                <w:color w:val="auto"/>
                <w:w w:val="96"/>
              </w:rPr>
              <w:t>14.7</w:t>
            </w:r>
          </w:p>
        </w:tc>
        <w:tc>
          <w:tcPr>
            <w:tcW w:w="900" w:type="dxa"/>
            <w:vAlign w:val="bottom"/>
            <w:shd w:val="clear" w:color="auto" w:fill="CCEEFF"/>
          </w:tcPr>
          <w:p>
            <w:pPr>
              <w:jc w:val="right"/>
              <w:ind w:right="650"/>
              <w:spacing w:after="0"/>
              <w:rPr>
                <w:sz w:val="20"/>
                <w:szCs w:val="20"/>
                <w:color w:val="auto"/>
              </w:rPr>
            </w:pPr>
            <w:r>
              <w:rPr>
                <w:rFonts w:ascii="Arial" w:cs="Arial" w:eastAsia="Arial" w:hAnsi="Arial"/>
                <w:sz w:val="18"/>
                <w:szCs w:val="18"/>
                <w:color w:val="auto"/>
              </w:rPr>
              <w:t>$</w:t>
            </w:r>
          </w:p>
        </w:tc>
        <w:tc>
          <w:tcPr>
            <w:tcW w:w="48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w w:val="96"/>
              </w:rPr>
              <w:t>16.2</w:t>
            </w:r>
          </w:p>
        </w:tc>
        <w:tc>
          <w:tcPr>
            <w:tcW w:w="32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104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15.7</w:t>
            </w:r>
          </w:p>
        </w:tc>
      </w:tr>
      <w:tr>
        <w:trPr>
          <w:trHeight w:val="216"/>
        </w:trPr>
        <w:tc>
          <w:tcPr>
            <w:tcW w:w="5500" w:type="dxa"/>
            <w:vAlign w:val="bottom"/>
          </w:tcPr>
          <w:p>
            <w:pPr>
              <w:spacing w:after="0"/>
              <w:rPr>
                <w:sz w:val="20"/>
                <w:szCs w:val="20"/>
                <w:color w:val="auto"/>
              </w:rPr>
            </w:pPr>
            <w:r>
              <w:rPr>
                <w:rFonts w:ascii="Arial" w:cs="Arial" w:eastAsia="Arial" w:hAnsi="Arial"/>
                <w:sz w:val="18"/>
                <w:szCs w:val="18"/>
                <w:color w:val="auto"/>
              </w:rPr>
              <w:t>Additions:</w:t>
            </w:r>
          </w:p>
        </w:tc>
        <w:tc>
          <w:tcPr>
            <w:tcW w:w="270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40" w:type="dxa"/>
            <w:vAlign w:val="bottom"/>
          </w:tcPr>
          <w:p>
            <w:pPr>
              <w:spacing w:after="0"/>
              <w:rPr>
                <w:sz w:val="18"/>
                <w:szCs w:val="18"/>
                <w:color w:val="auto"/>
              </w:rPr>
            </w:pPr>
          </w:p>
        </w:tc>
      </w:tr>
      <w:tr>
        <w:trPr>
          <w:trHeight w:val="216"/>
        </w:trPr>
        <w:tc>
          <w:tcPr>
            <w:tcW w:w="5500" w:type="dxa"/>
            <w:vAlign w:val="bottom"/>
            <w:shd w:val="clear" w:color="auto" w:fill="CCEEFF"/>
          </w:tcPr>
          <w:p>
            <w:pPr>
              <w:ind w:left="180"/>
              <w:spacing w:after="0"/>
              <w:rPr>
                <w:sz w:val="20"/>
                <w:szCs w:val="20"/>
                <w:color w:val="auto"/>
              </w:rPr>
            </w:pPr>
            <w:r>
              <w:rPr>
                <w:rFonts w:ascii="Arial" w:cs="Arial" w:eastAsia="Arial" w:hAnsi="Arial"/>
                <w:sz w:val="18"/>
                <w:szCs w:val="18"/>
                <w:color w:val="auto"/>
              </w:rPr>
              <w:t>Charged to Costs and Expenses (5)</w:t>
            </w:r>
          </w:p>
        </w:tc>
        <w:tc>
          <w:tcPr>
            <w:tcW w:w="2700" w:type="dxa"/>
            <w:vAlign w:val="bottom"/>
            <w:shd w:val="clear" w:color="auto" w:fill="CCEEFF"/>
          </w:tcPr>
          <w:p>
            <w:pPr>
              <w:spacing w:after="0"/>
              <w:rPr>
                <w:sz w:val="18"/>
                <w:szCs w:val="18"/>
                <w:color w:val="auto"/>
              </w:rPr>
            </w:pPr>
          </w:p>
        </w:tc>
        <w:tc>
          <w:tcPr>
            <w:tcW w:w="480" w:type="dxa"/>
            <w:vAlign w:val="bottom"/>
            <w:shd w:val="clear" w:color="auto" w:fill="CCEEFF"/>
          </w:tcPr>
          <w:p>
            <w:pPr>
              <w:jc w:val="right"/>
              <w:ind w:right="30"/>
              <w:spacing w:after="0"/>
              <w:rPr>
                <w:sz w:val="20"/>
                <w:szCs w:val="20"/>
                <w:color w:val="auto"/>
              </w:rPr>
            </w:pPr>
            <w:r>
              <w:rPr>
                <w:rFonts w:ascii="Arial" w:cs="Arial" w:eastAsia="Arial" w:hAnsi="Arial"/>
                <w:sz w:val="18"/>
                <w:szCs w:val="18"/>
                <w:b w:val="1"/>
                <w:bCs w:val="1"/>
                <w:color w:val="auto"/>
              </w:rPr>
              <w:t>—</w:t>
            </w:r>
          </w:p>
        </w:tc>
        <w:tc>
          <w:tcPr>
            <w:tcW w:w="900" w:type="dxa"/>
            <w:vAlign w:val="bottom"/>
            <w:shd w:val="clear" w:color="auto" w:fill="CCEEFF"/>
          </w:tcPr>
          <w:p>
            <w:pPr>
              <w:spacing w:after="0"/>
              <w:rPr>
                <w:sz w:val="18"/>
                <w:szCs w:val="18"/>
                <w:color w:val="auto"/>
              </w:rPr>
            </w:pPr>
          </w:p>
        </w:tc>
        <w:tc>
          <w:tcPr>
            <w:tcW w:w="48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0.2</w:t>
            </w:r>
          </w:p>
        </w:tc>
        <w:tc>
          <w:tcPr>
            <w:tcW w:w="320" w:type="dxa"/>
            <w:vAlign w:val="bottom"/>
            <w:shd w:val="clear" w:color="auto" w:fill="CCEEFF"/>
          </w:tcPr>
          <w:p>
            <w:pPr>
              <w:spacing w:after="0"/>
              <w:rPr>
                <w:sz w:val="18"/>
                <w:szCs w:val="18"/>
                <w:color w:val="auto"/>
              </w:rPr>
            </w:pPr>
          </w:p>
        </w:tc>
        <w:tc>
          <w:tcPr>
            <w:tcW w:w="104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0.8</w:t>
            </w:r>
          </w:p>
        </w:tc>
      </w:tr>
      <w:tr>
        <w:trPr>
          <w:trHeight w:val="216"/>
        </w:trPr>
        <w:tc>
          <w:tcPr>
            <w:tcW w:w="5500" w:type="dxa"/>
            <w:vAlign w:val="bottom"/>
          </w:tcPr>
          <w:p>
            <w:pPr>
              <w:ind w:left="180"/>
              <w:spacing w:after="0"/>
              <w:rPr>
                <w:sz w:val="20"/>
                <w:szCs w:val="20"/>
                <w:color w:val="auto"/>
              </w:rPr>
            </w:pPr>
            <w:r>
              <w:rPr>
                <w:rFonts w:ascii="Arial" w:cs="Arial" w:eastAsia="Arial" w:hAnsi="Arial"/>
                <w:sz w:val="18"/>
                <w:szCs w:val="18"/>
                <w:color w:val="auto"/>
              </w:rPr>
              <w:t>Charged to Other Accounts (6)</w:t>
            </w:r>
          </w:p>
        </w:tc>
        <w:tc>
          <w:tcPr>
            <w:tcW w:w="2700" w:type="dxa"/>
            <w:vAlign w:val="bottom"/>
          </w:tcPr>
          <w:p>
            <w:pPr>
              <w:spacing w:after="0"/>
              <w:rPr>
                <w:sz w:val="18"/>
                <w:szCs w:val="18"/>
                <w:color w:val="auto"/>
              </w:rPr>
            </w:pPr>
          </w:p>
        </w:tc>
        <w:tc>
          <w:tcPr>
            <w:tcW w:w="480" w:type="dxa"/>
            <w:vAlign w:val="bottom"/>
          </w:tcPr>
          <w:p>
            <w:pPr>
              <w:jc w:val="right"/>
              <w:ind w:right="30"/>
              <w:spacing w:after="0"/>
              <w:rPr>
                <w:sz w:val="20"/>
                <w:szCs w:val="20"/>
                <w:color w:val="auto"/>
              </w:rPr>
            </w:pPr>
            <w:r>
              <w:rPr>
                <w:rFonts w:ascii="Arial" w:cs="Arial" w:eastAsia="Arial" w:hAnsi="Arial"/>
                <w:sz w:val="18"/>
                <w:szCs w:val="18"/>
                <w:b w:val="1"/>
                <w:bCs w:val="1"/>
                <w:color w:val="auto"/>
              </w:rPr>
              <w:t>0.2</w:t>
            </w:r>
          </w:p>
        </w:tc>
        <w:tc>
          <w:tcPr>
            <w:tcW w:w="900" w:type="dxa"/>
            <w:vAlign w:val="bottom"/>
          </w:tcPr>
          <w:p>
            <w:pPr>
              <w:spacing w:after="0"/>
              <w:rPr>
                <w:sz w:val="18"/>
                <w:szCs w:val="18"/>
                <w:color w:val="auto"/>
              </w:rPr>
            </w:pPr>
          </w:p>
        </w:tc>
        <w:tc>
          <w:tcPr>
            <w:tcW w:w="480" w:type="dxa"/>
            <w:vAlign w:val="bottom"/>
          </w:tcPr>
          <w:p>
            <w:pPr>
              <w:jc w:val="right"/>
              <w:ind w:right="30"/>
              <w:spacing w:after="0"/>
              <w:rPr>
                <w:sz w:val="20"/>
                <w:szCs w:val="20"/>
                <w:color w:val="auto"/>
              </w:rPr>
            </w:pPr>
            <w:r>
              <w:rPr>
                <w:rFonts w:ascii="Arial" w:cs="Arial" w:eastAsia="Arial" w:hAnsi="Arial"/>
                <w:sz w:val="18"/>
                <w:szCs w:val="18"/>
                <w:color w:val="auto"/>
              </w:rPr>
              <w:t>0.6</w:t>
            </w:r>
          </w:p>
        </w:tc>
        <w:tc>
          <w:tcPr>
            <w:tcW w:w="32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(0.3)</w:t>
            </w:r>
          </w:p>
        </w:tc>
      </w:tr>
      <w:tr>
        <w:trPr>
          <w:trHeight w:val="216"/>
        </w:trPr>
        <w:tc>
          <w:tcPr>
            <w:tcW w:w="550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color w:val="auto"/>
              </w:rPr>
              <w:t>Deductions (7)</w:t>
            </w:r>
          </w:p>
        </w:tc>
        <w:tc>
          <w:tcPr>
            <w:tcW w:w="2700" w:type="dxa"/>
            <w:vAlign w:val="bottom"/>
            <w:tcBorders>
              <w:bottom w:val="single" w:sz="8" w:color="auto"/>
            </w:tcBorders>
            <w:shd w:val="clear" w:color="auto" w:fill="CCEEFF"/>
          </w:tcPr>
          <w:p>
            <w:pPr>
              <w:spacing w:after="0"/>
              <w:rPr>
                <w:sz w:val="18"/>
                <w:szCs w:val="18"/>
                <w:color w:val="auto"/>
              </w:rPr>
            </w:pPr>
          </w:p>
        </w:tc>
        <w:tc>
          <w:tcPr>
            <w:tcW w:w="48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b w:val="1"/>
                <w:bCs w:val="1"/>
                <w:color w:val="auto"/>
              </w:rPr>
              <w:t>0.8</w:t>
            </w:r>
          </w:p>
        </w:tc>
        <w:tc>
          <w:tcPr>
            <w:tcW w:w="900" w:type="dxa"/>
            <w:vAlign w:val="bottom"/>
            <w:tcBorders>
              <w:bottom w:val="single" w:sz="8" w:color="auto"/>
            </w:tcBorders>
            <w:shd w:val="clear" w:color="auto" w:fill="CCEEFF"/>
          </w:tcPr>
          <w:p>
            <w:pPr>
              <w:spacing w:after="0"/>
              <w:rPr>
                <w:sz w:val="18"/>
                <w:szCs w:val="18"/>
                <w:color w:val="auto"/>
              </w:rPr>
            </w:pPr>
          </w:p>
        </w:tc>
        <w:tc>
          <w:tcPr>
            <w:tcW w:w="48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2.3</w:t>
            </w:r>
          </w:p>
        </w:tc>
        <w:tc>
          <w:tcPr>
            <w:tcW w:w="320" w:type="dxa"/>
            <w:vAlign w:val="bottom"/>
            <w:tcBorders>
              <w:bottom w:val="single" w:sz="8" w:color="auto"/>
            </w:tcBorders>
            <w:shd w:val="clear" w:color="auto" w:fill="CCEEFF"/>
          </w:tcPr>
          <w:p>
            <w:pPr>
              <w:spacing w:after="0"/>
              <w:rPr>
                <w:sz w:val="18"/>
                <w:szCs w:val="18"/>
                <w:color w:val="auto"/>
              </w:rPr>
            </w:pPr>
          </w:p>
        </w:tc>
        <w:tc>
          <w:tcPr>
            <w:tcW w:w="104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r>
      <w:tr>
        <w:trPr>
          <w:trHeight w:val="217"/>
        </w:trPr>
        <w:tc>
          <w:tcPr>
            <w:tcW w:w="550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Balance at End of Period</w:t>
            </w:r>
          </w:p>
        </w:tc>
        <w:tc>
          <w:tcPr>
            <w:tcW w:w="2700" w:type="dxa"/>
            <w:vAlign w:val="bottom"/>
            <w:tcBorders>
              <w:bottom w:val="single" w:sz="8" w:color="auto"/>
            </w:tcBorders>
          </w:tcPr>
          <w:p>
            <w:pPr>
              <w:jc w:val="right"/>
              <w:ind w:right="630"/>
              <w:spacing w:after="0"/>
              <w:rPr>
                <w:sz w:val="20"/>
                <w:szCs w:val="20"/>
                <w:color w:val="auto"/>
              </w:rPr>
            </w:pPr>
            <w:r>
              <w:rPr>
                <w:rFonts w:ascii="Arial" w:cs="Arial" w:eastAsia="Arial" w:hAnsi="Arial"/>
                <w:sz w:val="18"/>
                <w:szCs w:val="18"/>
                <w:b w:val="1"/>
                <w:bCs w:val="1"/>
                <w:color w:val="auto"/>
              </w:rPr>
              <w:t>$</w:t>
            </w:r>
          </w:p>
        </w:tc>
        <w:tc>
          <w:tcPr>
            <w:tcW w:w="48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b w:val="1"/>
                <w:bCs w:val="1"/>
                <w:color w:val="auto"/>
                <w:w w:val="96"/>
              </w:rPr>
              <w:t>14.1</w:t>
            </w:r>
          </w:p>
        </w:tc>
        <w:tc>
          <w:tcPr>
            <w:tcW w:w="900" w:type="dxa"/>
            <w:vAlign w:val="bottom"/>
            <w:tcBorders>
              <w:bottom w:val="single" w:sz="8" w:color="auto"/>
            </w:tcBorders>
          </w:tcPr>
          <w:p>
            <w:pPr>
              <w:jc w:val="right"/>
              <w:ind w:right="650"/>
              <w:spacing w:after="0"/>
              <w:rPr>
                <w:sz w:val="20"/>
                <w:szCs w:val="20"/>
                <w:color w:val="auto"/>
              </w:rPr>
            </w:pPr>
            <w:r>
              <w:rPr>
                <w:rFonts w:ascii="Arial" w:cs="Arial" w:eastAsia="Arial" w:hAnsi="Arial"/>
                <w:sz w:val="18"/>
                <w:szCs w:val="18"/>
                <w:color w:val="auto"/>
              </w:rPr>
              <w:t>$</w:t>
            </w:r>
          </w:p>
        </w:tc>
        <w:tc>
          <w:tcPr>
            <w:tcW w:w="48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w w:val="96"/>
              </w:rPr>
              <w:t>14.7</w:t>
            </w:r>
          </w:p>
        </w:tc>
        <w:tc>
          <w:tcPr>
            <w:tcW w:w="32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color w:val="auto"/>
              </w:rPr>
              <w:t>$</w:t>
            </w:r>
          </w:p>
        </w:tc>
        <w:tc>
          <w:tcPr>
            <w:tcW w:w="104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16.2</w:t>
            </w:r>
          </w:p>
        </w:tc>
      </w:tr>
    </w:tbl>
    <w:p>
      <w:pPr>
        <w:spacing w:after="0" w:line="229" w:lineRule="exact"/>
        <w:rPr>
          <w:sz w:val="20"/>
          <w:szCs w:val="20"/>
          <w:color w:val="auto"/>
        </w:rPr>
      </w:pPr>
    </w:p>
    <w:p>
      <w:pPr>
        <w:ind w:left="900" w:hanging="446"/>
        <w:spacing w:after="0"/>
        <w:tabs>
          <w:tab w:leader="none" w:pos="900" w:val="left"/>
        </w:tabs>
        <w:numPr>
          <w:ilvl w:val="0"/>
          <w:numId w:val="49"/>
        </w:numPr>
        <w:rPr>
          <w:rFonts w:ascii="Arial" w:cs="Arial" w:eastAsia="Arial" w:hAnsi="Arial"/>
          <w:sz w:val="18"/>
          <w:szCs w:val="18"/>
          <w:color w:val="auto"/>
        </w:rPr>
      </w:pPr>
      <w:r>
        <w:rPr>
          <w:rFonts w:ascii="Arial" w:cs="Arial" w:eastAsia="Arial" w:hAnsi="Arial"/>
          <w:sz w:val="18"/>
          <w:szCs w:val="18"/>
          <w:color w:val="auto"/>
        </w:rPr>
        <w:t>Provision (credits) for uncollectible accounts included in expenses.</w:t>
      </w:r>
    </w:p>
    <w:p>
      <w:pPr>
        <w:spacing w:after="0" w:line="130" w:lineRule="exact"/>
        <w:rPr>
          <w:rFonts w:ascii="Arial" w:cs="Arial" w:eastAsia="Arial" w:hAnsi="Arial"/>
          <w:sz w:val="18"/>
          <w:szCs w:val="18"/>
          <w:color w:val="auto"/>
        </w:rPr>
      </w:pPr>
    </w:p>
    <w:p>
      <w:pPr>
        <w:ind w:left="900" w:hanging="446"/>
        <w:spacing w:after="0"/>
        <w:tabs>
          <w:tab w:leader="none" w:pos="900" w:val="left"/>
        </w:tabs>
        <w:numPr>
          <w:ilvl w:val="0"/>
          <w:numId w:val="49"/>
        </w:numPr>
        <w:rPr>
          <w:rFonts w:ascii="Arial" w:cs="Arial" w:eastAsia="Arial" w:hAnsi="Arial"/>
          <w:sz w:val="18"/>
          <w:szCs w:val="18"/>
          <w:color w:val="auto"/>
        </w:rPr>
      </w:pPr>
      <w:r>
        <w:rPr>
          <w:rFonts w:ascii="Arial" w:cs="Arial" w:eastAsia="Arial" w:hAnsi="Arial"/>
          <w:sz w:val="18"/>
          <w:szCs w:val="18"/>
          <w:color w:val="auto"/>
        </w:rPr>
        <w:t>Actual accounts written off against the allowance-net of recoveries.</w:t>
      </w:r>
    </w:p>
    <w:p>
      <w:pPr>
        <w:spacing w:after="0" w:line="130" w:lineRule="exact"/>
        <w:rPr>
          <w:rFonts w:ascii="Arial" w:cs="Arial" w:eastAsia="Arial" w:hAnsi="Arial"/>
          <w:sz w:val="18"/>
          <w:szCs w:val="18"/>
          <w:color w:val="auto"/>
        </w:rPr>
      </w:pPr>
    </w:p>
    <w:p>
      <w:pPr>
        <w:ind w:left="900" w:hanging="446"/>
        <w:spacing w:after="0"/>
        <w:tabs>
          <w:tab w:leader="none" w:pos="900" w:val="left"/>
        </w:tabs>
        <w:numPr>
          <w:ilvl w:val="0"/>
          <w:numId w:val="49"/>
        </w:numPr>
        <w:rPr>
          <w:rFonts w:ascii="Arial" w:cs="Arial" w:eastAsia="Arial" w:hAnsi="Arial"/>
          <w:sz w:val="18"/>
          <w:szCs w:val="18"/>
          <w:color w:val="auto"/>
        </w:rPr>
      </w:pPr>
      <w:r>
        <w:rPr>
          <w:rFonts w:ascii="Arial" w:cs="Arial" w:eastAsia="Arial" w:hAnsi="Arial"/>
          <w:sz w:val="18"/>
          <w:szCs w:val="18"/>
          <w:color w:val="auto"/>
        </w:rPr>
        <w:t>Provisions for surplus and obsolete inventory included in expenses.</w:t>
      </w:r>
    </w:p>
    <w:p>
      <w:pPr>
        <w:spacing w:after="0" w:line="130" w:lineRule="exact"/>
        <w:rPr>
          <w:rFonts w:ascii="Arial" w:cs="Arial" w:eastAsia="Arial" w:hAnsi="Arial"/>
          <w:sz w:val="18"/>
          <w:szCs w:val="18"/>
          <w:color w:val="auto"/>
        </w:rPr>
      </w:pPr>
    </w:p>
    <w:p>
      <w:pPr>
        <w:ind w:left="900" w:hanging="446"/>
        <w:spacing w:after="0"/>
        <w:tabs>
          <w:tab w:leader="none" w:pos="900" w:val="left"/>
        </w:tabs>
        <w:numPr>
          <w:ilvl w:val="0"/>
          <w:numId w:val="49"/>
        </w:numPr>
        <w:rPr>
          <w:rFonts w:ascii="Arial" w:cs="Arial" w:eastAsia="Arial" w:hAnsi="Arial"/>
          <w:sz w:val="18"/>
          <w:szCs w:val="18"/>
          <w:color w:val="auto"/>
        </w:rPr>
      </w:pPr>
      <w:r>
        <w:rPr>
          <w:rFonts w:ascii="Arial" w:cs="Arial" w:eastAsia="Arial" w:hAnsi="Arial"/>
          <w:sz w:val="18"/>
          <w:szCs w:val="18"/>
          <w:color w:val="auto"/>
        </w:rPr>
        <w:t>Inventory items written off against the allowance.</w:t>
      </w:r>
    </w:p>
    <w:p>
      <w:pPr>
        <w:spacing w:after="0" w:line="130" w:lineRule="exact"/>
        <w:rPr>
          <w:rFonts w:ascii="Arial" w:cs="Arial" w:eastAsia="Arial" w:hAnsi="Arial"/>
          <w:sz w:val="18"/>
          <w:szCs w:val="18"/>
          <w:color w:val="auto"/>
        </w:rPr>
      </w:pPr>
    </w:p>
    <w:p>
      <w:pPr>
        <w:ind w:left="900" w:hanging="446"/>
        <w:spacing w:after="0"/>
        <w:tabs>
          <w:tab w:leader="none" w:pos="900" w:val="left"/>
        </w:tabs>
        <w:numPr>
          <w:ilvl w:val="0"/>
          <w:numId w:val="49"/>
        </w:numPr>
        <w:rPr>
          <w:rFonts w:ascii="Arial" w:cs="Arial" w:eastAsia="Arial" w:hAnsi="Arial"/>
          <w:sz w:val="18"/>
          <w:szCs w:val="18"/>
          <w:color w:val="auto"/>
        </w:rPr>
      </w:pPr>
      <w:r>
        <w:rPr>
          <w:rFonts w:ascii="Arial" w:cs="Arial" w:eastAsia="Arial" w:hAnsi="Arial"/>
          <w:sz w:val="18"/>
          <w:szCs w:val="18"/>
          <w:color w:val="auto"/>
        </w:rPr>
        <w:t>Increase in valuation allowance is recorded as a component of the provision for income taxes.</w:t>
      </w:r>
    </w:p>
    <w:p>
      <w:pPr>
        <w:spacing w:after="0" w:line="130" w:lineRule="exact"/>
        <w:rPr>
          <w:rFonts w:ascii="Arial" w:cs="Arial" w:eastAsia="Arial" w:hAnsi="Arial"/>
          <w:sz w:val="18"/>
          <w:szCs w:val="18"/>
          <w:color w:val="auto"/>
        </w:rPr>
      </w:pPr>
    </w:p>
    <w:p>
      <w:pPr>
        <w:ind w:left="900" w:hanging="446"/>
        <w:spacing w:after="0"/>
        <w:tabs>
          <w:tab w:leader="none" w:pos="900" w:val="left"/>
        </w:tabs>
        <w:numPr>
          <w:ilvl w:val="0"/>
          <w:numId w:val="49"/>
        </w:numPr>
        <w:rPr>
          <w:rFonts w:ascii="Arial" w:cs="Arial" w:eastAsia="Arial" w:hAnsi="Arial"/>
          <w:sz w:val="18"/>
          <w:szCs w:val="18"/>
          <w:color w:val="auto"/>
        </w:rPr>
      </w:pPr>
      <w:r>
        <w:rPr>
          <w:rFonts w:ascii="Arial" w:cs="Arial" w:eastAsia="Arial" w:hAnsi="Arial"/>
          <w:sz w:val="18"/>
          <w:szCs w:val="18"/>
          <w:color w:val="auto"/>
        </w:rPr>
        <w:t>Includes valuation allowances recorded against other comprehensive income/loss or goodwill.</w:t>
      </w:r>
    </w:p>
    <w:p>
      <w:pPr>
        <w:spacing w:after="0" w:line="130" w:lineRule="exact"/>
        <w:rPr>
          <w:rFonts w:ascii="Arial" w:cs="Arial" w:eastAsia="Arial" w:hAnsi="Arial"/>
          <w:sz w:val="18"/>
          <w:szCs w:val="18"/>
          <w:color w:val="auto"/>
        </w:rPr>
      </w:pPr>
    </w:p>
    <w:p>
      <w:pPr>
        <w:ind w:left="5540" w:right="1720" w:hanging="5086"/>
        <w:spacing w:after="0" w:line="449" w:lineRule="auto"/>
        <w:tabs>
          <w:tab w:leader="none" w:pos="895" w:val="left"/>
        </w:tabs>
        <w:numPr>
          <w:ilvl w:val="0"/>
          <w:numId w:val="49"/>
        </w:numPr>
        <w:rPr>
          <w:rFonts w:ascii="Arial" w:cs="Arial" w:eastAsia="Arial" w:hAnsi="Arial"/>
          <w:sz w:val="18"/>
          <w:szCs w:val="18"/>
          <w:color w:val="auto"/>
        </w:rPr>
      </w:pPr>
      <w:r>
        <w:rPr>
          <w:rFonts w:ascii="Arial" w:cs="Arial" w:eastAsia="Arial" w:hAnsi="Arial"/>
          <w:sz w:val="18"/>
          <w:szCs w:val="18"/>
          <w:color w:val="auto"/>
        </w:rPr>
        <w:t>Amount primarily relates to the reversal of valuation allowances due to the realization of net operating loss carryforwards. F-23</w:t>
      </w:r>
    </w:p>
    <w:p>
      <w:pPr>
        <w:sectPr>
          <w:pgSz w:w="11900" w:h="16838" w:orient="portrait"/>
          <w:cols w:equalWidth="0" w:num="1">
            <w:col w:w="11420"/>
          </w:cols>
          <w:pgMar w:left="240" w:top="459" w:right="239" w:bottom="1440" w:gutter="0" w:footer="0" w:header="0"/>
        </w:sectPr>
      </w:pPr>
    </w:p>
    <w:bookmarkStart w:id="130" w:name="page131"/>
    <w:bookmarkEnd w:id="13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58">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1" w:lineRule="exact"/>
        <w:rPr>
          <w:sz w:val="20"/>
          <w:szCs w:val="20"/>
          <w:color w:val="auto"/>
        </w:rPr>
      </w:pPr>
    </w:p>
    <w:p>
      <w:pPr>
        <w:jc w:val="center"/>
        <w:spacing w:after="0"/>
        <w:rPr>
          <w:sz w:val="20"/>
          <w:szCs w:val="20"/>
          <w:color w:val="auto"/>
        </w:rPr>
      </w:pPr>
      <w:r>
        <w:rPr>
          <w:rFonts w:ascii="Arial" w:cs="Arial" w:eastAsia="Arial" w:hAnsi="Arial"/>
          <w:sz w:val="25"/>
          <w:szCs w:val="25"/>
          <w:b w:val="1"/>
          <w:bCs w:val="1"/>
          <w:color w:val="auto"/>
        </w:rPr>
        <w:t>Consolidated Statements of Comprehensive Income (Unaudited)</w:t>
      </w:r>
    </w:p>
    <w:p>
      <w:pPr>
        <w:spacing w:after="0" w:line="257" w:lineRule="exact"/>
        <w:rPr>
          <w:sz w:val="20"/>
          <w:szCs w:val="20"/>
          <w:color w:val="auto"/>
        </w:rPr>
      </w:pPr>
    </w:p>
    <w:p>
      <w:pPr>
        <w:ind w:left="8600"/>
        <w:spacing w:after="0"/>
        <w:rPr>
          <w:sz w:val="20"/>
          <w:szCs w:val="20"/>
          <w:color w:val="auto"/>
        </w:rPr>
      </w:pPr>
      <w:r>
        <w:rPr>
          <w:rFonts w:ascii="Arial" w:cs="Arial" w:eastAsia="Arial" w:hAnsi="Arial"/>
          <w:sz w:val="18"/>
          <w:szCs w:val="18"/>
          <w:b w:val="1"/>
          <w:bCs w:val="1"/>
          <w:color w:val="auto"/>
        </w:rPr>
        <w:t>Three Months Ended March 31,</w:t>
      </w:r>
    </w:p>
    <w:p>
      <w:pPr>
        <w:spacing w:after="0" w:line="27" w:lineRule="exact"/>
        <w:rPr>
          <w:sz w:val="20"/>
          <w:szCs w:val="20"/>
          <w:color w:val="auto"/>
        </w:rPr>
      </w:pPr>
    </w:p>
    <w:tbl>
      <w:tblPr>
        <w:tblLayout w:type="fixed"/>
        <w:tblInd w:w="0" w:type="dxa"/>
        <w:tblCellMar>
          <w:top w:w="0" w:type="dxa"/>
          <w:left w:w="0" w:type="dxa"/>
          <w:bottom w:w="0" w:type="dxa"/>
          <w:right w:w="0" w:type="dxa"/>
        </w:tblCellMar>
      </w:tblPr>
      <w:tr>
        <w:trPr>
          <w:trHeight w:val="217"/>
        </w:trPr>
        <w:tc>
          <w:tcPr>
            <w:tcW w:w="20" w:type="dxa"/>
            <w:vAlign w:val="bottom"/>
          </w:tcPr>
          <w:p>
            <w:pPr>
              <w:spacing w:after="0"/>
              <w:rPr>
                <w:sz w:val="18"/>
                <w:szCs w:val="18"/>
                <w:color w:val="auto"/>
              </w:rPr>
            </w:pPr>
          </w:p>
        </w:tc>
        <w:tc>
          <w:tcPr>
            <w:tcW w:w="6140" w:type="dxa"/>
            <w:vAlign w:val="bottom"/>
            <w:tcBorders>
              <w:top w:val="single" w:sz="8" w:color="auto"/>
              <w:bottom w:val="single" w:sz="8" w:color="auto"/>
            </w:tcBorders>
          </w:tcPr>
          <w:p>
            <w:pPr>
              <w:spacing w:after="0"/>
              <w:rPr>
                <w:sz w:val="18"/>
                <w:szCs w:val="18"/>
                <w:color w:val="auto"/>
              </w:rPr>
            </w:pPr>
          </w:p>
        </w:tc>
        <w:tc>
          <w:tcPr>
            <w:tcW w:w="3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2014</w:t>
            </w:r>
          </w:p>
        </w:tc>
        <w:tc>
          <w:tcPr>
            <w:tcW w:w="580" w:type="dxa"/>
            <w:vAlign w:val="bottom"/>
            <w:tcBorders>
              <w:top w:val="single" w:sz="8" w:color="auto"/>
              <w:bottom w:val="single" w:sz="8" w:color="auto"/>
            </w:tcBorders>
          </w:tcPr>
          <w:p>
            <w:pPr>
              <w:spacing w:after="0"/>
              <w:rPr>
                <w:sz w:val="18"/>
                <w:szCs w:val="18"/>
                <w:color w:val="auto"/>
              </w:rPr>
            </w:pPr>
          </w:p>
        </w:tc>
        <w:tc>
          <w:tcPr>
            <w:tcW w:w="380" w:type="dxa"/>
            <w:vAlign w:val="bottom"/>
            <w:tcBorders>
              <w:top w:val="single" w:sz="8" w:color="auto"/>
              <w:bottom w:val="single" w:sz="8" w:color="auto"/>
            </w:tcBorders>
          </w:tcPr>
          <w:p>
            <w:pPr>
              <w:spacing w:after="0"/>
              <w:rPr>
                <w:sz w:val="18"/>
                <w:szCs w:val="18"/>
                <w:color w:val="auto"/>
              </w:rPr>
            </w:pPr>
          </w:p>
        </w:tc>
        <w:tc>
          <w:tcPr>
            <w:tcW w:w="1180" w:type="dxa"/>
            <w:vAlign w:val="bottom"/>
            <w:tcBorders>
              <w:top w:val="single" w:sz="8" w:color="auto"/>
              <w:bottom w:val="single" w:sz="8" w:color="auto"/>
            </w:tcBorders>
          </w:tcPr>
          <w:p>
            <w:pPr>
              <w:jc w:val="right"/>
              <w:ind w:right="510"/>
              <w:spacing w:after="0"/>
              <w:rPr>
                <w:sz w:val="20"/>
                <w:szCs w:val="20"/>
                <w:color w:val="auto"/>
              </w:rPr>
            </w:pPr>
            <w:r>
              <w:rPr>
                <w:rFonts w:ascii="Arial" w:cs="Arial" w:eastAsia="Arial" w:hAnsi="Arial"/>
                <w:sz w:val="18"/>
                <w:szCs w:val="18"/>
                <w:color w:val="auto"/>
              </w:rPr>
              <w:t>2013</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14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(Dollars in millions)</w:t>
            </w:r>
          </w:p>
        </w:tc>
        <w:tc>
          <w:tcPr>
            <w:tcW w:w="3120" w:type="dxa"/>
            <w:vAlign w:val="bottom"/>
            <w:shd w:val="clear" w:color="auto" w:fill="CCEEFF"/>
          </w:tcPr>
          <w:p>
            <w:pPr>
              <w:spacing w:after="0"/>
              <w:rPr>
                <w:sz w:val="12"/>
                <w:szCs w:val="12"/>
                <w:color w:val="auto"/>
              </w:rPr>
            </w:pPr>
          </w:p>
        </w:tc>
        <w:tc>
          <w:tcPr>
            <w:tcW w:w="580" w:type="dxa"/>
            <w:vAlign w:val="bottom"/>
            <w:shd w:val="clear" w:color="auto" w:fill="CCEEFF"/>
          </w:tcPr>
          <w:p>
            <w:pPr>
              <w:spacing w:after="0"/>
              <w:rPr>
                <w:sz w:val="12"/>
                <w:szCs w:val="12"/>
                <w:color w:val="auto"/>
              </w:rPr>
            </w:pPr>
          </w:p>
        </w:tc>
        <w:tc>
          <w:tcPr>
            <w:tcW w:w="380" w:type="dxa"/>
            <w:vAlign w:val="bottom"/>
            <w:shd w:val="clear" w:color="auto" w:fill="CCEEFF"/>
          </w:tcPr>
          <w:p>
            <w:pPr>
              <w:spacing w:after="0"/>
              <w:rPr>
                <w:sz w:val="12"/>
                <w:szCs w:val="12"/>
                <w:color w:val="auto"/>
              </w:rPr>
            </w:pPr>
          </w:p>
        </w:tc>
        <w:tc>
          <w:tcPr>
            <w:tcW w:w="118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140" w:type="dxa"/>
            <w:vAlign w:val="bottom"/>
          </w:tcPr>
          <w:p>
            <w:pPr>
              <w:spacing w:after="0"/>
              <w:rPr>
                <w:sz w:val="20"/>
                <w:szCs w:val="20"/>
                <w:color w:val="auto"/>
              </w:rPr>
            </w:pPr>
            <w:r>
              <w:rPr>
                <w:rFonts w:ascii="Arial" w:cs="Arial" w:eastAsia="Arial" w:hAnsi="Arial"/>
                <w:sz w:val="18"/>
                <w:szCs w:val="18"/>
                <w:color w:val="auto"/>
              </w:rPr>
              <w:t>Net sales</w:t>
            </w:r>
          </w:p>
        </w:tc>
        <w:tc>
          <w:tcPr>
            <w:tcW w:w="3120" w:type="dxa"/>
            <w:vAlign w:val="bottom"/>
          </w:tcPr>
          <w:p>
            <w:pPr>
              <w:jc w:val="right"/>
              <w:ind w:right="730"/>
              <w:spacing w:after="0"/>
              <w:rPr>
                <w:sz w:val="20"/>
                <w:szCs w:val="20"/>
                <w:color w:val="auto"/>
              </w:rPr>
            </w:pPr>
            <w:r>
              <w:rPr>
                <w:rFonts w:ascii="Arial" w:cs="Arial" w:eastAsia="Arial" w:hAnsi="Arial"/>
                <w:sz w:val="18"/>
                <w:szCs w:val="18"/>
                <w:b w:val="1"/>
                <w:bCs w:val="1"/>
                <w:color w:val="auto"/>
              </w:rPr>
              <w:t>$</w:t>
            </w:r>
          </w:p>
        </w:tc>
        <w:tc>
          <w:tcPr>
            <w:tcW w:w="580" w:type="dxa"/>
            <w:vAlign w:val="bottom"/>
          </w:tcPr>
          <w:p>
            <w:pPr>
              <w:jc w:val="right"/>
              <w:ind w:right="30"/>
              <w:spacing w:after="0"/>
              <w:rPr>
                <w:sz w:val="20"/>
                <w:szCs w:val="20"/>
                <w:color w:val="auto"/>
              </w:rPr>
            </w:pPr>
            <w:r>
              <w:rPr>
                <w:rFonts w:ascii="Arial" w:cs="Arial" w:eastAsia="Arial" w:hAnsi="Arial"/>
                <w:sz w:val="18"/>
                <w:szCs w:val="18"/>
                <w:b w:val="1"/>
                <w:bCs w:val="1"/>
                <w:color w:val="auto"/>
                <w:w w:val="97"/>
              </w:rPr>
              <w:t>389.5</w:t>
            </w:r>
          </w:p>
        </w:tc>
        <w:tc>
          <w:tcPr>
            <w:tcW w:w="380" w:type="dxa"/>
            <w:vAlign w:val="bottom"/>
          </w:tcPr>
          <w:p>
            <w:pPr>
              <w:jc w:val="right"/>
              <w:ind w:right="110"/>
              <w:spacing w:after="0"/>
              <w:rPr>
                <w:sz w:val="20"/>
                <w:szCs w:val="20"/>
                <w:color w:val="auto"/>
              </w:rPr>
            </w:pPr>
            <w:r>
              <w:rPr>
                <w:rFonts w:ascii="Arial" w:cs="Arial" w:eastAsia="Arial" w:hAnsi="Arial"/>
                <w:sz w:val="18"/>
                <w:szCs w:val="18"/>
                <w:color w:val="auto"/>
              </w:rPr>
              <w:t>$</w:t>
            </w:r>
          </w:p>
        </w:tc>
        <w:tc>
          <w:tcPr>
            <w:tcW w:w="1180" w:type="dxa"/>
            <w:vAlign w:val="bottom"/>
          </w:tcPr>
          <w:p>
            <w:pPr>
              <w:jc w:val="right"/>
              <w:ind w:right="10"/>
              <w:spacing w:after="0"/>
              <w:rPr>
                <w:sz w:val="20"/>
                <w:szCs w:val="20"/>
                <w:color w:val="auto"/>
              </w:rPr>
            </w:pPr>
            <w:r>
              <w:rPr>
                <w:rFonts w:ascii="Arial" w:cs="Arial" w:eastAsia="Arial" w:hAnsi="Arial"/>
                <w:sz w:val="18"/>
                <w:szCs w:val="18"/>
                <w:color w:val="auto"/>
              </w:rPr>
              <w:t>346.3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14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color w:val="auto"/>
              </w:rPr>
              <w:t>Cost of products sold</w:t>
            </w:r>
          </w:p>
        </w:tc>
        <w:tc>
          <w:tcPr>
            <w:tcW w:w="3120" w:type="dxa"/>
            <w:vAlign w:val="bottom"/>
            <w:tcBorders>
              <w:bottom w:val="single" w:sz="8" w:color="auto"/>
            </w:tcBorders>
            <w:shd w:val="clear" w:color="auto" w:fill="CCEEFF"/>
          </w:tcPr>
          <w:p>
            <w:pPr>
              <w:spacing w:after="0"/>
              <w:rPr>
                <w:sz w:val="18"/>
                <w:szCs w:val="18"/>
                <w:color w:val="auto"/>
              </w:rPr>
            </w:pPr>
          </w:p>
        </w:tc>
        <w:tc>
          <w:tcPr>
            <w:tcW w:w="58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b w:val="1"/>
                <w:bCs w:val="1"/>
                <w:color w:val="auto"/>
                <w:w w:val="97"/>
              </w:rPr>
              <w:t>316.0</w:t>
            </w:r>
          </w:p>
        </w:tc>
        <w:tc>
          <w:tcPr>
            <w:tcW w:w="380" w:type="dxa"/>
            <w:vAlign w:val="bottom"/>
            <w:tcBorders>
              <w:bottom w:val="single" w:sz="8" w:color="auto"/>
            </w:tcBorders>
            <w:shd w:val="clear" w:color="auto" w:fill="CCEEFF"/>
          </w:tcPr>
          <w:p>
            <w:pPr>
              <w:spacing w:after="0"/>
              <w:rPr>
                <w:sz w:val="18"/>
                <w:szCs w:val="18"/>
                <w:color w:val="auto"/>
              </w:rPr>
            </w:pPr>
          </w:p>
        </w:tc>
        <w:tc>
          <w:tcPr>
            <w:tcW w:w="118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291.6</w:t>
            </w:r>
          </w:p>
        </w:tc>
        <w:tc>
          <w:tcPr>
            <w:tcW w:w="0" w:type="dxa"/>
            <w:vAlign w:val="bottom"/>
          </w:tcPr>
          <w:p>
            <w:pPr>
              <w:spacing w:after="0"/>
              <w:rPr>
                <w:sz w:val="1"/>
                <w:szCs w:val="1"/>
                <w:color w:val="auto"/>
              </w:rPr>
            </w:pPr>
          </w:p>
        </w:tc>
      </w:tr>
      <w:tr>
        <w:trPr>
          <w:trHeight w:val="228"/>
        </w:trPr>
        <w:tc>
          <w:tcPr>
            <w:tcW w:w="20" w:type="dxa"/>
            <w:vAlign w:val="bottom"/>
          </w:tcPr>
          <w:p>
            <w:pPr>
              <w:spacing w:after="0"/>
              <w:rPr>
                <w:sz w:val="19"/>
                <w:szCs w:val="19"/>
                <w:color w:val="auto"/>
              </w:rPr>
            </w:pPr>
          </w:p>
        </w:tc>
        <w:tc>
          <w:tcPr>
            <w:tcW w:w="6140" w:type="dxa"/>
            <w:vAlign w:val="bottom"/>
          </w:tcPr>
          <w:p>
            <w:pPr>
              <w:ind w:left="340"/>
              <w:spacing w:after="0"/>
              <w:rPr>
                <w:sz w:val="20"/>
                <w:szCs w:val="20"/>
                <w:color w:val="auto"/>
              </w:rPr>
            </w:pPr>
            <w:r>
              <w:rPr>
                <w:rFonts w:ascii="Arial" w:cs="Arial" w:eastAsia="Arial" w:hAnsi="Arial"/>
                <w:sz w:val="18"/>
                <w:szCs w:val="18"/>
                <w:b w:val="1"/>
                <w:bCs w:val="1"/>
                <w:color w:val="auto"/>
              </w:rPr>
              <w:t>Gross Profit</w:t>
            </w:r>
          </w:p>
        </w:tc>
        <w:tc>
          <w:tcPr>
            <w:tcW w:w="3120" w:type="dxa"/>
            <w:vAlign w:val="bottom"/>
          </w:tcPr>
          <w:p>
            <w:pPr>
              <w:spacing w:after="0"/>
              <w:rPr>
                <w:sz w:val="19"/>
                <w:szCs w:val="19"/>
                <w:color w:val="auto"/>
              </w:rPr>
            </w:pPr>
          </w:p>
        </w:tc>
        <w:tc>
          <w:tcPr>
            <w:tcW w:w="580" w:type="dxa"/>
            <w:vAlign w:val="bottom"/>
          </w:tcPr>
          <w:p>
            <w:pPr>
              <w:jc w:val="right"/>
              <w:ind w:right="30"/>
              <w:spacing w:after="0"/>
              <w:rPr>
                <w:sz w:val="20"/>
                <w:szCs w:val="20"/>
                <w:color w:val="auto"/>
              </w:rPr>
            </w:pPr>
            <w:r>
              <w:rPr>
                <w:rFonts w:ascii="Arial" w:cs="Arial" w:eastAsia="Arial" w:hAnsi="Arial"/>
                <w:sz w:val="18"/>
                <w:szCs w:val="18"/>
                <w:b w:val="1"/>
                <w:bCs w:val="1"/>
                <w:color w:val="auto"/>
              </w:rPr>
              <w:t>73.5</w:t>
            </w:r>
          </w:p>
        </w:tc>
        <w:tc>
          <w:tcPr>
            <w:tcW w:w="380" w:type="dxa"/>
            <w:vAlign w:val="bottom"/>
          </w:tcPr>
          <w:p>
            <w:pPr>
              <w:spacing w:after="0"/>
              <w:rPr>
                <w:sz w:val="19"/>
                <w:szCs w:val="19"/>
                <w:color w:val="auto"/>
              </w:rPr>
            </w:pPr>
          </w:p>
        </w:tc>
        <w:tc>
          <w:tcPr>
            <w:tcW w:w="1180" w:type="dxa"/>
            <w:vAlign w:val="bottom"/>
          </w:tcPr>
          <w:p>
            <w:pPr>
              <w:jc w:val="right"/>
              <w:ind w:right="10"/>
              <w:spacing w:after="0"/>
              <w:rPr>
                <w:sz w:val="20"/>
                <w:szCs w:val="20"/>
                <w:color w:val="auto"/>
              </w:rPr>
            </w:pPr>
            <w:r>
              <w:rPr>
                <w:rFonts w:ascii="Arial" w:cs="Arial" w:eastAsia="Arial" w:hAnsi="Arial"/>
                <w:sz w:val="18"/>
                <w:szCs w:val="18"/>
                <w:color w:val="auto"/>
              </w:rPr>
              <w:t>54.7</w:t>
            </w:r>
          </w:p>
        </w:tc>
        <w:tc>
          <w:tcPr>
            <w:tcW w:w="0" w:type="dxa"/>
            <w:vAlign w:val="bottom"/>
          </w:tcPr>
          <w:p>
            <w:pPr>
              <w:spacing w:after="0"/>
              <w:rPr>
                <w:sz w:val="1"/>
                <w:szCs w:val="1"/>
                <w:color w:val="auto"/>
              </w:rPr>
            </w:pPr>
          </w:p>
        </w:tc>
      </w:tr>
      <w:tr>
        <w:trPr>
          <w:trHeight w:val="198"/>
        </w:trPr>
        <w:tc>
          <w:tcPr>
            <w:tcW w:w="20" w:type="dxa"/>
            <w:vAlign w:val="bottom"/>
            <w:vMerge w:val="restart"/>
          </w:tcPr>
          <w:p>
            <w:pPr>
              <w:spacing w:after="0"/>
              <w:rPr>
                <w:sz w:val="17"/>
                <w:szCs w:val="17"/>
                <w:color w:val="auto"/>
              </w:rPr>
            </w:pPr>
          </w:p>
        </w:tc>
        <w:tc>
          <w:tcPr>
            <w:tcW w:w="6140" w:type="dxa"/>
            <w:vAlign w:val="bottom"/>
          </w:tcPr>
          <w:p>
            <w:pPr>
              <w:spacing w:after="0"/>
              <w:rPr>
                <w:sz w:val="17"/>
                <w:szCs w:val="17"/>
                <w:color w:val="auto"/>
              </w:rPr>
            </w:pPr>
          </w:p>
        </w:tc>
        <w:tc>
          <w:tcPr>
            <w:tcW w:w="312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11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614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color w:val="auto"/>
              </w:rPr>
              <w:t>Selling, general and administrative expenses</w:t>
            </w:r>
          </w:p>
        </w:tc>
        <w:tc>
          <w:tcPr>
            <w:tcW w:w="3120" w:type="dxa"/>
            <w:vAlign w:val="bottom"/>
            <w:tcBorders>
              <w:bottom w:val="single" w:sz="8" w:color="auto"/>
            </w:tcBorders>
            <w:shd w:val="clear" w:color="auto" w:fill="CCEEFF"/>
          </w:tcPr>
          <w:p>
            <w:pPr>
              <w:spacing w:after="0"/>
              <w:rPr>
                <w:sz w:val="18"/>
                <w:szCs w:val="18"/>
                <w:color w:val="auto"/>
              </w:rPr>
            </w:pPr>
          </w:p>
        </w:tc>
        <w:tc>
          <w:tcPr>
            <w:tcW w:w="58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b w:val="1"/>
                <w:bCs w:val="1"/>
                <w:color w:val="auto"/>
              </w:rPr>
              <w:t>24.3</w:t>
            </w:r>
          </w:p>
        </w:tc>
        <w:tc>
          <w:tcPr>
            <w:tcW w:w="380" w:type="dxa"/>
            <w:vAlign w:val="bottom"/>
            <w:tcBorders>
              <w:bottom w:val="single" w:sz="8" w:color="auto"/>
            </w:tcBorders>
            <w:shd w:val="clear" w:color="auto" w:fill="CCEEFF"/>
          </w:tcPr>
          <w:p>
            <w:pPr>
              <w:spacing w:after="0"/>
              <w:rPr>
                <w:sz w:val="18"/>
                <w:szCs w:val="18"/>
                <w:color w:val="auto"/>
              </w:rPr>
            </w:pPr>
          </w:p>
        </w:tc>
        <w:tc>
          <w:tcPr>
            <w:tcW w:w="118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22.4</w:t>
            </w:r>
          </w:p>
        </w:tc>
        <w:tc>
          <w:tcPr>
            <w:tcW w:w="0" w:type="dxa"/>
            <w:vAlign w:val="bottom"/>
          </w:tcPr>
          <w:p>
            <w:pPr>
              <w:spacing w:after="0"/>
              <w:rPr>
                <w:sz w:val="1"/>
                <w:szCs w:val="1"/>
                <w:color w:val="auto"/>
              </w:rPr>
            </w:pPr>
          </w:p>
        </w:tc>
      </w:tr>
      <w:tr>
        <w:trPr>
          <w:trHeight w:val="228"/>
        </w:trPr>
        <w:tc>
          <w:tcPr>
            <w:tcW w:w="20" w:type="dxa"/>
            <w:vAlign w:val="bottom"/>
          </w:tcPr>
          <w:p>
            <w:pPr>
              <w:spacing w:after="0"/>
              <w:rPr>
                <w:sz w:val="19"/>
                <w:szCs w:val="19"/>
                <w:color w:val="auto"/>
              </w:rPr>
            </w:pPr>
          </w:p>
        </w:tc>
        <w:tc>
          <w:tcPr>
            <w:tcW w:w="6140" w:type="dxa"/>
            <w:vAlign w:val="bottom"/>
          </w:tcPr>
          <w:p>
            <w:pPr>
              <w:ind w:left="340"/>
              <w:spacing w:after="0"/>
              <w:rPr>
                <w:sz w:val="20"/>
                <w:szCs w:val="20"/>
                <w:color w:val="auto"/>
              </w:rPr>
            </w:pPr>
            <w:r>
              <w:rPr>
                <w:rFonts w:ascii="Arial" w:cs="Arial" w:eastAsia="Arial" w:hAnsi="Arial"/>
                <w:sz w:val="18"/>
                <w:szCs w:val="18"/>
                <w:b w:val="1"/>
                <w:bCs w:val="1"/>
                <w:color w:val="auto"/>
              </w:rPr>
              <w:t>Operating Income</w:t>
            </w:r>
          </w:p>
        </w:tc>
        <w:tc>
          <w:tcPr>
            <w:tcW w:w="3120" w:type="dxa"/>
            <w:vAlign w:val="bottom"/>
          </w:tcPr>
          <w:p>
            <w:pPr>
              <w:spacing w:after="0"/>
              <w:rPr>
                <w:sz w:val="19"/>
                <w:szCs w:val="19"/>
                <w:color w:val="auto"/>
              </w:rPr>
            </w:pPr>
          </w:p>
        </w:tc>
        <w:tc>
          <w:tcPr>
            <w:tcW w:w="580" w:type="dxa"/>
            <w:vAlign w:val="bottom"/>
          </w:tcPr>
          <w:p>
            <w:pPr>
              <w:jc w:val="right"/>
              <w:ind w:right="30"/>
              <w:spacing w:after="0"/>
              <w:rPr>
                <w:sz w:val="20"/>
                <w:szCs w:val="20"/>
                <w:color w:val="auto"/>
              </w:rPr>
            </w:pPr>
            <w:r>
              <w:rPr>
                <w:rFonts w:ascii="Arial" w:cs="Arial" w:eastAsia="Arial" w:hAnsi="Arial"/>
                <w:sz w:val="18"/>
                <w:szCs w:val="18"/>
                <w:b w:val="1"/>
                <w:bCs w:val="1"/>
                <w:color w:val="auto"/>
              </w:rPr>
              <w:t>49.2</w:t>
            </w:r>
          </w:p>
        </w:tc>
        <w:tc>
          <w:tcPr>
            <w:tcW w:w="380" w:type="dxa"/>
            <w:vAlign w:val="bottom"/>
          </w:tcPr>
          <w:p>
            <w:pPr>
              <w:spacing w:after="0"/>
              <w:rPr>
                <w:sz w:val="19"/>
                <w:szCs w:val="19"/>
                <w:color w:val="auto"/>
              </w:rPr>
            </w:pPr>
          </w:p>
        </w:tc>
        <w:tc>
          <w:tcPr>
            <w:tcW w:w="1180" w:type="dxa"/>
            <w:vAlign w:val="bottom"/>
          </w:tcPr>
          <w:p>
            <w:pPr>
              <w:jc w:val="right"/>
              <w:ind w:right="10"/>
              <w:spacing w:after="0"/>
              <w:rPr>
                <w:sz w:val="20"/>
                <w:szCs w:val="20"/>
                <w:color w:val="auto"/>
              </w:rPr>
            </w:pPr>
            <w:r>
              <w:rPr>
                <w:rFonts w:ascii="Arial" w:cs="Arial" w:eastAsia="Arial" w:hAnsi="Arial"/>
                <w:sz w:val="18"/>
                <w:szCs w:val="18"/>
                <w:color w:val="auto"/>
              </w:rPr>
              <w:t>32.3</w:t>
            </w:r>
          </w:p>
        </w:tc>
        <w:tc>
          <w:tcPr>
            <w:tcW w:w="0" w:type="dxa"/>
            <w:vAlign w:val="bottom"/>
          </w:tcPr>
          <w:p>
            <w:pPr>
              <w:spacing w:after="0"/>
              <w:rPr>
                <w:sz w:val="1"/>
                <w:szCs w:val="1"/>
                <w:color w:val="auto"/>
              </w:rPr>
            </w:pPr>
          </w:p>
        </w:tc>
      </w:tr>
      <w:tr>
        <w:trPr>
          <w:trHeight w:val="198"/>
        </w:trPr>
        <w:tc>
          <w:tcPr>
            <w:tcW w:w="20" w:type="dxa"/>
            <w:vAlign w:val="bottom"/>
            <w:vMerge w:val="restart"/>
          </w:tcPr>
          <w:p>
            <w:pPr>
              <w:spacing w:after="0"/>
              <w:rPr>
                <w:sz w:val="17"/>
                <w:szCs w:val="17"/>
                <w:color w:val="auto"/>
              </w:rPr>
            </w:pPr>
          </w:p>
        </w:tc>
        <w:tc>
          <w:tcPr>
            <w:tcW w:w="6140" w:type="dxa"/>
            <w:vAlign w:val="bottom"/>
          </w:tcPr>
          <w:p>
            <w:pPr>
              <w:spacing w:after="0"/>
              <w:rPr>
                <w:sz w:val="17"/>
                <w:szCs w:val="17"/>
                <w:color w:val="auto"/>
              </w:rPr>
            </w:pPr>
          </w:p>
        </w:tc>
        <w:tc>
          <w:tcPr>
            <w:tcW w:w="312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11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614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color w:val="auto"/>
              </w:rPr>
              <w:t>Other income (expense), net</w:t>
            </w:r>
          </w:p>
        </w:tc>
        <w:tc>
          <w:tcPr>
            <w:tcW w:w="3120" w:type="dxa"/>
            <w:vAlign w:val="bottom"/>
            <w:tcBorders>
              <w:bottom w:val="single" w:sz="8" w:color="auto"/>
            </w:tcBorders>
            <w:shd w:val="clear" w:color="auto" w:fill="CCEEFF"/>
          </w:tcPr>
          <w:p>
            <w:pPr>
              <w:spacing w:after="0"/>
              <w:rPr>
                <w:sz w:val="18"/>
                <w:szCs w:val="18"/>
                <w:color w:val="auto"/>
              </w:rPr>
            </w:pPr>
          </w:p>
        </w:tc>
        <w:tc>
          <w:tcPr>
            <w:tcW w:w="58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b w:val="1"/>
                <w:bCs w:val="1"/>
                <w:color w:val="auto"/>
              </w:rPr>
              <w:t>1.6</w:t>
            </w:r>
          </w:p>
        </w:tc>
        <w:tc>
          <w:tcPr>
            <w:tcW w:w="380" w:type="dxa"/>
            <w:vAlign w:val="bottom"/>
            <w:tcBorders>
              <w:bottom w:val="single" w:sz="8" w:color="auto"/>
            </w:tcBorders>
            <w:shd w:val="clear" w:color="auto" w:fill="CCEEFF"/>
          </w:tcPr>
          <w:p>
            <w:pPr>
              <w:spacing w:after="0"/>
              <w:rPr>
                <w:sz w:val="18"/>
                <w:szCs w:val="18"/>
                <w:color w:val="auto"/>
              </w:rPr>
            </w:pPr>
          </w:p>
        </w:tc>
        <w:tc>
          <w:tcPr>
            <w:tcW w:w="1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(0.1)</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140" w:type="dxa"/>
            <w:vAlign w:val="bottom"/>
          </w:tcPr>
          <w:p>
            <w:pPr>
              <w:ind w:left="340"/>
              <w:spacing w:after="0"/>
              <w:rPr>
                <w:sz w:val="20"/>
                <w:szCs w:val="20"/>
                <w:color w:val="auto"/>
              </w:rPr>
            </w:pPr>
            <w:r>
              <w:rPr>
                <w:rFonts w:ascii="Arial" w:cs="Arial" w:eastAsia="Arial" w:hAnsi="Arial"/>
                <w:sz w:val="18"/>
                <w:szCs w:val="18"/>
                <w:b w:val="1"/>
                <w:bCs w:val="1"/>
                <w:color w:val="auto"/>
              </w:rPr>
              <w:t>Income From Operations Before Income Taxes</w:t>
            </w:r>
          </w:p>
        </w:tc>
        <w:tc>
          <w:tcPr>
            <w:tcW w:w="3120" w:type="dxa"/>
            <w:vAlign w:val="bottom"/>
          </w:tcPr>
          <w:p>
            <w:pPr>
              <w:spacing w:after="0"/>
              <w:rPr>
                <w:sz w:val="18"/>
                <w:szCs w:val="18"/>
                <w:color w:val="auto"/>
              </w:rPr>
            </w:pPr>
          </w:p>
        </w:tc>
        <w:tc>
          <w:tcPr>
            <w:tcW w:w="580" w:type="dxa"/>
            <w:vAlign w:val="bottom"/>
          </w:tcPr>
          <w:p>
            <w:pPr>
              <w:jc w:val="right"/>
              <w:ind w:right="30"/>
              <w:spacing w:after="0"/>
              <w:rPr>
                <w:sz w:val="20"/>
                <w:szCs w:val="20"/>
                <w:color w:val="auto"/>
              </w:rPr>
            </w:pPr>
            <w:r>
              <w:rPr>
                <w:rFonts w:ascii="Arial" w:cs="Arial" w:eastAsia="Arial" w:hAnsi="Arial"/>
                <w:sz w:val="18"/>
                <w:szCs w:val="18"/>
                <w:b w:val="1"/>
                <w:bCs w:val="1"/>
                <w:color w:val="auto"/>
              </w:rPr>
              <w:t>50.8</w:t>
            </w:r>
          </w:p>
        </w:tc>
        <w:tc>
          <w:tcPr>
            <w:tcW w:w="380" w:type="dxa"/>
            <w:vAlign w:val="bottom"/>
          </w:tcPr>
          <w:p>
            <w:pPr>
              <w:spacing w:after="0"/>
              <w:rPr>
                <w:sz w:val="18"/>
                <w:szCs w:val="18"/>
                <w:color w:val="auto"/>
              </w:rPr>
            </w:pPr>
          </w:p>
        </w:tc>
        <w:tc>
          <w:tcPr>
            <w:tcW w:w="1180" w:type="dxa"/>
            <w:vAlign w:val="bottom"/>
          </w:tcPr>
          <w:p>
            <w:pPr>
              <w:jc w:val="right"/>
              <w:ind w:right="10"/>
              <w:spacing w:after="0"/>
              <w:rPr>
                <w:sz w:val="20"/>
                <w:szCs w:val="20"/>
                <w:color w:val="auto"/>
              </w:rPr>
            </w:pPr>
            <w:r>
              <w:rPr>
                <w:rFonts w:ascii="Arial" w:cs="Arial" w:eastAsia="Arial" w:hAnsi="Arial"/>
                <w:sz w:val="18"/>
                <w:szCs w:val="18"/>
                <w:color w:val="auto"/>
              </w:rPr>
              <w:t>32.2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14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color w:val="auto"/>
              </w:rPr>
              <w:t>Provision for income taxes</w:t>
            </w:r>
          </w:p>
        </w:tc>
        <w:tc>
          <w:tcPr>
            <w:tcW w:w="3120" w:type="dxa"/>
            <w:vAlign w:val="bottom"/>
            <w:tcBorders>
              <w:bottom w:val="single" w:sz="8" w:color="auto"/>
            </w:tcBorders>
            <w:shd w:val="clear" w:color="auto" w:fill="CCEEFF"/>
          </w:tcPr>
          <w:p>
            <w:pPr>
              <w:spacing w:after="0"/>
              <w:rPr>
                <w:sz w:val="18"/>
                <w:szCs w:val="18"/>
                <w:color w:val="auto"/>
              </w:rPr>
            </w:pPr>
          </w:p>
        </w:tc>
        <w:tc>
          <w:tcPr>
            <w:tcW w:w="58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b w:val="1"/>
                <w:bCs w:val="1"/>
                <w:color w:val="auto"/>
              </w:rPr>
              <w:t>17.2</w:t>
            </w:r>
          </w:p>
        </w:tc>
        <w:tc>
          <w:tcPr>
            <w:tcW w:w="380" w:type="dxa"/>
            <w:vAlign w:val="bottom"/>
            <w:tcBorders>
              <w:bottom w:val="single" w:sz="8" w:color="auto"/>
            </w:tcBorders>
            <w:shd w:val="clear" w:color="auto" w:fill="CCEEFF"/>
          </w:tcPr>
          <w:p>
            <w:pPr>
              <w:spacing w:after="0"/>
              <w:rPr>
                <w:sz w:val="18"/>
                <w:szCs w:val="18"/>
                <w:color w:val="auto"/>
              </w:rPr>
            </w:pPr>
          </w:p>
        </w:tc>
        <w:tc>
          <w:tcPr>
            <w:tcW w:w="118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11.2</w:t>
            </w:r>
          </w:p>
        </w:tc>
        <w:tc>
          <w:tcPr>
            <w:tcW w:w="0" w:type="dxa"/>
            <w:vAlign w:val="bottom"/>
          </w:tcPr>
          <w:p>
            <w:pPr>
              <w:spacing w:after="0"/>
              <w:rPr>
                <w:sz w:val="1"/>
                <w:szCs w:val="1"/>
                <w:color w:val="auto"/>
              </w:rPr>
            </w:pPr>
          </w:p>
        </w:tc>
      </w:tr>
      <w:tr>
        <w:trPr>
          <w:trHeight w:val="228"/>
        </w:trPr>
        <w:tc>
          <w:tcPr>
            <w:tcW w:w="20" w:type="dxa"/>
            <w:vAlign w:val="bottom"/>
          </w:tcPr>
          <w:p>
            <w:pPr>
              <w:spacing w:after="0"/>
              <w:rPr>
                <w:sz w:val="19"/>
                <w:szCs w:val="19"/>
                <w:color w:val="auto"/>
              </w:rPr>
            </w:pPr>
          </w:p>
        </w:tc>
        <w:tc>
          <w:tcPr>
            <w:tcW w:w="6140" w:type="dxa"/>
            <w:vAlign w:val="bottom"/>
          </w:tcPr>
          <w:p>
            <w:pPr>
              <w:ind w:left="340"/>
              <w:spacing w:after="0"/>
              <w:rPr>
                <w:sz w:val="20"/>
                <w:szCs w:val="20"/>
                <w:color w:val="auto"/>
              </w:rPr>
            </w:pPr>
            <w:r>
              <w:rPr>
                <w:rFonts w:ascii="Arial" w:cs="Arial" w:eastAsia="Arial" w:hAnsi="Arial"/>
                <w:sz w:val="18"/>
                <w:szCs w:val="18"/>
                <w:b w:val="1"/>
                <w:bCs w:val="1"/>
                <w:color w:val="auto"/>
              </w:rPr>
              <w:t>Net Income</w:t>
            </w:r>
          </w:p>
        </w:tc>
        <w:tc>
          <w:tcPr>
            <w:tcW w:w="3120" w:type="dxa"/>
            <w:vAlign w:val="bottom"/>
          </w:tcPr>
          <w:p>
            <w:pPr>
              <w:spacing w:after="0"/>
              <w:rPr>
                <w:sz w:val="19"/>
                <w:szCs w:val="19"/>
                <w:color w:val="auto"/>
              </w:rPr>
            </w:pPr>
          </w:p>
        </w:tc>
        <w:tc>
          <w:tcPr>
            <w:tcW w:w="580" w:type="dxa"/>
            <w:vAlign w:val="bottom"/>
          </w:tcPr>
          <w:p>
            <w:pPr>
              <w:jc w:val="right"/>
              <w:ind w:right="30"/>
              <w:spacing w:after="0"/>
              <w:rPr>
                <w:sz w:val="20"/>
                <w:szCs w:val="20"/>
                <w:color w:val="auto"/>
              </w:rPr>
            </w:pPr>
            <w:r>
              <w:rPr>
                <w:rFonts w:ascii="Arial" w:cs="Arial" w:eastAsia="Arial" w:hAnsi="Arial"/>
                <w:sz w:val="18"/>
                <w:szCs w:val="18"/>
                <w:b w:val="1"/>
                <w:bCs w:val="1"/>
                <w:color w:val="auto"/>
              </w:rPr>
              <w:t>33.6</w:t>
            </w:r>
          </w:p>
        </w:tc>
        <w:tc>
          <w:tcPr>
            <w:tcW w:w="380" w:type="dxa"/>
            <w:vAlign w:val="bottom"/>
          </w:tcPr>
          <w:p>
            <w:pPr>
              <w:spacing w:after="0"/>
              <w:rPr>
                <w:sz w:val="19"/>
                <w:szCs w:val="19"/>
                <w:color w:val="auto"/>
              </w:rPr>
            </w:pPr>
          </w:p>
        </w:tc>
        <w:tc>
          <w:tcPr>
            <w:tcW w:w="1180" w:type="dxa"/>
            <w:vAlign w:val="bottom"/>
          </w:tcPr>
          <w:p>
            <w:pPr>
              <w:jc w:val="right"/>
              <w:ind w:right="10"/>
              <w:spacing w:after="0"/>
              <w:rPr>
                <w:sz w:val="20"/>
                <w:szCs w:val="20"/>
                <w:color w:val="auto"/>
              </w:rPr>
            </w:pPr>
            <w:r>
              <w:rPr>
                <w:rFonts w:ascii="Arial" w:cs="Arial" w:eastAsia="Arial" w:hAnsi="Arial"/>
                <w:sz w:val="18"/>
                <w:szCs w:val="18"/>
                <w:color w:val="auto"/>
              </w:rPr>
              <w:t>21.0</w:t>
            </w:r>
          </w:p>
        </w:tc>
        <w:tc>
          <w:tcPr>
            <w:tcW w:w="0" w:type="dxa"/>
            <w:vAlign w:val="bottom"/>
          </w:tcPr>
          <w:p>
            <w:pPr>
              <w:spacing w:after="0"/>
              <w:rPr>
                <w:sz w:val="1"/>
                <w:szCs w:val="1"/>
                <w:color w:val="auto"/>
              </w:rPr>
            </w:pPr>
          </w:p>
        </w:tc>
      </w:tr>
      <w:tr>
        <w:trPr>
          <w:trHeight w:val="198"/>
        </w:trPr>
        <w:tc>
          <w:tcPr>
            <w:tcW w:w="20" w:type="dxa"/>
            <w:vAlign w:val="bottom"/>
            <w:vMerge w:val="restart"/>
          </w:tcPr>
          <w:p>
            <w:pPr>
              <w:spacing w:after="0"/>
              <w:rPr>
                <w:sz w:val="17"/>
                <w:szCs w:val="17"/>
                <w:color w:val="auto"/>
              </w:rPr>
            </w:pPr>
          </w:p>
        </w:tc>
        <w:tc>
          <w:tcPr>
            <w:tcW w:w="6140" w:type="dxa"/>
            <w:vAlign w:val="bottom"/>
          </w:tcPr>
          <w:p>
            <w:pPr>
              <w:spacing w:after="0"/>
              <w:rPr>
                <w:sz w:val="17"/>
                <w:szCs w:val="17"/>
                <w:color w:val="auto"/>
              </w:rPr>
            </w:pPr>
          </w:p>
        </w:tc>
        <w:tc>
          <w:tcPr>
            <w:tcW w:w="312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11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6140" w:type="dxa"/>
            <w:vAlign w:val="bottom"/>
            <w:shd w:val="clear" w:color="auto" w:fill="CCEEFF"/>
          </w:tcPr>
          <w:p>
            <w:pPr>
              <w:spacing w:after="0"/>
              <w:rPr>
                <w:sz w:val="20"/>
                <w:szCs w:val="20"/>
                <w:color w:val="auto"/>
              </w:rPr>
            </w:pPr>
            <w:r>
              <w:rPr>
                <w:rFonts w:ascii="Arial" w:cs="Arial" w:eastAsia="Arial" w:hAnsi="Arial"/>
                <w:sz w:val="18"/>
                <w:szCs w:val="18"/>
                <w:i w:val="1"/>
                <w:iCs w:val="1"/>
                <w:color w:val="auto"/>
              </w:rPr>
              <w:t>Other comprehensive (loss) income, net of tax</w:t>
            </w:r>
          </w:p>
        </w:tc>
        <w:tc>
          <w:tcPr>
            <w:tcW w:w="312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1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1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Foreign currency translation adjustments</w:t>
            </w:r>
          </w:p>
        </w:tc>
        <w:tc>
          <w:tcPr>
            <w:tcW w:w="3120" w:type="dxa"/>
            <w:vAlign w:val="bottom"/>
            <w:tcBorders>
              <w:bottom w:val="single" w:sz="8" w:color="auto"/>
            </w:tcBorders>
          </w:tcPr>
          <w:p>
            <w:pPr>
              <w:spacing w:after="0"/>
              <w:rPr>
                <w:sz w:val="18"/>
                <w:szCs w:val="18"/>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(0.2)</w:t>
            </w:r>
          </w:p>
        </w:tc>
        <w:tc>
          <w:tcPr>
            <w:tcW w:w="380" w:type="dxa"/>
            <w:vAlign w:val="bottom"/>
            <w:tcBorders>
              <w:bottom w:val="single" w:sz="8" w:color="auto"/>
            </w:tcBorders>
          </w:tcPr>
          <w:p>
            <w:pPr>
              <w:spacing w:after="0"/>
              <w:rPr>
                <w:sz w:val="18"/>
                <w:szCs w:val="18"/>
                <w:color w:val="auto"/>
              </w:rPr>
            </w:pPr>
          </w:p>
        </w:tc>
        <w:tc>
          <w:tcPr>
            <w:tcW w:w="118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0.5</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14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color w:val="auto"/>
              </w:rPr>
              <w:t>Other comprehensive (loss) income, net of tax</w:t>
            </w:r>
          </w:p>
        </w:tc>
        <w:tc>
          <w:tcPr>
            <w:tcW w:w="3120" w:type="dxa"/>
            <w:vAlign w:val="bottom"/>
            <w:tcBorders>
              <w:bottom w:val="single" w:sz="8" w:color="auto"/>
            </w:tcBorders>
            <w:shd w:val="clear" w:color="auto" w:fill="CCEEFF"/>
          </w:tcPr>
          <w:p>
            <w:pPr>
              <w:spacing w:after="0"/>
              <w:rPr>
                <w:sz w:val="18"/>
                <w:szCs w:val="18"/>
                <w:color w:val="auto"/>
              </w:rPr>
            </w:pPr>
          </w:p>
        </w:tc>
        <w:tc>
          <w:tcPr>
            <w:tcW w:w="5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(0.2)</w:t>
            </w:r>
          </w:p>
        </w:tc>
        <w:tc>
          <w:tcPr>
            <w:tcW w:w="380" w:type="dxa"/>
            <w:vAlign w:val="bottom"/>
            <w:tcBorders>
              <w:bottom w:val="single" w:sz="8" w:color="auto"/>
            </w:tcBorders>
            <w:shd w:val="clear" w:color="auto" w:fill="CCEEFF"/>
          </w:tcPr>
          <w:p>
            <w:pPr>
              <w:spacing w:after="0"/>
              <w:rPr>
                <w:sz w:val="18"/>
                <w:szCs w:val="18"/>
                <w:color w:val="auto"/>
              </w:rPr>
            </w:pPr>
          </w:p>
        </w:tc>
        <w:tc>
          <w:tcPr>
            <w:tcW w:w="118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0.5</w:t>
            </w:r>
          </w:p>
        </w:tc>
        <w:tc>
          <w:tcPr>
            <w:tcW w:w="0" w:type="dxa"/>
            <w:vAlign w:val="bottom"/>
          </w:tcPr>
          <w:p>
            <w:pPr>
              <w:spacing w:after="0"/>
              <w:rPr>
                <w:sz w:val="1"/>
                <w:szCs w:val="1"/>
                <w:color w:val="auto"/>
              </w:rPr>
            </w:pPr>
          </w:p>
        </w:tc>
      </w:tr>
      <w:tr>
        <w:trPr>
          <w:trHeight w:val="217"/>
        </w:trPr>
        <w:tc>
          <w:tcPr>
            <w:tcW w:w="20" w:type="dxa"/>
            <w:vAlign w:val="bottom"/>
            <w:tcBorders>
              <w:bottom w:val="single" w:sz="8" w:color="auto"/>
            </w:tcBorders>
          </w:tcPr>
          <w:p>
            <w:pPr>
              <w:spacing w:after="0"/>
              <w:rPr>
                <w:sz w:val="18"/>
                <w:szCs w:val="18"/>
                <w:color w:val="auto"/>
              </w:rPr>
            </w:pPr>
          </w:p>
        </w:tc>
        <w:tc>
          <w:tcPr>
            <w:tcW w:w="6140" w:type="dxa"/>
            <w:vAlign w:val="bottom"/>
            <w:tcBorders>
              <w:bottom w:val="single" w:sz="8" w:color="auto"/>
            </w:tcBorders>
          </w:tcPr>
          <w:p>
            <w:pPr>
              <w:spacing w:after="0"/>
              <w:rPr>
                <w:sz w:val="20"/>
                <w:szCs w:val="20"/>
                <w:color w:val="auto"/>
              </w:rPr>
            </w:pPr>
            <w:r>
              <w:rPr>
                <w:rFonts w:ascii="Arial" w:cs="Arial" w:eastAsia="Arial" w:hAnsi="Arial"/>
                <w:sz w:val="18"/>
                <w:szCs w:val="18"/>
                <w:b w:val="1"/>
                <w:bCs w:val="1"/>
                <w:color w:val="auto"/>
              </w:rPr>
              <w:t>Comprehensive Income, Net of Tax</w:t>
            </w:r>
          </w:p>
        </w:tc>
        <w:tc>
          <w:tcPr>
            <w:tcW w:w="3120" w:type="dxa"/>
            <w:vAlign w:val="bottom"/>
            <w:tcBorders>
              <w:bottom w:val="single" w:sz="8" w:color="auto"/>
            </w:tcBorders>
          </w:tcPr>
          <w:p>
            <w:pPr>
              <w:jc w:val="right"/>
              <w:ind w:right="730"/>
              <w:spacing w:after="0"/>
              <w:rPr>
                <w:sz w:val="20"/>
                <w:szCs w:val="20"/>
                <w:color w:val="auto"/>
              </w:rPr>
            </w:pPr>
            <w:r>
              <w:rPr>
                <w:rFonts w:ascii="Arial" w:cs="Arial" w:eastAsia="Arial" w:hAnsi="Arial"/>
                <w:sz w:val="18"/>
                <w:szCs w:val="18"/>
                <w:b w:val="1"/>
                <w:bCs w:val="1"/>
                <w:color w:val="auto"/>
              </w:rPr>
              <w:t>$</w:t>
            </w:r>
          </w:p>
        </w:tc>
        <w:tc>
          <w:tcPr>
            <w:tcW w:w="58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b w:val="1"/>
                <w:bCs w:val="1"/>
                <w:color w:val="auto"/>
              </w:rPr>
              <w:t>33.4</w:t>
            </w:r>
          </w:p>
        </w:tc>
        <w:tc>
          <w:tcPr>
            <w:tcW w:w="380" w:type="dxa"/>
            <w:vAlign w:val="bottom"/>
            <w:tcBorders>
              <w:bottom w:val="single" w:sz="8" w:color="auto"/>
            </w:tcBorders>
          </w:tcPr>
          <w:p>
            <w:pPr>
              <w:jc w:val="right"/>
              <w:ind w:right="110"/>
              <w:spacing w:after="0"/>
              <w:rPr>
                <w:sz w:val="20"/>
                <w:szCs w:val="20"/>
                <w:color w:val="auto"/>
              </w:rPr>
            </w:pPr>
            <w:r>
              <w:rPr>
                <w:rFonts w:ascii="Arial" w:cs="Arial" w:eastAsia="Arial" w:hAnsi="Arial"/>
                <w:sz w:val="18"/>
                <w:szCs w:val="18"/>
                <w:color w:val="auto"/>
              </w:rPr>
              <w:t>$</w:t>
            </w:r>
          </w:p>
        </w:tc>
        <w:tc>
          <w:tcPr>
            <w:tcW w:w="118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21.5</w:t>
            </w:r>
          </w:p>
        </w:tc>
        <w:tc>
          <w:tcPr>
            <w:tcW w:w="0" w:type="dxa"/>
            <w:vAlign w:val="bottom"/>
          </w:tcPr>
          <w:p>
            <w:pPr>
              <w:spacing w:after="0"/>
              <w:rPr>
                <w:sz w:val="1"/>
                <w:szCs w:val="1"/>
                <w:color w:val="auto"/>
              </w:rPr>
            </w:pPr>
          </w:p>
        </w:tc>
      </w:tr>
    </w:tbl>
    <w:p>
      <w:pPr>
        <w:spacing w:after="0" w:line="62" w:lineRule="exact"/>
        <w:rPr>
          <w:sz w:val="20"/>
          <w:szCs w:val="20"/>
          <w:color w:val="auto"/>
        </w:rPr>
      </w:pPr>
    </w:p>
    <w:p>
      <w:pPr>
        <w:spacing w:after="0"/>
        <w:rPr>
          <w:sz w:val="20"/>
          <w:szCs w:val="20"/>
          <w:color w:val="auto"/>
        </w:rPr>
      </w:pPr>
      <w:r>
        <w:rPr>
          <w:rFonts w:ascii="Arial" w:cs="Arial" w:eastAsia="Arial" w:hAnsi="Arial"/>
          <w:sz w:val="14"/>
          <w:szCs w:val="14"/>
          <w:color w:val="auto"/>
        </w:rPr>
        <w:t>See accompanying Notes to the Unaudited Consolidated Financial Statements.</w:t>
      </w:r>
    </w:p>
    <w:p>
      <w:pPr>
        <w:spacing w:after="0" w:line="14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F-24</w:t>
      </w:r>
    </w:p>
    <w:p>
      <w:pPr>
        <w:sectPr>
          <w:pgSz w:w="11900" w:h="16838" w:orient="portrait"/>
          <w:cols w:equalWidth="0" w:num="1">
            <w:col w:w="11420"/>
          </w:cols>
          <w:pgMar w:left="240" w:top="459" w:right="239" w:bottom="1440" w:gutter="0" w:footer="0" w:header="0"/>
        </w:sectPr>
      </w:pPr>
    </w:p>
    <w:bookmarkStart w:id="131" w:name="page132"/>
    <w:bookmarkEnd w:id="13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59">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1" w:lineRule="exact"/>
        <w:rPr>
          <w:sz w:val="20"/>
          <w:szCs w:val="20"/>
          <w:color w:val="auto"/>
        </w:rPr>
      </w:pPr>
    </w:p>
    <w:p>
      <w:pPr>
        <w:jc w:val="center"/>
        <w:spacing w:after="0"/>
        <w:rPr>
          <w:sz w:val="20"/>
          <w:szCs w:val="20"/>
          <w:color w:val="auto"/>
        </w:rPr>
      </w:pPr>
      <w:r>
        <w:rPr>
          <w:rFonts w:ascii="Arial" w:cs="Arial" w:eastAsia="Arial" w:hAnsi="Arial"/>
          <w:sz w:val="25"/>
          <w:szCs w:val="25"/>
          <w:b w:val="1"/>
          <w:bCs w:val="1"/>
          <w:color w:val="auto"/>
        </w:rPr>
        <w:t>Consolidated Balance Sheets (Unaudited)</w:t>
      </w:r>
    </w:p>
    <w:p>
      <w:pPr>
        <w:spacing w:after="0" w:line="256" w:lineRule="exact"/>
        <w:rPr>
          <w:sz w:val="20"/>
          <w:szCs w:val="20"/>
          <w:color w:val="auto"/>
        </w:rPr>
      </w:pPr>
    </w:p>
    <w:tbl>
      <w:tblPr>
        <w:tblLayout w:type="fixed"/>
        <w:tblInd w:w="0" w:type="dxa"/>
        <w:tblCellMar>
          <w:top w:w="0" w:type="dxa"/>
          <w:left w:w="0" w:type="dxa"/>
          <w:bottom w:w="0" w:type="dxa"/>
          <w:right w:w="0" w:type="dxa"/>
        </w:tblCellMar>
      </w:tblPr>
      <w:tr>
        <w:trPr>
          <w:trHeight w:val="202"/>
        </w:trPr>
        <w:tc>
          <w:tcPr>
            <w:tcW w:w="20" w:type="dxa"/>
            <w:vAlign w:val="bottom"/>
          </w:tcPr>
          <w:p>
            <w:pPr>
              <w:spacing w:after="0"/>
              <w:rPr>
                <w:sz w:val="17"/>
                <w:szCs w:val="17"/>
                <w:color w:val="auto"/>
              </w:rPr>
            </w:pPr>
          </w:p>
        </w:tc>
        <w:tc>
          <w:tcPr>
            <w:tcW w:w="5940" w:type="dxa"/>
            <w:vAlign w:val="bottom"/>
            <w:tcBorders>
              <w:top w:val="single" w:sz="8" w:color="auto"/>
            </w:tcBorders>
          </w:tcPr>
          <w:p>
            <w:pPr>
              <w:spacing w:after="0"/>
              <w:rPr>
                <w:sz w:val="17"/>
                <w:szCs w:val="17"/>
                <w:color w:val="auto"/>
              </w:rPr>
            </w:pPr>
          </w:p>
        </w:tc>
        <w:tc>
          <w:tcPr>
            <w:tcW w:w="2900" w:type="dxa"/>
            <w:vAlign w:val="bottom"/>
            <w:tcBorders>
              <w:top w:val="single" w:sz="8" w:color="auto"/>
            </w:tcBorders>
          </w:tcPr>
          <w:p>
            <w:pPr>
              <w:spacing w:after="0"/>
              <w:rPr>
                <w:sz w:val="17"/>
                <w:szCs w:val="17"/>
                <w:color w:val="auto"/>
              </w:rPr>
            </w:pPr>
          </w:p>
        </w:tc>
        <w:tc>
          <w:tcPr>
            <w:tcW w:w="1180" w:type="dxa"/>
            <w:vAlign w:val="bottom"/>
            <w:tcBorders>
              <w:top w:val="single" w:sz="8" w:color="auto"/>
            </w:tcBorders>
          </w:tcPr>
          <w:p>
            <w:pPr>
              <w:jc w:val="right"/>
              <w:ind w:right="299"/>
              <w:spacing w:after="0"/>
              <w:rPr>
                <w:sz w:val="20"/>
                <w:szCs w:val="20"/>
                <w:color w:val="auto"/>
              </w:rPr>
            </w:pPr>
            <w:r>
              <w:rPr>
                <w:rFonts w:ascii="Arial" w:cs="Arial" w:eastAsia="Arial" w:hAnsi="Arial"/>
                <w:sz w:val="16"/>
                <w:szCs w:val="16"/>
                <w:b w:val="1"/>
                <w:bCs w:val="1"/>
                <w:color w:val="auto"/>
              </w:rPr>
              <w:t>March 31,</w:t>
            </w:r>
          </w:p>
        </w:tc>
        <w:tc>
          <w:tcPr>
            <w:tcW w:w="180" w:type="dxa"/>
            <w:vAlign w:val="bottom"/>
            <w:tcBorders>
              <w:top w:val="single" w:sz="8" w:color="auto"/>
            </w:tcBorders>
          </w:tcPr>
          <w:p>
            <w:pPr>
              <w:spacing w:after="0"/>
              <w:rPr>
                <w:sz w:val="17"/>
                <w:szCs w:val="17"/>
                <w:color w:val="auto"/>
              </w:rPr>
            </w:pPr>
          </w:p>
        </w:tc>
        <w:tc>
          <w:tcPr>
            <w:tcW w:w="1200" w:type="dxa"/>
            <w:vAlign w:val="bottom"/>
            <w:tcBorders>
              <w:top w:val="single" w:sz="8" w:color="auto"/>
            </w:tcBorders>
          </w:tcPr>
          <w:p>
            <w:pPr>
              <w:jc w:val="right"/>
              <w:ind w:right="159"/>
              <w:spacing w:after="0"/>
              <w:rPr>
                <w:sz w:val="20"/>
                <w:szCs w:val="20"/>
                <w:color w:val="auto"/>
              </w:rPr>
            </w:pPr>
            <w:r>
              <w:rPr>
                <w:rFonts w:ascii="Arial" w:cs="Arial" w:eastAsia="Arial" w:hAnsi="Arial"/>
                <w:sz w:val="16"/>
                <w:szCs w:val="16"/>
                <w:color w:val="auto"/>
                <w:w w:val="93"/>
              </w:rPr>
              <w:t>December 31,</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5940" w:type="dxa"/>
            <w:vAlign w:val="bottom"/>
            <w:tcBorders>
              <w:bottom w:val="single" w:sz="8" w:color="auto"/>
            </w:tcBorders>
          </w:tcPr>
          <w:p>
            <w:pPr>
              <w:spacing w:after="0"/>
              <w:rPr>
                <w:sz w:val="19"/>
                <w:szCs w:val="19"/>
                <w:color w:val="auto"/>
              </w:rPr>
            </w:pPr>
          </w:p>
        </w:tc>
        <w:tc>
          <w:tcPr>
            <w:tcW w:w="2900" w:type="dxa"/>
            <w:vAlign w:val="bottom"/>
            <w:tcBorders>
              <w:bottom w:val="single" w:sz="8" w:color="auto"/>
            </w:tcBorders>
          </w:tcPr>
          <w:p>
            <w:pPr>
              <w:spacing w:after="0"/>
              <w:rPr>
                <w:sz w:val="19"/>
                <w:szCs w:val="19"/>
                <w:color w:val="auto"/>
              </w:rPr>
            </w:pPr>
          </w:p>
        </w:tc>
        <w:tc>
          <w:tcPr>
            <w:tcW w:w="1180" w:type="dxa"/>
            <w:vAlign w:val="bottom"/>
            <w:tcBorders>
              <w:bottom w:val="single" w:sz="8" w:color="auto"/>
            </w:tcBorders>
          </w:tcPr>
          <w:p>
            <w:pPr>
              <w:jc w:val="right"/>
              <w:ind w:right="499"/>
              <w:spacing w:after="0"/>
              <w:rPr>
                <w:sz w:val="20"/>
                <w:szCs w:val="20"/>
                <w:color w:val="auto"/>
              </w:rPr>
            </w:pPr>
            <w:r>
              <w:rPr>
                <w:rFonts w:ascii="Arial" w:cs="Arial" w:eastAsia="Arial" w:hAnsi="Arial"/>
                <w:sz w:val="16"/>
                <w:szCs w:val="16"/>
                <w:b w:val="1"/>
                <w:bCs w:val="1"/>
                <w:color w:val="auto"/>
              </w:rPr>
              <w:t>2014</w:t>
            </w:r>
          </w:p>
        </w:tc>
        <w:tc>
          <w:tcPr>
            <w:tcW w:w="180" w:type="dxa"/>
            <w:vAlign w:val="bottom"/>
            <w:tcBorders>
              <w:bottom w:val="single" w:sz="8" w:color="auto"/>
            </w:tcBorders>
          </w:tcPr>
          <w:p>
            <w:pPr>
              <w:spacing w:after="0"/>
              <w:rPr>
                <w:sz w:val="19"/>
                <w:szCs w:val="19"/>
                <w:color w:val="auto"/>
              </w:rPr>
            </w:pPr>
          </w:p>
        </w:tc>
        <w:tc>
          <w:tcPr>
            <w:tcW w:w="1200" w:type="dxa"/>
            <w:vAlign w:val="bottom"/>
            <w:tcBorders>
              <w:bottom w:val="single" w:sz="8" w:color="auto"/>
            </w:tcBorders>
          </w:tcPr>
          <w:p>
            <w:pPr>
              <w:jc w:val="right"/>
              <w:ind w:right="459"/>
              <w:spacing w:after="0"/>
              <w:rPr>
                <w:sz w:val="20"/>
                <w:szCs w:val="20"/>
                <w:color w:val="auto"/>
              </w:rPr>
            </w:pPr>
            <w:r>
              <w:rPr>
                <w:rFonts w:ascii="Arial" w:cs="Arial" w:eastAsia="Arial" w:hAnsi="Arial"/>
                <w:sz w:val="16"/>
                <w:szCs w:val="16"/>
                <w:color w:val="auto"/>
              </w:rPr>
              <w:t>2013</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94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(Dollars in millions)</w:t>
            </w:r>
          </w:p>
        </w:tc>
        <w:tc>
          <w:tcPr>
            <w:tcW w:w="2900" w:type="dxa"/>
            <w:vAlign w:val="bottom"/>
            <w:shd w:val="clear" w:color="auto" w:fill="CCEEFF"/>
          </w:tcPr>
          <w:p>
            <w:pPr>
              <w:spacing w:after="0"/>
              <w:rPr>
                <w:sz w:val="12"/>
                <w:szCs w:val="12"/>
                <w:color w:val="auto"/>
              </w:rPr>
            </w:pPr>
          </w:p>
        </w:tc>
        <w:tc>
          <w:tcPr>
            <w:tcW w:w="118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120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940" w:type="dxa"/>
            <w:vAlign w:val="bottom"/>
          </w:tcPr>
          <w:p>
            <w:pPr>
              <w:spacing w:after="0"/>
              <w:rPr>
                <w:sz w:val="20"/>
                <w:szCs w:val="20"/>
                <w:color w:val="auto"/>
              </w:rPr>
            </w:pPr>
            <w:r>
              <w:rPr>
                <w:rFonts w:ascii="Arial" w:cs="Arial" w:eastAsia="Arial" w:hAnsi="Arial"/>
                <w:sz w:val="16"/>
                <w:szCs w:val="16"/>
                <w:b w:val="1"/>
                <w:bCs w:val="1"/>
                <w:color w:val="auto"/>
              </w:rPr>
              <w:t>ASSETS</w:t>
            </w:r>
          </w:p>
        </w:tc>
        <w:tc>
          <w:tcPr>
            <w:tcW w:w="2900" w:type="dxa"/>
            <w:vAlign w:val="bottom"/>
          </w:tcPr>
          <w:p>
            <w:pPr>
              <w:spacing w:after="0"/>
              <w:rPr>
                <w:sz w:val="17"/>
                <w:szCs w:val="17"/>
                <w:color w:val="auto"/>
              </w:rPr>
            </w:pPr>
          </w:p>
        </w:tc>
        <w:tc>
          <w:tcPr>
            <w:tcW w:w="11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940" w:type="dxa"/>
            <w:vAlign w:val="bottom"/>
            <w:shd w:val="clear" w:color="auto" w:fill="CCEEFF"/>
          </w:tcPr>
          <w:p>
            <w:pPr>
              <w:spacing w:after="0"/>
              <w:rPr>
                <w:sz w:val="20"/>
                <w:szCs w:val="20"/>
                <w:color w:val="auto"/>
              </w:rPr>
            </w:pPr>
            <w:r>
              <w:rPr>
                <w:rFonts w:ascii="Arial" w:cs="Arial" w:eastAsia="Arial" w:hAnsi="Arial"/>
                <w:sz w:val="16"/>
                <w:szCs w:val="16"/>
                <w:b w:val="1"/>
                <w:bCs w:val="1"/>
                <w:color w:val="auto"/>
              </w:rPr>
              <w:t>Current Assets</w:t>
            </w:r>
          </w:p>
        </w:tc>
        <w:tc>
          <w:tcPr>
            <w:tcW w:w="2900" w:type="dxa"/>
            <w:vAlign w:val="bottom"/>
            <w:shd w:val="clear" w:color="auto" w:fill="CCEEFF"/>
          </w:tcPr>
          <w:p>
            <w:pPr>
              <w:spacing w:after="0"/>
              <w:rPr>
                <w:sz w:val="17"/>
                <w:szCs w:val="17"/>
                <w:color w:val="auto"/>
              </w:rPr>
            </w:pPr>
          </w:p>
        </w:tc>
        <w:tc>
          <w:tcPr>
            <w:tcW w:w="11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2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940" w:type="dxa"/>
            <w:vAlign w:val="bottom"/>
          </w:tcPr>
          <w:p>
            <w:pPr>
              <w:ind w:left="320"/>
              <w:spacing w:after="0"/>
              <w:rPr>
                <w:sz w:val="20"/>
                <w:szCs w:val="20"/>
                <w:color w:val="auto"/>
              </w:rPr>
            </w:pPr>
            <w:r>
              <w:rPr>
                <w:rFonts w:ascii="Arial" w:cs="Arial" w:eastAsia="Arial" w:hAnsi="Arial"/>
                <w:sz w:val="16"/>
                <w:szCs w:val="16"/>
                <w:color w:val="auto"/>
              </w:rPr>
              <w:t>Cash and cash equivalents</w:t>
            </w:r>
          </w:p>
        </w:tc>
        <w:tc>
          <w:tcPr>
            <w:tcW w:w="2900" w:type="dxa"/>
            <w:vAlign w:val="bottom"/>
          </w:tcPr>
          <w:p>
            <w:pPr>
              <w:jc w:val="right"/>
              <w:spacing w:after="0"/>
              <w:rPr>
                <w:sz w:val="20"/>
                <w:szCs w:val="20"/>
                <w:color w:val="auto"/>
              </w:rPr>
            </w:pPr>
            <w:r>
              <w:rPr>
                <w:rFonts w:ascii="Arial" w:cs="Arial" w:eastAsia="Arial" w:hAnsi="Arial"/>
                <w:sz w:val="16"/>
                <w:szCs w:val="16"/>
                <w:b w:val="1"/>
                <w:bCs w:val="1"/>
                <w:color w:val="auto"/>
              </w:rPr>
              <w:t>$</w:t>
            </w:r>
          </w:p>
        </w:tc>
        <w:tc>
          <w:tcPr>
            <w:tcW w:w="1180" w:type="dxa"/>
            <w:vAlign w:val="bottom"/>
          </w:tcPr>
          <w:p>
            <w:pPr>
              <w:jc w:val="right"/>
              <w:ind w:right="59"/>
              <w:spacing w:after="0"/>
              <w:rPr>
                <w:sz w:val="20"/>
                <w:szCs w:val="20"/>
                <w:color w:val="auto"/>
              </w:rPr>
            </w:pPr>
            <w:r>
              <w:rPr>
                <w:rFonts w:ascii="Arial" w:cs="Arial" w:eastAsia="Arial" w:hAnsi="Arial"/>
                <w:sz w:val="16"/>
                <w:szCs w:val="16"/>
                <w:b w:val="1"/>
                <w:bCs w:val="1"/>
                <w:color w:val="auto"/>
              </w:rPr>
              <w:t>—</w:t>
            </w:r>
          </w:p>
        </w:tc>
        <w:tc>
          <w:tcPr>
            <w:tcW w:w="180" w:type="dxa"/>
            <w:vAlign w:val="bottom"/>
          </w:tcPr>
          <w:p>
            <w:pPr>
              <w:jc w:val="right"/>
              <w:spacing w:after="0"/>
              <w:rPr>
                <w:sz w:val="20"/>
                <w:szCs w:val="20"/>
                <w:color w:val="auto"/>
              </w:rPr>
            </w:pPr>
            <w:r>
              <w:rPr>
                <w:rFonts w:ascii="Arial" w:cs="Arial" w:eastAsia="Arial" w:hAnsi="Arial"/>
                <w:sz w:val="16"/>
                <w:szCs w:val="16"/>
                <w:color w:val="auto"/>
              </w:rPr>
              <w:t>$</w:t>
            </w:r>
          </w:p>
        </w:tc>
        <w:tc>
          <w:tcPr>
            <w:tcW w:w="120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940" w:type="dxa"/>
            <w:vAlign w:val="bottom"/>
            <w:shd w:val="clear" w:color="auto" w:fill="CCEEFF"/>
          </w:tcPr>
          <w:p>
            <w:pPr>
              <w:ind w:left="320"/>
              <w:spacing w:after="0"/>
              <w:rPr>
                <w:sz w:val="20"/>
                <w:szCs w:val="20"/>
                <w:color w:val="auto"/>
              </w:rPr>
            </w:pPr>
            <w:r>
              <w:rPr>
                <w:rFonts w:ascii="Arial" w:cs="Arial" w:eastAsia="Arial" w:hAnsi="Arial"/>
                <w:sz w:val="16"/>
                <w:szCs w:val="16"/>
                <w:color w:val="auto"/>
              </w:rPr>
              <w:t>Accounts receivable, net of allowances</w:t>
            </w:r>
          </w:p>
        </w:tc>
        <w:tc>
          <w:tcPr>
            <w:tcW w:w="2900" w:type="dxa"/>
            <w:vAlign w:val="bottom"/>
            <w:shd w:val="clear" w:color="auto" w:fill="CCEEFF"/>
          </w:tcPr>
          <w:p>
            <w:pPr>
              <w:spacing w:after="0"/>
              <w:rPr>
                <w:sz w:val="17"/>
                <w:szCs w:val="17"/>
                <w:color w:val="auto"/>
              </w:rPr>
            </w:pPr>
          </w:p>
        </w:tc>
        <w:tc>
          <w:tcPr>
            <w:tcW w:w="1180" w:type="dxa"/>
            <w:vAlign w:val="bottom"/>
            <w:shd w:val="clear" w:color="auto" w:fill="CCEEFF"/>
          </w:tcPr>
          <w:p>
            <w:pPr>
              <w:jc w:val="right"/>
              <w:ind w:right="59"/>
              <w:spacing w:after="0"/>
              <w:rPr>
                <w:sz w:val="20"/>
                <w:szCs w:val="20"/>
                <w:color w:val="auto"/>
              </w:rPr>
            </w:pPr>
            <w:r>
              <w:rPr>
                <w:rFonts w:ascii="Arial" w:cs="Arial" w:eastAsia="Arial" w:hAnsi="Arial"/>
                <w:sz w:val="16"/>
                <w:szCs w:val="16"/>
                <w:b w:val="1"/>
                <w:bCs w:val="1"/>
                <w:color w:val="auto"/>
              </w:rPr>
              <w:t>150.0</w:t>
            </w:r>
          </w:p>
        </w:tc>
        <w:tc>
          <w:tcPr>
            <w:tcW w:w="180" w:type="dxa"/>
            <w:vAlign w:val="bottom"/>
            <w:shd w:val="clear" w:color="auto" w:fill="CCEEFF"/>
          </w:tcPr>
          <w:p>
            <w:pPr>
              <w:spacing w:after="0"/>
              <w:rPr>
                <w:sz w:val="17"/>
                <w:szCs w:val="17"/>
                <w:color w:val="auto"/>
              </w:rPr>
            </w:pPr>
          </w:p>
        </w:tc>
        <w:tc>
          <w:tcPr>
            <w:tcW w:w="1200" w:type="dxa"/>
            <w:vAlign w:val="bottom"/>
            <w:shd w:val="clear" w:color="auto" w:fill="CCEEFF"/>
          </w:tcPr>
          <w:p>
            <w:pPr>
              <w:jc w:val="right"/>
              <w:ind w:right="19"/>
              <w:spacing w:after="0"/>
              <w:rPr>
                <w:sz w:val="20"/>
                <w:szCs w:val="20"/>
                <w:color w:val="auto"/>
              </w:rPr>
            </w:pPr>
            <w:r>
              <w:rPr>
                <w:rFonts w:ascii="Arial" w:cs="Arial" w:eastAsia="Arial" w:hAnsi="Arial"/>
                <w:sz w:val="16"/>
                <w:szCs w:val="16"/>
                <w:color w:val="auto"/>
              </w:rPr>
              <w:t>122.7</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940" w:type="dxa"/>
            <w:vAlign w:val="bottom"/>
          </w:tcPr>
          <w:p>
            <w:pPr>
              <w:ind w:left="640"/>
              <w:spacing w:after="0"/>
              <w:rPr>
                <w:sz w:val="20"/>
                <w:szCs w:val="20"/>
                <w:color w:val="auto"/>
              </w:rPr>
            </w:pPr>
            <w:r>
              <w:rPr>
                <w:rFonts w:ascii="Arial" w:cs="Arial" w:eastAsia="Arial" w:hAnsi="Arial"/>
                <w:sz w:val="16"/>
                <w:szCs w:val="16"/>
                <w:color w:val="auto"/>
              </w:rPr>
              <w:t>2014 - $0.3 million; 2013 - $0.2 million</w:t>
            </w:r>
          </w:p>
        </w:tc>
        <w:tc>
          <w:tcPr>
            <w:tcW w:w="2900" w:type="dxa"/>
            <w:vAlign w:val="bottom"/>
          </w:tcPr>
          <w:p>
            <w:pPr>
              <w:spacing w:after="0"/>
              <w:rPr>
                <w:sz w:val="17"/>
                <w:szCs w:val="17"/>
                <w:color w:val="auto"/>
              </w:rPr>
            </w:pPr>
          </w:p>
        </w:tc>
        <w:tc>
          <w:tcPr>
            <w:tcW w:w="11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940" w:type="dxa"/>
            <w:vAlign w:val="bottom"/>
            <w:shd w:val="clear" w:color="auto" w:fill="CCEEFF"/>
          </w:tcPr>
          <w:p>
            <w:pPr>
              <w:ind w:left="320"/>
              <w:spacing w:after="0"/>
              <w:rPr>
                <w:sz w:val="20"/>
                <w:szCs w:val="20"/>
                <w:color w:val="auto"/>
              </w:rPr>
            </w:pPr>
            <w:r>
              <w:rPr>
                <w:rFonts w:ascii="Arial" w:cs="Arial" w:eastAsia="Arial" w:hAnsi="Arial"/>
                <w:sz w:val="16"/>
                <w:szCs w:val="16"/>
                <w:color w:val="auto"/>
              </w:rPr>
              <w:t>Accounts receivable due from related party</w:t>
            </w:r>
          </w:p>
        </w:tc>
        <w:tc>
          <w:tcPr>
            <w:tcW w:w="2900" w:type="dxa"/>
            <w:vAlign w:val="bottom"/>
            <w:shd w:val="clear" w:color="auto" w:fill="CCEEFF"/>
          </w:tcPr>
          <w:p>
            <w:pPr>
              <w:spacing w:after="0"/>
              <w:rPr>
                <w:sz w:val="17"/>
                <w:szCs w:val="17"/>
                <w:color w:val="auto"/>
              </w:rPr>
            </w:pPr>
          </w:p>
        </w:tc>
        <w:tc>
          <w:tcPr>
            <w:tcW w:w="1180" w:type="dxa"/>
            <w:vAlign w:val="bottom"/>
            <w:shd w:val="clear" w:color="auto" w:fill="CCEEFF"/>
          </w:tcPr>
          <w:p>
            <w:pPr>
              <w:jc w:val="right"/>
              <w:ind w:right="59"/>
              <w:spacing w:after="0"/>
              <w:rPr>
                <w:sz w:val="20"/>
                <w:szCs w:val="20"/>
                <w:color w:val="auto"/>
              </w:rPr>
            </w:pPr>
            <w:r>
              <w:rPr>
                <w:rFonts w:ascii="Arial" w:cs="Arial" w:eastAsia="Arial" w:hAnsi="Arial"/>
                <w:sz w:val="16"/>
                <w:szCs w:val="16"/>
                <w:b w:val="1"/>
                <w:bCs w:val="1"/>
                <w:color w:val="auto"/>
              </w:rPr>
              <w:t>28.5</w:t>
            </w:r>
          </w:p>
        </w:tc>
        <w:tc>
          <w:tcPr>
            <w:tcW w:w="180" w:type="dxa"/>
            <w:vAlign w:val="bottom"/>
            <w:shd w:val="clear" w:color="auto" w:fill="CCEEFF"/>
          </w:tcPr>
          <w:p>
            <w:pPr>
              <w:spacing w:after="0"/>
              <w:rPr>
                <w:sz w:val="17"/>
                <w:szCs w:val="17"/>
                <w:color w:val="auto"/>
              </w:rPr>
            </w:pPr>
          </w:p>
        </w:tc>
        <w:tc>
          <w:tcPr>
            <w:tcW w:w="1200" w:type="dxa"/>
            <w:vAlign w:val="bottom"/>
            <w:shd w:val="clear" w:color="auto" w:fill="CCEEFF"/>
          </w:tcPr>
          <w:p>
            <w:pPr>
              <w:jc w:val="right"/>
              <w:ind w:right="19"/>
              <w:spacing w:after="0"/>
              <w:rPr>
                <w:sz w:val="20"/>
                <w:szCs w:val="20"/>
                <w:color w:val="auto"/>
              </w:rPr>
            </w:pPr>
            <w:r>
              <w:rPr>
                <w:rFonts w:ascii="Arial" w:cs="Arial" w:eastAsia="Arial" w:hAnsi="Arial"/>
                <w:sz w:val="16"/>
                <w:szCs w:val="16"/>
                <w:color w:val="auto"/>
              </w:rPr>
              <w:t>26.7</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940" w:type="dxa"/>
            <w:vAlign w:val="bottom"/>
          </w:tcPr>
          <w:p>
            <w:pPr>
              <w:ind w:left="320"/>
              <w:spacing w:after="0"/>
              <w:rPr>
                <w:sz w:val="20"/>
                <w:szCs w:val="20"/>
                <w:color w:val="auto"/>
              </w:rPr>
            </w:pPr>
            <w:r>
              <w:rPr>
                <w:rFonts w:ascii="Arial" w:cs="Arial" w:eastAsia="Arial" w:hAnsi="Arial"/>
                <w:sz w:val="16"/>
                <w:szCs w:val="16"/>
                <w:color w:val="auto"/>
              </w:rPr>
              <w:t>Inventories, net</w:t>
            </w:r>
          </w:p>
        </w:tc>
        <w:tc>
          <w:tcPr>
            <w:tcW w:w="2900" w:type="dxa"/>
            <w:vAlign w:val="bottom"/>
          </w:tcPr>
          <w:p>
            <w:pPr>
              <w:spacing w:after="0"/>
              <w:rPr>
                <w:sz w:val="17"/>
                <w:szCs w:val="17"/>
                <w:color w:val="auto"/>
              </w:rPr>
            </w:pPr>
          </w:p>
        </w:tc>
        <w:tc>
          <w:tcPr>
            <w:tcW w:w="1180" w:type="dxa"/>
            <w:vAlign w:val="bottom"/>
          </w:tcPr>
          <w:p>
            <w:pPr>
              <w:jc w:val="right"/>
              <w:ind w:right="59"/>
              <w:spacing w:after="0"/>
              <w:rPr>
                <w:sz w:val="20"/>
                <w:szCs w:val="20"/>
                <w:color w:val="auto"/>
              </w:rPr>
            </w:pPr>
            <w:r>
              <w:rPr>
                <w:rFonts w:ascii="Arial" w:cs="Arial" w:eastAsia="Arial" w:hAnsi="Arial"/>
                <w:sz w:val="16"/>
                <w:szCs w:val="16"/>
                <w:b w:val="1"/>
                <w:bCs w:val="1"/>
                <w:color w:val="auto"/>
              </w:rPr>
              <w:t>229.3</w:t>
            </w:r>
          </w:p>
        </w:tc>
        <w:tc>
          <w:tcPr>
            <w:tcW w:w="180" w:type="dxa"/>
            <w:vAlign w:val="bottom"/>
          </w:tcPr>
          <w:p>
            <w:pPr>
              <w:spacing w:after="0"/>
              <w:rPr>
                <w:sz w:val="17"/>
                <w:szCs w:val="17"/>
                <w:color w:val="auto"/>
              </w:rPr>
            </w:pPr>
          </w:p>
        </w:tc>
        <w:tc>
          <w:tcPr>
            <w:tcW w:w="1200" w:type="dxa"/>
            <w:vAlign w:val="bottom"/>
          </w:tcPr>
          <w:p>
            <w:pPr>
              <w:jc w:val="right"/>
              <w:ind w:right="19"/>
              <w:spacing w:after="0"/>
              <w:rPr>
                <w:sz w:val="20"/>
                <w:szCs w:val="20"/>
                <w:color w:val="auto"/>
              </w:rPr>
            </w:pPr>
            <w:r>
              <w:rPr>
                <w:rFonts w:ascii="Arial" w:cs="Arial" w:eastAsia="Arial" w:hAnsi="Arial"/>
                <w:sz w:val="16"/>
                <w:szCs w:val="16"/>
                <w:color w:val="auto"/>
              </w:rPr>
              <w:t>227.0</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940" w:type="dxa"/>
            <w:vAlign w:val="bottom"/>
            <w:shd w:val="clear" w:color="auto" w:fill="CCEEFF"/>
          </w:tcPr>
          <w:p>
            <w:pPr>
              <w:ind w:left="320"/>
              <w:spacing w:after="0"/>
              <w:rPr>
                <w:sz w:val="20"/>
                <w:szCs w:val="20"/>
                <w:color w:val="auto"/>
              </w:rPr>
            </w:pPr>
            <w:r>
              <w:rPr>
                <w:rFonts w:ascii="Arial" w:cs="Arial" w:eastAsia="Arial" w:hAnsi="Arial"/>
                <w:sz w:val="16"/>
                <w:szCs w:val="16"/>
                <w:color w:val="auto"/>
              </w:rPr>
              <w:t>Deferred income taxes</w:t>
            </w:r>
          </w:p>
        </w:tc>
        <w:tc>
          <w:tcPr>
            <w:tcW w:w="2900" w:type="dxa"/>
            <w:vAlign w:val="bottom"/>
            <w:shd w:val="clear" w:color="auto" w:fill="CCEEFF"/>
          </w:tcPr>
          <w:p>
            <w:pPr>
              <w:spacing w:after="0"/>
              <w:rPr>
                <w:sz w:val="17"/>
                <w:szCs w:val="17"/>
                <w:color w:val="auto"/>
              </w:rPr>
            </w:pPr>
          </w:p>
        </w:tc>
        <w:tc>
          <w:tcPr>
            <w:tcW w:w="1180" w:type="dxa"/>
            <w:vAlign w:val="bottom"/>
            <w:shd w:val="clear" w:color="auto" w:fill="CCEEFF"/>
          </w:tcPr>
          <w:p>
            <w:pPr>
              <w:jc w:val="right"/>
              <w:ind w:right="59"/>
              <w:spacing w:after="0"/>
              <w:rPr>
                <w:sz w:val="20"/>
                <w:szCs w:val="20"/>
                <w:color w:val="auto"/>
              </w:rPr>
            </w:pPr>
            <w:r>
              <w:rPr>
                <w:rFonts w:ascii="Arial" w:cs="Arial" w:eastAsia="Arial" w:hAnsi="Arial"/>
                <w:sz w:val="16"/>
                <w:szCs w:val="16"/>
                <w:b w:val="1"/>
                <w:bCs w:val="1"/>
                <w:color w:val="auto"/>
              </w:rPr>
              <w:t>1.7</w:t>
            </w:r>
          </w:p>
        </w:tc>
        <w:tc>
          <w:tcPr>
            <w:tcW w:w="180" w:type="dxa"/>
            <w:vAlign w:val="bottom"/>
            <w:shd w:val="clear" w:color="auto" w:fill="CCEEFF"/>
          </w:tcPr>
          <w:p>
            <w:pPr>
              <w:spacing w:after="0"/>
              <w:rPr>
                <w:sz w:val="17"/>
                <w:szCs w:val="17"/>
                <w:color w:val="auto"/>
              </w:rPr>
            </w:pPr>
          </w:p>
        </w:tc>
        <w:tc>
          <w:tcPr>
            <w:tcW w:w="1200" w:type="dxa"/>
            <w:vAlign w:val="bottom"/>
            <w:shd w:val="clear" w:color="auto" w:fill="CCEEFF"/>
          </w:tcPr>
          <w:p>
            <w:pPr>
              <w:jc w:val="right"/>
              <w:ind w:right="19"/>
              <w:spacing w:after="0"/>
              <w:rPr>
                <w:sz w:val="20"/>
                <w:szCs w:val="20"/>
                <w:color w:val="auto"/>
              </w:rPr>
            </w:pPr>
            <w:r>
              <w:rPr>
                <w:rFonts w:ascii="Arial" w:cs="Arial" w:eastAsia="Arial" w:hAnsi="Arial"/>
                <w:sz w:val="16"/>
                <w:szCs w:val="16"/>
                <w:color w:val="auto"/>
              </w:rPr>
              <w:t>1.7</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940" w:type="dxa"/>
            <w:vAlign w:val="bottom"/>
          </w:tcPr>
          <w:p>
            <w:pPr>
              <w:ind w:left="320"/>
              <w:spacing w:after="0"/>
              <w:rPr>
                <w:sz w:val="20"/>
                <w:szCs w:val="20"/>
                <w:color w:val="auto"/>
              </w:rPr>
            </w:pPr>
            <w:r>
              <w:rPr>
                <w:rFonts w:ascii="Arial" w:cs="Arial" w:eastAsia="Arial" w:hAnsi="Arial"/>
                <w:sz w:val="16"/>
                <w:szCs w:val="16"/>
                <w:color w:val="auto"/>
              </w:rPr>
              <w:t>Deferred charges and prepaid expenses</w:t>
            </w:r>
          </w:p>
        </w:tc>
        <w:tc>
          <w:tcPr>
            <w:tcW w:w="2900" w:type="dxa"/>
            <w:vAlign w:val="bottom"/>
          </w:tcPr>
          <w:p>
            <w:pPr>
              <w:spacing w:after="0"/>
              <w:rPr>
                <w:sz w:val="17"/>
                <w:szCs w:val="17"/>
                <w:color w:val="auto"/>
              </w:rPr>
            </w:pPr>
          </w:p>
        </w:tc>
        <w:tc>
          <w:tcPr>
            <w:tcW w:w="1180" w:type="dxa"/>
            <w:vAlign w:val="bottom"/>
          </w:tcPr>
          <w:p>
            <w:pPr>
              <w:jc w:val="right"/>
              <w:ind w:right="59"/>
              <w:spacing w:after="0"/>
              <w:rPr>
                <w:sz w:val="20"/>
                <w:szCs w:val="20"/>
                <w:color w:val="auto"/>
              </w:rPr>
            </w:pPr>
            <w:r>
              <w:rPr>
                <w:rFonts w:ascii="Arial" w:cs="Arial" w:eastAsia="Arial" w:hAnsi="Arial"/>
                <w:sz w:val="16"/>
                <w:szCs w:val="16"/>
                <w:b w:val="1"/>
                <w:bCs w:val="1"/>
                <w:color w:val="auto"/>
              </w:rPr>
              <w:t>0.7</w:t>
            </w:r>
          </w:p>
        </w:tc>
        <w:tc>
          <w:tcPr>
            <w:tcW w:w="180" w:type="dxa"/>
            <w:vAlign w:val="bottom"/>
          </w:tcPr>
          <w:p>
            <w:pPr>
              <w:spacing w:after="0"/>
              <w:rPr>
                <w:sz w:val="17"/>
                <w:szCs w:val="17"/>
                <w:color w:val="auto"/>
              </w:rPr>
            </w:pPr>
          </w:p>
        </w:tc>
        <w:tc>
          <w:tcPr>
            <w:tcW w:w="1200" w:type="dxa"/>
            <w:vAlign w:val="bottom"/>
          </w:tcPr>
          <w:p>
            <w:pPr>
              <w:jc w:val="right"/>
              <w:ind w:right="19"/>
              <w:spacing w:after="0"/>
              <w:rPr>
                <w:sz w:val="20"/>
                <w:szCs w:val="20"/>
                <w:color w:val="auto"/>
              </w:rPr>
            </w:pPr>
            <w:r>
              <w:rPr>
                <w:rFonts w:ascii="Arial" w:cs="Arial" w:eastAsia="Arial" w:hAnsi="Arial"/>
                <w:sz w:val="16"/>
                <w:szCs w:val="16"/>
                <w:color w:val="auto"/>
              </w:rPr>
              <w:t>0.8</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940" w:type="dxa"/>
            <w:vAlign w:val="bottom"/>
            <w:tcBorders>
              <w:bottom w:val="single" w:sz="8" w:color="auto"/>
            </w:tcBorders>
            <w:shd w:val="clear" w:color="auto" w:fill="CCEEFF"/>
          </w:tcPr>
          <w:p>
            <w:pPr>
              <w:ind w:left="320"/>
              <w:spacing w:after="0"/>
              <w:rPr>
                <w:sz w:val="20"/>
                <w:szCs w:val="20"/>
                <w:color w:val="auto"/>
              </w:rPr>
            </w:pPr>
            <w:r>
              <w:rPr>
                <w:rFonts w:ascii="Arial" w:cs="Arial" w:eastAsia="Arial" w:hAnsi="Arial"/>
                <w:sz w:val="16"/>
                <w:szCs w:val="16"/>
                <w:color w:val="auto"/>
              </w:rPr>
              <w:t>Other current assets</w:t>
            </w:r>
          </w:p>
        </w:tc>
        <w:tc>
          <w:tcPr>
            <w:tcW w:w="2900" w:type="dxa"/>
            <w:vAlign w:val="bottom"/>
            <w:tcBorders>
              <w:bottom w:val="single" w:sz="8" w:color="auto"/>
            </w:tcBorders>
            <w:shd w:val="clear" w:color="auto" w:fill="CCEEFF"/>
          </w:tcPr>
          <w:p>
            <w:pPr>
              <w:spacing w:after="0"/>
              <w:rPr>
                <w:sz w:val="17"/>
                <w:szCs w:val="17"/>
                <w:color w:val="auto"/>
              </w:rPr>
            </w:pPr>
          </w:p>
        </w:tc>
        <w:tc>
          <w:tcPr>
            <w:tcW w:w="1180" w:type="dxa"/>
            <w:vAlign w:val="bottom"/>
            <w:tcBorders>
              <w:bottom w:val="single" w:sz="8" w:color="auto"/>
            </w:tcBorders>
            <w:shd w:val="clear" w:color="auto" w:fill="CCEEFF"/>
          </w:tcPr>
          <w:p>
            <w:pPr>
              <w:jc w:val="right"/>
              <w:ind w:right="59"/>
              <w:spacing w:after="0"/>
              <w:rPr>
                <w:sz w:val="20"/>
                <w:szCs w:val="20"/>
                <w:color w:val="auto"/>
              </w:rPr>
            </w:pPr>
            <w:r>
              <w:rPr>
                <w:rFonts w:ascii="Arial" w:cs="Arial" w:eastAsia="Arial" w:hAnsi="Arial"/>
                <w:sz w:val="16"/>
                <w:szCs w:val="16"/>
                <w:b w:val="1"/>
                <w:bCs w:val="1"/>
                <w:color w:val="auto"/>
              </w:rPr>
              <w:t>3.0</w:t>
            </w:r>
          </w:p>
        </w:tc>
        <w:tc>
          <w:tcPr>
            <w:tcW w:w="180" w:type="dxa"/>
            <w:vAlign w:val="bottom"/>
            <w:tcBorders>
              <w:bottom w:val="single" w:sz="8" w:color="auto"/>
            </w:tcBorders>
            <w:shd w:val="clear" w:color="auto" w:fill="CCEEFF"/>
          </w:tcPr>
          <w:p>
            <w:pPr>
              <w:spacing w:after="0"/>
              <w:rPr>
                <w:sz w:val="17"/>
                <w:szCs w:val="17"/>
                <w:color w:val="auto"/>
              </w:rPr>
            </w:pPr>
          </w:p>
        </w:tc>
        <w:tc>
          <w:tcPr>
            <w:tcW w:w="120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4.2</w:t>
            </w:r>
          </w:p>
        </w:tc>
        <w:tc>
          <w:tcPr>
            <w:tcW w:w="0" w:type="dxa"/>
            <w:vAlign w:val="bottom"/>
          </w:tcPr>
          <w:p>
            <w:pPr>
              <w:spacing w:after="0"/>
              <w:rPr>
                <w:sz w:val="1"/>
                <w:szCs w:val="1"/>
                <w:color w:val="auto"/>
              </w:rPr>
            </w:pPr>
          </w:p>
        </w:tc>
      </w:tr>
      <w:tr>
        <w:trPr>
          <w:trHeight w:val="204"/>
        </w:trPr>
        <w:tc>
          <w:tcPr>
            <w:tcW w:w="20" w:type="dxa"/>
            <w:vAlign w:val="bottom"/>
          </w:tcPr>
          <w:p>
            <w:pPr>
              <w:spacing w:after="0"/>
              <w:rPr>
                <w:sz w:val="17"/>
                <w:szCs w:val="17"/>
                <w:color w:val="auto"/>
              </w:rPr>
            </w:pPr>
          </w:p>
        </w:tc>
        <w:tc>
          <w:tcPr>
            <w:tcW w:w="5940" w:type="dxa"/>
            <w:vAlign w:val="bottom"/>
          </w:tcPr>
          <w:p>
            <w:pPr>
              <w:spacing w:after="0"/>
              <w:rPr>
                <w:sz w:val="20"/>
                <w:szCs w:val="20"/>
                <w:color w:val="auto"/>
              </w:rPr>
            </w:pPr>
            <w:r>
              <w:rPr>
                <w:rFonts w:ascii="Arial" w:cs="Arial" w:eastAsia="Arial" w:hAnsi="Arial"/>
                <w:sz w:val="16"/>
                <w:szCs w:val="16"/>
                <w:b w:val="1"/>
                <w:bCs w:val="1"/>
                <w:color w:val="auto"/>
              </w:rPr>
              <w:t>Total Current Assets</w:t>
            </w:r>
          </w:p>
        </w:tc>
        <w:tc>
          <w:tcPr>
            <w:tcW w:w="2900" w:type="dxa"/>
            <w:vAlign w:val="bottom"/>
          </w:tcPr>
          <w:p>
            <w:pPr>
              <w:spacing w:after="0"/>
              <w:rPr>
                <w:sz w:val="17"/>
                <w:szCs w:val="17"/>
                <w:color w:val="auto"/>
              </w:rPr>
            </w:pPr>
          </w:p>
        </w:tc>
        <w:tc>
          <w:tcPr>
            <w:tcW w:w="1180" w:type="dxa"/>
            <w:vAlign w:val="bottom"/>
          </w:tcPr>
          <w:p>
            <w:pPr>
              <w:jc w:val="right"/>
              <w:ind w:right="59"/>
              <w:spacing w:after="0"/>
              <w:rPr>
                <w:sz w:val="20"/>
                <w:szCs w:val="20"/>
                <w:color w:val="auto"/>
              </w:rPr>
            </w:pPr>
            <w:r>
              <w:rPr>
                <w:rFonts w:ascii="Arial" w:cs="Arial" w:eastAsia="Arial" w:hAnsi="Arial"/>
                <w:sz w:val="16"/>
                <w:szCs w:val="16"/>
                <w:b w:val="1"/>
                <w:bCs w:val="1"/>
                <w:color w:val="auto"/>
              </w:rPr>
              <w:t>413.2</w:t>
            </w:r>
          </w:p>
        </w:tc>
        <w:tc>
          <w:tcPr>
            <w:tcW w:w="180" w:type="dxa"/>
            <w:vAlign w:val="bottom"/>
          </w:tcPr>
          <w:p>
            <w:pPr>
              <w:spacing w:after="0"/>
              <w:rPr>
                <w:sz w:val="17"/>
                <w:szCs w:val="17"/>
                <w:color w:val="auto"/>
              </w:rPr>
            </w:pPr>
          </w:p>
        </w:tc>
        <w:tc>
          <w:tcPr>
            <w:tcW w:w="1200" w:type="dxa"/>
            <w:vAlign w:val="bottom"/>
          </w:tcPr>
          <w:p>
            <w:pPr>
              <w:jc w:val="right"/>
              <w:ind w:right="19"/>
              <w:spacing w:after="0"/>
              <w:rPr>
                <w:sz w:val="20"/>
                <w:szCs w:val="20"/>
                <w:color w:val="auto"/>
              </w:rPr>
            </w:pPr>
            <w:r>
              <w:rPr>
                <w:rFonts w:ascii="Arial" w:cs="Arial" w:eastAsia="Arial" w:hAnsi="Arial"/>
                <w:sz w:val="16"/>
                <w:szCs w:val="16"/>
                <w:color w:val="auto"/>
              </w:rPr>
              <w:t>383.1</w:t>
            </w:r>
          </w:p>
        </w:tc>
        <w:tc>
          <w:tcPr>
            <w:tcW w:w="0" w:type="dxa"/>
            <w:vAlign w:val="bottom"/>
          </w:tcPr>
          <w:p>
            <w:pPr>
              <w:spacing w:after="0"/>
              <w:rPr>
                <w:sz w:val="1"/>
                <w:szCs w:val="1"/>
                <w:color w:val="auto"/>
              </w:rPr>
            </w:pPr>
          </w:p>
        </w:tc>
      </w:tr>
      <w:tr>
        <w:trPr>
          <w:trHeight w:val="208"/>
        </w:trPr>
        <w:tc>
          <w:tcPr>
            <w:tcW w:w="20" w:type="dxa"/>
            <w:vAlign w:val="bottom"/>
            <w:vMerge w:val="restart"/>
          </w:tcPr>
          <w:p>
            <w:pPr>
              <w:spacing w:after="0"/>
              <w:rPr>
                <w:sz w:val="18"/>
                <w:szCs w:val="18"/>
                <w:color w:val="auto"/>
              </w:rPr>
            </w:pPr>
          </w:p>
        </w:tc>
        <w:tc>
          <w:tcPr>
            <w:tcW w:w="5940" w:type="dxa"/>
            <w:vAlign w:val="bottom"/>
          </w:tcPr>
          <w:p>
            <w:pPr>
              <w:spacing w:after="0"/>
              <w:rPr>
                <w:sz w:val="18"/>
                <w:szCs w:val="18"/>
                <w:color w:val="auto"/>
              </w:rPr>
            </w:pPr>
          </w:p>
        </w:tc>
        <w:tc>
          <w:tcPr>
            <w:tcW w:w="290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3"/>
        </w:trPr>
        <w:tc>
          <w:tcPr>
            <w:tcW w:w="20" w:type="dxa"/>
            <w:vAlign w:val="bottom"/>
            <w:vMerge w:val="continue"/>
          </w:tcPr>
          <w:p>
            <w:pPr>
              <w:spacing w:after="0"/>
              <w:rPr>
                <w:sz w:val="17"/>
                <w:szCs w:val="17"/>
                <w:color w:val="auto"/>
              </w:rPr>
            </w:pPr>
          </w:p>
        </w:tc>
        <w:tc>
          <w:tcPr>
            <w:tcW w:w="5940" w:type="dxa"/>
            <w:vAlign w:val="bottom"/>
            <w:shd w:val="clear" w:color="auto" w:fill="CCEEFF"/>
          </w:tcPr>
          <w:p>
            <w:pPr>
              <w:spacing w:after="0"/>
              <w:rPr>
                <w:sz w:val="20"/>
                <w:szCs w:val="20"/>
                <w:color w:val="auto"/>
              </w:rPr>
            </w:pPr>
            <w:r>
              <w:rPr>
                <w:rFonts w:ascii="Arial" w:cs="Arial" w:eastAsia="Arial" w:hAnsi="Arial"/>
                <w:sz w:val="16"/>
                <w:szCs w:val="16"/>
                <w:b w:val="1"/>
                <w:bCs w:val="1"/>
                <w:color w:val="auto"/>
              </w:rPr>
              <w:t>Property, Plant and Equipment, Net</w:t>
            </w:r>
          </w:p>
        </w:tc>
        <w:tc>
          <w:tcPr>
            <w:tcW w:w="2900" w:type="dxa"/>
            <w:vAlign w:val="bottom"/>
            <w:shd w:val="clear" w:color="auto" w:fill="CCEEFF"/>
          </w:tcPr>
          <w:p>
            <w:pPr>
              <w:spacing w:after="0"/>
              <w:rPr>
                <w:sz w:val="17"/>
                <w:szCs w:val="17"/>
                <w:color w:val="auto"/>
              </w:rPr>
            </w:pPr>
          </w:p>
        </w:tc>
        <w:tc>
          <w:tcPr>
            <w:tcW w:w="1180" w:type="dxa"/>
            <w:vAlign w:val="bottom"/>
            <w:shd w:val="clear" w:color="auto" w:fill="CCEEFF"/>
          </w:tcPr>
          <w:p>
            <w:pPr>
              <w:jc w:val="right"/>
              <w:ind w:right="59"/>
              <w:spacing w:after="0"/>
              <w:rPr>
                <w:sz w:val="20"/>
                <w:szCs w:val="20"/>
                <w:color w:val="auto"/>
              </w:rPr>
            </w:pPr>
            <w:r>
              <w:rPr>
                <w:rFonts w:ascii="Arial" w:cs="Arial" w:eastAsia="Arial" w:hAnsi="Arial"/>
                <w:sz w:val="16"/>
                <w:szCs w:val="16"/>
                <w:b w:val="1"/>
                <w:bCs w:val="1"/>
                <w:color w:val="auto"/>
              </w:rPr>
              <w:t>701.0</w:t>
            </w:r>
          </w:p>
        </w:tc>
        <w:tc>
          <w:tcPr>
            <w:tcW w:w="180" w:type="dxa"/>
            <w:vAlign w:val="bottom"/>
            <w:shd w:val="clear" w:color="auto" w:fill="CCEEFF"/>
          </w:tcPr>
          <w:p>
            <w:pPr>
              <w:spacing w:after="0"/>
              <w:rPr>
                <w:sz w:val="17"/>
                <w:szCs w:val="17"/>
                <w:color w:val="auto"/>
              </w:rPr>
            </w:pPr>
          </w:p>
        </w:tc>
        <w:tc>
          <w:tcPr>
            <w:tcW w:w="1200" w:type="dxa"/>
            <w:vAlign w:val="bottom"/>
            <w:shd w:val="clear" w:color="auto" w:fill="CCEEFF"/>
          </w:tcPr>
          <w:p>
            <w:pPr>
              <w:jc w:val="right"/>
              <w:ind w:right="19"/>
              <w:spacing w:after="0"/>
              <w:rPr>
                <w:sz w:val="20"/>
                <w:szCs w:val="20"/>
                <w:color w:val="auto"/>
              </w:rPr>
            </w:pPr>
            <w:r>
              <w:rPr>
                <w:rFonts w:ascii="Arial" w:cs="Arial" w:eastAsia="Arial" w:hAnsi="Arial"/>
                <w:sz w:val="16"/>
                <w:szCs w:val="16"/>
                <w:color w:val="auto"/>
              </w:rPr>
              <w:t>682.6</w:t>
            </w:r>
          </w:p>
        </w:tc>
        <w:tc>
          <w:tcPr>
            <w:tcW w:w="0" w:type="dxa"/>
            <w:vAlign w:val="bottom"/>
          </w:tcPr>
          <w:p>
            <w:pPr>
              <w:spacing w:after="0"/>
              <w:rPr>
                <w:sz w:val="1"/>
                <w:szCs w:val="1"/>
                <w:color w:val="auto"/>
              </w:rPr>
            </w:pPr>
          </w:p>
        </w:tc>
      </w:tr>
      <w:tr>
        <w:trPr>
          <w:trHeight w:val="416"/>
        </w:trPr>
        <w:tc>
          <w:tcPr>
            <w:tcW w:w="5960" w:type="dxa"/>
            <w:vAlign w:val="bottom"/>
            <w:gridSpan w:val="2"/>
          </w:tcPr>
          <w:p>
            <w:pPr>
              <w:spacing w:after="0"/>
              <w:rPr>
                <w:sz w:val="20"/>
                <w:szCs w:val="20"/>
                <w:color w:val="auto"/>
              </w:rPr>
            </w:pPr>
            <w:r>
              <w:rPr>
                <w:rFonts w:ascii="Arial" w:cs="Arial" w:eastAsia="Arial" w:hAnsi="Arial"/>
                <w:sz w:val="16"/>
                <w:szCs w:val="16"/>
                <w:b w:val="1"/>
                <w:bCs w:val="1"/>
                <w:color w:val="auto"/>
              </w:rPr>
              <w:t>Other Assets</w:t>
            </w:r>
          </w:p>
        </w:tc>
        <w:tc>
          <w:tcPr>
            <w:tcW w:w="290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6"/>
        </w:trPr>
        <w:tc>
          <w:tcPr>
            <w:tcW w:w="20" w:type="dxa"/>
            <w:vAlign w:val="bottom"/>
          </w:tcPr>
          <w:p>
            <w:pPr>
              <w:spacing w:after="0"/>
              <w:rPr>
                <w:sz w:val="17"/>
                <w:szCs w:val="17"/>
                <w:color w:val="auto"/>
              </w:rPr>
            </w:pPr>
          </w:p>
        </w:tc>
        <w:tc>
          <w:tcPr>
            <w:tcW w:w="5940" w:type="dxa"/>
            <w:vAlign w:val="bottom"/>
            <w:shd w:val="clear" w:color="auto" w:fill="CCEEFF"/>
          </w:tcPr>
          <w:p>
            <w:pPr>
              <w:ind w:left="320"/>
              <w:spacing w:after="0"/>
              <w:rPr>
                <w:sz w:val="20"/>
                <w:szCs w:val="20"/>
                <w:color w:val="auto"/>
              </w:rPr>
            </w:pPr>
            <w:r>
              <w:rPr>
                <w:rFonts w:ascii="Arial" w:cs="Arial" w:eastAsia="Arial" w:hAnsi="Arial"/>
                <w:sz w:val="16"/>
                <w:szCs w:val="16"/>
                <w:color w:val="auto"/>
              </w:rPr>
              <w:t>Intangible assets</w:t>
            </w:r>
          </w:p>
        </w:tc>
        <w:tc>
          <w:tcPr>
            <w:tcW w:w="2900" w:type="dxa"/>
            <w:vAlign w:val="bottom"/>
            <w:shd w:val="clear" w:color="auto" w:fill="CCEEFF"/>
          </w:tcPr>
          <w:p>
            <w:pPr>
              <w:spacing w:after="0"/>
              <w:rPr>
                <w:sz w:val="17"/>
                <w:szCs w:val="17"/>
                <w:color w:val="auto"/>
              </w:rPr>
            </w:pPr>
          </w:p>
        </w:tc>
        <w:tc>
          <w:tcPr>
            <w:tcW w:w="1180" w:type="dxa"/>
            <w:vAlign w:val="bottom"/>
            <w:shd w:val="clear" w:color="auto" w:fill="CCEEFF"/>
          </w:tcPr>
          <w:p>
            <w:pPr>
              <w:jc w:val="right"/>
              <w:ind w:right="59"/>
              <w:spacing w:after="0"/>
              <w:rPr>
                <w:sz w:val="20"/>
                <w:szCs w:val="20"/>
                <w:color w:val="auto"/>
              </w:rPr>
            </w:pPr>
            <w:r>
              <w:rPr>
                <w:rFonts w:ascii="Arial" w:cs="Arial" w:eastAsia="Arial" w:hAnsi="Arial"/>
                <w:sz w:val="16"/>
                <w:szCs w:val="16"/>
                <w:b w:val="1"/>
                <w:bCs w:val="1"/>
                <w:color w:val="auto"/>
              </w:rPr>
              <w:t>11.0</w:t>
            </w:r>
          </w:p>
        </w:tc>
        <w:tc>
          <w:tcPr>
            <w:tcW w:w="180" w:type="dxa"/>
            <w:vAlign w:val="bottom"/>
            <w:shd w:val="clear" w:color="auto" w:fill="CCEEFF"/>
          </w:tcPr>
          <w:p>
            <w:pPr>
              <w:spacing w:after="0"/>
              <w:rPr>
                <w:sz w:val="17"/>
                <w:szCs w:val="17"/>
                <w:color w:val="auto"/>
              </w:rPr>
            </w:pPr>
          </w:p>
        </w:tc>
        <w:tc>
          <w:tcPr>
            <w:tcW w:w="1200" w:type="dxa"/>
            <w:vAlign w:val="bottom"/>
            <w:shd w:val="clear" w:color="auto" w:fill="CCEEFF"/>
          </w:tcPr>
          <w:p>
            <w:pPr>
              <w:jc w:val="right"/>
              <w:ind w:right="19"/>
              <w:spacing w:after="0"/>
              <w:rPr>
                <w:sz w:val="20"/>
                <w:szCs w:val="20"/>
                <w:color w:val="auto"/>
              </w:rPr>
            </w:pPr>
            <w:r>
              <w:rPr>
                <w:rFonts w:ascii="Arial" w:cs="Arial" w:eastAsia="Arial" w:hAnsi="Arial"/>
                <w:sz w:val="16"/>
                <w:szCs w:val="16"/>
                <w:color w:val="auto"/>
              </w:rPr>
              <w:t>11.2</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940" w:type="dxa"/>
            <w:vAlign w:val="bottom"/>
            <w:tcBorders>
              <w:bottom w:val="single" w:sz="8" w:color="auto"/>
            </w:tcBorders>
          </w:tcPr>
          <w:p>
            <w:pPr>
              <w:ind w:left="320"/>
              <w:spacing w:after="0"/>
              <w:rPr>
                <w:sz w:val="20"/>
                <w:szCs w:val="20"/>
                <w:color w:val="auto"/>
              </w:rPr>
            </w:pPr>
            <w:r>
              <w:rPr>
                <w:rFonts w:ascii="Arial" w:cs="Arial" w:eastAsia="Arial" w:hAnsi="Arial"/>
                <w:sz w:val="16"/>
                <w:szCs w:val="16"/>
                <w:color w:val="auto"/>
              </w:rPr>
              <w:t>Other non-current assets</w:t>
            </w:r>
          </w:p>
        </w:tc>
        <w:tc>
          <w:tcPr>
            <w:tcW w:w="2900" w:type="dxa"/>
            <w:vAlign w:val="bottom"/>
            <w:tcBorders>
              <w:bottom w:val="single" w:sz="8" w:color="auto"/>
            </w:tcBorders>
          </w:tcPr>
          <w:p>
            <w:pPr>
              <w:spacing w:after="0"/>
              <w:rPr>
                <w:sz w:val="17"/>
                <w:szCs w:val="17"/>
                <w:color w:val="auto"/>
              </w:rPr>
            </w:pPr>
          </w:p>
        </w:tc>
        <w:tc>
          <w:tcPr>
            <w:tcW w:w="1180" w:type="dxa"/>
            <w:vAlign w:val="bottom"/>
            <w:tcBorders>
              <w:bottom w:val="single" w:sz="8" w:color="auto"/>
            </w:tcBorders>
          </w:tcPr>
          <w:p>
            <w:pPr>
              <w:jc w:val="right"/>
              <w:ind w:right="59"/>
              <w:spacing w:after="0"/>
              <w:rPr>
                <w:sz w:val="20"/>
                <w:szCs w:val="20"/>
                <w:color w:val="auto"/>
              </w:rPr>
            </w:pPr>
            <w:r>
              <w:rPr>
                <w:rFonts w:ascii="Arial" w:cs="Arial" w:eastAsia="Arial" w:hAnsi="Arial"/>
                <w:sz w:val="16"/>
                <w:szCs w:val="16"/>
                <w:b w:val="1"/>
                <w:bCs w:val="1"/>
                <w:color w:val="auto"/>
              </w:rPr>
              <w:t>1.3</w:t>
            </w:r>
          </w:p>
        </w:tc>
        <w:tc>
          <w:tcPr>
            <w:tcW w:w="180" w:type="dxa"/>
            <w:vAlign w:val="bottom"/>
            <w:tcBorders>
              <w:bottom w:val="single" w:sz="8" w:color="auto"/>
            </w:tcBorders>
          </w:tcPr>
          <w:p>
            <w:pPr>
              <w:spacing w:after="0"/>
              <w:rPr>
                <w:sz w:val="17"/>
                <w:szCs w:val="17"/>
                <w:color w:val="auto"/>
              </w:rPr>
            </w:pPr>
          </w:p>
        </w:tc>
        <w:tc>
          <w:tcPr>
            <w:tcW w:w="120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rPr>
              <w:t>1.9</w:t>
            </w: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594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6"/>
                <w:szCs w:val="16"/>
                <w:b w:val="1"/>
                <w:bCs w:val="1"/>
                <w:color w:val="auto"/>
              </w:rPr>
              <w:t>Total Other Assets</w:t>
            </w:r>
          </w:p>
        </w:tc>
        <w:tc>
          <w:tcPr>
            <w:tcW w:w="2900" w:type="dxa"/>
            <w:vAlign w:val="bottom"/>
            <w:tcBorders>
              <w:bottom w:val="single" w:sz="8" w:color="auto"/>
            </w:tcBorders>
            <w:shd w:val="clear" w:color="auto" w:fill="CCEEFF"/>
          </w:tcPr>
          <w:p>
            <w:pPr>
              <w:spacing w:after="0"/>
              <w:rPr>
                <w:sz w:val="17"/>
                <w:szCs w:val="17"/>
                <w:color w:val="auto"/>
              </w:rPr>
            </w:pPr>
          </w:p>
        </w:tc>
        <w:tc>
          <w:tcPr>
            <w:tcW w:w="1180" w:type="dxa"/>
            <w:vAlign w:val="bottom"/>
            <w:tcBorders>
              <w:bottom w:val="single" w:sz="8" w:color="auto"/>
            </w:tcBorders>
            <w:shd w:val="clear" w:color="auto" w:fill="CCEEFF"/>
          </w:tcPr>
          <w:p>
            <w:pPr>
              <w:jc w:val="right"/>
              <w:ind w:right="59"/>
              <w:spacing w:after="0"/>
              <w:rPr>
                <w:sz w:val="20"/>
                <w:szCs w:val="20"/>
                <w:color w:val="auto"/>
              </w:rPr>
            </w:pPr>
            <w:r>
              <w:rPr>
                <w:rFonts w:ascii="Arial" w:cs="Arial" w:eastAsia="Arial" w:hAnsi="Arial"/>
                <w:sz w:val="16"/>
                <w:szCs w:val="16"/>
                <w:b w:val="1"/>
                <w:bCs w:val="1"/>
                <w:color w:val="auto"/>
              </w:rPr>
              <w:t>12.3</w:t>
            </w:r>
          </w:p>
        </w:tc>
        <w:tc>
          <w:tcPr>
            <w:tcW w:w="180" w:type="dxa"/>
            <w:vAlign w:val="bottom"/>
            <w:tcBorders>
              <w:bottom w:val="single" w:sz="8" w:color="auto"/>
            </w:tcBorders>
            <w:shd w:val="clear" w:color="auto" w:fill="CCEEFF"/>
          </w:tcPr>
          <w:p>
            <w:pPr>
              <w:spacing w:after="0"/>
              <w:rPr>
                <w:sz w:val="17"/>
                <w:szCs w:val="17"/>
                <w:color w:val="auto"/>
              </w:rPr>
            </w:pPr>
          </w:p>
        </w:tc>
        <w:tc>
          <w:tcPr>
            <w:tcW w:w="120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13.1</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940" w:type="dxa"/>
            <w:vAlign w:val="bottom"/>
            <w:tcBorders>
              <w:bottom w:val="single" w:sz="8" w:color="auto"/>
            </w:tcBorders>
          </w:tcPr>
          <w:p>
            <w:pPr>
              <w:spacing w:after="0"/>
              <w:rPr>
                <w:sz w:val="20"/>
                <w:szCs w:val="20"/>
                <w:color w:val="auto"/>
              </w:rPr>
            </w:pPr>
            <w:r>
              <w:rPr>
                <w:rFonts w:ascii="Arial" w:cs="Arial" w:eastAsia="Arial" w:hAnsi="Arial"/>
                <w:sz w:val="16"/>
                <w:szCs w:val="16"/>
                <w:b w:val="1"/>
                <w:bCs w:val="1"/>
                <w:color w:val="auto"/>
              </w:rPr>
              <w:t>Total Assets</w:t>
            </w:r>
          </w:p>
        </w:tc>
        <w:tc>
          <w:tcPr>
            <w:tcW w:w="290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w:t>
            </w:r>
          </w:p>
        </w:tc>
        <w:tc>
          <w:tcPr>
            <w:tcW w:w="1180" w:type="dxa"/>
            <w:vAlign w:val="bottom"/>
            <w:tcBorders>
              <w:bottom w:val="single" w:sz="8" w:color="auto"/>
            </w:tcBorders>
          </w:tcPr>
          <w:p>
            <w:pPr>
              <w:jc w:val="right"/>
              <w:ind w:right="59"/>
              <w:spacing w:after="0"/>
              <w:rPr>
                <w:sz w:val="20"/>
                <w:szCs w:val="20"/>
                <w:color w:val="auto"/>
              </w:rPr>
            </w:pPr>
            <w:r>
              <w:rPr>
                <w:rFonts w:ascii="Arial" w:cs="Arial" w:eastAsia="Arial" w:hAnsi="Arial"/>
                <w:sz w:val="16"/>
                <w:szCs w:val="16"/>
                <w:b w:val="1"/>
                <w:bCs w:val="1"/>
                <w:color w:val="auto"/>
              </w:rPr>
              <w:t>1,126.5</w:t>
            </w:r>
          </w:p>
        </w:tc>
        <w:tc>
          <w:tcPr>
            <w:tcW w:w="1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20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rPr>
              <w:t>1,078.8</w:t>
            </w:r>
          </w:p>
        </w:tc>
        <w:tc>
          <w:tcPr>
            <w:tcW w:w="0" w:type="dxa"/>
            <w:vAlign w:val="bottom"/>
          </w:tcPr>
          <w:p>
            <w:pPr>
              <w:spacing w:after="0"/>
              <w:rPr>
                <w:sz w:val="1"/>
                <w:szCs w:val="1"/>
                <w:color w:val="auto"/>
              </w:rPr>
            </w:pPr>
          </w:p>
        </w:tc>
      </w:tr>
      <w:tr>
        <w:trPr>
          <w:trHeight w:val="54"/>
        </w:trPr>
        <w:tc>
          <w:tcPr>
            <w:tcW w:w="20" w:type="dxa"/>
            <w:vAlign w:val="bottom"/>
            <w:vMerge w:val="restart"/>
          </w:tcPr>
          <w:p>
            <w:pPr>
              <w:spacing w:after="0"/>
              <w:rPr>
                <w:sz w:val="4"/>
                <w:szCs w:val="4"/>
                <w:color w:val="auto"/>
              </w:rPr>
            </w:pPr>
          </w:p>
        </w:tc>
        <w:tc>
          <w:tcPr>
            <w:tcW w:w="5940" w:type="dxa"/>
            <w:vAlign w:val="bottom"/>
          </w:tcPr>
          <w:p>
            <w:pPr>
              <w:spacing w:after="0"/>
              <w:rPr>
                <w:sz w:val="4"/>
                <w:szCs w:val="4"/>
                <w:color w:val="auto"/>
              </w:rPr>
            </w:pPr>
          </w:p>
        </w:tc>
        <w:tc>
          <w:tcPr>
            <w:tcW w:w="2900" w:type="dxa"/>
            <w:vAlign w:val="bottom"/>
          </w:tcPr>
          <w:p>
            <w:pPr>
              <w:spacing w:after="0"/>
              <w:rPr>
                <w:sz w:val="4"/>
                <w:szCs w:val="4"/>
                <w:color w:val="auto"/>
              </w:rPr>
            </w:pPr>
          </w:p>
        </w:tc>
        <w:tc>
          <w:tcPr>
            <w:tcW w:w="1180" w:type="dxa"/>
            <w:vAlign w:val="bottom"/>
          </w:tcPr>
          <w:p>
            <w:pPr>
              <w:spacing w:after="0"/>
              <w:rPr>
                <w:sz w:val="4"/>
                <w:szCs w:val="4"/>
                <w:color w:val="auto"/>
              </w:rPr>
            </w:pPr>
          </w:p>
        </w:tc>
        <w:tc>
          <w:tcPr>
            <w:tcW w:w="180" w:type="dxa"/>
            <w:vAlign w:val="bottom"/>
          </w:tcPr>
          <w:p>
            <w:pPr>
              <w:spacing w:after="0"/>
              <w:rPr>
                <w:sz w:val="4"/>
                <w:szCs w:val="4"/>
                <w:color w:val="auto"/>
              </w:rPr>
            </w:pPr>
          </w:p>
        </w:tc>
        <w:tc>
          <w:tcPr>
            <w:tcW w:w="12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03"/>
        </w:trPr>
        <w:tc>
          <w:tcPr>
            <w:tcW w:w="20" w:type="dxa"/>
            <w:vAlign w:val="bottom"/>
            <w:vMerge w:val="continue"/>
          </w:tcPr>
          <w:p>
            <w:pPr>
              <w:spacing w:after="0"/>
              <w:rPr>
                <w:sz w:val="17"/>
                <w:szCs w:val="17"/>
                <w:color w:val="auto"/>
              </w:rPr>
            </w:pPr>
          </w:p>
        </w:tc>
        <w:tc>
          <w:tcPr>
            <w:tcW w:w="5940" w:type="dxa"/>
            <w:vAlign w:val="bottom"/>
            <w:shd w:val="clear" w:color="auto" w:fill="CCEEFF"/>
          </w:tcPr>
          <w:p>
            <w:pPr>
              <w:spacing w:after="0"/>
              <w:rPr>
                <w:sz w:val="20"/>
                <w:szCs w:val="20"/>
                <w:color w:val="auto"/>
              </w:rPr>
            </w:pPr>
            <w:r>
              <w:rPr>
                <w:rFonts w:ascii="Arial" w:cs="Arial" w:eastAsia="Arial" w:hAnsi="Arial"/>
                <w:sz w:val="16"/>
                <w:szCs w:val="16"/>
                <w:b w:val="1"/>
                <w:bCs w:val="1"/>
                <w:color w:val="auto"/>
              </w:rPr>
              <w:t>LIABILITIES AND EQUITY</w:t>
            </w:r>
          </w:p>
        </w:tc>
        <w:tc>
          <w:tcPr>
            <w:tcW w:w="2900" w:type="dxa"/>
            <w:vAlign w:val="bottom"/>
            <w:shd w:val="clear" w:color="auto" w:fill="CCEEFF"/>
          </w:tcPr>
          <w:p>
            <w:pPr>
              <w:spacing w:after="0"/>
              <w:rPr>
                <w:sz w:val="17"/>
                <w:szCs w:val="17"/>
                <w:color w:val="auto"/>
              </w:rPr>
            </w:pPr>
          </w:p>
        </w:tc>
        <w:tc>
          <w:tcPr>
            <w:tcW w:w="11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2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940" w:type="dxa"/>
            <w:vAlign w:val="bottom"/>
          </w:tcPr>
          <w:p>
            <w:pPr>
              <w:spacing w:after="0"/>
              <w:rPr>
                <w:sz w:val="20"/>
                <w:szCs w:val="20"/>
                <w:color w:val="auto"/>
              </w:rPr>
            </w:pPr>
            <w:r>
              <w:rPr>
                <w:rFonts w:ascii="Arial" w:cs="Arial" w:eastAsia="Arial" w:hAnsi="Arial"/>
                <w:sz w:val="16"/>
                <w:szCs w:val="16"/>
                <w:b w:val="1"/>
                <w:bCs w:val="1"/>
                <w:color w:val="auto"/>
              </w:rPr>
              <w:t>Current Liabilities</w:t>
            </w:r>
          </w:p>
        </w:tc>
        <w:tc>
          <w:tcPr>
            <w:tcW w:w="2900" w:type="dxa"/>
            <w:vAlign w:val="bottom"/>
          </w:tcPr>
          <w:p>
            <w:pPr>
              <w:spacing w:after="0"/>
              <w:rPr>
                <w:sz w:val="17"/>
                <w:szCs w:val="17"/>
                <w:color w:val="auto"/>
              </w:rPr>
            </w:pPr>
          </w:p>
        </w:tc>
        <w:tc>
          <w:tcPr>
            <w:tcW w:w="11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940" w:type="dxa"/>
            <w:vAlign w:val="bottom"/>
            <w:shd w:val="clear" w:color="auto" w:fill="CCEEFF"/>
          </w:tcPr>
          <w:p>
            <w:pPr>
              <w:ind w:left="320"/>
              <w:spacing w:after="0"/>
              <w:rPr>
                <w:sz w:val="20"/>
                <w:szCs w:val="20"/>
                <w:color w:val="auto"/>
              </w:rPr>
            </w:pPr>
            <w:r>
              <w:rPr>
                <w:rFonts w:ascii="Arial" w:cs="Arial" w:eastAsia="Arial" w:hAnsi="Arial"/>
                <w:sz w:val="16"/>
                <w:szCs w:val="16"/>
                <w:color w:val="auto"/>
              </w:rPr>
              <w:t>Accounts payable, trade</w:t>
            </w:r>
          </w:p>
        </w:tc>
        <w:tc>
          <w:tcPr>
            <w:tcW w:w="2900" w:type="dxa"/>
            <w:vAlign w:val="bottom"/>
            <w:shd w:val="clear" w:color="auto" w:fill="CCEEFF"/>
          </w:tcPr>
          <w:p>
            <w:pPr>
              <w:jc w:val="right"/>
              <w:spacing w:after="0"/>
              <w:rPr>
                <w:sz w:val="20"/>
                <w:szCs w:val="20"/>
                <w:color w:val="auto"/>
              </w:rPr>
            </w:pPr>
            <w:r>
              <w:rPr>
                <w:rFonts w:ascii="Arial" w:cs="Arial" w:eastAsia="Arial" w:hAnsi="Arial"/>
                <w:sz w:val="16"/>
                <w:szCs w:val="16"/>
                <w:b w:val="1"/>
                <w:bCs w:val="1"/>
                <w:color w:val="auto"/>
              </w:rPr>
              <w:t>$</w:t>
            </w:r>
          </w:p>
        </w:tc>
        <w:tc>
          <w:tcPr>
            <w:tcW w:w="1180" w:type="dxa"/>
            <w:vAlign w:val="bottom"/>
            <w:shd w:val="clear" w:color="auto" w:fill="CCEEFF"/>
          </w:tcPr>
          <w:p>
            <w:pPr>
              <w:jc w:val="right"/>
              <w:ind w:right="59"/>
              <w:spacing w:after="0"/>
              <w:rPr>
                <w:sz w:val="20"/>
                <w:szCs w:val="20"/>
                <w:color w:val="auto"/>
              </w:rPr>
            </w:pPr>
            <w:r>
              <w:rPr>
                <w:rFonts w:ascii="Arial" w:cs="Arial" w:eastAsia="Arial" w:hAnsi="Arial"/>
                <w:sz w:val="16"/>
                <w:szCs w:val="16"/>
                <w:b w:val="1"/>
                <w:bCs w:val="1"/>
                <w:color w:val="auto"/>
              </w:rPr>
              <w:t>108.7</w:t>
            </w:r>
          </w:p>
        </w:tc>
        <w:tc>
          <w:tcPr>
            <w:tcW w:w="1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200" w:type="dxa"/>
            <w:vAlign w:val="bottom"/>
            <w:shd w:val="clear" w:color="auto" w:fill="CCEEFF"/>
          </w:tcPr>
          <w:p>
            <w:pPr>
              <w:jc w:val="right"/>
              <w:ind w:right="19"/>
              <w:spacing w:after="0"/>
              <w:rPr>
                <w:sz w:val="20"/>
                <w:szCs w:val="20"/>
                <w:color w:val="auto"/>
              </w:rPr>
            </w:pPr>
            <w:r>
              <w:rPr>
                <w:rFonts w:ascii="Arial" w:cs="Arial" w:eastAsia="Arial" w:hAnsi="Arial"/>
                <w:sz w:val="16"/>
                <w:szCs w:val="16"/>
                <w:color w:val="auto"/>
              </w:rPr>
              <w:t>86.4</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940" w:type="dxa"/>
            <w:vAlign w:val="bottom"/>
          </w:tcPr>
          <w:p>
            <w:pPr>
              <w:ind w:left="320"/>
              <w:spacing w:after="0"/>
              <w:rPr>
                <w:sz w:val="20"/>
                <w:szCs w:val="20"/>
                <w:color w:val="auto"/>
              </w:rPr>
            </w:pPr>
            <w:r>
              <w:rPr>
                <w:rFonts w:ascii="Arial" w:cs="Arial" w:eastAsia="Arial" w:hAnsi="Arial"/>
                <w:sz w:val="16"/>
                <w:szCs w:val="16"/>
                <w:color w:val="auto"/>
              </w:rPr>
              <w:t>Accounts payable due to related party</w:t>
            </w:r>
          </w:p>
        </w:tc>
        <w:tc>
          <w:tcPr>
            <w:tcW w:w="2900" w:type="dxa"/>
            <w:vAlign w:val="bottom"/>
          </w:tcPr>
          <w:p>
            <w:pPr>
              <w:spacing w:after="0"/>
              <w:rPr>
                <w:sz w:val="17"/>
                <w:szCs w:val="17"/>
                <w:color w:val="auto"/>
              </w:rPr>
            </w:pPr>
          </w:p>
        </w:tc>
        <w:tc>
          <w:tcPr>
            <w:tcW w:w="1180" w:type="dxa"/>
            <w:vAlign w:val="bottom"/>
          </w:tcPr>
          <w:p>
            <w:pPr>
              <w:jc w:val="right"/>
              <w:ind w:right="59"/>
              <w:spacing w:after="0"/>
              <w:rPr>
                <w:sz w:val="20"/>
                <w:szCs w:val="20"/>
                <w:color w:val="auto"/>
              </w:rPr>
            </w:pPr>
            <w:r>
              <w:rPr>
                <w:rFonts w:ascii="Arial" w:cs="Arial" w:eastAsia="Arial" w:hAnsi="Arial"/>
                <w:sz w:val="16"/>
                <w:szCs w:val="16"/>
                <w:b w:val="1"/>
                <w:bCs w:val="1"/>
                <w:color w:val="auto"/>
              </w:rPr>
              <w:t>21.0</w:t>
            </w:r>
          </w:p>
        </w:tc>
        <w:tc>
          <w:tcPr>
            <w:tcW w:w="180" w:type="dxa"/>
            <w:vAlign w:val="bottom"/>
          </w:tcPr>
          <w:p>
            <w:pPr>
              <w:spacing w:after="0"/>
              <w:rPr>
                <w:sz w:val="17"/>
                <w:szCs w:val="17"/>
                <w:color w:val="auto"/>
              </w:rPr>
            </w:pPr>
          </w:p>
        </w:tc>
        <w:tc>
          <w:tcPr>
            <w:tcW w:w="1200" w:type="dxa"/>
            <w:vAlign w:val="bottom"/>
          </w:tcPr>
          <w:p>
            <w:pPr>
              <w:jc w:val="right"/>
              <w:ind w:right="19"/>
              <w:spacing w:after="0"/>
              <w:rPr>
                <w:sz w:val="20"/>
                <w:szCs w:val="20"/>
                <w:color w:val="auto"/>
              </w:rPr>
            </w:pPr>
            <w:r>
              <w:rPr>
                <w:rFonts w:ascii="Arial" w:cs="Arial" w:eastAsia="Arial" w:hAnsi="Arial"/>
                <w:sz w:val="16"/>
                <w:szCs w:val="16"/>
                <w:color w:val="auto"/>
              </w:rPr>
              <w:t>17.7</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940" w:type="dxa"/>
            <w:vAlign w:val="bottom"/>
            <w:shd w:val="clear" w:color="auto" w:fill="CCEEFF"/>
          </w:tcPr>
          <w:p>
            <w:pPr>
              <w:ind w:left="320"/>
              <w:spacing w:after="0"/>
              <w:rPr>
                <w:sz w:val="20"/>
                <w:szCs w:val="20"/>
                <w:color w:val="auto"/>
              </w:rPr>
            </w:pPr>
            <w:r>
              <w:rPr>
                <w:rFonts w:ascii="Arial" w:cs="Arial" w:eastAsia="Arial" w:hAnsi="Arial"/>
                <w:sz w:val="16"/>
                <w:szCs w:val="16"/>
                <w:color w:val="auto"/>
              </w:rPr>
              <w:t>Salaries, wages and benefits</w:t>
            </w:r>
          </w:p>
        </w:tc>
        <w:tc>
          <w:tcPr>
            <w:tcW w:w="2900" w:type="dxa"/>
            <w:vAlign w:val="bottom"/>
            <w:shd w:val="clear" w:color="auto" w:fill="CCEEFF"/>
          </w:tcPr>
          <w:p>
            <w:pPr>
              <w:spacing w:after="0"/>
              <w:rPr>
                <w:sz w:val="17"/>
                <w:szCs w:val="17"/>
                <w:color w:val="auto"/>
              </w:rPr>
            </w:pPr>
          </w:p>
        </w:tc>
        <w:tc>
          <w:tcPr>
            <w:tcW w:w="1180" w:type="dxa"/>
            <w:vAlign w:val="bottom"/>
            <w:shd w:val="clear" w:color="auto" w:fill="CCEEFF"/>
          </w:tcPr>
          <w:p>
            <w:pPr>
              <w:jc w:val="right"/>
              <w:ind w:right="59"/>
              <w:spacing w:after="0"/>
              <w:rPr>
                <w:sz w:val="20"/>
                <w:szCs w:val="20"/>
                <w:color w:val="auto"/>
              </w:rPr>
            </w:pPr>
            <w:r>
              <w:rPr>
                <w:rFonts w:ascii="Arial" w:cs="Arial" w:eastAsia="Arial" w:hAnsi="Arial"/>
                <w:sz w:val="16"/>
                <w:szCs w:val="16"/>
                <w:b w:val="1"/>
                <w:bCs w:val="1"/>
                <w:color w:val="auto"/>
              </w:rPr>
              <w:t>37.0</w:t>
            </w:r>
          </w:p>
        </w:tc>
        <w:tc>
          <w:tcPr>
            <w:tcW w:w="180" w:type="dxa"/>
            <w:vAlign w:val="bottom"/>
            <w:shd w:val="clear" w:color="auto" w:fill="CCEEFF"/>
          </w:tcPr>
          <w:p>
            <w:pPr>
              <w:spacing w:after="0"/>
              <w:rPr>
                <w:sz w:val="17"/>
                <w:szCs w:val="17"/>
                <w:color w:val="auto"/>
              </w:rPr>
            </w:pPr>
          </w:p>
        </w:tc>
        <w:tc>
          <w:tcPr>
            <w:tcW w:w="1200" w:type="dxa"/>
            <w:vAlign w:val="bottom"/>
            <w:shd w:val="clear" w:color="auto" w:fill="CCEEFF"/>
          </w:tcPr>
          <w:p>
            <w:pPr>
              <w:jc w:val="right"/>
              <w:ind w:right="19"/>
              <w:spacing w:after="0"/>
              <w:rPr>
                <w:sz w:val="20"/>
                <w:szCs w:val="20"/>
                <w:color w:val="auto"/>
              </w:rPr>
            </w:pPr>
            <w:r>
              <w:rPr>
                <w:rFonts w:ascii="Arial" w:cs="Arial" w:eastAsia="Arial" w:hAnsi="Arial"/>
                <w:sz w:val="16"/>
                <w:szCs w:val="16"/>
                <w:color w:val="auto"/>
              </w:rPr>
              <w:t>37.6</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940" w:type="dxa"/>
            <w:vAlign w:val="bottom"/>
            <w:tcBorders>
              <w:bottom w:val="single" w:sz="8" w:color="auto"/>
            </w:tcBorders>
          </w:tcPr>
          <w:p>
            <w:pPr>
              <w:ind w:left="320"/>
              <w:spacing w:after="0"/>
              <w:rPr>
                <w:sz w:val="20"/>
                <w:szCs w:val="20"/>
                <w:color w:val="auto"/>
              </w:rPr>
            </w:pPr>
            <w:r>
              <w:rPr>
                <w:rFonts w:ascii="Arial" w:cs="Arial" w:eastAsia="Arial" w:hAnsi="Arial"/>
                <w:sz w:val="16"/>
                <w:szCs w:val="16"/>
                <w:color w:val="auto"/>
              </w:rPr>
              <w:t>Other current liabilities</w:t>
            </w:r>
          </w:p>
        </w:tc>
        <w:tc>
          <w:tcPr>
            <w:tcW w:w="2900" w:type="dxa"/>
            <w:vAlign w:val="bottom"/>
            <w:tcBorders>
              <w:bottom w:val="single" w:sz="8" w:color="auto"/>
            </w:tcBorders>
          </w:tcPr>
          <w:p>
            <w:pPr>
              <w:spacing w:after="0"/>
              <w:rPr>
                <w:sz w:val="17"/>
                <w:szCs w:val="17"/>
                <w:color w:val="auto"/>
              </w:rPr>
            </w:pPr>
          </w:p>
        </w:tc>
        <w:tc>
          <w:tcPr>
            <w:tcW w:w="1180" w:type="dxa"/>
            <w:vAlign w:val="bottom"/>
            <w:tcBorders>
              <w:bottom w:val="single" w:sz="8" w:color="auto"/>
            </w:tcBorders>
          </w:tcPr>
          <w:p>
            <w:pPr>
              <w:jc w:val="right"/>
              <w:ind w:right="59"/>
              <w:spacing w:after="0"/>
              <w:rPr>
                <w:sz w:val="20"/>
                <w:szCs w:val="20"/>
                <w:color w:val="auto"/>
              </w:rPr>
            </w:pPr>
            <w:r>
              <w:rPr>
                <w:rFonts w:ascii="Arial" w:cs="Arial" w:eastAsia="Arial" w:hAnsi="Arial"/>
                <w:sz w:val="16"/>
                <w:szCs w:val="16"/>
                <w:b w:val="1"/>
                <w:bCs w:val="1"/>
                <w:color w:val="auto"/>
              </w:rPr>
              <w:t>14.3</w:t>
            </w:r>
          </w:p>
        </w:tc>
        <w:tc>
          <w:tcPr>
            <w:tcW w:w="180" w:type="dxa"/>
            <w:vAlign w:val="bottom"/>
            <w:tcBorders>
              <w:bottom w:val="single" w:sz="8" w:color="auto"/>
            </w:tcBorders>
          </w:tcPr>
          <w:p>
            <w:pPr>
              <w:spacing w:after="0"/>
              <w:rPr>
                <w:sz w:val="17"/>
                <w:szCs w:val="17"/>
                <w:color w:val="auto"/>
              </w:rPr>
            </w:pPr>
          </w:p>
        </w:tc>
        <w:tc>
          <w:tcPr>
            <w:tcW w:w="120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rPr>
              <w:t>13.2</w:t>
            </w: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5940" w:type="dxa"/>
            <w:vAlign w:val="bottom"/>
            <w:shd w:val="clear" w:color="auto" w:fill="CCEEFF"/>
          </w:tcPr>
          <w:p>
            <w:pPr>
              <w:spacing w:after="0"/>
              <w:rPr>
                <w:sz w:val="20"/>
                <w:szCs w:val="20"/>
                <w:color w:val="auto"/>
              </w:rPr>
            </w:pPr>
            <w:r>
              <w:rPr>
                <w:rFonts w:ascii="Arial" w:cs="Arial" w:eastAsia="Arial" w:hAnsi="Arial"/>
                <w:sz w:val="16"/>
                <w:szCs w:val="16"/>
                <w:b w:val="1"/>
                <w:bCs w:val="1"/>
                <w:color w:val="auto"/>
              </w:rPr>
              <w:t>Total Current Liabilities</w:t>
            </w:r>
          </w:p>
        </w:tc>
        <w:tc>
          <w:tcPr>
            <w:tcW w:w="2900" w:type="dxa"/>
            <w:vAlign w:val="bottom"/>
            <w:shd w:val="clear" w:color="auto" w:fill="CCEEFF"/>
          </w:tcPr>
          <w:p>
            <w:pPr>
              <w:spacing w:after="0"/>
              <w:rPr>
                <w:sz w:val="17"/>
                <w:szCs w:val="17"/>
                <w:color w:val="auto"/>
              </w:rPr>
            </w:pPr>
          </w:p>
        </w:tc>
        <w:tc>
          <w:tcPr>
            <w:tcW w:w="1180" w:type="dxa"/>
            <w:vAlign w:val="bottom"/>
            <w:shd w:val="clear" w:color="auto" w:fill="CCEEFF"/>
          </w:tcPr>
          <w:p>
            <w:pPr>
              <w:jc w:val="right"/>
              <w:ind w:right="59"/>
              <w:spacing w:after="0"/>
              <w:rPr>
                <w:sz w:val="20"/>
                <w:szCs w:val="20"/>
                <w:color w:val="auto"/>
              </w:rPr>
            </w:pPr>
            <w:r>
              <w:rPr>
                <w:rFonts w:ascii="Arial" w:cs="Arial" w:eastAsia="Arial" w:hAnsi="Arial"/>
                <w:sz w:val="16"/>
                <w:szCs w:val="16"/>
                <w:b w:val="1"/>
                <w:bCs w:val="1"/>
                <w:color w:val="auto"/>
              </w:rPr>
              <w:t>181.0</w:t>
            </w:r>
          </w:p>
        </w:tc>
        <w:tc>
          <w:tcPr>
            <w:tcW w:w="180" w:type="dxa"/>
            <w:vAlign w:val="bottom"/>
            <w:shd w:val="clear" w:color="auto" w:fill="CCEEFF"/>
          </w:tcPr>
          <w:p>
            <w:pPr>
              <w:spacing w:after="0"/>
              <w:rPr>
                <w:sz w:val="17"/>
                <w:szCs w:val="17"/>
                <w:color w:val="auto"/>
              </w:rPr>
            </w:pPr>
          </w:p>
        </w:tc>
        <w:tc>
          <w:tcPr>
            <w:tcW w:w="1200" w:type="dxa"/>
            <w:vAlign w:val="bottom"/>
            <w:shd w:val="clear" w:color="auto" w:fill="CCEEFF"/>
          </w:tcPr>
          <w:p>
            <w:pPr>
              <w:jc w:val="right"/>
              <w:ind w:right="19"/>
              <w:spacing w:after="0"/>
              <w:rPr>
                <w:sz w:val="20"/>
                <w:szCs w:val="20"/>
                <w:color w:val="auto"/>
              </w:rPr>
            </w:pPr>
            <w:r>
              <w:rPr>
                <w:rFonts w:ascii="Arial" w:cs="Arial" w:eastAsia="Arial" w:hAnsi="Arial"/>
                <w:sz w:val="16"/>
                <w:szCs w:val="16"/>
                <w:color w:val="auto"/>
              </w:rPr>
              <w:t>154.9</w:t>
            </w:r>
          </w:p>
        </w:tc>
        <w:tc>
          <w:tcPr>
            <w:tcW w:w="0" w:type="dxa"/>
            <w:vAlign w:val="bottom"/>
          </w:tcPr>
          <w:p>
            <w:pPr>
              <w:spacing w:after="0"/>
              <w:rPr>
                <w:sz w:val="1"/>
                <w:szCs w:val="1"/>
                <w:color w:val="auto"/>
              </w:rPr>
            </w:pPr>
          </w:p>
        </w:tc>
      </w:tr>
      <w:tr>
        <w:trPr>
          <w:trHeight w:val="416"/>
        </w:trPr>
        <w:tc>
          <w:tcPr>
            <w:tcW w:w="5960" w:type="dxa"/>
            <w:vAlign w:val="bottom"/>
            <w:gridSpan w:val="2"/>
          </w:tcPr>
          <w:p>
            <w:pPr>
              <w:spacing w:after="0"/>
              <w:rPr>
                <w:sz w:val="20"/>
                <w:szCs w:val="20"/>
                <w:color w:val="auto"/>
              </w:rPr>
            </w:pPr>
            <w:r>
              <w:rPr>
                <w:rFonts w:ascii="Arial" w:cs="Arial" w:eastAsia="Arial" w:hAnsi="Arial"/>
                <w:sz w:val="16"/>
                <w:szCs w:val="16"/>
                <w:b w:val="1"/>
                <w:bCs w:val="1"/>
                <w:color w:val="auto"/>
              </w:rPr>
              <w:t>Non-Current Liabilities</w:t>
            </w:r>
          </w:p>
        </w:tc>
        <w:tc>
          <w:tcPr>
            <w:tcW w:w="290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6"/>
        </w:trPr>
        <w:tc>
          <w:tcPr>
            <w:tcW w:w="20" w:type="dxa"/>
            <w:vAlign w:val="bottom"/>
          </w:tcPr>
          <w:p>
            <w:pPr>
              <w:spacing w:after="0"/>
              <w:rPr>
                <w:sz w:val="17"/>
                <w:szCs w:val="17"/>
                <w:color w:val="auto"/>
              </w:rPr>
            </w:pPr>
          </w:p>
        </w:tc>
        <w:tc>
          <w:tcPr>
            <w:tcW w:w="5940" w:type="dxa"/>
            <w:vAlign w:val="bottom"/>
            <w:shd w:val="clear" w:color="auto" w:fill="CCEEFF"/>
          </w:tcPr>
          <w:p>
            <w:pPr>
              <w:ind w:left="320"/>
              <w:spacing w:after="0"/>
              <w:rPr>
                <w:sz w:val="20"/>
                <w:szCs w:val="20"/>
                <w:color w:val="auto"/>
              </w:rPr>
            </w:pPr>
            <w:r>
              <w:rPr>
                <w:rFonts w:ascii="Arial" w:cs="Arial" w:eastAsia="Arial" w:hAnsi="Arial"/>
                <w:sz w:val="16"/>
                <w:szCs w:val="16"/>
                <w:color w:val="auto"/>
              </w:rPr>
              <w:t>Long-term debt</w:t>
            </w:r>
          </w:p>
        </w:tc>
        <w:tc>
          <w:tcPr>
            <w:tcW w:w="2900" w:type="dxa"/>
            <w:vAlign w:val="bottom"/>
            <w:shd w:val="clear" w:color="auto" w:fill="CCEEFF"/>
          </w:tcPr>
          <w:p>
            <w:pPr>
              <w:spacing w:after="0"/>
              <w:rPr>
                <w:sz w:val="17"/>
                <w:szCs w:val="17"/>
                <w:color w:val="auto"/>
              </w:rPr>
            </w:pPr>
          </w:p>
        </w:tc>
        <w:tc>
          <w:tcPr>
            <w:tcW w:w="1180" w:type="dxa"/>
            <w:vAlign w:val="bottom"/>
            <w:shd w:val="clear" w:color="auto" w:fill="CCEEFF"/>
          </w:tcPr>
          <w:p>
            <w:pPr>
              <w:jc w:val="right"/>
              <w:ind w:right="59"/>
              <w:spacing w:after="0"/>
              <w:rPr>
                <w:sz w:val="20"/>
                <w:szCs w:val="20"/>
                <w:color w:val="auto"/>
              </w:rPr>
            </w:pPr>
            <w:r>
              <w:rPr>
                <w:rFonts w:ascii="Arial" w:cs="Arial" w:eastAsia="Arial" w:hAnsi="Arial"/>
                <w:sz w:val="16"/>
                <w:szCs w:val="16"/>
                <w:b w:val="1"/>
                <w:bCs w:val="1"/>
                <w:color w:val="auto"/>
              </w:rPr>
              <w:t>30.2</w:t>
            </w:r>
          </w:p>
        </w:tc>
        <w:tc>
          <w:tcPr>
            <w:tcW w:w="180" w:type="dxa"/>
            <w:vAlign w:val="bottom"/>
            <w:shd w:val="clear" w:color="auto" w:fill="CCEEFF"/>
          </w:tcPr>
          <w:p>
            <w:pPr>
              <w:spacing w:after="0"/>
              <w:rPr>
                <w:sz w:val="17"/>
                <w:szCs w:val="17"/>
                <w:color w:val="auto"/>
              </w:rPr>
            </w:pPr>
          </w:p>
        </w:tc>
        <w:tc>
          <w:tcPr>
            <w:tcW w:w="1200" w:type="dxa"/>
            <w:vAlign w:val="bottom"/>
            <w:shd w:val="clear" w:color="auto" w:fill="CCEEFF"/>
          </w:tcPr>
          <w:p>
            <w:pPr>
              <w:jc w:val="right"/>
              <w:ind w:right="19"/>
              <w:spacing w:after="0"/>
              <w:rPr>
                <w:sz w:val="20"/>
                <w:szCs w:val="20"/>
                <w:color w:val="auto"/>
              </w:rPr>
            </w:pPr>
            <w:r>
              <w:rPr>
                <w:rFonts w:ascii="Arial" w:cs="Arial" w:eastAsia="Arial" w:hAnsi="Arial"/>
                <w:sz w:val="16"/>
                <w:szCs w:val="16"/>
                <w:color w:val="auto"/>
              </w:rPr>
              <w:t>30.2</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940" w:type="dxa"/>
            <w:vAlign w:val="bottom"/>
          </w:tcPr>
          <w:p>
            <w:pPr>
              <w:ind w:left="320"/>
              <w:spacing w:after="0"/>
              <w:rPr>
                <w:sz w:val="20"/>
                <w:szCs w:val="20"/>
                <w:color w:val="auto"/>
              </w:rPr>
            </w:pPr>
            <w:r>
              <w:rPr>
                <w:rFonts w:ascii="Arial" w:cs="Arial" w:eastAsia="Arial" w:hAnsi="Arial"/>
                <w:sz w:val="16"/>
                <w:szCs w:val="16"/>
                <w:color w:val="auto"/>
              </w:rPr>
              <w:t>Deferred income taxes</w:t>
            </w:r>
          </w:p>
        </w:tc>
        <w:tc>
          <w:tcPr>
            <w:tcW w:w="2900" w:type="dxa"/>
            <w:vAlign w:val="bottom"/>
          </w:tcPr>
          <w:p>
            <w:pPr>
              <w:spacing w:after="0"/>
              <w:rPr>
                <w:sz w:val="17"/>
                <w:szCs w:val="17"/>
                <w:color w:val="auto"/>
              </w:rPr>
            </w:pPr>
          </w:p>
        </w:tc>
        <w:tc>
          <w:tcPr>
            <w:tcW w:w="1180" w:type="dxa"/>
            <w:vAlign w:val="bottom"/>
          </w:tcPr>
          <w:p>
            <w:pPr>
              <w:jc w:val="right"/>
              <w:ind w:right="59"/>
              <w:spacing w:after="0"/>
              <w:rPr>
                <w:sz w:val="20"/>
                <w:szCs w:val="20"/>
                <w:color w:val="auto"/>
              </w:rPr>
            </w:pPr>
            <w:r>
              <w:rPr>
                <w:rFonts w:ascii="Arial" w:cs="Arial" w:eastAsia="Arial" w:hAnsi="Arial"/>
                <w:sz w:val="16"/>
                <w:szCs w:val="16"/>
                <w:b w:val="1"/>
                <w:bCs w:val="1"/>
                <w:color w:val="auto"/>
              </w:rPr>
              <w:t>86.1</w:t>
            </w:r>
          </w:p>
        </w:tc>
        <w:tc>
          <w:tcPr>
            <w:tcW w:w="180" w:type="dxa"/>
            <w:vAlign w:val="bottom"/>
          </w:tcPr>
          <w:p>
            <w:pPr>
              <w:spacing w:after="0"/>
              <w:rPr>
                <w:sz w:val="17"/>
                <w:szCs w:val="17"/>
                <w:color w:val="auto"/>
              </w:rPr>
            </w:pPr>
          </w:p>
        </w:tc>
        <w:tc>
          <w:tcPr>
            <w:tcW w:w="1200" w:type="dxa"/>
            <w:vAlign w:val="bottom"/>
          </w:tcPr>
          <w:p>
            <w:pPr>
              <w:jc w:val="right"/>
              <w:ind w:right="19"/>
              <w:spacing w:after="0"/>
              <w:rPr>
                <w:sz w:val="20"/>
                <w:szCs w:val="20"/>
                <w:color w:val="auto"/>
              </w:rPr>
            </w:pPr>
            <w:r>
              <w:rPr>
                <w:rFonts w:ascii="Arial" w:cs="Arial" w:eastAsia="Arial" w:hAnsi="Arial"/>
                <w:sz w:val="16"/>
                <w:szCs w:val="16"/>
                <w:color w:val="auto"/>
              </w:rPr>
              <w:t>86.1</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940" w:type="dxa"/>
            <w:vAlign w:val="bottom"/>
            <w:tcBorders>
              <w:bottom w:val="single" w:sz="8" w:color="auto"/>
            </w:tcBorders>
            <w:shd w:val="clear" w:color="auto" w:fill="CCEEFF"/>
          </w:tcPr>
          <w:p>
            <w:pPr>
              <w:ind w:left="320"/>
              <w:spacing w:after="0"/>
              <w:rPr>
                <w:sz w:val="20"/>
                <w:szCs w:val="20"/>
                <w:color w:val="auto"/>
              </w:rPr>
            </w:pPr>
            <w:r>
              <w:rPr>
                <w:rFonts w:ascii="Arial" w:cs="Arial" w:eastAsia="Arial" w:hAnsi="Arial"/>
                <w:sz w:val="16"/>
                <w:szCs w:val="16"/>
                <w:color w:val="auto"/>
              </w:rPr>
              <w:t>Other non-current liabilities</w:t>
            </w:r>
          </w:p>
        </w:tc>
        <w:tc>
          <w:tcPr>
            <w:tcW w:w="2900" w:type="dxa"/>
            <w:vAlign w:val="bottom"/>
            <w:tcBorders>
              <w:bottom w:val="single" w:sz="8" w:color="auto"/>
            </w:tcBorders>
            <w:shd w:val="clear" w:color="auto" w:fill="CCEEFF"/>
          </w:tcPr>
          <w:p>
            <w:pPr>
              <w:spacing w:after="0"/>
              <w:rPr>
                <w:sz w:val="17"/>
                <w:szCs w:val="17"/>
                <w:color w:val="auto"/>
              </w:rPr>
            </w:pPr>
          </w:p>
        </w:tc>
        <w:tc>
          <w:tcPr>
            <w:tcW w:w="1180" w:type="dxa"/>
            <w:vAlign w:val="bottom"/>
            <w:tcBorders>
              <w:bottom w:val="single" w:sz="8" w:color="auto"/>
            </w:tcBorders>
            <w:shd w:val="clear" w:color="auto" w:fill="CCEEFF"/>
          </w:tcPr>
          <w:p>
            <w:pPr>
              <w:jc w:val="right"/>
              <w:ind w:right="59"/>
              <w:spacing w:after="0"/>
              <w:rPr>
                <w:sz w:val="20"/>
                <w:szCs w:val="20"/>
                <w:color w:val="auto"/>
              </w:rPr>
            </w:pPr>
            <w:r>
              <w:rPr>
                <w:rFonts w:ascii="Arial" w:cs="Arial" w:eastAsia="Arial" w:hAnsi="Arial"/>
                <w:sz w:val="16"/>
                <w:szCs w:val="16"/>
                <w:b w:val="1"/>
                <w:bCs w:val="1"/>
                <w:color w:val="auto"/>
              </w:rPr>
              <w:t>6.5</w:t>
            </w:r>
          </w:p>
        </w:tc>
        <w:tc>
          <w:tcPr>
            <w:tcW w:w="180" w:type="dxa"/>
            <w:vAlign w:val="bottom"/>
            <w:tcBorders>
              <w:bottom w:val="single" w:sz="8" w:color="auto"/>
            </w:tcBorders>
            <w:shd w:val="clear" w:color="auto" w:fill="CCEEFF"/>
          </w:tcPr>
          <w:p>
            <w:pPr>
              <w:spacing w:after="0"/>
              <w:rPr>
                <w:sz w:val="17"/>
                <w:szCs w:val="17"/>
                <w:color w:val="auto"/>
              </w:rPr>
            </w:pPr>
          </w:p>
        </w:tc>
        <w:tc>
          <w:tcPr>
            <w:tcW w:w="120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6.8</w:t>
            </w:r>
          </w:p>
        </w:tc>
        <w:tc>
          <w:tcPr>
            <w:tcW w:w="0" w:type="dxa"/>
            <w:vAlign w:val="bottom"/>
          </w:tcPr>
          <w:p>
            <w:pPr>
              <w:spacing w:after="0"/>
              <w:rPr>
                <w:sz w:val="1"/>
                <w:szCs w:val="1"/>
                <w:color w:val="auto"/>
              </w:rPr>
            </w:pPr>
          </w:p>
        </w:tc>
      </w:tr>
      <w:tr>
        <w:trPr>
          <w:trHeight w:val="204"/>
        </w:trPr>
        <w:tc>
          <w:tcPr>
            <w:tcW w:w="20" w:type="dxa"/>
            <w:vAlign w:val="bottom"/>
          </w:tcPr>
          <w:p>
            <w:pPr>
              <w:spacing w:after="0"/>
              <w:rPr>
                <w:sz w:val="17"/>
                <w:szCs w:val="17"/>
                <w:color w:val="auto"/>
              </w:rPr>
            </w:pPr>
          </w:p>
        </w:tc>
        <w:tc>
          <w:tcPr>
            <w:tcW w:w="5940" w:type="dxa"/>
            <w:vAlign w:val="bottom"/>
          </w:tcPr>
          <w:p>
            <w:pPr>
              <w:spacing w:after="0"/>
              <w:rPr>
                <w:sz w:val="20"/>
                <w:szCs w:val="20"/>
                <w:color w:val="auto"/>
              </w:rPr>
            </w:pPr>
            <w:r>
              <w:rPr>
                <w:rFonts w:ascii="Arial" w:cs="Arial" w:eastAsia="Arial" w:hAnsi="Arial"/>
                <w:sz w:val="16"/>
                <w:szCs w:val="16"/>
                <w:b w:val="1"/>
                <w:bCs w:val="1"/>
                <w:color w:val="auto"/>
              </w:rPr>
              <w:t>Total Non-Current Liabilities</w:t>
            </w:r>
          </w:p>
        </w:tc>
        <w:tc>
          <w:tcPr>
            <w:tcW w:w="2900" w:type="dxa"/>
            <w:vAlign w:val="bottom"/>
          </w:tcPr>
          <w:p>
            <w:pPr>
              <w:spacing w:after="0"/>
              <w:rPr>
                <w:sz w:val="17"/>
                <w:szCs w:val="17"/>
                <w:color w:val="auto"/>
              </w:rPr>
            </w:pPr>
          </w:p>
        </w:tc>
        <w:tc>
          <w:tcPr>
            <w:tcW w:w="1180" w:type="dxa"/>
            <w:vAlign w:val="bottom"/>
          </w:tcPr>
          <w:p>
            <w:pPr>
              <w:jc w:val="right"/>
              <w:ind w:right="59"/>
              <w:spacing w:after="0"/>
              <w:rPr>
                <w:sz w:val="20"/>
                <w:szCs w:val="20"/>
                <w:color w:val="auto"/>
              </w:rPr>
            </w:pPr>
            <w:r>
              <w:rPr>
                <w:rFonts w:ascii="Arial" w:cs="Arial" w:eastAsia="Arial" w:hAnsi="Arial"/>
                <w:sz w:val="16"/>
                <w:szCs w:val="16"/>
                <w:b w:val="1"/>
                <w:bCs w:val="1"/>
                <w:color w:val="auto"/>
              </w:rPr>
              <w:t>122.8</w:t>
            </w:r>
          </w:p>
        </w:tc>
        <w:tc>
          <w:tcPr>
            <w:tcW w:w="180" w:type="dxa"/>
            <w:vAlign w:val="bottom"/>
          </w:tcPr>
          <w:p>
            <w:pPr>
              <w:spacing w:after="0"/>
              <w:rPr>
                <w:sz w:val="17"/>
                <w:szCs w:val="17"/>
                <w:color w:val="auto"/>
              </w:rPr>
            </w:pPr>
          </w:p>
        </w:tc>
        <w:tc>
          <w:tcPr>
            <w:tcW w:w="1200" w:type="dxa"/>
            <w:vAlign w:val="bottom"/>
          </w:tcPr>
          <w:p>
            <w:pPr>
              <w:jc w:val="right"/>
              <w:ind w:right="19"/>
              <w:spacing w:after="0"/>
              <w:rPr>
                <w:sz w:val="20"/>
                <w:szCs w:val="20"/>
                <w:color w:val="auto"/>
              </w:rPr>
            </w:pPr>
            <w:r>
              <w:rPr>
                <w:rFonts w:ascii="Arial" w:cs="Arial" w:eastAsia="Arial" w:hAnsi="Arial"/>
                <w:sz w:val="16"/>
                <w:szCs w:val="16"/>
                <w:color w:val="auto"/>
              </w:rPr>
              <w:t>123.1</w:t>
            </w:r>
          </w:p>
        </w:tc>
        <w:tc>
          <w:tcPr>
            <w:tcW w:w="0" w:type="dxa"/>
            <w:vAlign w:val="bottom"/>
          </w:tcPr>
          <w:p>
            <w:pPr>
              <w:spacing w:after="0"/>
              <w:rPr>
                <w:sz w:val="1"/>
                <w:szCs w:val="1"/>
                <w:color w:val="auto"/>
              </w:rPr>
            </w:pPr>
          </w:p>
        </w:tc>
      </w:tr>
      <w:tr>
        <w:trPr>
          <w:trHeight w:val="208"/>
        </w:trPr>
        <w:tc>
          <w:tcPr>
            <w:tcW w:w="20" w:type="dxa"/>
            <w:vAlign w:val="bottom"/>
            <w:vMerge w:val="restart"/>
          </w:tcPr>
          <w:p>
            <w:pPr>
              <w:spacing w:after="0"/>
              <w:rPr>
                <w:sz w:val="18"/>
                <w:szCs w:val="18"/>
                <w:color w:val="auto"/>
              </w:rPr>
            </w:pPr>
          </w:p>
        </w:tc>
        <w:tc>
          <w:tcPr>
            <w:tcW w:w="5940" w:type="dxa"/>
            <w:vAlign w:val="bottom"/>
          </w:tcPr>
          <w:p>
            <w:pPr>
              <w:spacing w:after="0"/>
              <w:rPr>
                <w:sz w:val="18"/>
                <w:szCs w:val="18"/>
                <w:color w:val="auto"/>
              </w:rPr>
            </w:pPr>
          </w:p>
        </w:tc>
        <w:tc>
          <w:tcPr>
            <w:tcW w:w="290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3"/>
        </w:trPr>
        <w:tc>
          <w:tcPr>
            <w:tcW w:w="20" w:type="dxa"/>
            <w:vAlign w:val="bottom"/>
            <w:vMerge w:val="continue"/>
          </w:tcPr>
          <w:p>
            <w:pPr>
              <w:spacing w:after="0"/>
              <w:rPr>
                <w:sz w:val="17"/>
                <w:szCs w:val="17"/>
                <w:color w:val="auto"/>
              </w:rPr>
            </w:pPr>
          </w:p>
        </w:tc>
        <w:tc>
          <w:tcPr>
            <w:tcW w:w="5940" w:type="dxa"/>
            <w:vAlign w:val="bottom"/>
            <w:shd w:val="clear" w:color="auto" w:fill="CCEEFF"/>
          </w:tcPr>
          <w:p>
            <w:pPr>
              <w:spacing w:after="0"/>
              <w:rPr>
                <w:sz w:val="20"/>
                <w:szCs w:val="20"/>
                <w:color w:val="auto"/>
              </w:rPr>
            </w:pPr>
            <w:r>
              <w:rPr>
                <w:rFonts w:ascii="Arial" w:cs="Arial" w:eastAsia="Arial" w:hAnsi="Arial"/>
                <w:sz w:val="16"/>
                <w:szCs w:val="16"/>
                <w:color w:val="auto"/>
              </w:rPr>
              <w:t>Commitments and contingencies</w:t>
            </w:r>
          </w:p>
        </w:tc>
        <w:tc>
          <w:tcPr>
            <w:tcW w:w="2900" w:type="dxa"/>
            <w:vAlign w:val="bottom"/>
            <w:shd w:val="clear" w:color="auto" w:fill="CCEEFF"/>
          </w:tcPr>
          <w:p>
            <w:pPr>
              <w:spacing w:after="0"/>
              <w:rPr>
                <w:sz w:val="17"/>
                <w:szCs w:val="17"/>
                <w:color w:val="auto"/>
              </w:rPr>
            </w:pPr>
          </w:p>
        </w:tc>
        <w:tc>
          <w:tcPr>
            <w:tcW w:w="1180" w:type="dxa"/>
            <w:vAlign w:val="bottom"/>
            <w:shd w:val="clear" w:color="auto" w:fill="CCEEFF"/>
          </w:tcPr>
          <w:p>
            <w:pPr>
              <w:jc w:val="right"/>
              <w:ind w:right="59"/>
              <w:spacing w:after="0"/>
              <w:rPr>
                <w:sz w:val="20"/>
                <w:szCs w:val="20"/>
                <w:color w:val="auto"/>
              </w:rPr>
            </w:pPr>
            <w:r>
              <w:rPr>
                <w:rFonts w:ascii="Arial" w:cs="Arial" w:eastAsia="Arial" w:hAnsi="Arial"/>
                <w:sz w:val="16"/>
                <w:szCs w:val="16"/>
                <w:b w:val="1"/>
                <w:bCs w:val="1"/>
                <w:color w:val="auto"/>
              </w:rPr>
              <w:t>—</w:t>
            </w:r>
          </w:p>
        </w:tc>
        <w:tc>
          <w:tcPr>
            <w:tcW w:w="180" w:type="dxa"/>
            <w:vAlign w:val="bottom"/>
            <w:shd w:val="clear" w:color="auto" w:fill="CCEEFF"/>
          </w:tcPr>
          <w:p>
            <w:pPr>
              <w:spacing w:after="0"/>
              <w:rPr>
                <w:sz w:val="17"/>
                <w:szCs w:val="17"/>
                <w:color w:val="auto"/>
              </w:rPr>
            </w:pPr>
          </w:p>
        </w:tc>
        <w:tc>
          <w:tcPr>
            <w:tcW w:w="1200" w:type="dxa"/>
            <w:vAlign w:val="bottom"/>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416"/>
        </w:trPr>
        <w:tc>
          <w:tcPr>
            <w:tcW w:w="5960" w:type="dxa"/>
            <w:vAlign w:val="bottom"/>
            <w:gridSpan w:val="2"/>
          </w:tcPr>
          <w:p>
            <w:pPr>
              <w:spacing w:after="0"/>
              <w:rPr>
                <w:sz w:val="20"/>
                <w:szCs w:val="20"/>
                <w:color w:val="auto"/>
              </w:rPr>
            </w:pPr>
            <w:r>
              <w:rPr>
                <w:rFonts w:ascii="Arial" w:cs="Arial" w:eastAsia="Arial" w:hAnsi="Arial"/>
                <w:sz w:val="16"/>
                <w:szCs w:val="16"/>
                <w:b w:val="1"/>
                <w:bCs w:val="1"/>
                <w:color w:val="auto"/>
              </w:rPr>
              <w:t>Parent Equity</w:t>
            </w:r>
          </w:p>
        </w:tc>
        <w:tc>
          <w:tcPr>
            <w:tcW w:w="290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6"/>
        </w:trPr>
        <w:tc>
          <w:tcPr>
            <w:tcW w:w="20" w:type="dxa"/>
            <w:vAlign w:val="bottom"/>
          </w:tcPr>
          <w:p>
            <w:pPr>
              <w:spacing w:after="0"/>
              <w:rPr>
                <w:sz w:val="17"/>
                <w:szCs w:val="17"/>
                <w:color w:val="auto"/>
              </w:rPr>
            </w:pPr>
          </w:p>
        </w:tc>
        <w:tc>
          <w:tcPr>
            <w:tcW w:w="5940" w:type="dxa"/>
            <w:vAlign w:val="bottom"/>
            <w:shd w:val="clear" w:color="auto" w:fill="CCEEFF"/>
          </w:tcPr>
          <w:p>
            <w:pPr>
              <w:ind w:left="320"/>
              <w:spacing w:after="0"/>
              <w:rPr>
                <w:sz w:val="20"/>
                <w:szCs w:val="20"/>
                <w:color w:val="auto"/>
              </w:rPr>
            </w:pPr>
            <w:r>
              <w:rPr>
                <w:rFonts w:ascii="Arial" w:cs="Arial" w:eastAsia="Arial" w:hAnsi="Arial"/>
                <w:sz w:val="16"/>
                <w:szCs w:val="16"/>
                <w:color w:val="auto"/>
              </w:rPr>
              <w:t>Net parent investment</w:t>
            </w:r>
          </w:p>
        </w:tc>
        <w:tc>
          <w:tcPr>
            <w:tcW w:w="2900" w:type="dxa"/>
            <w:vAlign w:val="bottom"/>
            <w:shd w:val="clear" w:color="auto" w:fill="CCEEFF"/>
          </w:tcPr>
          <w:p>
            <w:pPr>
              <w:spacing w:after="0"/>
              <w:rPr>
                <w:sz w:val="17"/>
                <w:szCs w:val="17"/>
                <w:color w:val="auto"/>
              </w:rPr>
            </w:pPr>
          </w:p>
        </w:tc>
        <w:tc>
          <w:tcPr>
            <w:tcW w:w="1180" w:type="dxa"/>
            <w:vAlign w:val="bottom"/>
            <w:shd w:val="clear" w:color="auto" w:fill="CCEEFF"/>
          </w:tcPr>
          <w:p>
            <w:pPr>
              <w:jc w:val="right"/>
              <w:ind w:right="59"/>
              <w:spacing w:after="0"/>
              <w:rPr>
                <w:sz w:val="20"/>
                <w:szCs w:val="20"/>
                <w:color w:val="auto"/>
              </w:rPr>
            </w:pPr>
            <w:r>
              <w:rPr>
                <w:rFonts w:ascii="Arial" w:cs="Arial" w:eastAsia="Arial" w:hAnsi="Arial"/>
                <w:sz w:val="16"/>
                <w:szCs w:val="16"/>
                <w:b w:val="1"/>
                <w:bCs w:val="1"/>
                <w:color w:val="auto"/>
              </w:rPr>
              <w:t>823.3</w:t>
            </w:r>
          </w:p>
        </w:tc>
        <w:tc>
          <w:tcPr>
            <w:tcW w:w="180" w:type="dxa"/>
            <w:vAlign w:val="bottom"/>
            <w:shd w:val="clear" w:color="auto" w:fill="CCEEFF"/>
          </w:tcPr>
          <w:p>
            <w:pPr>
              <w:spacing w:after="0"/>
              <w:rPr>
                <w:sz w:val="17"/>
                <w:szCs w:val="17"/>
                <w:color w:val="auto"/>
              </w:rPr>
            </w:pPr>
          </w:p>
        </w:tc>
        <w:tc>
          <w:tcPr>
            <w:tcW w:w="1200" w:type="dxa"/>
            <w:vAlign w:val="bottom"/>
            <w:shd w:val="clear" w:color="auto" w:fill="CCEEFF"/>
          </w:tcPr>
          <w:p>
            <w:pPr>
              <w:jc w:val="right"/>
              <w:ind w:right="19"/>
              <w:spacing w:after="0"/>
              <w:rPr>
                <w:sz w:val="20"/>
                <w:szCs w:val="20"/>
                <w:color w:val="auto"/>
              </w:rPr>
            </w:pPr>
            <w:r>
              <w:rPr>
                <w:rFonts w:ascii="Arial" w:cs="Arial" w:eastAsia="Arial" w:hAnsi="Arial"/>
                <w:sz w:val="16"/>
                <w:szCs w:val="16"/>
                <w:color w:val="auto"/>
              </w:rPr>
              <w:t>801.2</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940" w:type="dxa"/>
            <w:vAlign w:val="bottom"/>
            <w:tcBorders>
              <w:bottom w:val="single" w:sz="8" w:color="auto"/>
            </w:tcBorders>
          </w:tcPr>
          <w:p>
            <w:pPr>
              <w:ind w:left="320"/>
              <w:spacing w:after="0"/>
              <w:rPr>
                <w:sz w:val="20"/>
                <w:szCs w:val="20"/>
                <w:color w:val="auto"/>
              </w:rPr>
            </w:pPr>
            <w:r>
              <w:rPr>
                <w:rFonts w:ascii="Arial" w:cs="Arial" w:eastAsia="Arial" w:hAnsi="Arial"/>
                <w:sz w:val="16"/>
                <w:szCs w:val="16"/>
                <w:color w:val="auto"/>
              </w:rPr>
              <w:t>Accumulated other comprehensive loss</w:t>
            </w:r>
          </w:p>
        </w:tc>
        <w:tc>
          <w:tcPr>
            <w:tcW w:w="2900" w:type="dxa"/>
            <w:vAlign w:val="bottom"/>
            <w:tcBorders>
              <w:bottom w:val="single" w:sz="8" w:color="auto"/>
            </w:tcBorders>
          </w:tcPr>
          <w:p>
            <w:pPr>
              <w:spacing w:after="0"/>
              <w:rPr>
                <w:sz w:val="17"/>
                <w:szCs w:val="17"/>
                <w:color w:val="auto"/>
              </w:rPr>
            </w:pPr>
          </w:p>
        </w:tc>
        <w:tc>
          <w:tcPr>
            <w:tcW w:w="118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(0.6)</w:t>
            </w:r>
          </w:p>
        </w:tc>
        <w:tc>
          <w:tcPr>
            <w:tcW w:w="180" w:type="dxa"/>
            <w:vAlign w:val="bottom"/>
            <w:tcBorders>
              <w:bottom w:val="single" w:sz="8" w:color="auto"/>
            </w:tcBorders>
          </w:tcPr>
          <w:p>
            <w:pPr>
              <w:spacing w:after="0"/>
              <w:rPr>
                <w:sz w:val="17"/>
                <w:szCs w:val="17"/>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(0.4)</w:t>
            </w: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594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6"/>
                <w:szCs w:val="16"/>
                <w:b w:val="1"/>
                <w:bCs w:val="1"/>
                <w:color w:val="auto"/>
              </w:rPr>
              <w:t>Total Parent Equity</w:t>
            </w:r>
          </w:p>
        </w:tc>
        <w:tc>
          <w:tcPr>
            <w:tcW w:w="2900" w:type="dxa"/>
            <w:vAlign w:val="bottom"/>
            <w:tcBorders>
              <w:bottom w:val="single" w:sz="8" w:color="auto"/>
            </w:tcBorders>
            <w:shd w:val="clear" w:color="auto" w:fill="CCEEFF"/>
          </w:tcPr>
          <w:p>
            <w:pPr>
              <w:spacing w:after="0"/>
              <w:rPr>
                <w:sz w:val="17"/>
                <w:szCs w:val="17"/>
                <w:color w:val="auto"/>
              </w:rPr>
            </w:pPr>
          </w:p>
        </w:tc>
        <w:tc>
          <w:tcPr>
            <w:tcW w:w="1180" w:type="dxa"/>
            <w:vAlign w:val="bottom"/>
            <w:tcBorders>
              <w:bottom w:val="single" w:sz="8" w:color="auto"/>
            </w:tcBorders>
            <w:shd w:val="clear" w:color="auto" w:fill="CCEEFF"/>
          </w:tcPr>
          <w:p>
            <w:pPr>
              <w:jc w:val="right"/>
              <w:ind w:right="59"/>
              <w:spacing w:after="0"/>
              <w:rPr>
                <w:sz w:val="20"/>
                <w:szCs w:val="20"/>
                <w:color w:val="auto"/>
              </w:rPr>
            </w:pPr>
            <w:r>
              <w:rPr>
                <w:rFonts w:ascii="Arial" w:cs="Arial" w:eastAsia="Arial" w:hAnsi="Arial"/>
                <w:sz w:val="16"/>
                <w:szCs w:val="16"/>
                <w:b w:val="1"/>
                <w:bCs w:val="1"/>
                <w:color w:val="auto"/>
              </w:rPr>
              <w:t>822.7</w:t>
            </w:r>
          </w:p>
        </w:tc>
        <w:tc>
          <w:tcPr>
            <w:tcW w:w="180" w:type="dxa"/>
            <w:vAlign w:val="bottom"/>
            <w:tcBorders>
              <w:bottom w:val="single" w:sz="8" w:color="auto"/>
            </w:tcBorders>
            <w:shd w:val="clear" w:color="auto" w:fill="CCEEFF"/>
          </w:tcPr>
          <w:p>
            <w:pPr>
              <w:spacing w:after="0"/>
              <w:rPr>
                <w:sz w:val="17"/>
                <w:szCs w:val="17"/>
                <w:color w:val="auto"/>
              </w:rPr>
            </w:pPr>
          </w:p>
        </w:tc>
        <w:tc>
          <w:tcPr>
            <w:tcW w:w="120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800.8</w:t>
            </w:r>
          </w:p>
        </w:tc>
        <w:tc>
          <w:tcPr>
            <w:tcW w:w="0" w:type="dxa"/>
            <w:vAlign w:val="bottom"/>
          </w:tcPr>
          <w:p>
            <w:pPr>
              <w:spacing w:after="0"/>
              <w:rPr>
                <w:sz w:val="1"/>
                <w:szCs w:val="1"/>
                <w:color w:val="auto"/>
              </w:rPr>
            </w:pPr>
          </w:p>
        </w:tc>
      </w:tr>
      <w:tr>
        <w:trPr>
          <w:trHeight w:val="203"/>
        </w:trPr>
        <w:tc>
          <w:tcPr>
            <w:tcW w:w="20" w:type="dxa"/>
            <w:vAlign w:val="bottom"/>
            <w:tcBorders>
              <w:bottom w:val="single" w:sz="8" w:color="auto"/>
            </w:tcBorders>
          </w:tcPr>
          <w:p>
            <w:pPr>
              <w:spacing w:after="0"/>
              <w:rPr>
                <w:sz w:val="17"/>
                <w:szCs w:val="17"/>
                <w:color w:val="auto"/>
              </w:rPr>
            </w:pPr>
          </w:p>
        </w:tc>
        <w:tc>
          <w:tcPr>
            <w:tcW w:w="5940" w:type="dxa"/>
            <w:vAlign w:val="bottom"/>
            <w:tcBorders>
              <w:bottom w:val="single" w:sz="8" w:color="auto"/>
            </w:tcBorders>
          </w:tcPr>
          <w:p>
            <w:pPr>
              <w:spacing w:after="0"/>
              <w:rPr>
                <w:sz w:val="20"/>
                <w:szCs w:val="20"/>
                <w:color w:val="auto"/>
              </w:rPr>
            </w:pPr>
            <w:r>
              <w:rPr>
                <w:rFonts w:ascii="Arial" w:cs="Arial" w:eastAsia="Arial" w:hAnsi="Arial"/>
                <w:sz w:val="16"/>
                <w:szCs w:val="16"/>
                <w:b w:val="1"/>
                <w:bCs w:val="1"/>
                <w:color w:val="auto"/>
              </w:rPr>
              <w:t>Total Liabilities and Equity</w:t>
            </w:r>
          </w:p>
        </w:tc>
        <w:tc>
          <w:tcPr>
            <w:tcW w:w="290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w:t>
            </w:r>
          </w:p>
        </w:tc>
        <w:tc>
          <w:tcPr>
            <w:tcW w:w="1180" w:type="dxa"/>
            <w:vAlign w:val="bottom"/>
            <w:tcBorders>
              <w:bottom w:val="single" w:sz="8" w:color="auto"/>
            </w:tcBorders>
          </w:tcPr>
          <w:p>
            <w:pPr>
              <w:jc w:val="right"/>
              <w:ind w:right="59"/>
              <w:spacing w:after="0"/>
              <w:rPr>
                <w:sz w:val="20"/>
                <w:szCs w:val="20"/>
                <w:color w:val="auto"/>
              </w:rPr>
            </w:pPr>
            <w:r>
              <w:rPr>
                <w:rFonts w:ascii="Arial" w:cs="Arial" w:eastAsia="Arial" w:hAnsi="Arial"/>
                <w:sz w:val="16"/>
                <w:szCs w:val="16"/>
                <w:b w:val="1"/>
                <w:bCs w:val="1"/>
                <w:color w:val="auto"/>
              </w:rPr>
              <w:t>1,126.5</w:t>
            </w:r>
          </w:p>
        </w:tc>
        <w:tc>
          <w:tcPr>
            <w:tcW w:w="1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20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rPr>
              <w:t>1,078.8</w:t>
            </w:r>
          </w:p>
        </w:tc>
        <w:tc>
          <w:tcPr>
            <w:tcW w:w="0" w:type="dxa"/>
            <w:vAlign w:val="bottom"/>
          </w:tcPr>
          <w:p>
            <w:pPr>
              <w:spacing w:after="0"/>
              <w:rPr>
                <w:sz w:val="1"/>
                <w:szCs w:val="1"/>
                <w:color w:val="auto"/>
              </w:rPr>
            </w:pPr>
          </w:p>
        </w:tc>
      </w:tr>
    </w:tbl>
    <w:p>
      <w:pPr>
        <w:spacing w:after="0" w:line="62" w:lineRule="exact"/>
        <w:rPr>
          <w:sz w:val="20"/>
          <w:szCs w:val="20"/>
          <w:color w:val="auto"/>
        </w:rPr>
      </w:pPr>
    </w:p>
    <w:p>
      <w:pPr>
        <w:spacing w:after="0"/>
        <w:rPr>
          <w:sz w:val="20"/>
          <w:szCs w:val="20"/>
          <w:color w:val="auto"/>
        </w:rPr>
      </w:pPr>
      <w:r>
        <w:rPr>
          <w:rFonts w:ascii="Arial" w:cs="Arial" w:eastAsia="Arial" w:hAnsi="Arial"/>
          <w:sz w:val="14"/>
          <w:szCs w:val="14"/>
          <w:color w:val="auto"/>
        </w:rPr>
        <w:t>See accompanying Notes to the Unaudited Consolidated Financial Statements.</w:t>
      </w:r>
    </w:p>
    <w:p>
      <w:pPr>
        <w:spacing w:after="0" w:line="14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F-25</w:t>
      </w:r>
    </w:p>
    <w:p>
      <w:pPr>
        <w:sectPr>
          <w:pgSz w:w="11900" w:h="16838" w:orient="portrait"/>
          <w:cols w:equalWidth="0" w:num="1">
            <w:col w:w="11420"/>
          </w:cols>
          <w:pgMar w:left="240" w:top="459" w:right="239" w:bottom="1440" w:gutter="0" w:footer="0" w:header="0"/>
        </w:sectPr>
      </w:pPr>
    </w:p>
    <w:bookmarkStart w:id="132" w:name="page133"/>
    <w:bookmarkEnd w:id="13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60">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1" w:lineRule="exact"/>
        <w:rPr>
          <w:sz w:val="20"/>
          <w:szCs w:val="20"/>
          <w:color w:val="auto"/>
        </w:rPr>
      </w:pPr>
    </w:p>
    <w:p>
      <w:pPr>
        <w:jc w:val="center"/>
        <w:spacing w:after="0"/>
        <w:rPr>
          <w:sz w:val="20"/>
          <w:szCs w:val="20"/>
          <w:color w:val="auto"/>
        </w:rPr>
      </w:pPr>
      <w:r>
        <w:rPr>
          <w:rFonts w:ascii="Arial" w:cs="Arial" w:eastAsia="Arial" w:hAnsi="Arial"/>
          <w:sz w:val="25"/>
          <w:szCs w:val="25"/>
          <w:b w:val="1"/>
          <w:bCs w:val="1"/>
          <w:color w:val="auto"/>
        </w:rPr>
        <w:t>Consolidated Statements of Cash Flows (Unaudited)</w:t>
      </w:r>
    </w:p>
    <w:p>
      <w:pPr>
        <w:spacing w:after="0" w:line="262" w:lineRule="exact"/>
        <w:rPr>
          <w:sz w:val="20"/>
          <w:szCs w:val="20"/>
          <w:color w:val="auto"/>
        </w:rPr>
      </w:pPr>
    </w:p>
    <w:p>
      <w:pPr>
        <w:ind w:left="8900"/>
        <w:spacing w:after="0"/>
        <w:rPr>
          <w:sz w:val="20"/>
          <w:szCs w:val="20"/>
          <w:color w:val="auto"/>
        </w:rPr>
      </w:pPr>
      <w:r>
        <w:rPr>
          <w:rFonts w:ascii="Arial" w:cs="Arial" w:eastAsia="Arial" w:hAnsi="Arial"/>
          <w:sz w:val="16"/>
          <w:szCs w:val="16"/>
          <w:b w:val="1"/>
          <w:bCs w:val="1"/>
          <w:color w:val="auto"/>
        </w:rPr>
        <w:t>Three Months Ended March 31,</w:t>
      </w:r>
    </w:p>
    <w:p>
      <w:pPr>
        <w:spacing w:after="0" w:line="26" w:lineRule="exact"/>
        <w:rPr>
          <w:sz w:val="20"/>
          <w:szCs w:val="20"/>
          <w:color w:val="auto"/>
        </w:rPr>
      </w:pPr>
    </w:p>
    <w:tbl>
      <w:tblPr>
        <w:tblLayout w:type="fixed"/>
        <w:tblInd w:w="0" w:type="dxa"/>
        <w:tblCellMar>
          <w:top w:w="0" w:type="dxa"/>
          <w:left w:w="0" w:type="dxa"/>
          <w:bottom w:w="0" w:type="dxa"/>
          <w:right w:w="0" w:type="dxa"/>
        </w:tblCellMar>
      </w:tblPr>
      <w:tr>
        <w:trPr>
          <w:trHeight w:val="209"/>
        </w:trPr>
        <w:tc>
          <w:tcPr>
            <w:tcW w:w="20" w:type="dxa"/>
            <w:vAlign w:val="bottom"/>
          </w:tcPr>
          <w:p>
            <w:pPr>
              <w:spacing w:after="0"/>
              <w:rPr>
                <w:sz w:val="18"/>
                <w:szCs w:val="18"/>
                <w:color w:val="auto"/>
              </w:rPr>
            </w:pPr>
          </w:p>
        </w:tc>
        <w:tc>
          <w:tcPr>
            <w:tcW w:w="6960" w:type="dxa"/>
            <w:vAlign w:val="bottom"/>
            <w:tcBorders>
              <w:top w:val="single" w:sz="8" w:color="auto"/>
              <w:bottom w:val="single" w:sz="8" w:color="auto"/>
            </w:tcBorders>
          </w:tcPr>
          <w:p>
            <w:pPr>
              <w:spacing w:after="0"/>
              <w:rPr>
                <w:sz w:val="18"/>
                <w:szCs w:val="18"/>
                <w:color w:val="auto"/>
              </w:rPr>
            </w:pPr>
          </w:p>
        </w:tc>
        <w:tc>
          <w:tcPr>
            <w:tcW w:w="25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b w:val="1"/>
                <w:bCs w:val="1"/>
                <w:color w:val="auto"/>
              </w:rPr>
              <w:t>2014</w:t>
            </w:r>
          </w:p>
        </w:tc>
        <w:tc>
          <w:tcPr>
            <w:tcW w:w="520" w:type="dxa"/>
            <w:vAlign w:val="bottom"/>
            <w:tcBorders>
              <w:top w:val="single" w:sz="8" w:color="auto"/>
              <w:bottom w:val="single" w:sz="8" w:color="auto"/>
            </w:tcBorders>
          </w:tcPr>
          <w:p>
            <w:pPr>
              <w:spacing w:after="0"/>
              <w:rPr>
                <w:sz w:val="18"/>
                <w:szCs w:val="18"/>
                <w:color w:val="auto"/>
              </w:rPr>
            </w:pPr>
          </w:p>
        </w:tc>
        <w:tc>
          <w:tcPr>
            <w:tcW w:w="340" w:type="dxa"/>
            <w:vAlign w:val="bottom"/>
            <w:tcBorders>
              <w:top w:val="single" w:sz="8" w:color="auto"/>
              <w:bottom w:val="single" w:sz="8" w:color="auto"/>
            </w:tcBorders>
          </w:tcPr>
          <w:p>
            <w:pPr>
              <w:spacing w:after="0"/>
              <w:rPr>
                <w:sz w:val="18"/>
                <w:szCs w:val="18"/>
                <w:color w:val="auto"/>
              </w:rPr>
            </w:pPr>
          </w:p>
        </w:tc>
        <w:tc>
          <w:tcPr>
            <w:tcW w:w="1040" w:type="dxa"/>
            <w:vAlign w:val="bottom"/>
            <w:tcBorders>
              <w:top w:val="single" w:sz="8" w:color="auto"/>
              <w:bottom w:val="single" w:sz="8" w:color="auto"/>
            </w:tcBorders>
          </w:tcPr>
          <w:p>
            <w:pPr>
              <w:jc w:val="right"/>
              <w:ind w:right="459"/>
              <w:spacing w:after="0"/>
              <w:rPr>
                <w:sz w:val="20"/>
                <w:szCs w:val="20"/>
                <w:color w:val="auto"/>
              </w:rPr>
            </w:pPr>
            <w:r>
              <w:rPr>
                <w:rFonts w:ascii="Arial" w:cs="Arial" w:eastAsia="Arial" w:hAnsi="Arial"/>
                <w:sz w:val="16"/>
                <w:szCs w:val="16"/>
                <w:color w:val="auto"/>
              </w:rPr>
              <w:t>2013</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9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(Dollars in millions)</w:t>
            </w:r>
          </w:p>
        </w:tc>
        <w:tc>
          <w:tcPr>
            <w:tcW w:w="2540" w:type="dxa"/>
            <w:vAlign w:val="bottom"/>
            <w:shd w:val="clear" w:color="auto" w:fill="CCEEFF"/>
          </w:tcPr>
          <w:p>
            <w:pPr>
              <w:spacing w:after="0"/>
              <w:rPr>
                <w:sz w:val="12"/>
                <w:szCs w:val="12"/>
                <w:color w:val="auto"/>
              </w:rPr>
            </w:pPr>
          </w:p>
        </w:tc>
        <w:tc>
          <w:tcPr>
            <w:tcW w:w="520" w:type="dxa"/>
            <w:vAlign w:val="bottom"/>
            <w:shd w:val="clear" w:color="auto" w:fill="CCEEFF"/>
          </w:tcPr>
          <w:p>
            <w:pPr>
              <w:spacing w:after="0"/>
              <w:rPr>
                <w:sz w:val="12"/>
                <w:szCs w:val="12"/>
                <w:color w:val="auto"/>
              </w:rPr>
            </w:pPr>
          </w:p>
        </w:tc>
        <w:tc>
          <w:tcPr>
            <w:tcW w:w="340" w:type="dxa"/>
            <w:vAlign w:val="bottom"/>
            <w:shd w:val="clear" w:color="auto" w:fill="CCEEFF"/>
          </w:tcPr>
          <w:p>
            <w:pPr>
              <w:spacing w:after="0"/>
              <w:rPr>
                <w:sz w:val="12"/>
                <w:szCs w:val="12"/>
                <w:color w:val="auto"/>
              </w:rPr>
            </w:pPr>
          </w:p>
        </w:tc>
        <w:tc>
          <w:tcPr>
            <w:tcW w:w="10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960" w:type="dxa"/>
            <w:vAlign w:val="bottom"/>
          </w:tcPr>
          <w:p>
            <w:pPr>
              <w:spacing w:after="0"/>
              <w:rPr>
                <w:sz w:val="20"/>
                <w:szCs w:val="20"/>
                <w:color w:val="auto"/>
              </w:rPr>
            </w:pPr>
            <w:r>
              <w:rPr>
                <w:rFonts w:ascii="Arial" w:cs="Arial" w:eastAsia="Arial" w:hAnsi="Arial"/>
                <w:sz w:val="16"/>
                <w:szCs w:val="16"/>
                <w:b w:val="1"/>
                <w:bCs w:val="1"/>
                <w:color w:val="auto"/>
              </w:rPr>
              <w:t>CASH PROVIDED (USED)</w:t>
            </w:r>
          </w:p>
        </w:tc>
        <w:tc>
          <w:tcPr>
            <w:tcW w:w="254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960" w:type="dxa"/>
            <w:vAlign w:val="bottom"/>
            <w:shd w:val="clear" w:color="auto" w:fill="CCEEFF"/>
          </w:tcPr>
          <w:p>
            <w:pPr>
              <w:spacing w:after="0"/>
              <w:rPr>
                <w:sz w:val="20"/>
                <w:szCs w:val="20"/>
                <w:color w:val="auto"/>
              </w:rPr>
            </w:pPr>
            <w:r>
              <w:rPr>
                <w:rFonts w:ascii="Arial" w:cs="Arial" w:eastAsia="Arial" w:hAnsi="Arial"/>
                <w:sz w:val="16"/>
                <w:szCs w:val="16"/>
                <w:b w:val="1"/>
                <w:bCs w:val="1"/>
                <w:color w:val="auto"/>
              </w:rPr>
              <w:t>Operating Activities</w:t>
            </w:r>
          </w:p>
        </w:tc>
        <w:tc>
          <w:tcPr>
            <w:tcW w:w="2540" w:type="dxa"/>
            <w:vAlign w:val="bottom"/>
            <w:shd w:val="clear" w:color="auto" w:fill="CCEEFF"/>
          </w:tcPr>
          <w:p>
            <w:pPr>
              <w:spacing w:after="0"/>
              <w:rPr>
                <w:sz w:val="17"/>
                <w:szCs w:val="17"/>
                <w:color w:val="auto"/>
              </w:rPr>
            </w:pPr>
          </w:p>
        </w:tc>
        <w:tc>
          <w:tcPr>
            <w:tcW w:w="52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10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960" w:type="dxa"/>
            <w:vAlign w:val="bottom"/>
          </w:tcPr>
          <w:p>
            <w:pPr>
              <w:spacing w:after="0"/>
              <w:rPr>
                <w:sz w:val="20"/>
                <w:szCs w:val="20"/>
                <w:color w:val="auto"/>
              </w:rPr>
            </w:pPr>
            <w:r>
              <w:rPr>
                <w:rFonts w:ascii="Arial" w:cs="Arial" w:eastAsia="Arial" w:hAnsi="Arial"/>
                <w:sz w:val="16"/>
                <w:szCs w:val="16"/>
                <w:color w:val="auto"/>
              </w:rPr>
              <w:t>Net income</w:t>
            </w:r>
          </w:p>
        </w:tc>
        <w:tc>
          <w:tcPr>
            <w:tcW w:w="2540" w:type="dxa"/>
            <w:vAlign w:val="bottom"/>
          </w:tcPr>
          <w:p>
            <w:pPr>
              <w:jc w:val="right"/>
              <w:ind w:right="659"/>
              <w:spacing w:after="0"/>
              <w:rPr>
                <w:sz w:val="20"/>
                <w:szCs w:val="20"/>
                <w:color w:val="auto"/>
              </w:rPr>
            </w:pPr>
            <w:r>
              <w:rPr>
                <w:rFonts w:ascii="Arial" w:cs="Arial" w:eastAsia="Arial" w:hAnsi="Arial"/>
                <w:sz w:val="16"/>
                <w:szCs w:val="16"/>
                <w:b w:val="1"/>
                <w:bCs w:val="1"/>
                <w:color w:val="auto"/>
              </w:rPr>
              <w:t>$</w:t>
            </w:r>
          </w:p>
        </w:tc>
        <w:tc>
          <w:tcPr>
            <w:tcW w:w="520" w:type="dxa"/>
            <w:vAlign w:val="bottom"/>
          </w:tcPr>
          <w:p>
            <w:pPr>
              <w:jc w:val="right"/>
              <w:ind w:right="59"/>
              <w:spacing w:after="0"/>
              <w:rPr>
                <w:sz w:val="20"/>
                <w:szCs w:val="20"/>
                <w:color w:val="auto"/>
              </w:rPr>
            </w:pPr>
            <w:r>
              <w:rPr>
                <w:rFonts w:ascii="Arial" w:cs="Arial" w:eastAsia="Arial" w:hAnsi="Arial"/>
                <w:sz w:val="16"/>
                <w:szCs w:val="16"/>
                <w:b w:val="1"/>
                <w:bCs w:val="1"/>
                <w:color w:val="auto"/>
              </w:rPr>
              <w:t>33.6</w:t>
            </w:r>
          </w:p>
        </w:tc>
        <w:tc>
          <w:tcPr>
            <w:tcW w:w="340" w:type="dxa"/>
            <w:vAlign w:val="bottom"/>
          </w:tcPr>
          <w:p>
            <w:pPr>
              <w:jc w:val="right"/>
              <w:ind w:right="99"/>
              <w:spacing w:after="0"/>
              <w:rPr>
                <w:sz w:val="20"/>
                <w:szCs w:val="20"/>
                <w:color w:val="auto"/>
              </w:rPr>
            </w:pPr>
            <w:r>
              <w:rPr>
                <w:rFonts w:ascii="Arial" w:cs="Arial" w:eastAsia="Arial" w:hAnsi="Arial"/>
                <w:sz w:val="16"/>
                <w:szCs w:val="16"/>
                <w:color w:val="auto"/>
              </w:rPr>
              <w:t>$</w:t>
            </w:r>
          </w:p>
        </w:tc>
        <w:tc>
          <w:tcPr>
            <w:tcW w:w="1040" w:type="dxa"/>
            <w:vAlign w:val="bottom"/>
          </w:tcPr>
          <w:p>
            <w:pPr>
              <w:jc w:val="right"/>
              <w:ind w:right="19"/>
              <w:spacing w:after="0"/>
              <w:rPr>
                <w:sz w:val="20"/>
                <w:szCs w:val="20"/>
                <w:color w:val="auto"/>
              </w:rPr>
            </w:pPr>
            <w:r>
              <w:rPr>
                <w:rFonts w:ascii="Arial" w:cs="Arial" w:eastAsia="Arial" w:hAnsi="Arial"/>
                <w:sz w:val="16"/>
                <w:szCs w:val="16"/>
                <w:color w:val="auto"/>
              </w:rPr>
              <w:t>21.0</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960" w:type="dxa"/>
            <w:vAlign w:val="bottom"/>
            <w:shd w:val="clear" w:color="auto" w:fill="CCEEFF"/>
          </w:tcPr>
          <w:p>
            <w:pPr>
              <w:spacing w:after="0"/>
              <w:rPr>
                <w:sz w:val="20"/>
                <w:szCs w:val="20"/>
                <w:color w:val="auto"/>
              </w:rPr>
            </w:pPr>
            <w:r>
              <w:rPr>
                <w:rFonts w:ascii="Arial" w:cs="Arial" w:eastAsia="Arial" w:hAnsi="Arial"/>
                <w:sz w:val="16"/>
                <w:szCs w:val="16"/>
                <w:color w:val="auto"/>
              </w:rPr>
              <w:t>Adjustments to reconcile net income to net cash provided by operating activities:</w:t>
            </w:r>
          </w:p>
        </w:tc>
        <w:tc>
          <w:tcPr>
            <w:tcW w:w="2540" w:type="dxa"/>
            <w:vAlign w:val="bottom"/>
            <w:shd w:val="clear" w:color="auto" w:fill="CCEEFF"/>
          </w:tcPr>
          <w:p>
            <w:pPr>
              <w:spacing w:after="0"/>
              <w:rPr>
                <w:sz w:val="17"/>
                <w:szCs w:val="17"/>
                <w:color w:val="auto"/>
              </w:rPr>
            </w:pPr>
          </w:p>
        </w:tc>
        <w:tc>
          <w:tcPr>
            <w:tcW w:w="52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10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960" w:type="dxa"/>
            <w:vAlign w:val="bottom"/>
          </w:tcPr>
          <w:p>
            <w:pPr>
              <w:spacing w:after="0"/>
              <w:rPr>
                <w:sz w:val="20"/>
                <w:szCs w:val="20"/>
                <w:color w:val="auto"/>
              </w:rPr>
            </w:pPr>
            <w:r>
              <w:rPr>
                <w:rFonts w:ascii="Arial" w:cs="Arial" w:eastAsia="Arial" w:hAnsi="Arial"/>
                <w:sz w:val="16"/>
                <w:szCs w:val="16"/>
                <w:color w:val="auto"/>
              </w:rPr>
              <w:t>Depreciation and amortization</w:t>
            </w:r>
          </w:p>
        </w:tc>
        <w:tc>
          <w:tcPr>
            <w:tcW w:w="2540" w:type="dxa"/>
            <w:vAlign w:val="bottom"/>
          </w:tcPr>
          <w:p>
            <w:pPr>
              <w:spacing w:after="0"/>
              <w:rPr>
                <w:sz w:val="17"/>
                <w:szCs w:val="17"/>
                <w:color w:val="auto"/>
              </w:rPr>
            </w:pPr>
          </w:p>
        </w:tc>
        <w:tc>
          <w:tcPr>
            <w:tcW w:w="520" w:type="dxa"/>
            <w:vAlign w:val="bottom"/>
          </w:tcPr>
          <w:p>
            <w:pPr>
              <w:jc w:val="right"/>
              <w:ind w:right="59"/>
              <w:spacing w:after="0"/>
              <w:rPr>
                <w:sz w:val="20"/>
                <w:szCs w:val="20"/>
                <w:color w:val="auto"/>
              </w:rPr>
            </w:pPr>
            <w:r>
              <w:rPr>
                <w:rFonts w:ascii="Arial" w:cs="Arial" w:eastAsia="Arial" w:hAnsi="Arial"/>
                <w:sz w:val="16"/>
                <w:szCs w:val="16"/>
                <w:b w:val="1"/>
                <w:bCs w:val="1"/>
                <w:color w:val="auto"/>
              </w:rPr>
              <w:t>13.6</w:t>
            </w:r>
          </w:p>
        </w:tc>
        <w:tc>
          <w:tcPr>
            <w:tcW w:w="340" w:type="dxa"/>
            <w:vAlign w:val="bottom"/>
          </w:tcPr>
          <w:p>
            <w:pPr>
              <w:spacing w:after="0"/>
              <w:rPr>
                <w:sz w:val="17"/>
                <w:szCs w:val="17"/>
                <w:color w:val="auto"/>
              </w:rPr>
            </w:pPr>
          </w:p>
        </w:tc>
        <w:tc>
          <w:tcPr>
            <w:tcW w:w="1040" w:type="dxa"/>
            <w:vAlign w:val="bottom"/>
          </w:tcPr>
          <w:p>
            <w:pPr>
              <w:jc w:val="right"/>
              <w:ind w:right="19"/>
              <w:spacing w:after="0"/>
              <w:rPr>
                <w:sz w:val="20"/>
                <w:szCs w:val="20"/>
                <w:color w:val="auto"/>
              </w:rPr>
            </w:pPr>
            <w:r>
              <w:rPr>
                <w:rFonts w:ascii="Arial" w:cs="Arial" w:eastAsia="Arial" w:hAnsi="Arial"/>
                <w:sz w:val="16"/>
                <w:szCs w:val="16"/>
                <w:color w:val="auto"/>
              </w:rPr>
              <w:t>12.1</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960" w:type="dxa"/>
            <w:vAlign w:val="bottom"/>
            <w:shd w:val="clear" w:color="auto" w:fill="CCEEFF"/>
          </w:tcPr>
          <w:p>
            <w:pPr>
              <w:spacing w:after="0"/>
              <w:rPr>
                <w:sz w:val="20"/>
                <w:szCs w:val="20"/>
                <w:color w:val="auto"/>
              </w:rPr>
            </w:pPr>
            <w:r>
              <w:rPr>
                <w:rFonts w:ascii="Arial" w:cs="Arial" w:eastAsia="Arial" w:hAnsi="Arial"/>
                <w:sz w:val="16"/>
                <w:szCs w:val="16"/>
                <w:color w:val="auto"/>
              </w:rPr>
              <w:t>Loss (gain) on sale of assets</w:t>
            </w:r>
          </w:p>
        </w:tc>
        <w:tc>
          <w:tcPr>
            <w:tcW w:w="2540" w:type="dxa"/>
            <w:vAlign w:val="bottom"/>
            <w:shd w:val="clear" w:color="auto" w:fill="CCEEFF"/>
          </w:tcPr>
          <w:p>
            <w:pPr>
              <w:spacing w:after="0"/>
              <w:rPr>
                <w:sz w:val="17"/>
                <w:szCs w:val="17"/>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6"/>
                <w:szCs w:val="16"/>
                <w:b w:val="1"/>
                <w:bCs w:val="1"/>
                <w:color w:val="auto"/>
              </w:rPr>
              <w:t>(0.2)</w:t>
            </w:r>
          </w:p>
        </w:tc>
        <w:tc>
          <w:tcPr>
            <w:tcW w:w="340" w:type="dxa"/>
            <w:vAlign w:val="bottom"/>
            <w:shd w:val="clear" w:color="auto" w:fill="CCEEFF"/>
          </w:tcPr>
          <w:p>
            <w:pPr>
              <w:spacing w:after="0"/>
              <w:rPr>
                <w:sz w:val="17"/>
                <w:szCs w:val="17"/>
                <w:color w:val="auto"/>
              </w:rPr>
            </w:pPr>
          </w:p>
        </w:tc>
        <w:tc>
          <w:tcPr>
            <w:tcW w:w="1040" w:type="dxa"/>
            <w:vAlign w:val="bottom"/>
            <w:shd w:val="clear" w:color="auto" w:fill="CCEEFF"/>
          </w:tcPr>
          <w:p>
            <w:pPr>
              <w:jc w:val="right"/>
              <w:ind w:right="19"/>
              <w:spacing w:after="0"/>
              <w:rPr>
                <w:sz w:val="20"/>
                <w:szCs w:val="20"/>
                <w:color w:val="auto"/>
              </w:rPr>
            </w:pPr>
            <w:r>
              <w:rPr>
                <w:rFonts w:ascii="Arial" w:cs="Arial" w:eastAsia="Arial" w:hAnsi="Arial"/>
                <w:sz w:val="16"/>
                <w:szCs w:val="16"/>
                <w:color w:val="auto"/>
              </w:rPr>
              <w:t>0.3</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960" w:type="dxa"/>
            <w:vAlign w:val="bottom"/>
          </w:tcPr>
          <w:p>
            <w:pPr>
              <w:spacing w:after="0"/>
              <w:rPr>
                <w:sz w:val="20"/>
                <w:szCs w:val="20"/>
                <w:color w:val="auto"/>
              </w:rPr>
            </w:pPr>
            <w:r>
              <w:rPr>
                <w:rFonts w:ascii="Arial" w:cs="Arial" w:eastAsia="Arial" w:hAnsi="Arial"/>
                <w:sz w:val="16"/>
                <w:szCs w:val="16"/>
                <w:color w:val="auto"/>
              </w:rPr>
              <w:t>Stock-based compensation expense</w:t>
            </w:r>
          </w:p>
        </w:tc>
        <w:tc>
          <w:tcPr>
            <w:tcW w:w="2540" w:type="dxa"/>
            <w:vAlign w:val="bottom"/>
          </w:tcPr>
          <w:p>
            <w:pPr>
              <w:spacing w:after="0"/>
              <w:rPr>
                <w:sz w:val="17"/>
                <w:szCs w:val="17"/>
                <w:color w:val="auto"/>
              </w:rPr>
            </w:pPr>
          </w:p>
        </w:tc>
        <w:tc>
          <w:tcPr>
            <w:tcW w:w="520" w:type="dxa"/>
            <w:vAlign w:val="bottom"/>
          </w:tcPr>
          <w:p>
            <w:pPr>
              <w:jc w:val="right"/>
              <w:ind w:right="59"/>
              <w:spacing w:after="0"/>
              <w:rPr>
                <w:sz w:val="20"/>
                <w:szCs w:val="20"/>
                <w:color w:val="auto"/>
              </w:rPr>
            </w:pPr>
            <w:r>
              <w:rPr>
                <w:rFonts w:ascii="Arial" w:cs="Arial" w:eastAsia="Arial" w:hAnsi="Arial"/>
                <w:sz w:val="16"/>
                <w:szCs w:val="16"/>
                <w:b w:val="1"/>
                <w:bCs w:val="1"/>
                <w:color w:val="auto"/>
              </w:rPr>
              <w:t>0.9</w:t>
            </w:r>
          </w:p>
        </w:tc>
        <w:tc>
          <w:tcPr>
            <w:tcW w:w="340" w:type="dxa"/>
            <w:vAlign w:val="bottom"/>
          </w:tcPr>
          <w:p>
            <w:pPr>
              <w:spacing w:after="0"/>
              <w:rPr>
                <w:sz w:val="17"/>
                <w:szCs w:val="17"/>
                <w:color w:val="auto"/>
              </w:rPr>
            </w:pPr>
          </w:p>
        </w:tc>
        <w:tc>
          <w:tcPr>
            <w:tcW w:w="1040" w:type="dxa"/>
            <w:vAlign w:val="bottom"/>
          </w:tcPr>
          <w:p>
            <w:pPr>
              <w:jc w:val="right"/>
              <w:ind w:right="19"/>
              <w:spacing w:after="0"/>
              <w:rPr>
                <w:sz w:val="20"/>
                <w:szCs w:val="20"/>
                <w:color w:val="auto"/>
              </w:rPr>
            </w:pPr>
            <w:r>
              <w:rPr>
                <w:rFonts w:ascii="Arial" w:cs="Arial" w:eastAsia="Arial" w:hAnsi="Arial"/>
                <w:sz w:val="16"/>
                <w:szCs w:val="16"/>
                <w:color w:val="auto"/>
              </w:rPr>
              <w:t>0.7</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960" w:type="dxa"/>
            <w:vAlign w:val="bottom"/>
            <w:shd w:val="clear" w:color="auto" w:fill="CCEEFF"/>
          </w:tcPr>
          <w:p>
            <w:pPr>
              <w:spacing w:after="0"/>
              <w:rPr>
                <w:sz w:val="20"/>
                <w:szCs w:val="20"/>
                <w:color w:val="auto"/>
              </w:rPr>
            </w:pPr>
            <w:r>
              <w:rPr>
                <w:rFonts w:ascii="Arial" w:cs="Arial" w:eastAsia="Arial" w:hAnsi="Arial"/>
                <w:sz w:val="16"/>
                <w:szCs w:val="16"/>
                <w:color w:val="auto"/>
              </w:rPr>
              <w:t>Changes in operating assets and liabilities:</w:t>
            </w:r>
          </w:p>
        </w:tc>
        <w:tc>
          <w:tcPr>
            <w:tcW w:w="2540" w:type="dxa"/>
            <w:vAlign w:val="bottom"/>
            <w:shd w:val="clear" w:color="auto" w:fill="CCEEFF"/>
          </w:tcPr>
          <w:p>
            <w:pPr>
              <w:spacing w:after="0"/>
              <w:rPr>
                <w:sz w:val="17"/>
                <w:szCs w:val="17"/>
                <w:color w:val="auto"/>
              </w:rPr>
            </w:pPr>
          </w:p>
        </w:tc>
        <w:tc>
          <w:tcPr>
            <w:tcW w:w="52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10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960" w:type="dxa"/>
            <w:vAlign w:val="bottom"/>
          </w:tcPr>
          <w:p>
            <w:pPr>
              <w:ind w:left="320"/>
              <w:spacing w:after="0"/>
              <w:rPr>
                <w:sz w:val="20"/>
                <w:szCs w:val="20"/>
                <w:color w:val="auto"/>
              </w:rPr>
            </w:pPr>
            <w:r>
              <w:rPr>
                <w:rFonts w:ascii="Arial" w:cs="Arial" w:eastAsia="Arial" w:hAnsi="Arial"/>
                <w:sz w:val="16"/>
                <w:szCs w:val="16"/>
                <w:color w:val="auto"/>
              </w:rPr>
              <w:t>Accounts receivable</w:t>
            </w:r>
          </w:p>
        </w:tc>
        <w:tc>
          <w:tcPr>
            <w:tcW w:w="2540" w:type="dxa"/>
            <w:vAlign w:val="bottom"/>
          </w:tcPr>
          <w:p>
            <w:pPr>
              <w:spacing w:after="0"/>
              <w:rPr>
                <w:sz w:val="17"/>
                <w:szCs w:val="17"/>
                <w:color w:val="auto"/>
              </w:rPr>
            </w:pPr>
          </w:p>
        </w:tc>
        <w:tc>
          <w:tcPr>
            <w:tcW w:w="520" w:type="dxa"/>
            <w:vAlign w:val="bottom"/>
          </w:tcPr>
          <w:p>
            <w:pPr>
              <w:jc w:val="right"/>
              <w:spacing w:after="0"/>
              <w:rPr>
                <w:sz w:val="20"/>
                <w:szCs w:val="20"/>
                <w:color w:val="auto"/>
              </w:rPr>
            </w:pPr>
            <w:r>
              <w:rPr>
                <w:rFonts w:ascii="Arial" w:cs="Arial" w:eastAsia="Arial" w:hAnsi="Arial"/>
                <w:sz w:val="16"/>
                <w:szCs w:val="16"/>
                <w:b w:val="1"/>
                <w:bCs w:val="1"/>
                <w:color w:val="auto"/>
              </w:rPr>
              <w:t>(27.2)</w:t>
            </w:r>
          </w:p>
        </w:tc>
        <w:tc>
          <w:tcPr>
            <w:tcW w:w="340" w:type="dxa"/>
            <w:vAlign w:val="bottom"/>
          </w:tcPr>
          <w:p>
            <w:pPr>
              <w:spacing w:after="0"/>
              <w:rPr>
                <w:sz w:val="17"/>
                <w:szCs w:val="17"/>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(27.0)</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960" w:type="dxa"/>
            <w:vAlign w:val="bottom"/>
            <w:shd w:val="clear" w:color="auto" w:fill="CCEEFF"/>
          </w:tcPr>
          <w:p>
            <w:pPr>
              <w:ind w:left="320"/>
              <w:spacing w:after="0"/>
              <w:rPr>
                <w:sz w:val="20"/>
                <w:szCs w:val="20"/>
                <w:color w:val="auto"/>
              </w:rPr>
            </w:pPr>
            <w:r>
              <w:rPr>
                <w:rFonts w:ascii="Arial" w:cs="Arial" w:eastAsia="Arial" w:hAnsi="Arial"/>
                <w:sz w:val="16"/>
                <w:szCs w:val="16"/>
                <w:color w:val="auto"/>
              </w:rPr>
              <w:t>Accounts receivable due from related party</w:t>
            </w:r>
          </w:p>
        </w:tc>
        <w:tc>
          <w:tcPr>
            <w:tcW w:w="2540" w:type="dxa"/>
            <w:vAlign w:val="bottom"/>
            <w:shd w:val="clear" w:color="auto" w:fill="CCEEFF"/>
          </w:tcPr>
          <w:p>
            <w:pPr>
              <w:spacing w:after="0"/>
              <w:rPr>
                <w:sz w:val="17"/>
                <w:szCs w:val="17"/>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6"/>
                <w:szCs w:val="16"/>
                <w:b w:val="1"/>
                <w:bCs w:val="1"/>
                <w:color w:val="auto"/>
              </w:rPr>
              <w:t>(1.8)</w:t>
            </w:r>
          </w:p>
        </w:tc>
        <w:tc>
          <w:tcPr>
            <w:tcW w:w="340" w:type="dxa"/>
            <w:vAlign w:val="bottom"/>
            <w:shd w:val="clear" w:color="auto" w:fill="CCEEFF"/>
          </w:tcPr>
          <w:p>
            <w:pPr>
              <w:spacing w:after="0"/>
              <w:rPr>
                <w:sz w:val="17"/>
                <w:szCs w:val="17"/>
                <w:color w:val="auto"/>
              </w:rPr>
            </w:pPr>
          </w:p>
        </w:tc>
        <w:tc>
          <w:tcPr>
            <w:tcW w:w="1040" w:type="dxa"/>
            <w:vAlign w:val="bottom"/>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960" w:type="dxa"/>
            <w:vAlign w:val="bottom"/>
          </w:tcPr>
          <w:p>
            <w:pPr>
              <w:ind w:left="320"/>
              <w:spacing w:after="0"/>
              <w:rPr>
                <w:sz w:val="20"/>
                <w:szCs w:val="20"/>
                <w:color w:val="auto"/>
              </w:rPr>
            </w:pPr>
            <w:r>
              <w:rPr>
                <w:rFonts w:ascii="Arial" w:cs="Arial" w:eastAsia="Arial" w:hAnsi="Arial"/>
                <w:sz w:val="16"/>
                <w:szCs w:val="16"/>
                <w:color w:val="auto"/>
              </w:rPr>
              <w:t>Inventories</w:t>
            </w:r>
          </w:p>
        </w:tc>
        <w:tc>
          <w:tcPr>
            <w:tcW w:w="2540" w:type="dxa"/>
            <w:vAlign w:val="bottom"/>
          </w:tcPr>
          <w:p>
            <w:pPr>
              <w:spacing w:after="0"/>
              <w:rPr>
                <w:sz w:val="17"/>
                <w:szCs w:val="17"/>
                <w:color w:val="auto"/>
              </w:rPr>
            </w:pPr>
          </w:p>
        </w:tc>
        <w:tc>
          <w:tcPr>
            <w:tcW w:w="520" w:type="dxa"/>
            <w:vAlign w:val="bottom"/>
          </w:tcPr>
          <w:p>
            <w:pPr>
              <w:jc w:val="right"/>
              <w:spacing w:after="0"/>
              <w:rPr>
                <w:sz w:val="20"/>
                <w:szCs w:val="20"/>
                <w:color w:val="auto"/>
              </w:rPr>
            </w:pPr>
            <w:r>
              <w:rPr>
                <w:rFonts w:ascii="Arial" w:cs="Arial" w:eastAsia="Arial" w:hAnsi="Arial"/>
                <w:sz w:val="16"/>
                <w:szCs w:val="16"/>
                <w:b w:val="1"/>
                <w:bCs w:val="1"/>
                <w:color w:val="auto"/>
              </w:rPr>
              <w:t>(2.5)</w:t>
            </w:r>
          </w:p>
        </w:tc>
        <w:tc>
          <w:tcPr>
            <w:tcW w:w="340" w:type="dxa"/>
            <w:vAlign w:val="bottom"/>
          </w:tcPr>
          <w:p>
            <w:pPr>
              <w:spacing w:after="0"/>
              <w:rPr>
                <w:sz w:val="17"/>
                <w:szCs w:val="17"/>
                <w:color w:val="auto"/>
              </w:rPr>
            </w:pPr>
          </w:p>
        </w:tc>
        <w:tc>
          <w:tcPr>
            <w:tcW w:w="1040" w:type="dxa"/>
            <w:vAlign w:val="bottom"/>
          </w:tcPr>
          <w:p>
            <w:pPr>
              <w:jc w:val="right"/>
              <w:ind w:right="19"/>
              <w:spacing w:after="0"/>
              <w:rPr>
                <w:sz w:val="20"/>
                <w:szCs w:val="20"/>
                <w:color w:val="auto"/>
              </w:rPr>
            </w:pPr>
            <w:r>
              <w:rPr>
                <w:rFonts w:ascii="Arial" w:cs="Arial" w:eastAsia="Arial" w:hAnsi="Arial"/>
                <w:sz w:val="16"/>
                <w:szCs w:val="16"/>
                <w:color w:val="auto"/>
              </w:rPr>
              <w:t>36.0</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960" w:type="dxa"/>
            <w:vAlign w:val="bottom"/>
            <w:shd w:val="clear" w:color="auto" w:fill="CCEEFF"/>
          </w:tcPr>
          <w:p>
            <w:pPr>
              <w:ind w:left="320"/>
              <w:spacing w:after="0"/>
              <w:rPr>
                <w:sz w:val="20"/>
                <w:szCs w:val="20"/>
                <w:color w:val="auto"/>
              </w:rPr>
            </w:pPr>
            <w:r>
              <w:rPr>
                <w:rFonts w:ascii="Arial" w:cs="Arial" w:eastAsia="Arial" w:hAnsi="Arial"/>
                <w:sz w:val="16"/>
                <w:szCs w:val="16"/>
                <w:color w:val="auto"/>
              </w:rPr>
              <w:t>Accounts payable, trade</w:t>
            </w:r>
          </w:p>
        </w:tc>
        <w:tc>
          <w:tcPr>
            <w:tcW w:w="2540" w:type="dxa"/>
            <w:vAlign w:val="bottom"/>
            <w:shd w:val="clear" w:color="auto" w:fill="CCEEFF"/>
          </w:tcPr>
          <w:p>
            <w:pPr>
              <w:spacing w:after="0"/>
              <w:rPr>
                <w:sz w:val="17"/>
                <w:szCs w:val="17"/>
                <w:color w:val="auto"/>
              </w:rPr>
            </w:pPr>
          </w:p>
        </w:tc>
        <w:tc>
          <w:tcPr>
            <w:tcW w:w="520" w:type="dxa"/>
            <w:vAlign w:val="bottom"/>
            <w:shd w:val="clear" w:color="auto" w:fill="CCEEFF"/>
          </w:tcPr>
          <w:p>
            <w:pPr>
              <w:jc w:val="right"/>
              <w:ind w:right="59"/>
              <w:spacing w:after="0"/>
              <w:rPr>
                <w:sz w:val="20"/>
                <w:szCs w:val="20"/>
                <w:color w:val="auto"/>
              </w:rPr>
            </w:pPr>
            <w:r>
              <w:rPr>
                <w:rFonts w:ascii="Arial" w:cs="Arial" w:eastAsia="Arial" w:hAnsi="Arial"/>
                <w:sz w:val="16"/>
                <w:szCs w:val="16"/>
                <w:b w:val="1"/>
                <w:bCs w:val="1"/>
                <w:color w:val="auto"/>
              </w:rPr>
              <w:t>23.8</w:t>
            </w:r>
          </w:p>
        </w:tc>
        <w:tc>
          <w:tcPr>
            <w:tcW w:w="340" w:type="dxa"/>
            <w:vAlign w:val="bottom"/>
            <w:shd w:val="clear" w:color="auto" w:fill="CCEEFF"/>
          </w:tcPr>
          <w:p>
            <w:pPr>
              <w:spacing w:after="0"/>
              <w:rPr>
                <w:sz w:val="17"/>
                <w:szCs w:val="17"/>
                <w:color w:val="auto"/>
              </w:rPr>
            </w:pPr>
          </w:p>
        </w:tc>
        <w:tc>
          <w:tcPr>
            <w:tcW w:w="1040" w:type="dxa"/>
            <w:vAlign w:val="bottom"/>
            <w:shd w:val="clear" w:color="auto" w:fill="CCEEFF"/>
          </w:tcPr>
          <w:p>
            <w:pPr>
              <w:jc w:val="right"/>
              <w:ind w:right="19"/>
              <w:spacing w:after="0"/>
              <w:rPr>
                <w:sz w:val="20"/>
                <w:szCs w:val="20"/>
                <w:color w:val="auto"/>
              </w:rPr>
            </w:pPr>
            <w:r>
              <w:rPr>
                <w:rFonts w:ascii="Arial" w:cs="Arial" w:eastAsia="Arial" w:hAnsi="Arial"/>
                <w:sz w:val="16"/>
                <w:szCs w:val="16"/>
                <w:color w:val="auto"/>
              </w:rPr>
              <w:t>0.5</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960" w:type="dxa"/>
            <w:vAlign w:val="bottom"/>
          </w:tcPr>
          <w:p>
            <w:pPr>
              <w:ind w:left="320"/>
              <w:spacing w:after="0"/>
              <w:rPr>
                <w:sz w:val="20"/>
                <w:szCs w:val="20"/>
                <w:color w:val="auto"/>
              </w:rPr>
            </w:pPr>
            <w:r>
              <w:rPr>
                <w:rFonts w:ascii="Arial" w:cs="Arial" w:eastAsia="Arial" w:hAnsi="Arial"/>
                <w:sz w:val="16"/>
                <w:szCs w:val="16"/>
                <w:color w:val="auto"/>
              </w:rPr>
              <w:t>Accounts payable due to related party</w:t>
            </w:r>
          </w:p>
        </w:tc>
        <w:tc>
          <w:tcPr>
            <w:tcW w:w="2540" w:type="dxa"/>
            <w:vAlign w:val="bottom"/>
          </w:tcPr>
          <w:p>
            <w:pPr>
              <w:spacing w:after="0"/>
              <w:rPr>
                <w:sz w:val="17"/>
                <w:szCs w:val="17"/>
                <w:color w:val="auto"/>
              </w:rPr>
            </w:pPr>
          </w:p>
        </w:tc>
        <w:tc>
          <w:tcPr>
            <w:tcW w:w="520" w:type="dxa"/>
            <w:vAlign w:val="bottom"/>
          </w:tcPr>
          <w:p>
            <w:pPr>
              <w:jc w:val="right"/>
              <w:ind w:right="59"/>
              <w:spacing w:after="0"/>
              <w:rPr>
                <w:sz w:val="20"/>
                <w:szCs w:val="20"/>
                <w:color w:val="auto"/>
              </w:rPr>
            </w:pPr>
            <w:r>
              <w:rPr>
                <w:rFonts w:ascii="Arial" w:cs="Arial" w:eastAsia="Arial" w:hAnsi="Arial"/>
                <w:sz w:val="16"/>
                <w:szCs w:val="16"/>
                <w:b w:val="1"/>
                <w:bCs w:val="1"/>
                <w:color w:val="auto"/>
              </w:rPr>
              <w:t>3.3</w:t>
            </w:r>
          </w:p>
        </w:tc>
        <w:tc>
          <w:tcPr>
            <w:tcW w:w="340" w:type="dxa"/>
            <w:vAlign w:val="bottom"/>
          </w:tcPr>
          <w:p>
            <w:pPr>
              <w:spacing w:after="0"/>
              <w:rPr>
                <w:sz w:val="17"/>
                <w:szCs w:val="17"/>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(1.5)</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960" w:type="dxa"/>
            <w:vAlign w:val="bottom"/>
            <w:shd w:val="clear" w:color="auto" w:fill="CCEEFF"/>
          </w:tcPr>
          <w:p>
            <w:pPr>
              <w:ind w:left="320"/>
              <w:spacing w:after="0"/>
              <w:rPr>
                <w:sz w:val="20"/>
                <w:szCs w:val="20"/>
                <w:color w:val="auto"/>
              </w:rPr>
            </w:pPr>
            <w:r>
              <w:rPr>
                <w:rFonts w:ascii="Arial" w:cs="Arial" w:eastAsia="Arial" w:hAnsi="Arial"/>
                <w:sz w:val="16"/>
                <w:szCs w:val="16"/>
                <w:color w:val="auto"/>
              </w:rPr>
              <w:t>Other accrued expenses</w:t>
            </w:r>
          </w:p>
        </w:tc>
        <w:tc>
          <w:tcPr>
            <w:tcW w:w="2540" w:type="dxa"/>
            <w:vAlign w:val="bottom"/>
            <w:shd w:val="clear" w:color="auto" w:fill="CCEEFF"/>
          </w:tcPr>
          <w:p>
            <w:pPr>
              <w:spacing w:after="0"/>
              <w:rPr>
                <w:sz w:val="17"/>
                <w:szCs w:val="17"/>
                <w:color w:val="auto"/>
              </w:rPr>
            </w:pPr>
          </w:p>
        </w:tc>
        <w:tc>
          <w:tcPr>
            <w:tcW w:w="520" w:type="dxa"/>
            <w:vAlign w:val="bottom"/>
            <w:shd w:val="clear" w:color="auto" w:fill="CCEEFF"/>
          </w:tcPr>
          <w:p>
            <w:pPr>
              <w:jc w:val="right"/>
              <w:ind w:right="59"/>
              <w:spacing w:after="0"/>
              <w:rPr>
                <w:sz w:val="20"/>
                <w:szCs w:val="20"/>
                <w:color w:val="auto"/>
              </w:rPr>
            </w:pPr>
            <w:r>
              <w:rPr>
                <w:rFonts w:ascii="Arial" w:cs="Arial" w:eastAsia="Arial" w:hAnsi="Arial"/>
                <w:sz w:val="16"/>
                <w:szCs w:val="16"/>
                <w:b w:val="1"/>
                <w:bCs w:val="1"/>
                <w:color w:val="auto"/>
              </w:rPr>
              <w:t>0.1</w:t>
            </w:r>
          </w:p>
        </w:tc>
        <w:tc>
          <w:tcPr>
            <w:tcW w:w="340" w:type="dxa"/>
            <w:vAlign w:val="bottom"/>
            <w:shd w:val="clear" w:color="auto" w:fill="CCEEFF"/>
          </w:tcPr>
          <w:p>
            <w:pPr>
              <w:spacing w:after="0"/>
              <w:rPr>
                <w:sz w:val="17"/>
                <w:szCs w:val="17"/>
                <w:color w:val="auto"/>
              </w:rPr>
            </w:pPr>
          </w:p>
        </w:tc>
        <w:tc>
          <w:tcPr>
            <w:tcW w:w="1040" w:type="dxa"/>
            <w:vAlign w:val="bottom"/>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960" w:type="dxa"/>
            <w:vAlign w:val="bottom"/>
            <w:tcBorders>
              <w:bottom w:val="single" w:sz="8" w:color="auto"/>
            </w:tcBorders>
          </w:tcPr>
          <w:p>
            <w:pPr>
              <w:ind w:left="320"/>
              <w:spacing w:after="0"/>
              <w:rPr>
                <w:sz w:val="20"/>
                <w:szCs w:val="20"/>
                <w:color w:val="auto"/>
              </w:rPr>
            </w:pPr>
            <w:r>
              <w:rPr>
                <w:rFonts w:ascii="Arial" w:cs="Arial" w:eastAsia="Arial" w:hAnsi="Arial"/>
                <w:sz w:val="16"/>
                <w:szCs w:val="16"/>
                <w:color w:val="auto"/>
              </w:rPr>
              <w:t>Other, net</w:t>
            </w:r>
          </w:p>
        </w:tc>
        <w:tc>
          <w:tcPr>
            <w:tcW w:w="2540" w:type="dxa"/>
            <w:vAlign w:val="bottom"/>
            <w:tcBorders>
              <w:bottom w:val="single" w:sz="8" w:color="auto"/>
            </w:tcBorders>
          </w:tcPr>
          <w:p>
            <w:pPr>
              <w:spacing w:after="0"/>
              <w:rPr>
                <w:sz w:val="17"/>
                <w:szCs w:val="17"/>
                <w:color w:val="auto"/>
              </w:rPr>
            </w:pPr>
          </w:p>
        </w:tc>
        <w:tc>
          <w:tcPr>
            <w:tcW w:w="520" w:type="dxa"/>
            <w:vAlign w:val="bottom"/>
            <w:tcBorders>
              <w:bottom w:val="single" w:sz="8" w:color="auto"/>
            </w:tcBorders>
          </w:tcPr>
          <w:p>
            <w:pPr>
              <w:jc w:val="right"/>
              <w:ind w:right="59"/>
              <w:spacing w:after="0"/>
              <w:rPr>
                <w:sz w:val="20"/>
                <w:szCs w:val="20"/>
                <w:color w:val="auto"/>
              </w:rPr>
            </w:pPr>
            <w:r>
              <w:rPr>
                <w:rFonts w:ascii="Arial" w:cs="Arial" w:eastAsia="Arial" w:hAnsi="Arial"/>
                <w:sz w:val="16"/>
                <w:szCs w:val="16"/>
                <w:b w:val="1"/>
                <w:bCs w:val="1"/>
                <w:color w:val="auto"/>
              </w:rPr>
              <w:t>1.8</w:t>
            </w:r>
          </w:p>
        </w:tc>
        <w:tc>
          <w:tcPr>
            <w:tcW w:w="340" w:type="dxa"/>
            <w:vAlign w:val="bottom"/>
            <w:tcBorders>
              <w:bottom w:val="single" w:sz="8" w:color="auto"/>
            </w:tcBorders>
          </w:tcPr>
          <w:p>
            <w:pPr>
              <w:spacing w:after="0"/>
              <w:rPr>
                <w:sz w:val="17"/>
                <w:szCs w:val="17"/>
                <w:color w:val="auto"/>
              </w:rPr>
            </w:pPr>
          </w:p>
        </w:tc>
        <w:tc>
          <w:tcPr>
            <w:tcW w:w="104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rPr>
              <w:t>0.6</w:t>
            </w: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6960" w:type="dxa"/>
            <w:vAlign w:val="bottom"/>
            <w:shd w:val="clear" w:color="auto" w:fill="CCEEFF"/>
          </w:tcPr>
          <w:p>
            <w:pPr>
              <w:ind w:left="320"/>
              <w:spacing w:after="0"/>
              <w:rPr>
                <w:sz w:val="20"/>
                <w:szCs w:val="20"/>
                <w:color w:val="auto"/>
              </w:rPr>
            </w:pPr>
            <w:r>
              <w:rPr>
                <w:rFonts w:ascii="Arial" w:cs="Arial" w:eastAsia="Arial" w:hAnsi="Arial"/>
                <w:sz w:val="16"/>
                <w:szCs w:val="16"/>
                <w:b w:val="1"/>
                <w:bCs w:val="1"/>
                <w:color w:val="auto"/>
              </w:rPr>
              <w:t>Net Cash Provided by Operating Activities</w:t>
            </w:r>
          </w:p>
        </w:tc>
        <w:tc>
          <w:tcPr>
            <w:tcW w:w="2540" w:type="dxa"/>
            <w:vAlign w:val="bottom"/>
            <w:shd w:val="clear" w:color="auto" w:fill="CCEEFF"/>
          </w:tcPr>
          <w:p>
            <w:pPr>
              <w:spacing w:after="0"/>
              <w:rPr>
                <w:sz w:val="17"/>
                <w:szCs w:val="17"/>
                <w:color w:val="auto"/>
              </w:rPr>
            </w:pPr>
          </w:p>
        </w:tc>
        <w:tc>
          <w:tcPr>
            <w:tcW w:w="520" w:type="dxa"/>
            <w:vAlign w:val="bottom"/>
            <w:shd w:val="clear" w:color="auto" w:fill="CCEEFF"/>
          </w:tcPr>
          <w:p>
            <w:pPr>
              <w:jc w:val="right"/>
              <w:ind w:right="59"/>
              <w:spacing w:after="0"/>
              <w:rPr>
                <w:sz w:val="20"/>
                <w:szCs w:val="20"/>
                <w:color w:val="auto"/>
              </w:rPr>
            </w:pPr>
            <w:r>
              <w:rPr>
                <w:rFonts w:ascii="Arial" w:cs="Arial" w:eastAsia="Arial" w:hAnsi="Arial"/>
                <w:sz w:val="16"/>
                <w:szCs w:val="16"/>
                <w:b w:val="1"/>
                <w:bCs w:val="1"/>
                <w:color w:val="auto"/>
              </w:rPr>
              <w:t>45.4</w:t>
            </w:r>
          </w:p>
        </w:tc>
        <w:tc>
          <w:tcPr>
            <w:tcW w:w="340" w:type="dxa"/>
            <w:vAlign w:val="bottom"/>
            <w:shd w:val="clear" w:color="auto" w:fill="CCEEFF"/>
          </w:tcPr>
          <w:p>
            <w:pPr>
              <w:spacing w:after="0"/>
              <w:rPr>
                <w:sz w:val="17"/>
                <w:szCs w:val="17"/>
                <w:color w:val="auto"/>
              </w:rPr>
            </w:pPr>
          </w:p>
        </w:tc>
        <w:tc>
          <w:tcPr>
            <w:tcW w:w="1040" w:type="dxa"/>
            <w:vAlign w:val="bottom"/>
            <w:shd w:val="clear" w:color="auto" w:fill="CCEEFF"/>
          </w:tcPr>
          <w:p>
            <w:pPr>
              <w:jc w:val="right"/>
              <w:ind w:right="19"/>
              <w:spacing w:after="0"/>
              <w:rPr>
                <w:sz w:val="20"/>
                <w:szCs w:val="20"/>
                <w:color w:val="auto"/>
              </w:rPr>
            </w:pPr>
            <w:r>
              <w:rPr>
                <w:rFonts w:ascii="Arial" w:cs="Arial" w:eastAsia="Arial" w:hAnsi="Arial"/>
                <w:sz w:val="16"/>
                <w:szCs w:val="16"/>
                <w:color w:val="auto"/>
              </w:rPr>
              <w:t>42.7</w:t>
            </w:r>
          </w:p>
        </w:tc>
        <w:tc>
          <w:tcPr>
            <w:tcW w:w="0" w:type="dxa"/>
            <w:vAlign w:val="bottom"/>
          </w:tcPr>
          <w:p>
            <w:pPr>
              <w:spacing w:after="0"/>
              <w:rPr>
                <w:sz w:val="1"/>
                <w:szCs w:val="1"/>
                <w:color w:val="auto"/>
              </w:rPr>
            </w:pPr>
          </w:p>
        </w:tc>
      </w:tr>
      <w:tr>
        <w:trPr>
          <w:trHeight w:val="413"/>
        </w:trPr>
        <w:tc>
          <w:tcPr>
            <w:tcW w:w="6980" w:type="dxa"/>
            <w:vAlign w:val="bottom"/>
            <w:gridSpan w:val="2"/>
          </w:tcPr>
          <w:p>
            <w:pPr>
              <w:spacing w:after="0"/>
              <w:rPr>
                <w:sz w:val="20"/>
                <w:szCs w:val="20"/>
                <w:color w:val="auto"/>
              </w:rPr>
            </w:pPr>
            <w:r>
              <w:rPr>
                <w:rFonts w:ascii="Arial" w:cs="Arial" w:eastAsia="Arial" w:hAnsi="Arial"/>
                <w:sz w:val="16"/>
                <w:szCs w:val="16"/>
                <w:b w:val="1"/>
                <w:bCs w:val="1"/>
                <w:color w:val="auto"/>
              </w:rPr>
              <w:t>Investing Activities</w:t>
            </w:r>
          </w:p>
        </w:tc>
        <w:tc>
          <w:tcPr>
            <w:tcW w:w="25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696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6"/>
                <w:szCs w:val="16"/>
                <w:color w:val="auto"/>
              </w:rPr>
              <w:t>Capital expenditures</w:t>
            </w:r>
          </w:p>
        </w:tc>
        <w:tc>
          <w:tcPr>
            <w:tcW w:w="2540" w:type="dxa"/>
            <w:vAlign w:val="bottom"/>
            <w:tcBorders>
              <w:bottom w:val="single" w:sz="8" w:color="auto"/>
            </w:tcBorders>
            <w:shd w:val="clear" w:color="auto" w:fill="CCEEFF"/>
          </w:tcPr>
          <w:p>
            <w:pPr>
              <w:spacing w:after="0"/>
              <w:rPr>
                <w:sz w:val="18"/>
                <w:szCs w:val="18"/>
                <w:color w:val="auto"/>
              </w:rPr>
            </w:pPr>
          </w:p>
        </w:tc>
        <w:tc>
          <w:tcPr>
            <w:tcW w:w="5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(33.0)</w:t>
            </w:r>
          </w:p>
        </w:tc>
        <w:tc>
          <w:tcPr>
            <w:tcW w:w="340" w:type="dxa"/>
            <w:vAlign w:val="bottom"/>
            <w:tcBorders>
              <w:bottom w:val="single" w:sz="8" w:color="auto"/>
            </w:tcBorders>
            <w:shd w:val="clear" w:color="auto" w:fill="CCEEFF"/>
          </w:tcPr>
          <w:p>
            <w:pPr>
              <w:spacing w:after="0"/>
              <w:rPr>
                <w:sz w:val="18"/>
                <w:szCs w:val="18"/>
                <w:color w:val="auto"/>
              </w:rPr>
            </w:pP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(40.9)</w:t>
            </w:r>
          </w:p>
        </w:tc>
        <w:tc>
          <w:tcPr>
            <w:tcW w:w="0" w:type="dxa"/>
            <w:vAlign w:val="bottom"/>
          </w:tcPr>
          <w:p>
            <w:pPr>
              <w:spacing w:after="0"/>
              <w:rPr>
                <w:sz w:val="1"/>
                <w:szCs w:val="1"/>
                <w:color w:val="auto"/>
              </w:rPr>
            </w:pPr>
          </w:p>
        </w:tc>
      </w:tr>
      <w:tr>
        <w:trPr>
          <w:trHeight w:val="204"/>
        </w:trPr>
        <w:tc>
          <w:tcPr>
            <w:tcW w:w="20" w:type="dxa"/>
            <w:vAlign w:val="bottom"/>
          </w:tcPr>
          <w:p>
            <w:pPr>
              <w:spacing w:after="0"/>
              <w:rPr>
                <w:sz w:val="17"/>
                <w:szCs w:val="17"/>
                <w:color w:val="auto"/>
              </w:rPr>
            </w:pPr>
          </w:p>
        </w:tc>
        <w:tc>
          <w:tcPr>
            <w:tcW w:w="6960" w:type="dxa"/>
            <w:vAlign w:val="bottom"/>
          </w:tcPr>
          <w:p>
            <w:pPr>
              <w:ind w:left="320"/>
              <w:spacing w:after="0"/>
              <w:rPr>
                <w:sz w:val="20"/>
                <w:szCs w:val="20"/>
                <w:color w:val="auto"/>
              </w:rPr>
            </w:pPr>
            <w:r>
              <w:rPr>
                <w:rFonts w:ascii="Arial" w:cs="Arial" w:eastAsia="Arial" w:hAnsi="Arial"/>
                <w:sz w:val="16"/>
                <w:szCs w:val="16"/>
                <w:b w:val="1"/>
                <w:bCs w:val="1"/>
                <w:color w:val="auto"/>
              </w:rPr>
              <w:t>Net Cash Used by Investing Activities</w:t>
            </w:r>
          </w:p>
        </w:tc>
        <w:tc>
          <w:tcPr>
            <w:tcW w:w="2540" w:type="dxa"/>
            <w:vAlign w:val="bottom"/>
          </w:tcPr>
          <w:p>
            <w:pPr>
              <w:spacing w:after="0"/>
              <w:rPr>
                <w:sz w:val="17"/>
                <w:szCs w:val="17"/>
                <w:color w:val="auto"/>
              </w:rPr>
            </w:pPr>
          </w:p>
        </w:tc>
        <w:tc>
          <w:tcPr>
            <w:tcW w:w="520" w:type="dxa"/>
            <w:vAlign w:val="bottom"/>
          </w:tcPr>
          <w:p>
            <w:pPr>
              <w:jc w:val="right"/>
              <w:spacing w:after="0"/>
              <w:rPr>
                <w:sz w:val="20"/>
                <w:szCs w:val="20"/>
                <w:color w:val="auto"/>
              </w:rPr>
            </w:pPr>
            <w:r>
              <w:rPr>
                <w:rFonts w:ascii="Arial" w:cs="Arial" w:eastAsia="Arial" w:hAnsi="Arial"/>
                <w:sz w:val="16"/>
                <w:szCs w:val="16"/>
                <w:b w:val="1"/>
                <w:bCs w:val="1"/>
                <w:color w:val="auto"/>
              </w:rPr>
              <w:t>(33.0)</w:t>
            </w:r>
          </w:p>
        </w:tc>
        <w:tc>
          <w:tcPr>
            <w:tcW w:w="340" w:type="dxa"/>
            <w:vAlign w:val="bottom"/>
          </w:tcPr>
          <w:p>
            <w:pPr>
              <w:spacing w:after="0"/>
              <w:rPr>
                <w:sz w:val="17"/>
                <w:szCs w:val="17"/>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(40.9)</w:t>
            </w:r>
          </w:p>
        </w:tc>
        <w:tc>
          <w:tcPr>
            <w:tcW w:w="0" w:type="dxa"/>
            <w:vAlign w:val="bottom"/>
          </w:tcPr>
          <w:p>
            <w:pPr>
              <w:spacing w:after="0"/>
              <w:rPr>
                <w:sz w:val="1"/>
                <w:szCs w:val="1"/>
                <w:color w:val="auto"/>
              </w:rPr>
            </w:pPr>
          </w:p>
        </w:tc>
      </w:tr>
      <w:tr>
        <w:trPr>
          <w:trHeight w:val="208"/>
        </w:trPr>
        <w:tc>
          <w:tcPr>
            <w:tcW w:w="20" w:type="dxa"/>
            <w:vAlign w:val="bottom"/>
            <w:vMerge w:val="restart"/>
          </w:tcPr>
          <w:p>
            <w:pPr>
              <w:spacing w:after="0"/>
              <w:rPr>
                <w:sz w:val="18"/>
                <w:szCs w:val="18"/>
                <w:color w:val="auto"/>
              </w:rPr>
            </w:pPr>
          </w:p>
        </w:tc>
        <w:tc>
          <w:tcPr>
            <w:tcW w:w="6960" w:type="dxa"/>
            <w:vAlign w:val="bottom"/>
          </w:tcPr>
          <w:p>
            <w:pPr>
              <w:spacing w:after="0"/>
              <w:rPr>
                <w:sz w:val="18"/>
                <w:szCs w:val="18"/>
                <w:color w:val="auto"/>
              </w:rPr>
            </w:pPr>
          </w:p>
        </w:tc>
        <w:tc>
          <w:tcPr>
            <w:tcW w:w="254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3"/>
        </w:trPr>
        <w:tc>
          <w:tcPr>
            <w:tcW w:w="20" w:type="dxa"/>
            <w:vAlign w:val="bottom"/>
            <w:vMerge w:val="continue"/>
          </w:tcPr>
          <w:p>
            <w:pPr>
              <w:spacing w:after="0"/>
              <w:rPr>
                <w:sz w:val="17"/>
                <w:szCs w:val="17"/>
                <w:color w:val="auto"/>
              </w:rPr>
            </w:pPr>
          </w:p>
        </w:tc>
        <w:tc>
          <w:tcPr>
            <w:tcW w:w="6960" w:type="dxa"/>
            <w:vAlign w:val="bottom"/>
            <w:shd w:val="clear" w:color="auto" w:fill="CCEEFF"/>
          </w:tcPr>
          <w:p>
            <w:pPr>
              <w:spacing w:after="0"/>
              <w:rPr>
                <w:sz w:val="20"/>
                <w:szCs w:val="20"/>
                <w:color w:val="auto"/>
              </w:rPr>
            </w:pPr>
            <w:r>
              <w:rPr>
                <w:rFonts w:ascii="Arial" w:cs="Arial" w:eastAsia="Arial" w:hAnsi="Arial"/>
                <w:sz w:val="16"/>
                <w:szCs w:val="16"/>
                <w:b w:val="1"/>
                <w:bCs w:val="1"/>
                <w:color w:val="auto"/>
              </w:rPr>
              <w:t>Financing Activities</w:t>
            </w:r>
          </w:p>
        </w:tc>
        <w:tc>
          <w:tcPr>
            <w:tcW w:w="2540" w:type="dxa"/>
            <w:vAlign w:val="bottom"/>
            <w:shd w:val="clear" w:color="auto" w:fill="CCEEFF"/>
          </w:tcPr>
          <w:p>
            <w:pPr>
              <w:spacing w:after="0"/>
              <w:rPr>
                <w:sz w:val="17"/>
                <w:szCs w:val="17"/>
                <w:color w:val="auto"/>
              </w:rPr>
            </w:pPr>
          </w:p>
        </w:tc>
        <w:tc>
          <w:tcPr>
            <w:tcW w:w="52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10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960" w:type="dxa"/>
            <w:vAlign w:val="bottom"/>
            <w:tcBorders>
              <w:bottom w:val="single" w:sz="8" w:color="auto"/>
            </w:tcBorders>
          </w:tcPr>
          <w:p>
            <w:pPr>
              <w:spacing w:after="0"/>
              <w:rPr>
                <w:sz w:val="20"/>
                <w:szCs w:val="20"/>
                <w:color w:val="auto"/>
              </w:rPr>
            </w:pPr>
            <w:r>
              <w:rPr>
                <w:rFonts w:ascii="Arial" w:cs="Arial" w:eastAsia="Arial" w:hAnsi="Arial"/>
                <w:sz w:val="16"/>
                <w:szCs w:val="16"/>
                <w:color w:val="auto"/>
              </w:rPr>
              <w:t>Net transfers to Parent and affiliates</w:t>
            </w:r>
          </w:p>
        </w:tc>
        <w:tc>
          <w:tcPr>
            <w:tcW w:w="2540" w:type="dxa"/>
            <w:vAlign w:val="bottom"/>
            <w:tcBorders>
              <w:bottom w:val="single" w:sz="8" w:color="auto"/>
            </w:tcBorders>
          </w:tcPr>
          <w:p>
            <w:pPr>
              <w:spacing w:after="0"/>
              <w:rPr>
                <w:sz w:val="17"/>
                <w:szCs w:val="17"/>
                <w:color w:val="auto"/>
              </w:rPr>
            </w:pPr>
          </w:p>
        </w:tc>
        <w:tc>
          <w:tcPr>
            <w:tcW w:w="52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(12.4)</w:t>
            </w:r>
          </w:p>
        </w:tc>
        <w:tc>
          <w:tcPr>
            <w:tcW w:w="340" w:type="dxa"/>
            <w:vAlign w:val="bottom"/>
            <w:tcBorders>
              <w:bottom w:val="single" w:sz="8" w:color="auto"/>
            </w:tcBorders>
          </w:tcPr>
          <w:p>
            <w:pPr>
              <w:spacing w:after="0"/>
              <w:rPr>
                <w:sz w:val="17"/>
                <w:szCs w:val="17"/>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(1.8)</w:t>
            </w: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6960" w:type="dxa"/>
            <w:vAlign w:val="bottom"/>
            <w:tcBorders>
              <w:bottom w:val="single" w:sz="8" w:color="auto"/>
            </w:tcBorders>
            <w:shd w:val="clear" w:color="auto" w:fill="CCEEFF"/>
          </w:tcPr>
          <w:p>
            <w:pPr>
              <w:ind w:left="320"/>
              <w:spacing w:after="0"/>
              <w:rPr>
                <w:sz w:val="20"/>
                <w:szCs w:val="20"/>
                <w:color w:val="auto"/>
              </w:rPr>
            </w:pPr>
            <w:r>
              <w:rPr>
                <w:rFonts w:ascii="Arial" w:cs="Arial" w:eastAsia="Arial" w:hAnsi="Arial"/>
                <w:sz w:val="16"/>
                <w:szCs w:val="16"/>
                <w:b w:val="1"/>
                <w:bCs w:val="1"/>
                <w:color w:val="auto"/>
              </w:rPr>
              <w:t>Net Cash Used by Financing Activities</w:t>
            </w:r>
          </w:p>
        </w:tc>
        <w:tc>
          <w:tcPr>
            <w:tcW w:w="2540" w:type="dxa"/>
            <w:vAlign w:val="bottom"/>
            <w:tcBorders>
              <w:bottom w:val="single" w:sz="8" w:color="auto"/>
            </w:tcBorders>
            <w:shd w:val="clear" w:color="auto" w:fill="CCEEFF"/>
          </w:tcPr>
          <w:p>
            <w:pPr>
              <w:spacing w:after="0"/>
              <w:rPr>
                <w:sz w:val="17"/>
                <w:szCs w:val="17"/>
                <w:color w:val="auto"/>
              </w:rPr>
            </w:pPr>
          </w:p>
        </w:tc>
        <w:tc>
          <w:tcPr>
            <w:tcW w:w="5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(12.4)</w:t>
            </w:r>
          </w:p>
        </w:tc>
        <w:tc>
          <w:tcPr>
            <w:tcW w:w="340" w:type="dxa"/>
            <w:vAlign w:val="bottom"/>
            <w:tcBorders>
              <w:bottom w:val="single" w:sz="8" w:color="auto"/>
            </w:tcBorders>
            <w:shd w:val="clear" w:color="auto" w:fill="CCEEFF"/>
          </w:tcPr>
          <w:p>
            <w:pPr>
              <w:spacing w:after="0"/>
              <w:rPr>
                <w:sz w:val="17"/>
                <w:szCs w:val="17"/>
                <w:color w:val="auto"/>
              </w:rPr>
            </w:pP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(1.8)</w:t>
            </w: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6960" w:type="dxa"/>
            <w:vAlign w:val="bottom"/>
            <w:tcBorders>
              <w:bottom w:val="single" w:sz="8" w:color="auto"/>
            </w:tcBorders>
          </w:tcPr>
          <w:p>
            <w:pPr>
              <w:spacing w:after="0"/>
              <w:rPr>
                <w:sz w:val="20"/>
                <w:szCs w:val="20"/>
                <w:color w:val="auto"/>
              </w:rPr>
            </w:pPr>
            <w:r>
              <w:rPr>
                <w:rFonts w:ascii="Arial" w:cs="Arial" w:eastAsia="Arial" w:hAnsi="Arial"/>
                <w:sz w:val="16"/>
                <w:szCs w:val="16"/>
                <w:color w:val="auto"/>
              </w:rPr>
              <w:t>Effect of exchange rate changes on cash</w:t>
            </w:r>
          </w:p>
        </w:tc>
        <w:tc>
          <w:tcPr>
            <w:tcW w:w="2540" w:type="dxa"/>
            <w:vAlign w:val="bottom"/>
            <w:tcBorders>
              <w:bottom w:val="single" w:sz="8" w:color="auto"/>
            </w:tcBorders>
          </w:tcPr>
          <w:p>
            <w:pPr>
              <w:spacing w:after="0"/>
              <w:rPr>
                <w:sz w:val="17"/>
                <w:szCs w:val="17"/>
                <w:color w:val="auto"/>
              </w:rPr>
            </w:pPr>
          </w:p>
        </w:tc>
        <w:tc>
          <w:tcPr>
            <w:tcW w:w="520" w:type="dxa"/>
            <w:vAlign w:val="bottom"/>
            <w:tcBorders>
              <w:bottom w:val="single" w:sz="8" w:color="auto"/>
            </w:tcBorders>
          </w:tcPr>
          <w:p>
            <w:pPr>
              <w:jc w:val="right"/>
              <w:ind w:right="59"/>
              <w:spacing w:after="0"/>
              <w:rPr>
                <w:sz w:val="20"/>
                <w:szCs w:val="20"/>
                <w:color w:val="auto"/>
              </w:rPr>
            </w:pPr>
            <w:r>
              <w:rPr>
                <w:rFonts w:ascii="Arial" w:cs="Arial" w:eastAsia="Arial" w:hAnsi="Arial"/>
                <w:sz w:val="16"/>
                <w:szCs w:val="16"/>
                <w:b w:val="1"/>
                <w:bCs w:val="1"/>
                <w:color w:val="auto"/>
              </w:rPr>
              <w:t>—</w:t>
            </w:r>
          </w:p>
        </w:tc>
        <w:tc>
          <w:tcPr>
            <w:tcW w:w="340" w:type="dxa"/>
            <w:vAlign w:val="bottom"/>
            <w:tcBorders>
              <w:bottom w:val="single" w:sz="8" w:color="auto"/>
            </w:tcBorders>
          </w:tcPr>
          <w:p>
            <w:pPr>
              <w:spacing w:after="0"/>
              <w:rPr>
                <w:sz w:val="17"/>
                <w:szCs w:val="17"/>
                <w:color w:val="auto"/>
              </w:rPr>
            </w:pPr>
          </w:p>
        </w:tc>
        <w:tc>
          <w:tcPr>
            <w:tcW w:w="104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6960" w:type="dxa"/>
            <w:vAlign w:val="bottom"/>
            <w:shd w:val="clear" w:color="auto" w:fill="CCEEFF"/>
          </w:tcPr>
          <w:p>
            <w:pPr>
              <w:ind w:left="320"/>
              <w:spacing w:after="0"/>
              <w:rPr>
                <w:sz w:val="20"/>
                <w:szCs w:val="20"/>
                <w:color w:val="auto"/>
              </w:rPr>
            </w:pPr>
            <w:r>
              <w:rPr>
                <w:rFonts w:ascii="Arial" w:cs="Arial" w:eastAsia="Arial" w:hAnsi="Arial"/>
                <w:sz w:val="16"/>
                <w:szCs w:val="16"/>
                <w:b w:val="1"/>
                <w:bCs w:val="1"/>
                <w:color w:val="auto"/>
              </w:rPr>
              <w:t>Increase (Decrease) In Cash and Cash Equivalents</w:t>
            </w:r>
          </w:p>
        </w:tc>
        <w:tc>
          <w:tcPr>
            <w:tcW w:w="2540" w:type="dxa"/>
            <w:vAlign w:val="bottom"/>
            <w:shd w:val="clear" w:color="auto" w:fill="CCEEFF"/>
          </w:tcPr>
          <w:p>
            <w:pPr>
              <w:spacing w:after="0"/>
              <w:rPr>
                <w:sz w:val="17"/>
                <w:szCs w:val="17"/>
                <w:color w:val="auto"/>
              </w:rPr>
            </w:pPr>
          </w:p>
        </w:tc>
        <w:tc>
          <w:tcPr>
            <w:tcW w:w="520" w:type="dxa"/>
            <w:vAlign w:val="bottom"/>
            <w:shd w:val="clear" w:color="auto" w:fill="CCEEFF"/>
          </w:tcPr>
          <w:p>
            <w:pPr>
              <w:jc w:val="right"/>
              <w:ind w:right="59"/>
              <w:spacing w:after="0"/>
              <w:rPr>
                <w:sz w:val="20"/>
                <w:szCs w:val="20"/>
                <w:color w:val="auto"/>
              </w:rPr>
            </w:pPr>
            <w:r>
              <w:rPr>
                <w:rFonts w:ascii="Arial" w:cs="Arial" w:eastAsia="Arial" w:hAnsi="Arial"/>
                <w:sz w:val="16"/>
                <w:szCs w:val="16"/>
                <w:b w:val="1"/>
                <w:bCs w:val="1"/>
                <w:color w:val="auto"/>
              </w:rPr>
              <w:t>—</w:t>
            </w:r>
          </w:p>
        </w:tc>
        <w:tc>
          <w:tcPr>
            <w:tcW w:w="340" w:type="dxa"/>
            <w:vAlign w:val="bottom"/>
            <w:shd w:val="clear" w:color="auto" w:fill="CCEEFF"/>
          </w:tcPr>
          <w:p>
            <w:pPr>
              <w:spacing w:after="0"/>
              <w:rPr>
                <w:sz w:val="17"/>
                <w:szCs w:val="17"/>
                <w:color w:val="auto"/>
              </w:rPr>
            </w:pPr>
          </w:p>
        </w:tc>
        <w:tc>
          <w:tcPr>
            <w:tcW w:w="1040" w:type="dxa"/>
            <w:vAlign w:val="bottom"/>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960" w:type="dxa"/>
            <w:vAlign w:val="bottom"/>
            <w:tcBorders>
              <w:bottom w:val="single" w:sz="8" w:color="auto"/>
            </w:tcBorders>
          </w:tcPr>
          <w:p>
            <w:pPr>
              <w:spacing w:after="0"/>
              <w:rPr>
                <w:sz w:val="20"/>
                <w:szCs w:val="20"/>
                <w:color w:val="auto"/>
              </w:rPr>
            </w:pPr>
            <w:r>
              <w:rPr>
                <w:rFonts w:ascii="Arial" w:cs="Arial" w:eastAsia="Arial" w:hAnsi="Arial"/>
                <w:sz w:val="16"/>
                <w:szCs w:val="16"/>
                <w:color w:val="auto"/>
              </w:rPr>
              <w:t>Cash and cash equivalents at beginning of year</w:t>
            </w:r>
          </w:p>
        </w:tc>
        <w:tc>
          <w:tcPr>
            <w:tcW w:w="2540" w:type="dxa"/>
            <w:vAlign w:val="bottom"/>
            <w:tcBorders>
              <w:bottom w:val="single" w:sz="8" w:color="auto"/>
            </w:tcBorders>
          </w:tcPr>
          <w:p>
            <w:pPr>
              <w:spacing w:after="0"/>
              <w:rPr>
                <w:sz w:val="17"/>
                <w:szCs w:val="17"/>
                <w:color w:val="auto"/>
              </w:rPr>
            </w:pPr>
          </w:p>
        </w:tc>
        <w:tc>
          <w:tcPr>
            <w:tcW w:w="520" w:type="dxa"/>
            <w:vAlign w:val="bottom"/>
            <w:tcBorders>
              <w:bottom w:val="single" w:sz="8" w:color="auto"/>
            </w:tcBorders>
          </w:tcPr>
          <w:p>
            <w:pPr>
              <w:jc w:val="right"/>
              <w:ind w:right="59"/>
              <w:spacing w:after="0"/>
              <w:rPr>
                <w:sz w:val="20"/>
                <w:szCs w:val="20"/>
                <w:color w:val="auto"/>
              </w:rPr>
            </w:pPr>
            <w:r>
              <w:rPr>
                <w:rFonts w:ascii="Arial" w:cs="Arial" w:eastAsia="Arial" w:hAnsi="Arial"/>
                <w:sz w:val="16"/>
                <w:szCs w:val="16"/>
                <w:b w:val="1"/>
                <w:bCs w:val="1"/>
                <w:color w:val="auto"/>
              </w:rPr>
              <w:t>—</w:t>
            </w:r>
          </w:p>
        </w:tc>
        <w:tc>
          <w:tcPr>
            <w:tcW w:w="340" w:type="dxa"/>
            <w:vAlign w:val="bottom"/>
            <w:tcBorders>
              <w:bottom w:val="single" w:sz="8" w:color="auto"/>
            </w:tcBorders>
          </w:tcPr>
          <w:p>
            <w:pPr>
              <w:spacing w:after="0"/>
              <w:rPr>
                <w:sz w:val="17"/>
                <w:szCs w:val="17"/>
                <w:color w:val="auto"/>
              </w:rPr>
            </w:pPr>
          </w:p>
        </w:tc>
        <w:tc>
          <w:tcPr>
            <w:tcW w:w="104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960" w:type="dxa"/>
            <w:vAlign w:val="bottom"/>
            <w:tcBorders>
              <w:bottom w:val="single" w:sz="8" w:color="auto"/>
            </w:tcBorders>
            <w:shd w:val="clear" w:color="auto" w:fill="CCEEFF"/>
          </w:tcPr>
          <w:p>
            <w:pPr>
              <w:ind w:left="320"/>
              <w:spacing w:after="0"/>
              <w:rPr>
                <w:sz w:val="20"/>
                <w:szCs w:val="20"/>
                <w:color w:val="auto"/>
              </w:rPr>
            </w:pPr>
            <w:r>
              <w:rPr>
                <w:rFonts w:ascii="Arial" w:cs="Arial" w:eastAsia="Arial" w:hAnsi="Arial"/>
                <w:sz w:val="16"/>
                <w:szCs w:val="16"/>
                <w:b w:val="1"/>
                <w:bCs w:val="1"/>
                <w:color w:val="auto"/>
              </w:rPr>
              <w:t>Cash and Cash Equivalents at End of Year</w:t>
            </w:r>
          </w:p>
        </w:tc>
        <w:tc>
          <w:tcPr>
            <w:tcW w:w="2540" w:type="dxa"/>
            <w:vAlign w:val="bottom"/>
            <w:tcBorders>
              <w:bottom w:val="single" w:sz="8" w:color="auto"/>
            </w:tcBorders>
            <w:shd w:val="clear" w:color="auto" w:fill="CCEEFF"/>
          </w:tcPr>
          <w:p>
            <w:pPr>
              <w:jc w:val="right"/>
              <w:ind w:right="659"/>
              <w:spacing w:after="0"/>
              <w:rPr>
                <w:sz w:val="20"/>
                <w:szCs w:val="20"/>
                <w:color w:val="auto"/>
              </w:rPr>
            </w:pPr>
            <w:r>
              <w:rPr>
                <w:rFonts w:ascii="Arial" w:cs="Arial" w:eastAsia="Arial" w:hAnsi="Arial"/>
                <w:sz w:val="16"/>
                <w:szCs w:val="16"/>
                <w:b w:val="1"/>
                <w:bCs w:val="1"/>
                <w:color w:val="auto"/>
              </w:rPr>
              <w:t>$</w:t>
            </w:r>
          </w:p>
        </w:tc>
        <w:tc>
          <w:tcPr>
            <w:tcW w:w="520" w:type="dxa"/>
            <w:vAlign w:val="bottom"/>
            <w:tcBorders>
              <w:bottom w:val="single" w:sz="8" w:color="auto"/>
            </w:tcBorders>
            <w:shd w:val="clear" w:color="auto" w:fill="CCEEFF"/>
          </w:tcPr>
          <w:p>
            <w:pPr>
              <w:jc w:val="right"/>
              <w:ind w:right="59"/>
              <w:spacing w:after="0"/>
              <w:rPr>
                <w:sz w:val="20"/>
                <w:szCs w:val="20"/>
                <w:color w:val="auto"/>
              </w:rPr>
            </w:pPr>
            <w:r>
              <w:rPr>
                <w:rFonts w:ascii="Arial" w:cs="Arial" w:eastAsia="Arial" w:hAnsi="Arial"/>
                <w:sz w:val="16"/>
                <w:szCs w:val="16"/>
                <w:b w:val="1"/>
                <w:bCs w:val="1"/>
                <w:color w:val="auto"/>
              </w:rPr>
              <w:t>—</w:t>
            </w:r>
          </w:p>
        </w:tc>
        <w:tc>
          <w:tcPr>
            <w:tcW w:w="340" w:type="dxa"/>
            <w:vAlign w:val="bottom"/>
            <w:tcBorders>
              <w:bottom w:val="single" w:sz="8" w:color="auto"/>
            </w:tcBorders>
            <w:shd w:val="clear" w:color="auto" w:fill="CCEEFF"/>
          </w:tcPr>
          <w:p>
            <w:pPr>
              <w:jc w:val="right"/>
              <w:ind w:right="99"/>
              <w:spacing w:after="0"/>
              <w:rPr>
                <w:sz w:val="20"/>
                <w:szCs w:val="20"/>
                <w:color w:val="auto"/>
              </w:rPr>
            </w:pPr>
            <w:r>
              <w:rPr>
                <w:rFonts w:ascii="Arial" w:cs="Arial" w:eastAsia="Arial" w:hAnsi="Arial"/>
                <w:sz w:val="16"/>
                <w:szCs w:val="16"/>
                <w:color w:val="auto"/>
              </w:rPr>
              <w:t>$</w:t>
            </w:r>
          </w:p>
        </w:tc>
        <w:tc>
          <w:tcPr>
            <w:tcW w:w="104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bl>
    <w:p>
      <w:pPr>
        <w:spacing w:after="0" w:line="62" w:lineRule="exact"/>
        <w:rPr>
          <w:sz w:val="20"/>
          <w:szCs w:val="20"/>
          <w:color w:val="auto"/>
        </w:rPr>
      </w:pPr>
    </w:p>
    <w:p>
      <w:pPr>
        <w:spacing w:after="0"/>
        <w:rPr>
          <w:sz w:val="20"/>
          <w:szCs w:val="20"/>
          <w:color w:val="auto"/>
        </w:rPr>
      </w:pPr>
      <w:r>
        <w:rPr>
          <w:rFonts w:ascii="Arial" w:cs="Arial" w:eastAsia="Arial" w:hAnsi="Arial"/>
          <w:sz w:val="14"/>
          <w:szCs w:val="14"/>
          <w:color w:val="auto"/>
        </w:rPr>
        <w:t>See accompanying Notes to the Unaudited Consolidated Financial Statements.</w:t>
      </w:r>
    </w:p>
    <w:p>
      <w:pPr>
        <w:spacing w:after="0" w:line="14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F-26</w:t>
      </w:r>
    </w:p>
    <w:p>
      <w:pPr>
        <w:sectPr>
          <w:pgSz w:w="11900" w:h="16838" w:orient="portrait"/>
          <w:cols w:equalWidth="0" w:num="1">
            <w:col w:w="11420"/>
          </w:cols>
          <w:pgMar w:left="240" w:top="459" w:right="239" w:bottom="1440" w:gutter="0" w:footer="0" w:header="0"/>
        </w:sectPr>
      </w:pPr>
    </w:p>
    <w:bookmarkStart w:id="133" w:name="page134"/>
    <w:bookmarkEnd w:id="13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61">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1" w:lineRule="exact"/>
        <w:rPr>
          <w:sz w:val="20"/>
          <w:szCs w:val="20"/>
          <w:color w:val="auto"/>
        </w:rPr>
      </w:pPr>
    </w:p>
    <w:p>
      <w:pPr>
        <w:jc w:val="center"/>
        <w:ind w:right="-19"/>
        <w:spacing w:after="0"/>
        <w:rPr>
          <w:sz w:val="20"/>
          <w:szCs w:val="20"/>
          <w:color w:val="auto"/>
        </w:rPr>
      </w:pPr>
      <w:r>
        <w:rPr>
          <w:rFonts w:ascii="Arial" w:cs="Arial" w:eastAsia="Arial" w:hAnsi="Arial"/>
          <w:sz w:val="25"/>
          <w:szCs w:val="25"/>
          <w:b w:val="1"/>
          <w:bCs w:val="1"/>
          <w:color w:val="auto"/>
        </w:rPr>
        <w:t>Notes to Unaudited Consolidated Financial Statements</w:t>
      </w:r>
    </w:p>
    <w:p>
      <w:pPr>
        <w:spacing w:after="0" w:line="32" w:lineRule="exact"/>
        <w:rPr>
          <w:sz w:val="20"/>
          <w:szCs w:val="20"/>
          <w:color w:val="auto"/>
        </w:rPr>
      </w:pPr>
    </w:p>
    <w:p>
      <w:pPr>
        <w:jc w:val="center"/>
        <w:ind w:right="-19"/>
        <w:spacing w:after="0"/>
        <w:rPr>
          <w:sz w:val="20"/>
          <w:szCs w:val="20"/>
          <w:color w:val="auto"/>
        </w:rPr>
      </w:pPr>
      <w:r>
        <w:rPr>
          <w:rFonts w:ascii="Arial" w:cs="Arial" w:eastAsia="Arial" w:hAnsi="Arial"/>
          <w:sz w:val="20"/>
          <w:szCs w:val="20"/>
          <w:i w:val="1"/>
          <w:iCs w:val="1"/>
          <w:color w:val="auto"/>
        </w:rPr>
        <w:t>(Dollars in millions)</w:t>
      </w:r>
    </w:p>
    <w:p>
      <w:pPr>
        <w:spacing w:after="0" w:line="200" w:lineRule="exact"/>
        <w:rPr>
          <w:sz w:val="20"/>
          <w:szCs w:val="20"/>
          <w:color w:val="auto"/>
        </w:rPr>
      </w:pPr>
    </w:p>
    <w:p>
      <w:pPr>
        <w:spacing w:after="0" w:line="201" w:lineRule="exact"/>
        <w:rPr>
          <w:sz w:val="20"/>
          <w:szCs w:val="20"/>
          <w:color w:val="auto"/>
        </w:rPr>
      </w:pPr>
    </w:p>
    <w:p>
      <w:pPr>
        <w:spacing w:after="0"/>
        <w:rPr>
          <w:sz w:val="20"/>
          <w:szCs w:val="20"/>
          <w:color w:val="auto"/>
        </w:rPr>
      </w:pPr>
      <w:r>
        <w:rPr>
          <w:rFonts w:ascii="Arial" w:cs="Arial" w:eastAsia="Arial" w:hAnsi="Arial"/>
          <w:sz w:val="23"/>
          <w:szCs w:val="23"/>
          <w:b w:val="1"/>
          <w:bCs w:val="1"/>
          <w:color w:val="auto"/>
        </w:rPr>
        <w:t>Note 1 - Basis of Presentation</w:t>
      </w:r>
    </w:p>
    <w:p>
      <w:pPr>
        <w:spacing w:after="0" w:line="239" w:lineRule="exact"/>
        <w:rPr>
          <w:sz w:val="20"/>
          <w:szCs w:val="20"/>
          <w:color w:val="auto"/>
        </w:rPr>
      </w:pPr>
    </w:p>
    <w:p>
      <w:pPr>
        <w:ind w:right="40" w:firstLine="913"/>
        <w:spacing w:after="0" w:line="257" w:lineRule="auto"/>
        <w:rPr>
          <w:sz w:val="20"/>
          <w:szCs w:val="20"/>
          <w:color w:val="auto"/>
        </w:rPr>
      </w:pPr>
      <w:r>
        <w:rPr>
          <w:rFonts w:ascii="Arial" w:cs="Arial" w:eastAsia="Arial" w:hAnsi="Arial"/>
          <w:sz w:val="18"/>
          <w:szCs w:val="18"/>
          <w:color w:val="auto"/>
        </w:rPr>
        <w:t>On September 5, 2013, The Timken Company (Timken), an Ohio corporation, announced a plan to pursue a separation of its steel business into a separate public company, TimkenSteel Corporation and its subsidiaries (TimkenSteel), through a spinoff. Among other conditions, the planned spinoff is subject to final approval by Timken’s Board of Directors, receipt of an opinion of our tax counsel, Covington &amp; Burling LLP, regarding the tax-free nature of the spinoff, and the effectiveness of a registration statement on Form 10 filed with the Securities and Exchange Commission. Upon completion of the spinoff, TimkenSteel will operate its business as an independent publicly traded company.</w:t>
      </w:r>
    </w:p>
    <w:p>
      <w:pPr>
        <w:spacing w:after="0" w:line="188" w:lineRule="exact"/>
        <w:rPr>
          <w:sz w:val="20"/>
          <w:szCs w:val="20"/>
          <w:color w:val="auto"/>
        </w:rPr>
      </w:pPr>
    </w:p>
    <w:p>
      <w:pPr>
        <w:ind w:right="180" w:firstLine="913"/>
        <w:spacing w:after="0" w:line="312" w:lineRule="auto"/>
        <w:rPr>
          <w:sz w:val="20"/>
          <w:szCs w:val="20"/>
          <w:color w:val="auto"/>
        </w:rPr>
      </w:pPr>
      <w:r>
        <w:rPr>
          <w:rFonts w:ascii="Arial" w:cs="Arial" w:eastAsia="Arial" w:hAnsi="Arial"/>
          <w:sz w:val="16"/>
          <w:szCs w:val="16"/>
          <w:color w:val="auto"/>
        </w:rPr>
        <w:t>TimkenSteel manufactures alloy steel, as well as carbon and micro-alloy steel, with an annual melt capacity of approximately 2 million tons. TimkenSteel’s portfolio includes special bar quality (SBQ) steel bars, seamless mechanical tubing and precision steel components. In addition, TimkenSteel supplies machining and thermal treatment services and manages raw material recycling programs, which are done as a feeder system for its operations.</w:t>
      </w:r>
    </w:p>
    <w:p>
      <w:pPr>
        <w:spacing w:after="0" w:line="147" w:lineRule="exact"/>
        <w:rPr>
          <w:sz w:val="20"/>
          <w:szCs w:val="20"/>
          <w:color w:val="auto"/>
        </w:rPr>
      </w:pPr>
    </w:p>
    <w:p>
      <w:pPr>
        <w:ind w:right="60" w:firstLine="913"/>
        <w:spacing w:after="0" w:line="271" w:lineRule="auto"/>
        <w:rPr>
          <w:sz w:val="20"/>
          <w:szCs w:val="20"/>
          <w:color w:val="auto"/>
        </w:rPr>
      </w:pPr>
      <w:r>
        <w:rPr>
          <w:rFonts w:ascii="Arial" w:cs="Arial" w:eastAsia="Arial" w:hAnsi="Arial"/>
          <w:sz w:val="17"/>
          <w:szCs w:val="17"/>
          <w:color w:val="auto"/>
        </w:rPr>
        <w:t>Throughout the period covered by the Unaudited Consolidated Financial Statements, TimkenSteel operated as a reportable segment within Timken. The accompanying Unaudited Consolidated Financial Statements have been prepared from Timken’s historical accounting records and are presented on a stand-alone basis as if the operations had been conducted independently from Timken. Accordingly, Timken and its subsidiaries, net investment in these operations (Parent Equity) is shown in lieu of stockholder’s equity in the Unaudited Consolidated Financial Statements. The Unaudited Consolidated Financial Statements include the historical results of operations, assets and liabilities of the legal entities that are considered to comprise TimkenSteel. The historical results of operations, financial position, and cash flows of TimkenSteel presented in the Unaudited Consolidated Financial Statements may not be indicative of what they would have been had TimkenSteel actually been a separate stand-alone entity during such periods, nor are they necessarily indicative of TimkenSteel’s future results of operations, financial position and cash flows.</w:t>
      </w:r>
    </w:p>
    <w:p>
      <w:pPr>
        <w:spacing w:after="0" w:line="179" w:lineRule="exact"/>
        <w:rPr>
          <w:sz w:val="20"/>
          <w:szCs w:val="20"/>
          <w:color w:val="auto"/>
        </w:rPr>
      </w:pPr>
    </w:p>
    <w:p>
      <w:pPr>
        <w:ind w:right="60" w:firstLine="913"/>
        <w:spacing w:after="0" w:line="279" w:lineRule="auto"/>
        <w:rPr>
          <w:sz w:val="20"/>
          <w:szCs w:val="20"/>
          <w:color w:val="auto"/>
        </w:rPr>
      </w:pPr>
      <w:r>
        <w:rPr>
          <w:rFonts w:ascii="Arial" w:cs="Arial" w:eastAsia="Arial" w:hAnsi="Arial"/>
          <w:sz w:val="17"/>
          <w:szCs w:val="17"/>
          <w:color w:val="auto"/>
        </w:rPr>
        <w:t>The accompanying Unaudited Consolidated Financial Statements for TimkenSteel do not include all of the information and notes required by the accounting principles generally accepted in the United States (GAAP) for complete financial statements. In the opinion of management, all adjustments (consisting of normal recurring accruals) and disclosures considered necessary for a fair presentation have been included. For further information, refer to TimkenSteel’s Audited Consolidated Financial Statements for the year ended December 31, 2013 and corresponding notes.</w:t>
      </w:r>
    </w:p>
    <w:p>
      <w:pPr>
        <w:spacing w:after="0" w:line="370" w:lineRule="exact"/>
        <w:rPr>
          <w:sz w:val="20"/>
          <w:szCs w:val="20"/>
          <w:color w:val="auto"/>
        </w:rPr>
      </w:pPr>
    </w:p>
    <w:p>
      <w:pPr>
        <w:spacing w:after="0"/>
        <w:rPr>
          <w:sz w:val="20"/>
          <w:szCs w:val="20"/>
          <w:color w:val="auto"/>
        </w:rPr>
      </w:pPr>
      <w:r>
        <w:rPr>
          <w:rFonts w:ascii="Arial" w:cs="Arial" w:eastAsia="Arial" w:hAnsi="Arial"/>
          <w:sz w:val="23"/>
          <w:szCs w:val="23"/>
          <w:b w:val="1"/>
          <w:bCs w:val="1"/>
          <w:color w:val="auto"/>
        </w:rPr>
        <w:t>Note 2 - Recent Accounting Pronouncements</w:t>
      </w:r>
    </w:p>
    <w:p>
      <w:pPr>
        <w:spacing w:after="0" w:line="239" w:lineRule="exact"/>
        <w:rPr>
          <w:sz w:val="20"/>
          <w:szCs w:val="20"/>
          <w:color w:val="auto"/>
        </w:rPr>
      </w:pPr>
    </w:p>
    <w:p>
      <w:pPr>
        <w:ind w:firstLine="913"/>
        <w:spacing w:after="0" w:line="254" w:lineRule="auto"/>
        <w:rPr>
          <w:sz w:val="20"/>
          <w:szCs w:val="20"/>
          <w:color w:val="auto"/>
        </w:rPr>
      </w:pPr>
      <w:r>
        <w:rPr>
          <w:rFonts w:ascii="Arial" w:cs="Arial" w:eastAsia="Arial" w:hAnsi="Arial"/>
          <w:sz w:val="18"/>
          <w:szCs w:val="18"/>
          <w:color w:val="auto"/>
        </w:rPr>
        <w:t>In April 2014, the Financial Accounting Standards Board (FASB) issued Accounting Standards Update (ASU) 2014-08, “Presentation of Financial Statements (Topic 205) and Property, Plant and Equipment (Topic 360).” ASU 2014-08 amends the requirements for reporting discontinued operations and requires additional disclosures about discontinued operations. Under the new guidance, only disposals representing a strategic shift in operations or that have a major effect on the TimkenSteel’s operations and financial results should be presented as discontinued operations. ASU 2014-08 also requires expanded disclosures about discontinued operations that will provide financial statement users with more information about the assets, liabilities, income, and expenses of discontinued operations. This new accounting guidance is effective for annual periods beginning after December 15, 2014. The adoption of ASU 2014-08 did not effect TimkenSteel’s Unaudited Consolidated Financial Statements because TimkenSteel did not have any discontinued operations.</w:t>
      </w:r>
    </w:p>
    <w:p>
      <w:pPr>
        <w:spacing w:after="0" w:line="192" w:lineRule="exact"/>
        <w:rPr>
          <w:sz w:val="20"/>
          <w:szCs w:val="20"/>
          <w:color w:val="auto"/>
        </w:rPr>
      </w:pPr>
    </w:p>
    <w:p>
      <w:pPr>
        <w:ind w:right="160" w:firstLine="913"/>
        <w:spacing w:after="0" w:line="297" w:lineRule="auto"/>
        <w:rPr>
          <w:sz w:val="20"/>
          <w:szCs w:val="20"/>
          <w:color w:val="auto"/>
        </w:rPr>
      </w:pPr>
      <w:r>
        <w:rPr>
          <w:rFonts w:ascii="Arial" w:cs="Arial" w:eastAsia="Arial" w:hAnsi="Arial"/>
          <w:sz w:val="16"/>
          <w:szCs w:val="16"/>
          <w:color w:val="auto"/>
        </w:rPr>
        <w:t>In July 2013, the FASB issued ASU 2013-11, Income Taxes (Topic 740): “Presentation of an Unrecognized Tax Benefit When a Net Operating Loss Carryforward, a Similar Tax Loss, or a Tax Credit Carryforward Exists.” ASU 2013-11 clarifies guidance and eliminates diversity in practice on the presentation of unrecognized tax benefits when a net operating loss carryforward, a similar tax loss, or a tax credit carryforward exists at the reporting date. The new accounting rules are effective for annual and interim reporting periods beginning after December 15, 2013. Effective January 1, 2014, TimkenSteel adopted ASU 2013-11. The new accounting rules had no material impact on the results of operations and financial condition of TimkenSteel.</w:t>
      </w:r>
    </w:p>
    <w:p>
      <w:pPr>
        <w:spacing w:after="0" w:line="9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F-27</w:t>
      </w:r>
    </w:p>
    <w:p>
      <w:pPr>
        <w:sectPr>
          <w:pgSz w:w="11900" w:h="16838" w:orient="portrait"/>
          <w:cols w:equalWidth="0" w:num="1">
            <w:col w:w="11420"/>
          </w:cols>
          <w:pgMar w:left="240" w:top="459" w:right="239" w:bottom="1440" w:gutter="0" w:footer="0" w:header="0"/>
        </w:sectPr>
      </w:pPr>
    </w:p>
    <w:bookmarkStart w:id="134" w:name="page135"/>
    <w:bookmarkEnd w:id="13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62">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292" w:lineRule="exact"/>
        <w:rPr>
          <w:sz w:val="20"/>
          <w:szCs w:val="20"/>
          <w:color w:val="auto"/>
        </w:rPr>
      </w:pPr>
    </w:p>
    <w:p>
      <w:pPr>
        <w:spacing w:after="0"/>
        <w:rPr>
          <w:sz w:val="20"/>
          <w:szCs w:val="20"/>
          <w:color w:val="auto"/>
        </w:rPr>
      </w:pPr>
      <w:r>
        <w:rPr>
          <w:rFonts w:ascii="Arial" w:cs="Arial" w:eastAsia="Arial" w:hAnsi="Arial"/>
          <w:sz w:val="23"/>
          <w:szCs w:val="23"/>
          <w:b w:val="1"/>
          <w:bCs w:val="1"/>
          <w:color w:val="auto"/>
        </w:rPr>
        <w:t>Note 3 - Inventories</w:t>
      </w:r>
    </w:p>
    <w:p>
      <w:pPr>
        <w:spacing w:after="0" w:line="239" w:lineRule="exact"/>
        <w:rPr>
          <w:sz w:val="20"/>
          <w:szCs w:val="20"/>
          <w:color w:val="auto"/>
        </w:rPr>
      </w:pPr>
    </w:p>
    <w:p>
      <w:pPr>
        <w:ind w:left="920"/>
        <w:spacing w:after="0"/>
        <w:rPr>
          <w:sz w:val="20"/>
          <w:szCs w:val="20"/>
          <w:color w:val="auto"/>
        </w:rPr>
      </w:pPr>
      <w:r>
        <w:rPr>
          <w:rFonts w:ascii="Arial" w:cs="Arial" w:eastAsia="Arial" w:hAnsi="Arial"/>
          <w:sz w:val="18"/>
          <w:szCs w:val="18"/>
          <w:color w:val="auto"/>
        </w:rPr>
        <w:t>The components of inventories, net at March 31, 2014 and December 31, 2013 were as follows:</w:t>
      </w:r>
    </w:p>
    <w:p>
      <w:pPr>
        <w:spacing w:after="0" w:line="248"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5620" w:type="dxa"/>
            <w:vAlign w:val="bottom"/>
          </w:tcPr>
          <w:p>
            <w:pPr>
              <w:spacing w:after="0"/>
              <w:rPr>
                <w:sz w:val="18"/>
                <w:szCs w:val="18"/>
                <w:color w:val="auto"/>
              </w:rPr>
            </w:pPr>
          </w:p>
        </w:tc>
        <w:tc>
          <w:tcPr>
            <w:tcW w:w="2580" w:type="dxa"/>
            <w:vAlign w:val="bottom"/>
          </w:tcPr>
          <w:p>
            <w:pPr>
              <w:spacing w:after="0"/>
              <w:rPr>
                <w:sz w:val="18"/>
                <w:szCs w:val="18"/>
                <w:color w:val="auto"/>
              </w:rPr>
            </w:pPr>
          </w:p>
        </w:tc>
        <w:tc>
          <w:tcPr>
            <w:tcW w:w="1460" w:type="dxa"/>
            <w:vAlign w:val="bottom"/>
          </w:tcPr>
          <w:p>
            <w:pPr>
              <w:jc w:val="right"/>
              <w:ind w:right="430"/>
              <w:spacing w:after="0"/>
              <w:rPr>
                <w:sz w:val="20"/>
                <w:szCs w:val="20"/>
                <w:color w:val="auto"/>
              </w:rPr>
            </w:pPr>
            <w:r>
              <w:rPr>
                <w:rFonts w:ascii="Arial" w:cs="Arial" w:eastAsia="Arial" w:hAnsi="Arial"/>
                <w:sz w:val="18"/>
                <w:szCs w:val="18"/>
                <w:b w:val="1"/>
                <w:bCs w:val="1"/>
                <w:color w:val="auto"/>
              </w:rPr>
              <w:t>March 31,</w:t>
            </w:r>
          </w:p>
        </w:tc>
        <w:tc>
          <w:tcPr>
            <w:tcW w:w="260" w:type="dxa"/>
            <w:vAlign w:val="bottom"/>
          </w:tcPr>
          <w:p>
            <w:pPr>
              <w:spacing w:after="0"/>
              <w:rPr>
                <w:sz w:val="18"/>
                <w:szCs w:val="18"/>
                <w:color w:val="auto"/>
              </w:rPr>
            </w:pPr>
          </w:p>
        </w:tc>
        <w:tc>
          <w:tcPr>
            <w:tcW w:w="1500" w:type="dxa"/>
            <w:vAlign w:val="bottom"/>
          </w:tcPr>
          <w:p>
            <w:pPr>
              <w:jc w:val="right"/>
              <w:ind w:right="310"/>
              <w:spacing w:after="0"/>
              <w:rPr>
                <w:sz w:val="20"/>
                <w:szCs w:val="20"/>
                <w:color w:val="auto"/>
              </w:rPr>
            </w:pPr>
            <w:r>
              <w:rPr>
                <w:rFonts w:ascii="Arial" w:cs="Arial" w:eastAsia="Arial" w:hAnsi="Arial"/>
                <w:sz w:val="18"/>
                <w:szCs w:val="18"/>
                <w:color w:val="auto"/>
                <w:w w:val="95"/>
              </w:rPr>
              <w:t>December 31,</w:t>
            </w:r>
          </w:p>
        </w:tc>
      </w:tr>
      <w:tr>
        <w:trPr>
          <w:trHeight w:val="234"/>
        </w:trPr>
        <w:tc>
          <w:tcPr>
            <w:tcW w:w="5620" w:type="dxa"/>
            <w:vAlign w:val="bottom"/>
            <w:tcBorders>
              <w:bottom w:val="single" w:sz="8" w:color="auto"/>
            </w:tcBorders>
          </w:tcPr>
          <w:p>
            <w:pPr>
              <w:spacing w:after="0"/>
              <w:rPr>
                <w:sz w:val="20"/>
                <w:szCs w:val="20"/>
                <w:color w:val="auto"/>
              </w:rPr>
            </w:pPr>
          </w:p>
        </w:tc>
        <w:tc>
          <w:tcPr>
            <w:tcW w:w="2580" w:type="dxa"/>
            <w:vAlign w:val="bottom"/>
            <w:tcBorders>
              <w:bottom w:val="single" w:sz="8" w:color="auto"/>
            </w:tcBorders>
          </w:tcPr>
          <w:p>
            <w:pPr>
              <w:spacing w:after="0"/>
              <w:rPr>
                <w:sz w:val="20"/>
                <w:szCs w:val="20"/>
                <w:color w:val="auto"/>
              </w:rPr>
            </w:pPr>
          </w:p>
        </w:tc>
        <w:tc>
          <w:tcPr>
            <w:tcW w:w="1460" w:type="dxa"/>
            <w:vAlign w:val="bottom"/>
            <w:tcBorders>
              <w:bottom w:val="single" w:sz="8" w:color="auto"/>
            </w:tcBorders>
          </w:tcPr>
          <w:p>
            <w:pPr>
              <w:jc w:val="right"/>
              <w:ind w:right="650"/>
              <w:spacing w:after="0"/>
              <w:rPr>
                <w:sz w:val="20"/>
                <w:szCs w:val="20"/>
                <w:color w:val="auto"/>
              </w:rPr>
            </w:pPr>
            <w:r>
              <w:rPr>
                <w:rFonts w:ascii="Arial" w:cs="Arial" w:eastAsia="Arial" w:hAnsi="Arial"/>
                <w:sz w:val="18"/>
                <w:szCs w:val="18"/>
                <w:b w:val="1"/>
                <w:bCs w:val="1"/>
                <w:color w:val="auto"/>
              </w:rPr>
              <w:t>2014</w:t>
            </w:r>
          </w:p>
        </w:tc>
        <w:tc>
          <w:tcPr>
            <w:tcW w:w="260" w:type="dxa"/>
            <w:vAlign w:val="bottom"/>
            <w:tcBorders>
              <w:bottom w:val="single" w:sz="8" w:color="auto"/>
            </w:tcBorders>
          </w:tcPr>
          <w:p>
            <w:pPr>
              <w:spacing w:after="0"/>
              <w:rPr>
                <w:sz w:val="20"/>
                <w:szCs w:val="20"/>
                <w:color w:val="auto"/>
              </w:rPr>
            </w:pPr>
          </w:p>
        </w:tc>
        <w:tc>
          <w:tcPr>
            <w:tcW w:w="1500" w:type="dxa"/>
            <w:vAlign w:val="bottom"/>
            <w:tcBorders>
              <w:bottom w:val="single" w:sz="8" w:color="auto"/>
            </w:tcBorders>
          </w:tcPr>
          <w:p>
            <w:pPr>
              <w:jc w:val="right"/>
              <w:ind w:right="630"/>
              <w:spacing w:after="0"/>
              <w:rPr>
                <w:sz w:val="20"/>
                <w:szCs w:val="20"/>
                <w:color w:val="auto"/>
              </w:rPr>
            </w:pPr>
            <w:r>
              <w:rPr>
                <w:rFonts w:ascii="Arial" w:cs="Arial" w:eastAsia="Arial" w:hAnsi="Arial"/>
                <w:sz w:val="18"/>
                <w:szCs w:val="18"/>
                <w:color w:val="auto"/>
              </w:rPr>
              <w:t>2013</w:t>
            </w:r>
          </w:p>
        </w:tc>
      </w:tr>
      <w:tr>
        <w:trPr>
          <w:trHeight w:val="210"/>
        </w:trPr>
        <w:tc>
          <w:tcPr>
            <w:tcW w:w="5620" w:type="dxa"/>
            <w:vAlign w:val="bottom"/>
            <w:shd w:val="clear" w:color="auto" w:fill="CCEEFF"/>
          </w:tcPr>
          <w:p>
            <w:pPr>
              <w:spacing w:after="0"/>
              <w:rPr>
                <w:sz w:val="20"/>
                <w:szCs w:val="20"/>
                <w:color w:val="auto"/>
              </w:rPr>
            </w:pPr>
            <w:r>
              <w:rPr>
                <w:rFonts w:ascii="Arial" w:cs="Arial" w:eastAsia="Arial" w:hAnsi="Arial"/>
                <w:sz w:val="18"/>
                <w:szCs w:val="18"/>
                <w:color w:val="auto"/>
              </w:rPr>
              <w:t>Inventories, net:</w:t>
            </w:r>
          </w:p>
        </w:tc>
        <w:tc>
          <w:tcPr>
            <w:tcW w:w="2580" w:type="dxa"/>
            <w:vAlign w:val="bottom"/>
            <w:shd w:val="clear" w:color="auto" w:fill="CCEEFF"/>
          </w:tcPr>
          <w:p>
            <w:pPr>
              <w:spacing w:after="0"/>
              <w:rPr>
                <w:sz w:val="18"/>
                <w:szCs w:val="18"/>
                <w:color w:val="auto"/>
              </w:rPr>
            </w:pPr>
          </w:p>
        </w:tc>
        <w:tc>
          <w:tcPr>
            <w:tcW w:w="14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500" w:type="dxa"/>
            <w:vAlign w:val="bottom"/>
            <w:shd w:val="clear" w:color="auto" w:fill="CCEEFF"/>
          </w:tcPr>
          <w:p>
            <w:pPr>
              <w:spacing w:after="0"/>
              <w:rPr>
                <w:sz w:val="18"/>
                <w:szCs w:val="18"/>
                <w:color w:val="auto"/>
              </w:rPr>
            </w:pPr>
          </w:p>
        </w:tc>
      </w:tr>
      <w:tr>
        <w:trPr>
          <w:trHeight w:val="216"/>
        </w:trPr>
        <w:tc>
          <w:tcPr>
            <w:tcW w:w="5620" w:type="dxa"/>
            <w:vAlign w:val="bottom"/>
          </w:tcPr>
          <w:p>
            <w:pPr>
              <w:spacing w:after="0"/>
              <w:rPr>
                <w:sz w:val="20"/>
                <w:szCs w:val="20"/>
                <w:color w:val="auto"/>
              </w:rPr>
            </w:pPr>
            <w:r>
              <w:rPr>
                <w:rFonts w:ascii="Arial" w:cs="Arial" w:eastAsia="Arial" w:hAnsi="Arial"/>
                <w:sz w:val="18"/>
                <w:szCs w:val="18"/>
                <w:color w:val="auto"/>
              </w:rPr>
              <w:t>Manufacturing supplies</w:t>
            </w:r>
          </w:p>
        </w:tc>
        <w:tc>
          <w:tcPr>
            <w:tcW w:w="2580" w:type="dxa"/>
            <w:vAlign w:val="bottom"/>
          </w:tcPr>
          <w:p>
            <w:pPr>
              <w:jc w:val="right"/>
              <w:ind w:right="70"/>
              <w:spacing w:after="0"/>
              <w:rPr>
                <w:sz w:val="20"/>
                <w:szCs w:val="20"/>
                <w:color w:val="auto"/>
              </w:rPr>
            </w:pPr>
            <w:r>
              <w:rPr>
                <w:rFonts w:ascii="Arial" w:cs="Arial" w:eastAsia="Arial" w:hAnsi="Arial"/>
                <w:sz w:val="18"/>
                <w:szCs w:val="18"/>
                <w:b w:val="1"/>
                <w:bCs w:val="1"/>
                <w:color w:val="auto"/>
              </w:rPr>
              <w:t>$</w:t>
            </w:r>
          </w:p>
        </w:tc>
        <w:tc>
          <w:tcPr>
            <w:tcW w:w="1460" w:type="dxa"/>
            <w:vAlign w:val="bottom"/>
          </w:tcPr>
          <w:p>
            <w:pPr>
              <w:jc w:val="right"/>
              <w:ind w:right="50"/>
              <w:spacing w:after="0"/>
              <w:rPr>
                <w:sz w:val="20"/>
                <w:szCs w:val="20"/>
                <w:color w:val="auto"/>
              </w:rPr>
            </w:pPr>
            <w:r>
              <w:rPr>
                <w:rFonts w:ascii="Arial" w:cs="Arial" w:eastAsia="Arial" w:hAnsi="Arial"/>
                <w:sz w:val="18"/>
                <w:szCs w:val="18"/>
                <w:b w:val="1"/>
                <w:bCs w:val="1"/>
                <w:color w:val="auto"/>
              </w:rPr>
              <w:t>35.3</w:t>
            </w:r>
          </w:p>
        </w:tc>
        <w:tc>
          <w:tcPr>
            <w:tcW w:w="26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1500" w:type="dxa"/>
            <w:vAlign w:val="bottom"/>
          </w:tcPr>
          <w:p>
            <w:pPr>
              <w:jc w:val="right"/>
              <w:ind w:right="10"/>
              <w:spacing w:after="0"/>
              <w:rPr>
                <w:sz w:val="20"/>
                <w:szCs w:val="20"/>
                <w:color w:val="auto"/>
              </w:rPr>
            </w:pPr>
            <w:r>
              <w:rPr>
                <w:rFonts w:ascii="Arial" w:cs="Arial" w:eastAsia="Arial" w:hAnsi="Arial"/>
                <w:sz w:val="18"/>
                <w:szCs w:val="18"/>
                <w:color w:val="auto"/>
              </w:rPr>
              <w:t>32.8</w:t>
            </w:r>
          </w:p>
        </w:tc>
      </w:tr>
      <w:tr>
        <w:trPr>
          <w:trHeight w:val="216"/>
        </w:trPr>
        <w:tc>
          <w:tcPr>
            <w:tcW w:w="5620" w:type="dxa"/>
            <w:vAlign w:val="bottom"/>
            <w:shd w:val="clear" w:color="auto" w:fill="CCEEFF"/>
          </w:tcPr>
          <w:p>
            <w:pPr>
              <w:spacing w:after="0"/>
              <w:rPr>
                <w:sz w:val="20"/>
                <w:szCs w:val="20"/>
                <w:color w:val="auto"/>
              </w:rPr>
            </w:pPr>
            <w:r>
              <w:rPr>
                <w:rFonts w:ascii="Arial" w:cs="Arial" w:eastAsia="Arial" w:hAnsi="Arial"/>
                <w:sz w:val="18"/>
                <w:szCs w:val="18"/>
                <w:color w:val="auto"/>
              </w:rPr>
              <w:t>Raw materials</w:t>
            </w:r>
          </w:p>
        </w:tc>
        <w:tc>
          <w:tcPr>
            <w:tcW w:w="2580" w:type="dxa"/>
            <w:vAlign w:val="bottom"/>
            <w:shd w:val="clear" w:color="auto" w:fill="CCEEFF"/>
          </w:tcPr>
          <w:p>
            <w:pPr>
              <w:spacing w:after="0"/>
              <w:rPr>
                <w:sz w:val="18"/>
                <w:szCs w:val="18"/>
                <w:color w:val="auto"/>
              </w:rPr>
            </w:pPr>
          </w:p>
        </w:tc>
        <w:tc>
          <w:tcPr>
            <w:tcW w:w="1460" w:type="dxa"/>
            <w:vAlign w:val="bottom"/>
            <w:shd w:val="clear" w:color="auto" w:fill="CCEEFF"/>
          </w:tcPr>
          <w:p>
            <w:pPr>
              <w:jc w:val="right"/>
              <w:ind w:right="50"/>
              <w:spacing w:after="0"/>
              <w:rPr>
                <w:sz w:val="20"/>
                <w:szCs w:val="20"/>
                <w:color w:val="auto"/>
              </w:rPr>
            </w:pPr>
            <w:r>
              <w:rPr>
                <w:rFonts w:ascii="Arial" w:cs="Arial" w:eastAsia="Arial" w:hAnsi="Arial"/>
                <w:sz w:val="18"/>
                <w:szCs w:val="18"/>
                <w:b w:val="1"/>
                <w:bCs w:val="1"/>
                <w:color w:val="auto"/>
              </w:rPr>
              <w:t>37.3</w:t>
            </w:r>
          </w:p>
        </w:tc>
        <w:tc>
          <w:tcPr>
            <w:tcW w:w="260" w:type="dxa"/>
            <w:vAlign w:val="bottom"/>
            <w:shd w:val="clear" w:color="auto" w:fill="CCEEFF"/>
          </w:tcPr>
          <w:p>
            <w:pPr>
              <w:spacing w:after="0"/>
              <w:rPr>
                <w:sz w:val="18"/>
                <w:szCs w:val="18"/>
                <w:color w:val="auto"/>
              </w:rPr>
            </w:pPr>
          </w:p>
        </w:tc>
        <w:tc>
          <w:tcPr>
            <w:tcW w:w="15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42.9</w:t>
            </w:r>
          </w:p>
        </w:tc>
      </w:tr>
      <w:tr>
        <w:trPr>
          <w:trHeight w:val="216"/>
        </w:trPr>
        <w:tc>
          <w:tcPr>
            <w:tcW w:w="5620" w:type="dxa"/>
            <w:vAlign w:val="bottom"/>
          </w:tcPr>
          <w:p>
            <w:pPr>
              <w:spacing w:after="0"/>
              <w:rPr>
                <w:sz w:val="20"/>
                <w:szCs w:val="20"/>
                <w:color w:val="auto"/>
              </w:rPr>
            </w:pPr>
            <w:r>
              <w:rPr>
                <w:rFonts w:ascii="Arial" w:cs="Arial" w:eastAsia="Arial" w:hAnsi="Arial"/>
                <w:sz w:val="18"/>
                <w:szCs w:val="18"/>
                <w:color w:val="auto"/>
              </w:rPr>
              <w:t>Work in process</w:t>
            </w:r>
          </w:p>
        </w:tc>
        <w:tc>
          <w:tcPr>
            <w:tcW w:w="2580" w:type="dxa"/>
            <w:vAlign w:val="bottom"/>
          </w:tcPr>
          <w:p>
            <w:pPr>
              <w:spacing w:after="0"/>
              <w:rPr>
                <w:sz w:val="18"/>
                <w:szCs w:val="18"/>
                <w:color w:val="auto"/>
              </w:rPr>
            </w:pPr>
          </w:p>
        </w:tc>
        <w:tc>
          <w:tcPr>
            <w:tcW w:w="1460" w:type="dxa"/>
            <w:vAlign w:val="bottom"/>
          </w:tcPr>
          <w:p>
            <w:pPr>
              <w:jc w:val="right"/>
              <w:ind w:right="50"/>
              <w:spacing w:after="0"/>
              <w:rPr>
                <w:sz w:val="20"/>
                <w:szCs w:val="20"/>
                <w:color w:val="auto"/>
              </w:rPr>
            </w:pPr>
            <w:r>
              <w:rPr>
                <w:rFonts w:ascii="Arial" w:cs="Arial" w:eastAsia="Arial" w:hAnsi="Arial"/>
                <w:sz w:val="18"/>
                <w:szCs w:val="18"/>
                <w:b w:val="1"/>
                <w:bCs w:val="1"/>
                <w:color w:val="auto"/>
              </w:rPr>
              <w:t>87.4</w:t>
            </w:r>
          </w:p>
        </w:tc>
        <w:tc>
          <w:tcPr>
            <w:tcW w:w="260" w:type="dxa"/>
            <w:vAlign w:val="bottom"/>
          </w:tcPr>
          <w:p>
            <w:pPr>
              <w:spacing w:after="0"/>
              <w:rPr>
                <w:sz w:val="18"/>
                <w:szCs w:val="18"/>
                <w:color w:val="auto"/>
              </w:rPr>
            </w:pPr>
          </w:p>
        </w:tc>
        <w:tc>
          <w:tcPr>
            <w:tcW w:w="1500" w:type="dxa"/>
            <w:vAlign w:val="bottom"/>
          </w:tcPr>
          <w:p>
            <w:pPr>
              <w:jc w:val="right"/>
              <w:ind w:right="10"/>
              <w:spacing w:after="0"/>
              <w:rPr>
                <w:sz w:val="20"/>
                <w:szCs w:val="20"/>
                <w:color w:val="auto"/>
              </w:rPr>
            </w:pPr>
            <w:r>
              <w:rPr>
                <w:rFonts w:ascii="Arial" w:cs="Arial" w:eastAsia="Arial" w:hAnsi="Arial"/>
                <w:sz w:val="18"/>
                <w:szCs w:val="18"/>
                <w:color w:val="auto"/>
              </w:rPr>
              <w:t>81.6</w:t>
            </w:r>
          </w:p>
        </w:tc>
      </w:tr>
      <w:tr>
        <w:trPr>
          <w:trHeight w:val="216"/>
        </w:trPr>
        <w:tc>
          <w:tcPr>
            <w:tcW w:w="562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color w:val="auto"/>
              </w:rPr>
              <w:t>Finished products</w:t>
            </w:r>
          </w:p>
        </w:tc>
        <w:tc>
          <w:tcPr>
            <w:tcW w:w="2580" w:type="dxa"/>
            <w:vAlign w:val="bottom"/>
            <w:tcBorders>
              <w:bottom w:val="single" w:sz="8" w:color="auto"/>
            </w:tcBorders>
            <w:shd w:val="clear" w:color="auto" w:fill="CCEEFF"/>
          </w:tcPr>
          <w:p>
            <w:pPr>
              <w:spacing w:after="0"/>
              <w:rPr>
                <w:sz w:val="18"/>
                <w:szCs w:val="18"/>
                <w:color w:val="auto"/>
              </w:rPr>
            </w:pPr>
          </w:p>
        </w:tc>
        <w:tc>
          <w:tcPr>
            <w:tcW w:w="146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b w:val="1"/>
                <w:bCs w:val="1"/>
                <w:color w:val="auto"/>
              </w:rPr>
              <w:t>72.3</w:t>
            </w:r>
          </w:p>
        </w:tc>
        <w:tc>
          <w:tcPr>
            <w:tcW w:w="260" w:type="dxa"/>
            <w:vAlign w:val="bottom"/>
            <w:tcBorders>
              <w:bottom w:val="single" w:sz="8" w:color="auto"/>
            </w:tcBorders>
            <w:shd w:val="clear" w:color="auto" w:fill="CCEEFF"/>
          </w:tcPr>
          <w:p>
            <w:pPr>
              <w:spacing w:after="0"/>
              <w:rPr>
                <w:sz w:val="18"/>
                <w:szCs w:val="18"/>
                <w:color w:val="auto"/>
              </w:rPr>
            </w:pPr>
          </w:p>
        </w:tc>
        <w:tc>
          <w:tcPr>
            <w:tcW w:w="150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71.6</w:t>
            </w:r>
          </w:p>
        </w:tc>
      </w:tr>
      <w:tr>
        <w:trPr>
          <w:trHeight w:val="210"/>
        </w:trPr>
        <w:tc>
          <w:tcPr>
            <w:tcW w:w="5620" w:type="dxa"/>
            <w:vAlign w:val="bottom"/>
          </w:tcPr>
          <w:p>
            <w:pPr>
              <w:ind w:left="180"/>
              <w:spacing w:after="0"/>
              <w:rPr>
                <w:sz w:val="20"/>
                <w:szCs w:val="20"/>
                <w:color w:val="auto"/>
              </w:rPr>
            </w:pPr>
            <w:r>
              <w:rPr>
                <w:rFonts w:ascii="Arial" w:cs="Arial" w:eastAsia="Arial" w:hAnsi="Arial"/>
                <w:sz w:val="18"/>
                <w:szCs w:val="18"/>
                <w:color w:val="auto"/>
              </w:rPr>
              <w:t>Subtotal</w:t>
            </w:r>
          </w:p>
        </w:tc>
        <w:tc>
          <w:tcPr>
            <w:tcW w:w="2580" w:type="dxa"/>
            <w:vAlign w:val="bottom"/>
          </w:tcPr>
          <w:p>
            <w:pPr>
              <w:spacing w:after="0"/>
              <w:rPr>
                <w:sz w:val="18"/>
                <w:szCs w:val="18"/>
                <w:color w:val="auto"/>
              </w:rPr>
            </w:pPr>
          </w:p>
        </w:tc>
        <w:tc>
          <w:tcPr>
            <w:tcW w:w="1460" w:type="dxa"/>
            <w:vAlign w:val="bottom"/>
          </w:tcPr>
          <w:p>
            <w:pPr>
              <w:jc w:val="right"/>
              <w:ind w:right="50"/>
              <w:spacing w:after="0"/>
              <w:rPr>
                <w:sz w:val="20"/>
                <w:szCs w:val="20"/>
                <w:color w:val="auto"/>
              </w:rPr>
            </w:pPr>
            <w:r>
              <w:rPr>
                <w:rFonts w:ascii="Arial" w:cs="Arial" w:eastAsia="Arial" w:hAnsi="Arial"/>
                <w:sz w:val="18"/>
                <w:szCs w:val="18"/>
                <w:b w:val="1"/>
                <w:bCs w:val="1"/>
                <w:color w:val="auto"/>
              </w:rPr>
              <w:t>232.3</w:t>
            </w:r>
          </w:p>
        </w:tc>
        <w:tc>
          <w:tcPr>
            <w:tcW w:w="260" w:type="dxa"/>
            <w:vAlign w:val="bottom"/>
          </w:tcPr>
          <w:p>
            <w:pPr>
              <w:spacing w:after="0"/>
              <w:rPr>
                <w:sz w:val="18"/>
                <w:szCs w:val="18"/>
                <w:color w:val="auto"/>
              </w:rPr>
            </w:pPr>
          </w:p>
        </w:tc>
        <w:tc>
          <w:tcPr>
            <w:tcW w:w="1500" w:type="dxa"/>
            <w:vAlign w:val="bottom"/>
          </w:tcPr>
          <w:p>
            <w:pPr>
              <w:jc w:val="right"/>
              <w:ind w:right="10"/>
              <w:spacing w:after="0"/>
              <w:rPr>
                <w:sz w:val="20"/>
                <w:szCs w:val="20"/>
                <w:color w:val="auto"/>
              </w:rPr>
            </w:pPr>
            <w:r>
              <w:rPr>
                <w:rFonts w:ascii="Arial" w:cs="Arial" w:eastAsia="Arial" w:hAnsi="Arial"/>
                <w:sz w:val="18"/>
                <w:szCs w:val="18"/>
                <w:color w:val="auto"/>
              </w:rPr>
              <w:t>228.9</w:t>
            </w:r>
          </w:p>
        </w:tc>
      </w:tr>
      <w:tr>
        <w:trPr>
          <w:trHeight w:val="216"/>
        </w:trPr>
        <w:tc>
          <w:tcPr>
            <w:tcW w:w="562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color w:val="auto"/>
              </w:rPr>
              <w:t>Allowance for surplus and obsolete inventory</w:t>
            </w:r>
          </w:p>
        </w:tc>
        <w:tc>
          <w:tcPr>
            <w:tcW w:w="2580" w:type="dxa"/>
            <w:vAlign w:val="bottom"/>
            <w:tcBorders>
              <w:bottom w:val="single" w:sz="8" w:color="auto"/>
            </w:tcBorders>
            <w:shd w:val="clear" w:color="auto" w:fill="CCEEFF"/>
          </w:tcPr>
          <w:p>
            <w:pPr>
              <w:spacing w:after="0"/>
              <w:rPr>
                <w:sz w:val="18"/>
                <w:szCs w:val="18"/>
                <w:color w:val="auto"/>
              </w:rPr>
            </w:pPr>
          </w:p>
        </w:tc>
        <w:tc>
          <w:tcPr>
            <w:tcW w:w="14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(3.0)</w:t>
            </w:r>
          </w:p>
        </w:tc>
        <w:tc>
          <w:tcPr>
            <w:tcW w:w="260" w:type="dxa"/>
            <w:vAlign w:val="bottom"/>
            <w:tcBorders>
              <w:bottom w:val="single" w:sz="8" w:color="auto"/>
            </w:tcBorders>
            <w:shd w:val="clear" w:color="auto" w:fill="CCEEFF"/>
          </w:tcPr>
          <w:p>
            <w:pPr>
              <w:spacing w:after="0"/>
              <w:rPr>
                <w:sz w:val="18"/>
                <w:szCs w:val="18"/>
                <w:color w:val="auto"/>
              </w:rPr>
            </w:pPr>
          </w:p>
        </w:tc>
        <w:tc>
          <w:tcPr>
            <w:tcW w:w="15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(1.9)</w:t>
            </w:r>
          </w:p>
        </w:tc>
      </w:tr>
      <w:tr>
        <w:trPr>
          <w:trHeight w:val="217"/>
        </w:trPr>
        <w:tc>
          <w:tcPr>
            <w:tcW w:w="5620" w:type="dxa"/>
            <w:vAlign w:val="bottom"/>
            <w:tcBorders>
              <w:bottom w:val="single" w:sz="8" w:color="auto"/>
            </w:tcBorders>
          </w:tcPr>
          <w:p>
            <w:pPr>
              <w:ind w:left="180"/>
              <w:spacing w:after="0"/>
              <w:rPr>
                <w:sz w:val="20"/>
                <w:szCs w:val="20"/>
                <w:color w:val="auto"/>
              </w:rPr>
            </w:pPr>
            <w:r>
              <w:rPr>
                <w:rFonts w:ascii="Arial" w:cs="Arial" w:eastAsia="Arial" w:hAnsi="Arial"/>
                <w:sz w:val="18"/>
                <w:szCs w:val="18"/>
                <w:color w:val="auto"/>
              </w:rPr>
              <w:t>Total Inventories, net</w:t>
            </w:r>
          </w:p>
        </w:tc>
        <w:tc>
          <w:tcPr>
            <w:tcW w:w="258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b w:val="1"/>
                <w:bCs w:val="1"/>
                <w:color w:val="auto"/>
              </w:rPr>
              <w:t>$</w:t>
            </w:r>
          </w:p>
        </w:tc>
        <w:tc>
          <w:tcPr>
            <w:tcW w:w="146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b w:val="1"/>
                <w:bCs w:val="1"/>
                <w:color w:val="auto"/>
              </w:rPr>
              <w:t>229.3</w:t>
            </w:r>
          </w:p>
        </w:tc>
        <w:tc>
          <w:tcPr>
            <w:tcW w:w="26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w:t>
            </w:r>
          </w:p>
        </w:tc>
        <w:tc>
          <w:tcPr>
            <w:tcW w:w="150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227.0</w:t>
            </w:r>
          </w:p>
        </w:tc>
      </w:tr>
    </w:tbl>
    <w:p>
      <w:pPr>
        <w:spacing w:after="0" w:line="202" w:lineRule="exact"/>
        <w:rPr>
          <w:sz w:val="20"/>
          <w:szCs w:val="20"/>
          <w:color w:val="auto"/>
        </w:rPr>
      </w:pPr>
    </w:p>
    <w:p>
      <w:pPr>
        <w:ind w:right="200" w:firstLine="913"/>
        <w:spacing w:after="0" w:line="264" w:lineRule="auto"/>
        <w:rPr>
          <w:sz w:val="20"/>
          <w:szCs w:val="20"/>
          <w:color w:val="auto"/>
        </w:rPr>
      </w:pPr>
      <w:r>
        <w:rPr>
          <w:rFonts w:ascii="Arial" w:cs="Arial" w:eastAsia="Arial" w:hAnsi="Arial"/>
          <w:sz w:val="18"/>
          <w:szCs w:val="18"/>
          <w:color w:val="auto"/>
        </w:rPr>
        <w:t>Inventories are valued at the lower of cost or market, with approximately 65% valued by the last-in, first-out (LIFO) method and the remaining 35% valued by the first-in, first-out (FIFO) method. The majority of TimkenSteel’s domestic inventories are valued by the LIFO method and all of TimkenSteel’s international (outside the United States) inventories are valued by the FIFO method.</w:t>
      </w:r>
    </w:p>
    <w:p>
      <w:pPr>
        <w:spacing w:after="0" w:line="181" w:lineRule="exact"/>
        <w:rPr>
          <w:sz w:val="20"/>
          <w:szCs w:val="20"/>
          <w:color w:val="auto"/>
        </w:rPr>
      </w:pPr>
    </w:p>
    <w:p>
      <w:pPr>
        <w:jc w:val="both"/>
        <w:ind w:right="140" w:firstLine="913"/>
        <w:spacing w:after="0" w:line="259" w:lineRule="auto"/>
        <w:rPr>
          <w:sz w:val="20"/>
          <w:szCs w:val="20"/>
          <w:color w:val="auto"/>
        </w:rPr>
      </w:pPr>
      <w:r>
        <w:rPr>
          <w:rFonts w:ascii="Arial" w:cs="Arial" w:eastAsia="Arial" w:hAnsi="Arial"/>
          <w:sz w:val="18"/>
          <w:szCs w:val="18"/>
          <w:color w:val="auto"/>
        </w:rPr>
        <w:t>An actual valuation of the inventory under the LIFO method can be made only at the end of each year based on the inventory levels and costs at that time. Accordingly, interim LIFO calculations must be based on management’s estimates of expected year-end inventory levels and costs. Because these calculations are subject to many factors beyond management’s control, annual results may differ from interim results as they are subject to the final year-end LIFO inventory valuation.</w:t>
      </w:r>
    </w:p>
    <w:p>
      <w:pPr>
        <w:spacing w:after="0" w:line="187" w:lineRule="exact"/>
        <w:rPr>
          <w:sz w:val="20"/>
          <w:szCs w:val="20"/>
          <w:color w:val="auto"/>
        </w:rPr>
      </w:pPr>
    </w:p>
    <w:p>
      <w:pPr>
        <w:ind w:right="200" w:firstLine="913"/>
        <w:spacing w:after="0" w:line="264" w:lineRule="auto"/>
        <w:rPr>
          <w:sz w:val="20"/>
          <w:szCs w:val="20"/>
          <w:color w:val="auto"/>
        </w:rPr>
      </w:pPr>
      <w:r>
        <w:rPr>
          <w:rFonts w:ascii="Arial" w:cs="Arial" w:eastAsia="Arial" w:hAnsi="Arial"/>
          <w:sz w:val="18"/>
          <w:szCs w:val="18"/>
          <w:color w:val="auto"/>
        </w:rPr>
        <w:t>The LIFO reserve at March 31, 2014 and December 31, 2013 was $78.6 million and $79.0 million, respectively. TimkenSteel recognized a decrease in its LIFO reserve of $0.4 million during the first three months of 2014 compared to a decrease in its LIFO reserve of $4.6 million during the first three months of 2013.</w:t>
      </w:r>
    </w:p>
    <w:p>
      <w:pPr>
        <w:spacing w:after="0" w:line="181" w:lineRule="exact"/>
        <w:rPr>
          <w:sz w:val="20"/>
          <w:szCs w:val="20"/>
          <w:color w:val="auto"/>
        </w:rPr>
      </w:pPr>
    </w:p>
    <w:p>
      <w:pPr>
        <w:ind w:right="260" w:firstLine="913"/>
        <w:spacing w:after="0" w:line="259" w:lineRule="auto"/>
        <w:rPr>
          <w:sz w:val="20"/>
          <w:szCs w:val="20"/>
          <w:color w:val="auto"/>
        </w:rPr>
      </w:pPr>
      <w:r>
        <w:rPr>
          <w:rFonts w:ascii="Arial" w:cs="Arial" w:eastAsia="Arial" w:hAnsi="Arial"/>
          <w:sz w:val="18"/>
          <w:szCs w:val="18"/>
          <w:color w:val="auto"/>
        </w:rPr>
        <w:t>Based on current expectations of inventory levels and costs, TimkenSteel expects to recognize an increase of approximately $8.6 million in its LIFO reserve for the year ended December 31, 2014. The expected increase in the LIFO reserve for 2014 reflects higher anticipated costs, especially scrap steel costs. A 1.0% increase in costs would increase the current LIFO expense estimate for 2014 by $2.1 million. A 1.0% increase in inventory quantities would have no effect on the current LIFO expense estimate for 2014.</w:t>
      </w:r>
    </w:p>
    <w:p>
      <w:pPr>
        <w:spacing w:after="0" w:line="385" w:lineRule="exact"/>
        <w:rPr>
          <w:sz w:val="20"/>
          <w:szCs w:val="20"/>
          <w:color w:val="auto"/>
        </w:rPr>
      </w:pPr>
    </w:p>
    <w:p>
      <w:pPr>
        <w:spacing w:after="0"/>
        <w:rPr>
          <w:sz w:val="20"/>
          <w:szCs w:val="20"/>
          <w:color w:val="auto"/>
        </w:rPr>
      </w:pPr>
      <w:r>
        <w:rPr>
          <w:rFonts w:ascii="Arial" w:cs="Arial" w:eastAsia="Arial" w:hAnsi="Arial"/>
          <w:sz w:val="23"/>
          <w:szCs w:val="23"/>
          <w:b w:val="1"/>
          <w:bCs w:val="1"/>
          <w:color w:val="auto"/>
        </w:rPr>
        <w:t>Note 4 - Property, Plant and Equipment</w:t>
      </w:r>
    </w:p>
    <w:p>
      <w:pPr>
        <w:spacing w:after="0" w:line="239" w:lineRule="exact"/>
        <w:rPr>
          <w:sz w:val="20"/>
          <w:szCs w:val="20"/>
          <w:color w:val="auto"/>
        </w:rPr>
      </w:pPr>
    </w:p>
    <w:p>
      <w:pPr>
        <w:ind w:left="920"/>
        <w:spacing w:after="0"/>
        <w:rPr>
          <w:sz w:val="20"/>
          <w:szCs w:val="20"/>
          <w:color w:val="auto"/>
        </w:rPr>
      </w:pPr>
      <w:r>
        <w:rPr>
          <w:rFonts w:ascii="Arial" w:cs="Arial" w:eastAsia="Arial" w:hAnsi="Arial"/>
          <w:sz w:val="18"/>
          <w:szCs w:val="18"/>
          <w:color w:val="auto"/>
        </w:rPr>
        <w:t>The components of property, plant and equipment, net at March 31, 2014 and December 31, 2013 were as follows:</w:t>
      </w:r>
    </w:p>
    <w:p>
      <w:pPr>
        <w:spacing w:after="0" w:line="248"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5340" w:type="dxa"/>
            <w:vAlign w:val="bottom"/>
          </w:tcPr>
          <w:p>
            <w:pPr>
              <w:spacing w:after="0"/>
              <w:rPr>
                <w:sz w:val="18"/>
                <w:szCs w:val="18"/>
                <w:color w:val="auto"/>
              </w:rPr>
            </w:pPr>
          </w:p>
        </w:tc>
        <w:tc>
          <w:tcPr>
            <w:tcW w:w="2860" w:type="dxa"/>
            <w:vAlign w:val="bottom"/>
          </w:tcPr>
          <w:p>
            <w:pPr>
              <w:spacing w:after="0"/>
              <w:rPr>
                <w:sz w:val="18"/>
                <w:szCs w:val="18"/>
                <w:color w:val="auto"/>
              </w:rPr>
            </w:pPr>
          </w:p>
        </w:tc>
        <w:tc>
          <w:tcPr>
            <w:tcW w:w="1460" w:type="dxa"/>
            <w:vAlign w:val="bottom"/>
          </w:tcPr>
          <w:p>
            <w:pPr>
              <w:jc w:val="right"/>
              <w:ind w:right="430"/>
              <w:spacing w:after="0"/>
              <w:rPr>
                <w:sz w:val="20"/>
                <w:szCs w:val="20"/>
                <w:color w:val="auto"/>
              </w:rPr>
            </w:pPr>
            <w:r>
              <w:rPr>
                <w:rFonts w:ascii="Arial" w:cs="Arial" w:eastAsia="Arial" w:hAnsi="Arial"/>
                <w:sz w:val="18"/>
                <w:szCs w:val="18"/>
                <w:b w:val="1"/>
                <w:bCs w:val="1"/>
                <w:color w:val="auto"/>
              </w:rPr>
              <w:t>March 31,</w:t>
            </w:r>
          </w:p>
        </w:tc>
        <w:tc>
          <w:tcPr>
            <w:tcW w:w="260" w:type="dxa"/>
            <w:vAlign w:val="bottom"/>
          </w:tcPr>
          <w:p>
            <w:pPr>
              <w:spacing w:after="0"/>
              <w:rPr>
                <w:sz w:val="18"/>
                <w:szCs w:val="18"/>
                <w:color w:val="auto"/>
              </w:rPr>
            </w:pPr>
          </w:p>
        </w:tc>
        <w:tc>
          <w:tcPr>
            <w:tcW w:w="1500" w:type="dxa"/>
            <w:vAlign w:val="bottom"/>
          </w:tcPr>
          <w:p>
            <w:pPr>
              <w:jc w:val="right"/>
              <w:ind w:right="310"/>
              <w:spacing w:after="0"/>
              <w:rPr>
                <w:sz w:val="20"/>
                <w:szCs w:val="20"/>
                <w:color w:val="auto"/>
              </w:rPr>
            </w:pPr>
            <w:r>
              <w:rPr>
                <w:rFonts w:ascii="Arial" w:cs="Arial" w:eastAsia="Arial" w:hAnsi="Arial"/>
                <w:sz w:val="18"/>
                <w:szCs w:val="18"/>
                <w:color w:val="auto"/>
                <w:w w:val="95"/>
              </w:rPr>
              <w:t>December 31,</w:t>
            </w:r>
          </w:p>
        </w:tc>
      </w:tr>
      <w:tr>
        <w:trPr>
          <w:trHeight w:val="234"/>
        </w:trPr>
        <w:tc>
          <w:tcPr>
            <w:tcW w:w="5340" w:type="dxa"/>
            <w:vAlign w:val="bottom"/>
            <w:tcBorders>
              <w:bottom w:val="single" w:sz="8" w:color="auto"/>
            </w:tcBorders>
          </w:tcPr>
          <w:p>
            <w:pPr>
              <w:spacing w:after="0"/>
              <w:rPr>
                <w:sz w:val="20"/>
                <w:szCs w:val="20"/>
                <w:color w:val="auto"/>
              </w:rPr>
            </w:pPr>
          </w:p>
        </w:tc>
        <w:tc>
          <w:tcPr>
            <w:tcW w:w="2860" w:type="dxa"/>
            <w:vAlign w:val="bottom"/>
            <w:tcBorders>
              <w:bottom w:val="single" w:sz="8" w:color="auto"/>
            </w:tcBorders>
          </w:tcPr>
          <w:p>
            <w:pPr>
              <w:spacing w:after="0"/>
              <w:rPr>
                <w:sz w:val="20"/>
                <w:szCs w:val="20"/>
                <w:color w:val="auto"/>
              </w:rPr>
            </w:pPr>
          </w:p>
        </w:tc>
        <w:tc>
          <w:tcPr>
            <w:tcW w:w="1460" w:type="dxa"/>
            <w:vAlign w:val="bottom"/>
            <w:tcBorders>
              <w:bottom w:val="single" w:sz="8" w:color="auto"/>
            </w:tcBorders>
          </w:tcPr>
          <w:p>
            <w:pPr>
              <w:jc w:val="right"/>
              <w:ind w:right="650"/>
              <w:spacing w:after="0"/>
              <w:rPr>
                <w:sz w:val="20"/>
                <w:szCs w:val="20"/>
                <w:color w:val="auto"/>
              </w:rPr>
            </w:pPr>
            <w:r>
              <w:rPr>
                <w:rFonts w:ascii="Arial" w:cs="Arial" w:eastAsia="Arial" w:hAnsi="Arial"/>
                <w:sz w:val="18"/>
                <w:szCs w:val="18"/>
                <w:b w:val="1"/>
                <w:bCs w:val="1"/>
                <w:color w:val="auto"/>
              </w:rPr>
              <w:t>2014</w:t>
            </w:r>
          </w:p>
        </w:tc>
        <w:tc>
          <w:tcPr>
            <w:tcW w:w="260" w:type="dxa"/>
            <w:vAlign w:val="bottom"/>
            <w:tcBorders>
              <w:bottom w:val="single" w:sz="8" w:color="auto"/>
            </w:tcBorders>
          </w:tcPr>
          <w:p>
            <w:pPr>
              <w:spacing w:after="0"/>
              <w:rPr>
                <w:sz w:val="20"/>
                <w:szCs w:val="20"/>
                <w:color w:val="auto"/>
              </w:rPr>
            </w:pPr>
          </w:p>
        </w:tc>
        <w:tc>
          <w:tcPr>
            <w:tcW w:w="1500" w:type="dxa"/>
            <w:vAlign w:val="bottom"/>
            <w:tcBorders>
              <w:bottom w:val="single" w:sz="8" w:color="auto"/>
            </w:tcBorders>
          </w:tcPr>
          <w:p>
            <w:pPr>
              <w:jc w:val="right"/>
              <w:ind w:right="630"/>
              <w:spacing w:after="0"/>
              <w:rPr>
                <w:sz w:val="20"/>
                <w:szCs w:val="20"/>
                <w:color w:val="auto"/>
              </w:rPr>
            </w:pPr>
            <w:r>
              <w:rPr>
                <w:rFonts w:ascii="Arial" w:cs="Arial" w:eastAsia="Arial" w:hAnsi="Arial"/>
                <w:sz w:val="18"/>
                <w:szCs w:val="18"/>
                <w:color w:val="auto"/>
              </w:rPr>
              <w:t>2013</w:t>
            </w:r>
          </w:p>
        </w:tc>
      </w:tr>
      <w:tr>
        <w:trPr>
          <w:trHeight w:val="210"/>
        </w:trPr>
        <w:tc>
          <w:tcPr>
            <w:tcW w:w="5340" w:type="dxa"/>
            <w:vAlign w:val="bottom"/>
            <w:shd w:val="clear" w:color="auto" w:fill="CCEEFF"/>
          </w:tcPr>
          <w:p>
            <w:pPr>
              <w:spacing w:after="0"/>
              <w:rPr>
                <w:sz w:val="20"/>
                <w:szCs w:val="20"/>
                <w:color w:val="auto"/>
              </w:rPr>
            </w:pPr>
            <w:r>
              <w:rPr>
                <w:rFonts w:ascii="Arial" w:cs="Arial" w:eastAsia="Arial" w:hAnsi="Arial"/>
                <w:sz w:val="18"/>
                <w:szCs w:val="18"/>
                <w:color w:val="auto"/>
              </w:rPr>
              <w:t>Property, Plant and Equipment, Net:</w:t>
            </w:r>
          </w:p>
        </w:tc>
        <w:tc>
          <w:tcPr>
            <w:tcW w:w="2860" w:type="dxa"/>
            <w:vAlign w:val="bottom"/>
            <w:shd w:val="clear" w:color="auto" w:fill="CCEEFF"/>
          </w:tcPr>
          <w:p>
            <w:pPr>
              <w:spacing w:after="0"/>
              <w:rPr>
                <w:sz w:val="18"/>
                <w:szCs w:val="18"/>
                <w:color w:val="auto"/>
              </w:rPr>
            </w:pPr>
          </w:p>
        </w:tc>
        <w:tc>
          <w:tcPr>
            <w:tcW w:w="14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500" w:type="dxa"/>
            <w:vAlign w:val="bottom"/>
            <w:shd w:val="clear" w:color="auto" w:fill="CCEEFF"/>
          </w:tcPr>
          <w:p>
            <w:pPr>
              <w:spacing w:after="0"/>
              <w:rPr>
                <w:sz w:val="18"/>
                <w:szCs w:val="18"/>
                <w:color w:val="auto"/>
              </w:rPr>
            </w:pPr>
          </w:p>
        </w:tc>
      </w:tr>
      <w:tr>
        <w:trPr>
          <w:trHeight w:val="216"/>
        </w:trPr>
        <w:tc>
          <w:tcPr>
            <w:tcW w:w="5340" w:type="dxa"/>
            <w:vAlign w:val="bottom"/>
          </w:tcPr>
          <w:p>
            <w:pPr>
              <w:spacing w:after="0"/>
              <w:rPr>
                <w:sz w:val="20"/>
                <w:szCs w:val="20"/>
                <w:color w:val="auto"/>
              </w:rPr>
            </w:pPr>
            <w:r>
              <w:rPr>
                <w:rFonts w:ascii="Arial" w:cs="Arial" w:eastAsia="Arial" w:hAnsi="Arial"/>
                <w:sz w:val="18"/>
                <w:szCs w:val="18"/>
                <w:color w:val="auto"/>
              </w:rPr>
              <w:t>Land and buildings</w:t>
            </w:r>
          </w:p>
        </w:tc>
        <w:tc>
          <w:tcPr>
            <w:tcW w:w="2860" w:type="dxa"/>
            <w:vAlign w:val="bottom"/>
          </w:tcPr>
          <w:p>
            <w:pPr>
              <w:jc w:val="right"/>
              <w:ind w:right="70"/>
              <w:spacing w:after="0"/>
              <w:rPr>
                <w:sz w:val="20"/>
                <w:szCs w:val="20"/>
                <w:color w:val="auto"/>
              </w:rPr>
            </w:pPr>
            <w:r>
              <w:rPr>
                <w:rFonts w:ascii="Arial" w:cs="Arial" w:eastAsia="Arial" w:hAnsi="Arial"/>
                <w:sz w:val="18"/>
                <w:szCs w:val="18"/>
                <w:b w:val="1"/>
                <w:bCs w:val="1"/>
                <w:color w:val="auto"/>
              </w:rPr>
              <w:t>$</w:t>
            </w:r>
          </w:p>
        </w:tc>
        <w:tc>
          <w:tcPr>
            <w:tcW w:w="1460" w:type="dxa"/>
            <w:vAlign w:val="bottom"/>
          </w:tcPr>
          <w:p>
            <w:pPr>
              <w:jc w:val="right"/>
              <w:ind w:right="50"/>
              <w:spacing w:after="0"/>
              <w:rPr>
                <w:sz w:val="20"/>
                <w:szCs w:val="20"/>
                <w:color w:val="auto"/>
              </w:rPr>
            </w:pPr>
            <w:r>
              <w:rPr>
                <w:rFonts w:ascii="Arial" w:cs="Arial" w:eastAsia="Arial" w:hAnsi="Arial"/>
                <w:sz w:val="18"/>
                <w:szCs w:val="18"/>
                <w:b w:val="1"/>
                <w:bCs w:val="1"/>
                <w:color w:val="auto"/>
              </w:rPr>
              <w:t>252.6</w:t>
            </w:r>
          </w:p>
        </w:tc>
        <w:tc>
          <w:tcPr>
            <w:tcW w:w="26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1500" w:type="dxa"/>
            <w:vAlign w:val="bottom"/>
          </w:tcPr>
          <w:p>
            <w:pPr>
              <w:jc w:val="right"/>
              <w:ind w:right="10"/>
              <w:spacing w:after="0"/>
              <w:rPr>
                <w:sz w:val="20"/>
                <w:szCs w:val="20"/>
                <w:color w:val="auto"/>
              </w:rPr>
            </w:pPr>
            <w:r>
              <w:rPr>
                <w:rFonts w:ascii="Arial" w:cs="Arial" w:eastAsia="Arial" w:hAnsi="Arial"/>
                <w:sz w:val="18"/>
                <w:szCs w:val="18"/>
                <w:color w:val="auto"/>
              </w:rPr>
              <w:t>250.3</w:t>
            </w:r>
          </w:p>
        </w:tc>
      </w:tr>
      <w:tr>
        <w:trPr>
          <w:trHeight w:val="216"/>
        </w:trPr>
        <w:tc>
          <w:tcPr>
            <w:tcW w:w="5340" w:type="dxa"/>
            <w:vAlign w:val="bottom"/>
            <w:shd w:val="clear" w:color="auto" w:fill="CCEEFF"/>
          </w:tcPr>
          <w:p>
            <w:pPr>
              <w:spacing w:after="0"/>
              <w:rPr>
                <w:sz w:val="20"/>
                <w:szCs w:val="20"/>
                <w:color w:val="auto"/>
              </w:rPr>
            </w:pPr>
            <w:r>
              <w:rPr>
                <w:rFonts w:ascii="Arial" w:cs="Arial" w:eastAsia="Arial" w:hAnsi="Arial"/>
                <w:sz w:val="18"/>
                <w:szCs w:val="18"/>
                <w:color w:val="auto"/>
              </w:rPr>
              <w:t>Machinery and equipment</w:t>
            </w:r>
          </w:p>
        </w:tc>
        <w:tc>
          <w:tcPr>
            <w:tcW w:w="2860" w:type="dxa"/>
            <w:vAlign w:val="bottom"/>
            <w:shd w:val="clear" w:color="auto" w:fill="CCEEFF"/>
          </w:tcPr>
          <w:p>
            <w:pPr>
              <w:spacing w:after="0"/>
              <w:rPr>
                <w:sz w:val="18"/>
                <w:szCs w:val="18"/>
                <w:color w:val="auto"/>
              </w:rPr>
            </w:pPr>
          </w:p>
        </w:tc>
        <w:tc>
          <w:tcPr>
            <w:tcW w:w="1460" w:type="dxa"/>
            <w:vAlign w:val="bottom"/>
            <w:shd w:val="clear" w:color="auto" w:fill="CCEEFF"/>
          </w:tcPr>
          <w:p>
            <w:pPr>
              <w:jc w:val="right"/>
              <w:ind w:right="50"/>
              <w:spacing w:after="0"/>
              <w:rPr>
                <w:sz w:val="20"/>
                <w:szCs w:val="20"/>
                <w:color w:val="auto"/>
              </w:rPr>
            </w:pPr>
            <w:r>
              <w:rPr>
                <w:rFonts w:ascii="Arial" w:cs="Arial" w:eastAsia="Arial" w:hAnsi="Arial"/>
                <w:sz w:val="18"/>
                <w:szCs w:val="18"/>
                <w:b w:val="1"/>
                <w:bCs w:val="1"/>
                <w:color w:val="auto"/>
              </w:rPr>
              <w:t>1,179.8</w:t>
            </w:r>
          </w:p>
        </w:tc>
        <w:tc>
          <w:tcPr>
            <w:tcW w:w="260" w:type="dxa"/>
            <w:vAlign w:val="bottom"/>
            <w:shd w:val="clear" w:color="auto" w:fill="CCEEFF"/>
          </w:tcPr>
          <w:p>
            <w:pPr>
              <w:spacing w:after="0"/>
              <w:rPr>
                <w:sz w:val="18"/>
                <w:szCs w:val="18"/>
                <w:color w:val="auto"/>
              </w:rPr>
            </w:pPr>
          </w:p>
        </w:tc>
        <w:tc>
          <w:tcPr>
            <w:tcW w:w="15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1,159.7</w:t>
            </w:r>
          </w:p>
        </w:tc>
      </w:tr>
      <w:tr>
        <w:trPr>
          <w:trHeight w:val="216"/>
        </w:trPr>
        <w:tc>
          <w:tcPr>
            <w:tcW w:w="53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Construction-in-progress</w:t>
            </w:r>
          </w:p>
        </w:tc>
        <w:tc>
          <w:tcPr>
            <w:tcW w:w="2860" w:type="dxa"/>
            <w:vAlign w:val="bottom"/>
            <w:tcBorders>
              <w:bottom w:val="single" w:sz="8" w:color="auto"/>
            </w:tcBorders>
          </w:tcPr>
          <w:p>
            <w:pPr>
              <w:spacing w:after="0"/>
              <w:rPr>
                <w:sz w:val="18"/>
                <w:szCs w:val="18"/>
                <w:color w:val="auto"/>
              </w:rPr>
            </w:pPr>
          </w:p>
        </w:tc>
        <w:tc>
          <w:tcPr>
            <w:tcW w:w="146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b w:val="1"/>
                <w:bCs w:val="1"/>
                <w:color w:val="auto"/>
              </w:rPr>
              <w:t>228.2</w:t>
            </w:r>
          </w:p>
        </w:tc>
        <w:tc>
          <w:tcPr>
            <w:tcW w:w="260" w:type="dxa"/>
            <w:vAlign w:val="bottom"/>
            <w:tcBorders>
              <w:bottom w:val="single" w:sz="8" w:color="auto"/>
            </w:tcBorders>
          </w:tcPr>
          <w:p>
            <w:pPr>
              <w:spacing w:after="0"/>
              <w:rPr>
                <w:sz w:val="18"/>
                <w:szCs w:val="18"/>
                <w:color w:val="auto"/>
              </w:rPr>
            </w:pPr>
          </w:p>
        </w:tc>
        <w:tc>
          <w:tcPr>
            <w:tcW w:w="150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220.0</w:t>
            </w:r>
          </w:p>
        </w:tc>
      </w:tr>
      <w:tr>
        <w:trPr>
          <w:trHeight w:val="210"/>
        </w:trPr>
        <w:tc>
          <w:tcPr>
            <w:tcW w:w="5340" w:type="dxa"/>
            <w:vAlign w:val="bottom"/>
            <w:shd w:val="clear" w:color="auto" w:fill="CCEEFF"/>
          </w:tcPr>
          <w:p>
            <w:pPr>
              <w:ind w:left="180"/>
              <w:spacing w:after="0"/>
              <w:rPr>
                <w:sz w:val="20"/>
                <w:szCs w:val="20"/>
                <w:color w:val="auto"/>
              </w:rPr>
            </w:pPr>
            <w:r>
              <w:rPr>
                <w:rFonts w:ascii="Arial" w:cs="Arial" w:eastAsia="Arial" w:hAnsi="Arial"/>
                <w:sz w:val="18"/>
                <w:szCs w:val="18"/>
                <w:color w:val="auto"/>
              </w:rPr>
              <w:t>Subtotal</w:t>
            </w:r>
          </w:p>
        </w:tc>
        <w:tc>
          <w:tcPr>
            <w:tcW w:w="2860" w:type="dxa"/>
            <w:vAlign w:val="bottom"/>
            <w:shd w:val="clear" w:color="auto" w:fill="CCEEFF"/>
          </w:tcPr>
          <w:p>
            <w:pPr>
              <w:spacing w:after="0"/>
              <w:rPr>
                <w:sz w:val="18"/>
                <w:szCs w:val="18"/>
                <w:color w:val="auto"/>
              </w:rPr>
            </w:pPr>
          </w:p>
        </w:tc>
        <w:tc>
          <w:tcPr>
            <w:tcW w:w="1460" w:type="dxa"/>
            <w:vAlign w:val="bottom"/>
            <w:shd w:val="clear" w:color="auto" w:fill="CCEEFF"/>
          </w:tcPr>
          <w:p>
            <w:pPr>
              <w:jc w:val="right"/>
              <w:ind w:right="50"/>
              <w:spacing w:after="0"/>
              <w:rPr>
                <w:sz w:val="20"/>
                <w:szCs w:val="20"/>
                <w:color w:val="auto"/>
              </w:rPr>
            </w:pPr>
            <w:r>
              <w:rPr>
                <w:rFonts w:ascii="Arial" w:cs="Arial" w:eastAsia="Arial" w:hAnsi="Arial"/>
                <w:sz w:val="18"/>
                <w:szCs w:val="18"/>
                <w:b w:val="1"/>
                <w:bCs w:val="1"/>
                <w:color w:val="auto"/>
              </w:rPr>
              <w:t>1,660.6</w:t>
            </w:r>
          </w:p>
        </w:tc>
        <w:tc>
          <w:tcPr>
            <w:tcW w:w="260" w:type="dxa"/>
            <w:vAlign w:val="bottom"/>
            <w:shd w:val="clear" w:color="auto" w:fill="CCEEFF"/>
          </w:tcPr>
          <w:p>
            <w:pPr>
              <w:spacing w:after="0"/>
              <w:rPr>
                <w:sz w:val="18"/>
                <w:szCs w:val="18"/>
                <w:color w:val="auto"/>
              </w:rPr>
            </w:pPr>
          </w:p>
        </w:tc>
        <w:tc>
          <w:tcPr>
            <w:tcW w:w="15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1,630.0</w:t>
            </w:r>
          </w:p>
        </w:tc>
      </w:tr>
      <w:tr>
        <w:trPr>
          <w:trHeight w:val="216"/>
        </w:trPr>
        <w:tc>
          <w:tcPr>
            <w:tcW w:w="53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Less allowances for depreciation</w:t>
            </w:r>
          </w:p>
        </w:tc>
        <w:tc>
          <w:tcPr>
            <w:tcW w:w="2860" w:type="dxa"/>
            <w:vAlign w:val="bottom"/>
            <w:tcBorders>
              <w:bottom w:val="single" w:sz="8" w:color="auto"/>
            </w:tcBorders>
          </w:tcPr>
          <w:p>
            <w:pPr>
              <w:spacing w:after="0"/>
              <w:rPr>
                <w:sz w:val="18"/>
                <w:szCs w:val="18"/>
                <w:color w:val="auto"/>
              </w:rPr>
            </w:pPr>
          </w:p>
        </w:tc>
        <w:tc>
          <w:tcPr>
            <w:tcW w:w="146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(959.6)</w:t>
            </w:r>
          </w:p>
        </w:tc>
        <w:tc>
          <w:tcPr>
            <w:tcW w:w="260" w:type="dxa"/>
            <w:vAlign w:val="bottom"/>
            <w:tcBorders>
              <w:bottom w:val="single" w:sz="8" w:color="auto"/>
            </w:tcBorders>
          </w:tcPr>
          <w:p>
            <w:pPr>
              <w:spacing w:after="0"/>
              <w:rPr>
                <w:sz w:val="18"/>
                <w:szCs w:val="18"/>
                <w:color w:val="auto"/>
              </w:rPr>
            </w:pPr>
          </w:p>
        </w:tc>
        <w:tc>
          <w:tcPr>
            <w:tcW w:w="15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(947.4)</w:t>
            </w:r>
          </w:p>
        </w:tc>
      </w:tr>
      <w:tr>
        <w:trPr>
          <w:trHeight w:val="217"/>
        </w:trPr>
        <w:tc>
          <w:tcPr>
            <w:tcW w:w="5340" w:type="dxa"/>
            <w:vAlign w:val="bottom"/>
            <w:tcBorders>
              <w:bottom w:val="single" w:sz="8" w:color="auto"/>
            </w:tcBorders>
            <w:shd w:val="clear" w:color="auto" w:fill="CCEEFF"/>
          </w:tcPr>
          <w:p>
            <w:pPr>
              <w:ind w:left="180"/>
              <w:spacing w:after="0"/>
              <w:rPr>
                <w:sz w:val="20"/>
                <w:szCs w:val="20"/>
                <w:color w:val="auto"/>
              </w:rPr>
            </w:pPr>
            <w:r>
              <w:rPr>
                <w:rFonts w:ascii="Arial" w:cs="Arial" w:eastAsia="Arial" w:hAnsi="Arial"/>
                <w:sz w:val="18"/>
                <w:szCs w:val="18"/>
                <w:color w:val="auto"/>
              </w:rPr>
              <w:t>Property, Plant and Equipment, Net</w:t>
            </w:r>
          </w:p>
        </w:tc>
        <w:tc>
          <w:tcPr>
            <w:tcW w:w="286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b w:val="1"/>
                <w:bCs w:val="1"/>
                <w:color w:val="auto"/>
              </w:rPr>
              <w:t>$</w:t>
            </w:r>
          </w:p>
        </w:tc>
        <w:tc>
          <w:tcPr>
            <w:tcW w:w="146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b w:val="1"/>
                <w:bCs w:val="1"/>
                <w:color w:val="auto"/>
              </w:rPr>
              <w:t>701.0</w:t>
            </w:r>
          </w:p>
        </w:tc>
        <w:tc>
          <w:tcPr>
            <w:tcW w:w="26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150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682.6</w:t>
            </w:r>
          </w:p>
        </w:tc>
      </w:tr>
    </w:tbl>
    <w:p>
      <w:pPr>
        <w:spacing w:after="0" w:line="202" w:lineRule="exact"/>
        <w:rPr>
          <w:sz w:val="20"/>
          <w:szCs w:val="20"/>
          <w:color w:val="auto"/>
        </w:rPr>
      </w:pPr>
    </w:p>
    <w:p>
      <w:pPr>
        <w:jc w:val="both"/>
        <w:ind w:right="40" w:firstLine="913"/>
        <w:spacing w:after="0" w:line="312" w:lineRule="auto"/>
        <w:rPr>
          <w:sz w:val="20"/>
          <w:szCs w:val="20"/>
          <w:color w:val="auto"/>
        </w:rPr>
      </w:pPr>
      <w:r>
        <w:rPr>
          <w:rFonts w:ascii="Arial" w:cs="Arial" w:eastAsia="Arial" w:hAnsi="Arial"/>
          <w:sz w:val="16"/>
          <w:szCs w:val="16"/>
          <w:color w:val="auto"/>
        </w:rPr>
        <w:t>Total depreciation expense was $13.4 million and $11.8 million for the three months ended March 31, 2014 and 2013, respectively. At March 31, 2014 and December 31, 2013, property, plant and equipment, net included $17.6 million and $15.7 million, respectively, of capitalized software. Depreciation expense for capitalized software was $0.7 million and $0.6 million for the three months ended March 31, 2014 and 2013, respectively.</w:t>
      </w:r>
    </w:p>
    <w:p>
      <w:pPr>
        <w:spacing w:after="0" w:line="147" w:lineRule="exact"/>
        <w:rPr>
          <w:sz w:val="20"/>
          <w:szCs w:val="20"/>
          <w:color w:val="auto"/>
        </w:rPr>
      </w:pPr>
    </w:p>
    <w:p>
      <w:pPr>
        <w:jc w:val="both"/>
        <w:ind w:right="20" w:firstLine="913"/>
        <w:spacing w:after="0" w:line="277" w:lineRule="auto"/>
        <w:rPr>
          <w:sz w:val="20"/>
          <w:szCs w:val="20"/>
          <w:color w:val="auto"/>
        </w:rPr>
      </w:pPr>
      <w:r>
        <w:rPr>
          <w:rFonts w:ascii="Arial" w:cs="Arial" w:eastAsia="Arial" w:hAnsi="Arial"/>
          <w:sz w:val="18"/>
          <w:szCs w:val="18"/>
          <w:color w:val="auto"/>
        </w:rPr>
        <w:t>Capitalized interest allocated to TimkenSteel from Timken related to construction projects was $2.6 million and $2.0 million for the three months ended March 31, 2014 and 2013, respectively.</w:t>
      </w:r>
    </w:p>
    <w:p>
      <w:pPr>
        <w:spacing w:after="0" w:line="1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F-28</w:t>
      </w:r>
    </w:p>
    <w:p>
      <w:pPr>
        <w:sectPr>
          <w:pgSz w:w="11900" w:h="16838" w:orient="portrait"/>
          <w:cols w:equalWidth="0" w:num="1">
            <w:col w:w="11420"/>
          </w:cols>
          <w:pgMar w:left="240" w:top="459" w:right="239" w:bottom="1440" w:gutter="0" w:footer="0" w:header="0"/>
        </w:sectPr>
      </w:pPr>
    </w:p>
    <w:bookmarkStart w:id="135" w:name="page136"/>
    <w:bookmarkEnd w:id="13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6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292" w:lineRule="exact"/>
        <w:rPr>
          <w:sz w:val="20"/>
          <w:szCs w:val="20"/>
          <w:color w:val="auto"/>
        </w:rPr>
      </w:pPr>
    </w:p>
    <w:p>
      <w:pPr>
        <w:spacing w:after="0"/>
        <w:rPr>
          <w:sz w:val="20"/>
          <w:szCs w:val="20"/>
          <w:color w:val="auto"/>
        </w:rPr>
      </w:pPr>
      <w:r>
        <w:rPr>
          <w:rFonts w:ascii="Arial" w:cs="Arial" w:eastAsia="Arial" w:hAnsi="Arial"/>
          <w:sz w:val="23"/>
          <w:szCs w:val="23"/>
          <w:b w:val="1"/>
          <w:bCs w:val="1"/>
          <w:color w:val="auto"/>
        </w:rPr>
        <w:t>Note 5 - Intangible Assets</w:t>
      </w:r>
    </w:p>
    <w:p>
      <w:pPr>
        <w:spacing w:after="0" w:line="239" w:lineRule="exact"/>
        <w:rPr>
          <w:sz w:val="20"/>
          <w:szCs w:val="20"/>
          <w:color w:val="auto"/>
        </w:rPr>
      </w:pPr>
    </w:p>
    <w:p>
      <w:pPr>
        <w:ind w:left="920"/>
        <w:spacing w:after="0"/>
        <w:rPr>
          <w:sz w:val="20"/>
          <w:szCs w:val="20"/>
          <w:color w:val="auto"/>
        </w:rPr>
      </w:pPr>
      <w:r>
        <w:rPr>
          <w:rFonts w:ascii="Arial" w:cs="Arial" w:eastAsia="Arial" w:hAnsi="Arial"/>
          <w:sz w:val="18"/>
          <w:szCs w:val="18"/>
          <w:color w:val="auto"/>
        </w:rPr>
        <w:t>The following table displays intangible assets as of March 31, 2014 and December 31, 2013:</w:t>
      </w:r>
    </w:p>
    <w:p>
      <w:pPr>
        <w:spacing w:after="0" w:line="244"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4320" w:type="dxa"/>
            <w:vAlign w:val="bottom"/>
            <w:tcBorders>
              <w:bottom w:val="single" w:sz="8" w:color="auto"/>
            </w:tcBorders>
          </w:tcPr>
          <w:p>
            <w:pPr>
              <w:spacing w:after="0"/>
              <w:rPr>
                <w:sz w:val="14"/>
                <w:szCs w:val="14"/>
                <w:color w:val="auto"/>
              </w:rPr>
            </w:pPr>
          </w:p>
        </w:tc>
        <w:tc>
          <w:tcPr>
            <w:tcW w:w="1120" w:type="dxa"/>
            <w:vAlign w:val="bottom"/>
            <w:tcBorders>
              <w:bottom w:val="single" w:sz="8" w:color="auto"/>
            </w:tcBorders>
          </w:tcPr>
          <w:p>
            <w:pPr>
              <w:spacing w:after="0"/>
              <w:rPr>
                <w:sz w:val="14"/>
                <w:szCs w:val="14"/>
                <w:color w:val="auto"/>
              </w:rPr>
            </w:pPr>
          </w:p>
        </w:tc>
        <w:tc>
          <w:tcPr>
            <w:tcW w:w="840" w:type="dxa"/>
            <w:vAlign w:val="bottom"/>
            <w:tcBorders>
              <w:bottom w:val="single" w:sz="8" w:color="auto"/>
            </w:tcBorders>
          </w:tcPr>
          <w:p>
            <w:pPr>
              <w:spacing w:after="0"/>
              <w:rPr>
                <w:sz w:val="14"/>
                <w:szCs w:val="14"/>
                <w:color w:val="auto"/>
              </w:rPr>
            </w:pPr>
          </w:p>
        </w:tc>
        <w:tc>
          <w:tcPr>
            <w:tcW w:w="1100" w:type="dxa"/>
            <w:vAlign w:val="bottom"/>
            <w:tcBorders>
              <w:bottom w:val="single" w:sz="8" w:color="auto"/>
            </w:tcBorders>
            <w:gridSpan w:val="2"/>
          </w:tcPr>
          <w:p>
            <w:pPr>
              <w:jc w:val="right"/>
              <w:ind w:right="30"/>
              <w:spacing w:after="0"/>
              <w:rPr>
                <w:sz w:val="20"/>
                <w:szCs w:val="20"/>
                <w:color w:val="auto"/>
              </w:rPr>
            </w:pPr>
            <w:r>
              <w:rPr>
                <w:rFonts w:ascii="Arial" w:cs="Arial" w:eastAsia="Arial" w:hAnsi="Arial"/>
                <w:sz w:val="14"/>
                <w:szCs w:val="14"/>
                <w:b w:val="1"/>
                <w:bCs w:val="1"/>
                <w:color w:val="auto"/>
                <w:w w:val="96"/>
              </w:rPr>
              <w:t>March 31, 2014</w:t>
            </w:r>
          </w:p>
        </w:tc>
        <w:tc>
          <w:tcPr>
            <w:tcW w:w="22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186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color w:val="auto"/>
              </w:rPr>
              <w:t>December 31, 2013</w:t>
            </w:r>
          </w:p>
        </w:tc>
        <w:tc>
          <w:tcPr>
            <w:tcW w:w="16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spacing w:after="0"/>
              <w:rPr>
                <w:sz w:val="14"/>
                <w:szCs w:val="14"/>
                <w:color w:val="auto"/>
              </w:rPr>
            </w:pPr>
          </w:p>
        </w:tc>
      </w:tr>
      <w:tr>
        <w:trPr>
          <w:trHeight w:val="119"/>
        </w:trPr>
        <w:tc>
          <w:tcPr>
            <w:tcW w:w="4320" w:type="dxa"/>
            <w:vAlign w:val="bottom"/>
          </w:tcPr>
          <w:p>
            <w:pPr>
              <w:spacing w:after="0"/>
              <w:rPr>
                <w:sz w:val="10"/>
                <w:szCs w:val="10"/>
                <w:color w:val="auto"/>
              </w:rPr>
            </w:pPr>
          </w:p>
        </w:tc>
        <w:tc>
          <w:tcPr>
            <w:tcW w:w="1960" w:type="dxa"/>
            <w:vAlign w:val="bottom"/>
            <w:gridSpan w:val="2"/>
          </w:tcPr>
          <w:p>
            <w:pPr>
              <w:ind w:left="960"/>
              <w:spacing w:after="0" w:line="119" w:lineRule="exact"/>
              <w:rPr>
                <w:sz w:val="20"/>
                <w:szCs w:val="20"/>
                <w:color w:val="auto"/>
              </w:rPr>
            </w:pPr>
            <w:r>
              <w:rPr>
                <w:rFonts w:ascii="Arial" w:cs="Arial" w:eastAsia="Arial" w:hAnsi="Arial"/>
                <w:sz w:val="13"/>
                <w:szCs w:val="13"/>
                <w:b w:val="1"/>
                <w:bCs w:val="1"/>
                <w:color w:val="auto"/>
              </w:rPr>
              <w:t>Gross Carrying</w:t>
            </w:r>
          </w:p>
        </w:tc>
        <w:tc>
          <w:tcPr>
            <w:tcW w:w="1100" w:type="dxa"/>
            <w:vAlign w:val="bottom"/>
            <w:gridSpan w:val="2"/>
          </w:tcPr>
          <w:p>
            <w:pPr>
              <w:ind w:left="180"/>
              <w:spacing w:after="0" w:line="119" w:lineRule="exact"/>
              <w:rPr>
                <w:sz w:val="20"/>
                <w:szCs w:val="20"/>
                <w:color w:val="auto"/>
              </w:rPr>
            </w:pPr>
            <w:r>
              <w:rPr>
                <w:rFonts w:ascii="Arial" w:cs="Arial" w:eastAsia="Arial" w:hAnsi="Arial"/>
                <w:sz w:val="13"/>
                <w:szCs w:val="13"/>
                <w:b w:val="1"/>
                <w:bCs w:val="1"/>
                <w:color w:val="auto"/>
              </w:rPr>
              <w:t>Accumulated</w:t>
            </w:r>
          </w:p>
        </w:tc>
        <w:tc>
          <w:tcPr>
            <w:tcW w:w="1020" w:type="dxa"/>
            <w:vAlign w:val="bottom"/>
            <w:gridSpan w:val="2"/>
          </w:tcPr>
          <w:p>
            <w:pPr>
              <w:ind w:left="100"/>
              <w:spacing w:after="0" w:line="119" w:lineRule="exact"/>
              <w:rPr>
                <w:sz w:val="20"/>
                <w:szCs w:val="20"/>
                <w:color w:val="auto"/>
              </w:rPr>
            </w:pPr>
            <w:r>
              <w:rPr>
                <w:rFonts w:ascii="Arial" w:cs="Arial" w:eastAsia="Arial" w:hAnsi="Arial"/>
                <w:sz w:val="13"/>
                <w:szCs w:val="13"/>
                <w:b w:val="1"/>
                <w:bCs w:val="1"/>
                <w:color w:val="auto"/>
              </w:rPr>
              <w:t>Net Carrying</w:t>
            </w:r>
          </w:p>
        </w:tc>
        <w:tc>
          <w:tcPr>
            <w:tcW w:w="1100" w:type="dxa"/>
            <w:vAlign w:val="bottom"/>
            <w:gridSpan w:val="2"/>
          </w:tcPr>
          <w:p>
            <w:pPr>
              <w:ind w:left="100"/>
              <w:spacing w:after="0" w:line="119" w:lineRule="exact"/>
              <w:rPr>
                <w:sz w:val="20"/>
                <w:szCs w:val="20"/>
                <w:color w:val="auto"/>
              </w:rPr>
            </w:pPr>
            <w:r>
              <w:rPr>
                <w:rFonts w:ascii="Arial" w:cs="Arial" w:eastAsia="Arial" w:hAnsi="Arial"/>
                <w:sz w:val="13"/>
                <w:szCs w:val="13"/>
                <w:color w:val="auto"/>
              </w:rPr>
              <w:t>Gross Carrying</w:t>
            </w:r>
          </w:p>
        </w:tc>
        <w:tc>
          <w:tcPr>
            <w:tcW w:w="1020" w:type="dxa"/>
            <w:vAlign w:val="bottom"/>
            <w:gridSpan w:val="2"/>
          </w:tcPr>
          <w:p>
            <w:pPr>
              <w:ind w:left="100"/>
              <w:spacing w:after="0" w:line="119" w:lineRule="exact"/>
              <w:rPr>
                <w:sz w:val="20"/>
                <w:szCs w:val="20"/>
                <w:color w:val="auto"/>
              </w:rPr>
            </w:pPr>
            <w:r>
              <w:rPr>
                <w:rFonts w:ascii="Arial" w:cs="Arial" w:eastAsia="Arial" w:hAnsi="Arial"/>
                <w:sz w:val="13"/>
                <w:szCs w:val="13"/>
                <w:color w:val="auto"/>
              </w:rPr>
              <w:t>Accumulated</w:t>
            </w:r>
          </w:p>
        </w:tc>
        <w:tc>
          <w:tcPr>
            <w:tcW w:w="900" w:type="dxa"/>
            <w:vAlign w:val="bottom"/>
            <w:gridSpan w:val="2"/>
          </w:tcPr>
          <w:p>
            <w:pPr>
              <w:ind w:left="40"/>
              <w:spacing w:after="0" w:line="119" w:lineRule="exact"/>
              <w:rPr>
                <w:sz w:val="20"/>
                <w:szCs w:val="20"/>
                <w:color w:val="auto"/>
              </w:rPr>
            </w:pPr>
            <w:r>
              <w:rPr>
                <w:rFonts w:ascii="Arial" w:cs="Arial" w:eastAsia="Arial" w:hAnsi="Arial"/>
                <w:sz w:val="13"/>
                <w:szCs w:val="13"/>
                <w:color w:val="auto"/>
              </w:rPr>
              <w:t>Net Carrying</w:t>
            </w:r>
          </w:p>
        </w:tc>
      </w:tr>
      <w:tr>
        <w:trPr>
          <w:trHeight w:val="171"/>
        </w:trPr>
        <w:tc>
          <w:tcPr>
            <w:tcW w:w="4320" w:type="dxa"/>
            <w:vAlign w:val="bottom"/>
            <w:tcBorders>
              <w:bottom w:val="single" w:sz="8" w:color="auto"/>
            </w:tcBorders>
          </w:tcPr>
          <w:p>
            <w:pPr>
              <w:spacing w:after="0"/>
              <w:rPr>
                <w:sz w:val="14"/>
                <w:szCs w:val="14"/>
                <w:color w:val="auto"/>
              </w:rPr>
            </w:pPr>
          </w:p>
        </w:tc>
        <w:tc>
          <w:tcPr>
            <w:tcW w:w="1120" w:type="dxa"/>
            <w:vAlign w:val="bottom"/>
            <w:tcBorders>
              <w:bottom w:val="single" w:sz="8" w:color="auto"/>
            </w:tcBorders>
          </w:tcPr>
          <w:p>
            <w:pPr>
              <w:spacing w:after="0"/>
              <w:rPr>
                <w:sz w:val="14"/>
                <w:szCs w:val="14"/>
                <w:color w:val="auto"/>
              </w:rPr>
            </w:pPr>
          </w:p>
        </w:tc>
        <w:tc>
          <w:tcPr>
            <w:tcW w:w="840" w:type="dxa"/>
            <w:vAlign w:val="bottom"/>
            <w:tcBorders>
              <w:bottom w:val="single" w:sz="8" w:color="auto"/>
            </w:tcBorders>
          </w:tcPr>
          <w:p>
            <w:pPr>
              <w:jc w:val="right"/>
              <w:ind w:right="172"/>
              <w:spacing w:after="0"/>
              <w:rPr>
                <w:sz w:val="20"/>
                <w:szCs w:val="20"/>
                <w:color w:val="auto"/>
              </w:rPr>
            </w:pPr>
            <w:r>
              <w:rPr>
                <w:rFonts w:ascii="Arial" w:cs="Arial" w:eastAsia="Arial" w:hAnsi="Arial"/>
                <w:sz w:val="14"/>
                <w:szCs w:val="14"/>
                <w:b w:val="1"/>
                <w:bCs w:val="1"/>
                <w:color w:val="auto"/>
              </w:rPr>
              <w:t>Amount</w:t>
            </w:r>
          </w:p>
        </w:tc>
        <w:tc>
          <w:tcPr>
            <w:tcW w:w="1100" w:type="dxa"/>
            <w:vAlign w:val="bottom"/>
            <w:tcBorders>
              <w:bottom w:val="single" w:sz="8" w:color="auto"/>
            </w:tcBorders>
            <w:gridSpan w:val="2"/>
          </w:tcPr>
          <w:p>
            <w:pPr>
              <w:ind w:left="180"/>
              <w:spacing w:after="0"/>
              <w:rPr>
                <w:sz w:val="20"/>
                <w:szCs w:val="20"/>
                <w:color w:val="auto"/>
              </w:rPr>
            </w:pPr>
            <w:r>
              <w:rPr>
                <w:rFonts w:ascii="Arial" w:cs="Arial" w:eastAsia="Arial" w:hAnsi="Arial"/>
                <w:sz w:val="14"/>
                <w:szCs w:val="14"/>
                <w:b w:val="1"/>
                <w:bCs w:val="1"/>
                <w:color w:val="auto"/>
              </w:rPr>
              <w:t>Amortization</w:t>
            </w:r>
          </w:p>
        </w:tc>
        <w:tc>
          <w:tcPr>
            <w:tcW w:w="22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jc w:val="right"/>
              <w:ind w:right="172"/>
              <w:spacing w:after="0"/>
              <w:rPr>
                <w:sz w:val="20"/>
                <w:szCs w:val="20"/>
                <w:color w:val="auto"/>
              </w:rPr>
            </w:pPr>
            <w:r>
              <w:rPr>
                <w:rFonts w:ascii="Arial" w:cs="Arial" w:eastAsia="Arial" w:hAnsi="Arial"/>
                <w:sz w:val="14"/>
                <w:szCs w:val="14"/>
                <w:b w:val="1"/>
                <w:bCs w:val="1"/>
                <w:color w:val="auto"/>
                <w:w w:val="98"/>
              </w:rPr>
              <w:t>Amount</w:t>
            </w:r>
          </w:p>
        </w:tc>
        <w:tc>
          <w:tcPr>
            <w:tcW w:w="260" w:type="dxa"/>
            <w:vAlign w:val="bottom"/>
            <w:tcBorders>
              <w:bottom w:val="single" w:sz="8" w:color="auto"/>
            </w:tcBorders>
          </w:tcPr>
          <w:p>
            <w:pPr>
              <w:spacing w:after="0"/>
              <w:rPr>
                <w:sz w:val="14"/>
                <w:szCs w:val="14"/>
                <w:color w:val="auto"/>
              </w:rPr>
            </w:pPr>
          </w:p>
        </w:tc>
        <w:tc>
          <w:tcPr>
            <w:tcW w:w="840" w:type="dxa"/>
            <w:vAlign w:val="bottom"/>
            <w:tcBorders>
              <w:bottom w:val="single" w:sz="8" w:color="auto"/>
            </w:tcBorders>
          </w:tcPr>
          <w:p>
            <w:pPr>
              <w:jc w:val="right"/>
              <w:ind w:right="234"/>
              <w:spacing w:after="0"/>
              <w:rPr>
                <w:sz w:val="20"/>
                <w:szCs w:val="20"/>
                <w:color w:val="auto"/>
              </w:rPr>
            </w:pPr>
            <w:r>
              <w:rPr>
                <w:rFonts w:ascii="Arial" w:cs="Arial" w:eastAsia="Arial" w:hAnsi="Arial"/>
                <w:sz w:val="14"/>
                <w:szCs w:val="14"/>
                <w:color w:val="auto"/>
              </w:rPr>
              <w:t>Amount</w:t>
            </w:r>
          </w:p>
        </w:tc>
        <w:tc>
          <w:tcPr>
            <w:tcW w:w="1020" w:type="dxa"/>
            <w:vAlign w:val="bottom"/>
            <w:tcBorders>
              <w:bottom w:val="single" w:sz="8" w:color="auto"/>
            </w:tcBorders>
            <w:gridSpan w:val="2"/>
          </w:tcPr>
          <w:p>
            <w:pPr>
              <w:ind w:left="100"/>
              <w:spacing w:after="0"/>
              <w:rPr>
                <w:sz w:val="20"/>
                <w:szCs w:val="20"/>
                <w:color w:val="auto"/>
              </w:rPr>
            </w:pPr>
            <w:r>
              <w:rPr>
                <w:rFonts w:ascii="Arial" w:cs="Arial" w:eastAsia="Arial" w:hAnsi="Arial"/>
                <w:sz w:val="14"/>
                <w:szCs w:val="14"/>
                <w:color w:val="auto"/>
              </w:rPr>
              <w:t>Amortization</w:t>
            </w:r>
          </w:p>
        </w:tc>
        <w:tc>
          <w:tcPr>
            <w:tcW w:w="16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jc w:val="right"/>
              <w:ind w:right="152"/>
              <w:spacing w:after="0"/>
              <w:rPr>
                <w:sz w:val="20"/>
                <w:szCs w:val="20"/>
                <w:color w:val="auto"/>
              </w:rPr>
            </w:pPr>
            <w:r>
              <w:rPr>
                <w:rFonts w:ascii="Arial" w:cs="Arial" w:eastAsia="Arial" w:hAnsi="Arial"/>
                <w:sz w:val="14"/>
                <w:szCs w:val="14"/>
                <w:color w:val="auto"/>
                <w:w w:val="99"/>
              </w:rPr>
              <w:t>Amount</w:t>
            </w:r>
          </w:p>
        </w:tc>
      </w:tr>
      <w:tr>
        <w:trPr>
          <w:trHeight w:val="210"/>
        </w:trPr>
        <w:tc>
          <w:tcPr>
            <w:tcW w:w="4320" w:type="dxa"/>
            <w:vAlign w:val="bottom"/>
            <w:shd w:val="clear" w:color="auto" w:fill="CCEEFF"/>
          </w:tcPr>
          <w:p>
            <w:pPr>
              <w:spacing w:after="0"/>
              <w:rPr>
                <w:sz w:val="20"/>
                <w:szCs w:val="20"/>
                <w:color w:val="auto"/>
              </w:rPr>
            </w:pPr>
            <w:r>
              <w:rPr>
                <w:rFonts w:ascii="Arial" w:cs="Arial" w:eastAsia="Arial" w:hAnsi="Arial"/>
                <w:sz w:val="18"/>
                <w:szCs w:val="18"/>
                <w:color w:val="auto"/>
              </w:rPr>
              <w:t>Intangible Assets Subject to Amortization:</w:t>
            </w:r>
          </w:p>
        </w:tc>
        <w:tc>
          <w:tcPr>
            <w:tcW w:w="112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r>
      <w:tr>
        <w:trPr>
          <w:trHeight w:val="216"/>
        </w:trPr>
        <w:tc>
          <w:tcPr>
            <w:tcW w:w="4320" w:type="dxa"/>
            <w:vAlign w:val="bottom"/>
          </w:tcPr>
          <w:p>
            <w:pPr>
              <w:spacing w:after="0"/>
              <w:rPr>
                <w:sz w:val="20"/>
                <w:szCs w:val="20"/>
                <w:color w:val="auto"/>
              </w:rPr>
            </w:pPr>
            <w:r>
              <w:rPr>
                <w:rFonts w:ascii="Arial" w:cs="Arial" w:eastAsia="Arial" w:hAnsi="Arial"/>
                <w:sz w:val="18"/>
                <w:szCs w:val="18"/>
                <w:color w:val="auto"/>
              </w:rPr>
              <w:t>Customer relationships</w:t>
            </w:r>
          </w:p>
        </w:tc>
        <w:tc>
          <w:tcPr>
            <w:tcW w:w="1120" w:type="dxa"/>
            <w:vAlign w:val="bottom"/>
          </w:tcPr>
          <w:p>
            <w:pPr>
              <w:ind w:left="960"/>
              <w:spacing w:after="0"/>
              <w:rPr>
                <w:sz w:val="20"/>
                <w:szCs w:val="20"/>
                <w:color w:val="auto"/>
              </w:rPr>
            </w:pPr>
            <w:r>
              <w:rPr>
                <w:rFonts w:ascii="Arial" w:cs="Arial" w:eastAsia="Arial" w:hAnsi="Arial"/>
                <w:sz w:val="18"/>
                <w:szCs w:val="18"/>
                <w:b w:val="1"/>
                <w:bCs w:val="1"/>
                <w:color w:val="auto"/>
              </w:rPr>
              <w:t>$</w:t>
            </w:r>
          </w:p>
        </w:tc>
        <w:tc>
          <w:tcPr>
            <w:tcW w:w="840" w:type="dxa"/>
            <w:vAlign w:val="bottom"/>
          </w:tcPr>
          <w:p>
            <w:pPr>
              <w:jc w:val="right"/>
              <w:spacing w:after="0"/>
              <w:rPr>
                <w:sz w:val="20"/>
                <w:szCs w:val="20"/>
                <w:color w:val="auto"/>
              </w:rPr>
            </w:pPr>
            <w:r>
              <w:rPr>
                <w:rFonts w:ascii="Arial" w:cs="Arial" w:eastAsia="Arial" w:hAnsi="Arial"/>
                <w:sz w:val="18"/>
                <w:szCs w:val="18"/>
                <w:b w:val="1"/>
                <w:bCs w:val="1"/>
                <w:color w:val="auto"/>
              </w:rPr>
              <w:t>6.8</w:t>
            </w:r>
          </w:p>
        </w:tc>
        <w:tc>
          <w:tcPr>
            <w:tcW w:w="520" w:type="dxa"/>
            <w:vAlign w:val="bottom"/>
          </w:tcPr>
          <w:p>
            <w:pPr>
              <w:ind w:left="180"/>
              <w:spacing w:after="0"/>
              <w:rPr>
                <w:sz w:val="20"/>
                <w:szCs w:val="20"/>
                <w:color w:val="auto"/>
              </w:rPr>
            </w:pPr>
            <w:r>
              <w:rPr>
                <w:rFonts w:ascii="Arial" w:cs="Arial" w:eastAsia="Arial" w:hAnsi="Arial"/>
                <w:sz w:val="18"/>
                <w:szCs w:val="18"/>
                <w:b w:val="1"/>
                <w:bCs w:val="1"/>
                <w:color w:val="auto"/>
              </w:rPr>
              <w:t>$</w:t>
            </w:r>
          </w:p>
        </w:tc>
        <w:tc>
          <w:tcPr>
            <w:tcW w:w="580" w:type="dxa"/>
            <w:vAlign w:val="bottom"/>
          </w:tcPr>
          <w:p>
            <w:pPr>
              <w:jc w:val="right"/>
              <w:ind w:right="10"/>
              <w:spacing w:after="0"/>
              <w:rPr>
                <w:sz w:val="20"/>
                <w:szCs w:val="20"/>
                <w:color w:val="auto"/>
              </w:rPr>
            </w:pPr>
            <w:r>
              <w:rPr>
                <w:rFonts w:ascii="Arial" w:cs="Arial" w:eastAsia="Arial" w:hAnsi="Arial"/>
                <w:sz w:val="18"/>
                <w:szCs w:val="18"/>
                <w:b w:val="1"/>
                <w:bCs w:val="1"/>
                <w:color w:val="auto"/>
              </w:rPr>
              <w:t>2.1</w:t>
            </w:r>
          </w:p>
        </w:tc>
        <w:tc>
          <w:tcPr>
            <w:tcW w:w="220" w:type="dxa"/>
            <w:vAlign w:val="bottom"/>
          </w:tcPr>
          <w:p>
            <w:pPr>
              <w:ind w:left="100"/>
              <w:spacing w:after="0"/>
              <w:rPr>
                <w:sz w:val="20"/>
                <w:szCs w:val="20"/>
                <w:color w:val="auto"/>
              </w:rPr>
            </w:pPr>
            <w:r>
              <w:rPr>
                <w:rFonts w:ascii="Arial" w:cs="Arial" w:eastAsia="Arial" w:hAnsi="Arial"/>
                <w:sz w:val="18"/>
                <w:szCs w:val="18"/>
                <w:b w:val="1"/>
                <w:bCs w:val="1"/>
                <w:color w:val="auto"/>
                <w:w w:val="99"/>
              </w:rPr>
              <w:t>$</w:t>
            </w:r>
          </w:p>
        </w:tc>
        <w:tc>
          <w:tcPr>
            <w:tcW w:w="800" w:type="dxa"/>
            <w:vAlign w:val="bottom"/>
          </w:tcPr>
          <w:p>
            <w:pPr>
              <w:jc w:val="right"/>
              <w:ind w:right="12"/>
              <w:spacing w:after="0"/>
              <w:rPr>
                <w:sz w:val="20"/>
                <w:szCs w:val="20"/>
                <w:color w:val="auto"/>
              </w:rPr>
            </w:pPr>
            <w:r>
              <w:rPr>
                <w:rFonts w:ascii="Arial" w:cs="Arial" w:eastAsia="Arial" w:hAnsi="Arial"/>
                <w:sz w:val="18"/>
                <w:szCs w:val="18"/>
                <w:b w:val="1"/>
                <w:bCs w:val="1"/>
                <w:color w:val="auto"/>
              </w:rPr>
              <w:t>4.7</w:t>
            </w:r>
          </w:p>
        </w:tc>
        <w:tc>
          <w:tcPr>
            <w:tcW w:w="260" w:type="dxa"/>
            <w:vAlign w:val="bottom"/>
          </w:tcPr>
          <w:p>
            <w:pPr>
              <w:ind w:left="100"/>
              <w:spacing w:after="0"/>
              <w:rPr>
                <w:sz w:val="20"/>
                <w:szCs w:val="20"/>
                <w:color w:val="auto"/>
              </w:rPr>
            </w:pPr>
            <w:r>
              <w:rPr>
                <w:rFonts w:ascii="Arial" w:cs="Arial" w:eastAsia="Arial" w:hAnsi="Arial"/>
                <w:sz w:val="18"/>
                <w:szCs w:val="18"/>
                <w:color w:val="auto"/>
              </w:rPr>
              <w:t>$</w:t>
            </w:r>
          </w:p>
        </w:tc>
        <w:tc>
          <w:tcPr>
            <w:tcW w:w="840" w:type="dxa"/>
            <w:vAlign w:val="bottom"/>
          </w:tcPr>
          <w:p>
            <w:pPr>
              <w:jc w:val="right"/>
              <w:ind w:right="14"/>
              <w:spacing w:after="0"/>
              <w:rPr>
                <w:sz w:val="20"/>
                <w:szCs w:val="20"/>
                <w:color w:val="auto"/>
              </w:rPr>
            </w:pPr>
            <w:r>
              <w:rPr>
                <w:rFonts w:ascii="Arial" w:cs="Arial" w:eastAsia="Arial" w:hAnsi="Arial"/>
                <w:sz w:val="18"/>
                <w:szCs w:val="18"/>
                <w:color w:val="auto"/>
              </w:rPr>
              <w:t>6.8</w:t>
            </w:r>
          </w:p>
        </w:tc>
        <w:tc>
          <w:tcPr>
            <w:tcW w:w="420" w:type="dxa"/>
            <w:vAlign w:val="bottom"/>
          </w:tcPr>
          <w:p>
            <w:pPr>
              <w:ind w:left="100"/>
              <w:spacing w:after="0"/>
              <w:rPr>
                <w:sz w:val="20"/>
                <w:szCs w:val="20"/>
                <w:color w:val="auto"/>
              </w:rPr>
            </w:pPr>
            <w:r>
              <w:rPr>
                <w:rFonts w:ascii="Arial" w:cs="Arial" w:eastAsia="Arial" w:hAnsi="Arial"/>
                <w:sz w:val="18"/>
                <w:szCs w:val="18"/>
                <w:color w:val="auto"/>
              </w:rPr>
              <w:t>$</w:t>
            </w:r>
          </w:p>
        </w:tc>
        <w:tc>
          <w:tcPr>
            <w:tcW w:w="600" w:type="dxa"/>
            <w:vAlign w:val="bottom"/>
          </w:tcPr>
          <w:p>
            <w:pPr>
              <w:jc w:val="right"/>
              <w:ind w:right="70"/>
              <w:spacing w:after="0"/>
              <w:rPr>
                <w:sz w:val="20"/>
                <w:szCs w:val="20"/>
                <w:color w:val="auto"/>
              </w:rPr>
            </w:pPr>
            <w:r>
              <w:rPr>
                <w:rFonts w:ascii="Arial" w:cs="Arial" w:eastAsia="Arial" w:hAnsi="Arial"/>
                <w:sz w:val="18"/>
                <w:szCs w:val="18"/>
                <w:color w:val="auto"/>
              </w:rPr>
              <w:t>2.0</w:t>
            </w:r>
          </w:p>
        </w:tc>
        <w:tc>
          <w:tcPr>
            <w:tcW w:w="160" w:type="dxa"/>
            <w:vAlign w:val="bottom"/>
          </w:tcPr>
          <w:p>
            <w:pPr>
              <w:ind w:left="40"/>
              <w:spacing w:after="0"/>
              <w:rPr>
                <w:sz w:val="20"/>
                <w:szCs w:val="20"/>
                <w:color w:val="auto"/>
              </w:rPr>
            </w:pPr>
            <w:r>
              <w:rPr>
                <w:rFonts w:ascii="Arial" w:cs="Arial" w:eastAsia="Arial" w:hAnsi="Arial"/>
                <w:sz w:val="18"/>
                <w:szCs w:val="18"/>
                <w:color w:val="auto"/>
                <w:w w:val="99"/>
              </w:rPr>
              <w:t>$</w:t>
            </w:r>
          </w:p>
        </w:tc>
        <w:tc>
          <w:tcPr>
            <w:tcW w:w="740" w:type="dxa"/>
            <w:vAlign w:val="bottom"/>
          </w:tcPr>
          <w:p>
            <w:pPr>
              <w:jc w:val="right"/>
              <w:ind w:right="12"/>
              <w:spacing w:after="0"/>
              <w:rPr>
                <w:sz w:val="20"/>
                <w:szCs w:val="20"/>
                <w:color w:val="auto"/>
              </w:rPr>
            </w:pPr>
            <w:r>
              <w:rPr>
                <w:rFonts w:ascii="Arial" w:cs="Arial" w:eastAsia="Arial" w:hAnsi="Arial"/>
                <w:sz w:val="18"/>
                <w:szCs w:val="18"/>
                <w:color w:val="auto"/>
              </w:rPr>
              <w:t>4.8</w:t>
            </w:r>
          </w:p>
        </w:tc>
      </w:tr>
      <w:tr>
        <w:trPr>
          <w:trHeight w:val="216"/>
        </w:trPr>
        <w:tc>
          <w:tcPr>
            <w:tcW w:w="4320" w:type="dxa"/>
            <w:vAlign w:val="bottom"/>
            <w:shd w:val="clear" w:color="auto" w:fill="CCEEFF"/>
          </w:tcPr>
          <w:p>
            <w:pPr>
              <w:spacing w:after="0"/>
              <w:rPr>
                <w:sz w:val="20"/>
                <w:szCs w:val="20"/>
                <w:color w:val="auto"/>
              </w:rPr>
            </w:pPr>
            <w:r>
              <w:rPr>
                <w:rFonts w:ascii="Arial" w:cs="Arial" w:eastAsia="Arial" w:hAnsi="Arial"/>
                <w:sz w:val="18"/>
                <w:szCs w:val="18"/>
                <w:color w:val="auto"/>
              </w:rPr>
              <w:t>Technology use</w:t>
            </w:r>
          </w:p>
        </w:tc>
        <w:tc>
          <w:tcPr>
            <w:tcW w:w="112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9.0</w:t>
            </w:r>
          </w:p>
        </w:tc>
        <w:tc>
          <w:tcPr>
            <w:tcW w:w="520" w:type="dxa"/>
            <w:vAlign w:val="bottom"/>
            <w:shd w:val="clear" w:color="auto" w:fill="CCEEFF"/>
          </w:tcPr>
          <w:p>
            <w:pPr>
              <w:spacing w:after="0"/>
              <w:rPr>
                <w:sz w:val="18"/>
                <w:szCs w:val="18"/>
                <w:color w:val="auto"/>
              </w:rPr>
            </w:pPr>
          </w:p>
        </w:tc>
        <w:tc>
          <w:tcPr>
            <w:tcW w:w="580" w:type="dxa"/>
            <w:vAlign w:val="bottom"/>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3.6</w:t>
            </w:r>
          </w:p>
        </w:tc>
        <w:tc>
          <w:tcPr>
            <w:tcW w:w="220" w:type="dxa"/>
            <w:vAlign w:val="bottom"/>
            <w:shd w:val="clear" w:color="auto" w:fill="CCEEFF"/>
          </w:tcPr>
          <w:p>
            <w:pPr>
              <w:spacing w:after="0"/>
              <w:rPr>
                <w:sz w:val="18"/>
                <w:szCs w:val="18"/>
                <w:color w:val="auto"/>
              </w:rPr>
            </w:pPr>
          </w:p>
        </w:tc>
        <w:tc>
          <w:tcPr>
            <w:tcW w:w="800" w:type="dxa"/>
            <w:vAlign w:val="bottom"/>
            <w:shd w:val="clear" w:color="auto" w:fill="CCEEFF"/>
          </w:tcPr>
          <w:p>
            <w:pPr>
              <w:jc w:val="right"/>
              <w:ind w:right="12"/>
              <w:spacing w:after="0"/>
              <w:rPr>
                <w:sz w:val="20"/>
                <w:szCs w:val="20"/>
                <w:color w:val="auto"/>
              </w:rPr>
            </w:pPr>
            <w:r>
              <w:rPr>
                <w:rFonts w:ascii="Arial" w:cs="Arial" w:eastAsia="Arial" w:hAnsi="Arial"/>
                <w:sz w:val="18"/>
                <w:szCs w:val="18"/>
                <w:b w:val="1"/>
                <w:bCs w:val="1"/>
                <w:color w:val="auto"/>
              </w:rPr>
              <w:t>5.4</w:t>
            </w:r>
          </w:p>
        </w:tc>
        <w:tc>
          <w:tcPr>
            <w:tcW w:w="260" w:type="dxa"/>
            <w:vAlign w:val="bottom"/>
            <w:shd w:val="clear" w:color="auto" w:fill="CCEEFF"/>
          </w:tcPr>
          <w:p>
            <w:pPr>
              <w:spacing w:after="0"/>
              <w:rPr>
                <w:sz w:val="18"/>
                <w:szCs w:val="18"/>
                <w:color w:val="auto"/>
              </w:rPr>
            </w:pPr>
          </w:p>
        </w:tc>
        <w:tc>
          <w:tcPr>
            <w:tcW w:w="840" w:type="dxa"/>
            <w:vAlign w:val="bottom"/>
            <w:shd w:val="clear" w:color="auto" w:fill="CCEEFF"/>
          </w:tcPr>
          <w:p>
            <w:pPr>
              <w:jc w:val="right"/>
              <w:ind w:right="14"/>
              <w:spacing w:after="0"/>
              <w:rPr>
                <w:sz w:val="20"/>
                <w:szCs w:val="20"/>
                <w:color w:val="auto"/>
              </w:rPr>
            </w:pPr>
            <w:r>
              <w:rPr>
                <w:rFonts w:ascii="Arial" w:cs="Arial" w:eastAsia="Arial" w:hAnsi="Arial"/>
                <w:sz w:val="18"/>
                <w:szCs w:val="18"/>
                <w:color w:val="auto"/>
              </w:rPr>
              <w:t>9.0</w:t>
            </w:r>
          </w:p>
        </w:tc>
        <w:tc>
          <w:tcPr>
            <w:tcW w:w="420" w:type="dxa"/>
            <w:vAlign w:val="bottom"/>
            <w:shd w:val="clear" w:color="auto" w:fill="CCEEFF"/>
          </w:tcPr>
          <w:p>
            <w:pPr>
              <w:spacing w:after="0"/>
              <w:rPr>
                <w:sz w:val="18"/>
                <w:szCs w:val="18"/>
                <w:color w:val="auto"/>
              </w:rPr>
            </w:pPr>
          </w:p>
        </w:tc>
        <w:tc>
          <w:tcPr>
            <w:tcW w:w="60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3.5</w:t>
            </w:r>
          </w:p>
        </w:tc>
        <w:tc>
          <w:tcPr>
            <w:tcW w:w="160" w:type="dxa"/>
            <w:vAlign w:val="bottom"/>
            <w:shd w:val="clear" w:color="auto" w:fill="CCEEFF"/>
          </w:tcPr>
          <w:p>
            <w:pPr>
              <w:spacing w:after="0"/>
              <w:rPr>
                <w:sz w:val="18"/>
                <w:szCs w:val="18"/>
                <w:color w:val="auto"/>
              </w:rPr>
            </w:pPr>
          </w:p>
        </w:tc>
        <w:tc>
          <w:tcPr>
            <w:tcW w:w="740" w:type="dxa"/>
            <w:vAlign w:val="bottom"/>
            <w:shd w:val="clear" w:color="auto" w:fill="CCEEFF"/>
          </w:tcPr>
          <w:p>
            <w:pPr>
              <w:jc w:val="right"/>
              <w:ind w:right="12"/>
              <w:spacing w:after="0"/>
              <w:rPr>
                <w:sz w:val="20"/>
                <w:szCs w:val="20"/>
                <w:color w:val="auto"/>
              </w:rPr>
            </w:pPr>
            <w:r>
              <w:rPr>
                <w:rFonts w:ascii="Arial" w:cs="Arial" w:eastAsia="Arial" w:hAnsi="Arial"/>
                <w:sz w:val="18"/>
                <w:szCs w:val="18"/>
                <w:color w:val="auto"/>
              </w:rPr>
              <w:t>5.5</w:t>
            </w:r>
          </w:p>
        </w:tc>
      </w:tr>
      <w:tr>
        <w:trPr>
          <w:trHeight w:val="216"/>
        </w:trPr>
        <w:tc>
          <w:tcPr>
            <w:tcW w:w="432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Non-compete agreements</w:t>
            </w:r>
          </w:p>
        </w:tc>
        <w:tc>
          <w:tcPr>
            <w:tcW w:w="1120" w:type="dxa"/>
            <w:vAlign w:val="bottom"/>
            <w:tcBorders>
              <w:bottom w:val="single" w:sz="8" w:color="auto"/>
            </w:tcBorders>
          </w:tcPr>
          <w:p>
            <w:pPr>
              <w:spacing w:after="0"/>
              <w:rPr>
                <w:sz w:val="18"/>
                <w:szCs w:val="18"/>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1.0</w:t>
            </w:r>
          </w:p>
        </w:tc>
        <w:tc>
          <w:tcPr>
            <w:tcW w:w="520" w:type="dxa"/>
            <w:vAlign w:val="bottom"/>
            <w:tcBorders>
              <w:bottom w:val="single" w:sz="8" w:color="auto"/>
            </w:tcBorders>
          </w:tcPr>
          <w:p>
            <w:pPr>
              <w:spacing w:after="0"/>
              <w:rPr>
                <w:sz w:val="18"/>
                <w:szCs w:val="18"/>
                <w:color w:val="auto"/>
              </w:rPr>
            </w:pPr>
          </w:p>
        </w:tc>
        <w:tc>
          <w:tcPr>
            <w:tcW w:w="58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b w:val="1"/>
                <w:bCs w:val="1"/>
                <w:color w:val="auto"/>
              </w:rPr>
              <w:t>1.0</w:t>
            </w:r>
          </w:p>
        </w:tc>
        <w:tc>
          <w:tcPr>
            <w:tcW w:w="220" w:type="dxa"/>
            <w:vAlign w:val="bottom"/>
            <w:tcBorders>
              <w:bottom w:val="single" w:sz="8" w:color="auto"/>
            </w:tcBorders>
          </w:tcPr>
          <w:p>
            <w:pPr>
              <w:spacing w:after="0"/>
              <w:rPr>
                <w:sz w:val="18"/>
                <w:szCs w:val="18"/>
                <w:color w:val="auto"/>
              </w:rPr>
            </w:pPr>
          </w:p>
        </w:tc>
        <w:tc>
          <w:tcPr>
            <w:tcW w:w="800" w:type="dxa"/>
            <w:vAlign w:val="bottom"/>
            <w:tcBorders>
              <w:bottom w:val="single" w:sz="8" w:color="auto"/>
            </w:tcBorders>
          </w:tcPr>
          <w:p>
            <w:pPr>
              <w:jc w:val="right"/>
              <w:ind w:right="12"/>
              <w:spacing w:after="0"/>
              <w:rPr>
                <w:sz w:val="20"/>
                <w:szCs w:val="20"/>
                <w:color w:val="auto"/>
              </w:rPr>
            </w:pPr>
            <w:r>
              <w:rPr>
                <w:rFonts w:ascii="Arial" w:cs="Arial" w:eastAsia="Arial" w:hAnsi="Arial"/>
                <w:sz w:val="18"/>
                <w:szCs w:val="18"/>
                <w:b w:val="1"/>
                <w:bCs w:val="1"/>
                <w:color w:val="auto"/>
              </w:rPr>
              <w:t>—</w:t>
            </w:r>
          </w:p>
        </w:tc>
        <w:tc>
          <w:tcPr>
            <w:tcW w:w="260" w:type="dxa"/>
            <w:vAlign w:val="bottom"/>
            <w:tcBorders>
              <w:bottom w:val="single" w:sz="8" w:color="auto"/>
            </w:tcBorders>
          </w:tcPr>
          <w:p>
            <w:pPr>
              <w:spacing w:after="0"/>
              <w:rPr>
                <w:sz w:val="18"/>
                <w:szCs w:val="18"/>
                <w:color w:val="auto"/>
              </w:rPr>
            </w:pPr>
          </w:p>
        </w:tc>
        <w:tc>
          <w:tcPr>
            <w:tcW w:w="840" w:type="dxa"/>
            <w:vAlign w:val="bottom"/>
            <w:tcBorders>
              <w:bottom w:val="single" w:sz="8" w:color="auto"/>
            </w:tcBorders>
          </w:tcPr>
          <w:p>
            <w:pPr>
              <w:jc w:val="right"/>
              <w:ind w:right="14"/>
              <w:spacing w:after="0"/>
              <w:rPr>
                <w:sz w:val="20"/>
                <w:szCs w:val="20"/>
                <w:color w:val="auto"/>
              </w:rPr>
            </w:pPr>
            <w:r>
              <w:rPr>
                <w:rFonts w:ascii="Arial" w:cs="Arial" w:eastAsia="Arial" w:hAnsi="Arial"/>
                <w:sz w:val="18"/>
                <w:szCs w:val="18"/>
                <w:color w:val="auto"/>
              </w:rPr>
              <w:t>1.0</w:t>
            </w:r>
          </w:p>
        </w:tc>
        <w:tc>
          <w:tcPr>
            <w:tcW w:w="420" w:type="dxa"/>
            <w:vAlign w:val="bottom"/>
            <w:tcBorders>
              <w:bottom w:val="single" w:sz="8" w:color="auto"/>
            </w:tcBorders>
          </w:tcPr>
          <w:p>
            <w:pPr>
              <w:spacing w:after="0"/>
              <w:rPr>
                <w:sz w:val="18"/>
                <w:szCs w:val="18"/>
                <w:color w:val="auto"/>
              </w:rPr>
            </w:pPr>
          </w:p>
        </w:tc>
        <w:tc>
          <w:tcPr>
            <w:tcW w:w="60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color w:val="auto"/>
              </w:rPr>
              <w:t>1.0</w:t>
            </w:r>
          </w:p>
        </w:tc>
        <w:tc>
          <w:tcPr>
            <w:tcW w:w="160" w:type="dxa"/>
            <w:vAlign w:val="bottom"/>
            <w:tcBorders>
              <w:bottom w:val="single" w:sz="8" w:color="auto"/>
            </w:tcBorders>
          </w:tcPr>
          <w:p>
            <w:pPr>
              <w:spacing w:after="0"/>
              <w:rPr>
                <w:sz w:val="18"/>
                <w:szCs w:val="18"/>
                <w:color w:val="auto"/>
              </w:rPr>
            </w:pPr>
          </w:p>
        </w:tc>
        <w:tc>
          <w:tcPr>
            <w:tcW w:w="740" w:type="dxa"/>
            <w:vAlign w:val="bottom"/>
            <w:tcBorders>
              <w:bottom w:val="single" w:sz="8" w:color="auto"/>
            </w:tcBorders>
          </w:tcPr>
          <w:p>
            <w:pPr>
              <w:jc w:val="right"/>
              <w:ind w:right="12"/>
              <w:spacing w:after="0"/>
              <w:rPr>
                <w:sz w:val="20"/>
                <w:szCs w:val="20"/>
                <w:color w:val="auto"/>
              </w:rPr>
            </w:pPr>
            <w:r>
              <w:rPr>
                <w:rFonts w:ascii="Arial" w:cs="Arial" w:eastAsia="Arial" w:hAnsi="Arial"/>
                <w:sz w:val="18"/>
                <w:szCs w:val="18"/>
                <w:color w:val="auto"/>
              </w:rPr>
              <w:t>—</w:t>
            </w:r>
          </w:p>
        </w:tc>
      </w:tr>
      <w:tr>
        <w:trPr>
          <w:trHeight w:val="210"/>
        </w:trPr>
        <w:tc>
          <w:tcPr>
            <w:tcW w:w="432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16.8</w:t>
            </w:r>
          </w:p>
        </w:tc>
        <w:tc>
          <w:tcPr>
            <w:tcW w:w="520" w:type="dxa"/>
            <w:vAlign w:val="bottom"/>
            <w:shd w:val="clear" w:color="auto" w:fill="CCEEFF"/>
          </w:tcPr>
          <w:p>
            <w:pPr>
              <w:spacing w:after="0"/>
              <w:rPr>
                <w:sz w:val="18"/>
                <w:szCs w:val="18"/>
                <w:color w:val="auto"/>
              </w:rPr>
            </w:pPr>
          </w:p>
        </w:tc>
        <w:tc>
          <w:tcPr>
            <w:tcW w:w="580" w:type="dxa"/>
            <w:vAlign w:val="bottom"/>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6.7</w:t>
            </w:r>
          </w:p>
        </w:tc>
        <w:tc>
          <w:tcPr>
            <w:tcW w:w="220" w:type="dxa"/>
            <w:vAlign w:val="bottom"/>
            <w:shd w:val="clear" w:color="auto" w:fill="CCEEFF"/>
          </w:tcPr>
          <w:p>
            <w:pPr>
              <w:spacing w:after="0"/>
              <w:rPr>
                <w:sz w:val="18"/>
                <w:szCs w:val="18"/>
                <w:color w:val="auto"/>
              </w:rPr>
            </w:pPr>
          </w:p>
        </w:tc>
        <w:tc>
          <w:tcPr>
            <w:tcW w:w="800" w:type="dxa"/>
            <w:vAlign w:val="bottom"/>
            <w:shd w:val="clear" w:color="auto" w:fill="CCEEFF"/>
          </w:tcPr>
          <w:p>
            <w:pPr>
              <w:jc w:val="right"/>
              <w:ind w:right="12"/>
              <w:spacing w:after="0"/>
              <w:rPr>
                <w:sz w:val="20"/>
                <w:szCs w:val="20"/>
                <w:color w:val="auto"/>
              </w:rPr>
            </w:pPr>
            <w:r>
              <w:rPr>
                <w:rFonts w:ascii="Arial" w:cs="Arial" w:eastAsia="Arial" w:hAnsi="Arial"/>
                <w:sz w:val="18"/>
                <w:szCs w:val="18"/>
                <w:b w:val="1"/>
                <w:bCs w:val="1"/>
                <w:color w:val="auto"/>
              </w:rPr>
              <w:t>10.1</w:t>
            </w:r>
          </w:p>
        </w:tc>
        <w:tc>
          <w:tcPr>
            <w:tcW w:w="260" w:type="dxa"/>
            <w:vAlign w:val="bottom"/>
            <w:shd w:val="clear" w:color="auto" w:fill="CCEEFF"/>
          </w:tcPr>
          <w:p>
            <w:pPr>
              <w:spacing w:after="0"/>
              <w:rPr>
                <w:sz w:val="18"/>
                <w:szCs w:val="18"/>
                <w:color w:val="auto"/>
              </w:rPr>
            </w:pPr>
          </w:p>
        </w:tc>
        <w:tc>
          <w:tcPr>
            <w:tcW w:w="840" w:type="dxa"/>
            <w:vAlign w:val="bottom"/>
            <w:shd w:val="clear" w:color="auto" w:fill="CCEEFF"/>
          </w:tcPr>
          <w:p>
            <w:pPr>
              <w:jc w:val="right"/>
              <w:ind w:right="14"/>
              <w:spacing w:after="0"/>
              <w:rPr>
                <w:sz w:val="20"/>
                <w:szCs w:val="20"/>
                <w:color w:val="auto"/>
              </w:rPr>
            </w:pPr>
            <w:r>
              <w:rPr>
                <w:rFonts w:ascii="Arial" w:cs="Arial" w:eastAsia="Arial" w:hAnsi="Arial"/>
                <w:sz w:val="18"/>
                <w:szCs w:val="18"/>
                <w:color w:val="auto"/>
              </w:rPr>
              <w:t>16.8</w:t>
            </w:r>
          </w:p>
        </w:tc>
        <w:tc>
          <w:tcPr>
            <w:tcW w:w="420" w:type="dxa"/>
            <w:vAlign w:val="bottom"/>
            <w:shd w:val="clear" w:color="auto" w:fill="CCEEFF"/>
          </w:tcPr>
          <w:p>
            <w:pPr>
              <w:spacing w:after="0"/>
              <w:rPr>
                <w:sz w:val="18"/>
                <w:szCs w:val="18"/>
                <w:color w:val="auto"/>
              </w:rPr>
            </w:pPr>
          </w:p>
        </w:tc>
        <w:tc>
          <w:tcPr>
            <w:tcW w:w="60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6.5</w:t>
            </w:r>
          </w:p>
        </w:tc>
        <w:tc>
          <w:tcPr>
            <w:tcW w:w="160" w:type="dxa"/>
            <w:vAlign w:val="bottom"/>
            <w:shd w:val="clear" w:color="auto" w:fill="CCEEFF"/>
          </w:tcPr>
          <w:p>
            <w:pPr>
              <w:spacing w:after="0"/>
              <w:rPr>
                <w:sz w:val="18"/>
                <w:szCs w:val="18"/>
                <w:color w:val="auto"/>
              </w:rPr>
            </w:pPr>
          </w:p>
        </w:tc>
        <w:tc>
          <w:tcPr>
            <w:tcW w:w="740" w:type="dxa"/>
            <w:vAlign w:val="bottom"/>
            <w:shd w:val="clear" w:color="auto" w:fill="CCEEFF"/>
          </w:tcPr>
          <w:p>
            <w:pPr>
              <w:jc w:val="right"/>
              <w:ind w:right="12"/>
              <w:spacing w:after="0"/>
              <w:rPr>
                <w:sz w:val="20"/>
                <w:szCs w:val="20"/>
                <w:color w:val="auto"/>
              </w:rPr>
            </w:pPr>
            <w:r>
              <w:rPr>
                <w:rFonts w:ascii="Arial" w:cs="Arial" w:eastAsia="Arial" w:hAnsi="Arial"/>
                <w:sz w:val="18"/>
                <w:szCs w:val="18"/>
                <w:color w:val="auto"/>
              </w:rPr>
              <w:t>10.3</w:t>
            </w:r>
          </w:p>
        </w:tc>
      </w:tr>
      <w:tr>
        <w:trPr>
          <w:trHeight w:val="216"/>
        </w:trPr>
        <w:tc>
          <w:tcPr>
            <w:tcW w:w="4320" w:type="dxa"/>
            <w:vAlign w:val="bottom"/>
          </w:tcPr>
          <w:p>
            <w:pPr>
              <w:spacing w:after="0"/>
              <w:rPr>
                <w:sz w:val="20"/>
                <w:szCs w:val="20"/>
                <w:color w:val="auto"/>
              </w:rPr>
            </w:pPr>
            <w:r>
              <w:rPr>
                <w:rFonts w:ascii="Arial" w:cs="Arial" w:eastAsia="Arial" w:hAnsi="Arial"/>
                <w:sz w:val="18"/>
                <w:szCs w:val="18"/>
                <w:color w:val="auto"/>
              </w:rPr>
              <w:t>Intangible Assets not Subject to Amortization:</w:t>
            </w:r>
          </w:p>
        </w:tc>
        <w:tc>
          <w:tcPr>
            <w:tcW w:w="11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40" w:type="dxa"/>
            <w:vAlign w:val="bottom"/>
          </w:tcPr>
          <w:p>
            <w:pPr>
              <w:spacing w:after="0"/>
              <w:rPr>
                <w:sz w:val="18"/>
                <w:szCs w:val="18"/>
                <w:color w:val="auto"/>
              </w:rPr>
            </w:pPr>
          </w:p>
        </w:tc>
      </w:tr>
      <w:tr>
        <w:trPr>
          <w:trHeight w:val="216"/>
        </w:trPr>
        <w:tc>
          <w:tcPr>
            <w:tcW w:w="432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color w:val="auto"/>
              </w:rPr>
              <w:t>Trade name</w:t>
            </w:r>
          </w:p>
        </w:tc>
        <w:tc>
          <w:tcPr>
            <w:tcW w:w="1120" w:type="dxa"/>
            <w:vAlign w:val="bottom"/>
            <w:tcBorders>
              <w:bottom w:val="single" w:sz="8" w:color="auto"/>
            </w:tcBorders>
            <w:shd w:val="clear" w:color="auto" w:fill="CCEEFF"/>
          </w:tcPr>
          <w:p>
            <w:pPr>
              <w:spacing w:after="0"/>
              <w:rPr>
                <w:sz w:val="18"/>
                <w:szCs w:val="18"/>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0.9</w:t>
            </w:r>
          </w:p>
        </w:tc>
        <w:tc>
          <w:tcPr>
            <w:tcW w:w="520" w:type="dxa"/>
            <w:vAlign w:val="bottom"/>
            <w:tcBorders>
              <w:bottom w:val="single" w:sz="8" w:color="auto"/>
            </w:tcBorders>
            <w:shd w:val="clear" w:color="auto" w:fill="CCEEFF"/>
          </w:tcPr>
          <w:p>
            <w:pPr>
              <w:spacing w:after="0"/>
              <w:rPr>
                <w:sz w:val="18"/>
                <w:szCs w:val="18"/>
                <w:color w:val="auto"/>
              </w:rPr>
            </w:pPr>
          </w:p>
        </w:tc>
        <w:tc>
          <w:tcPr>
            <w:tcW w:w="58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w:t>
            </w:r>
          </w:p>
        </w:tc>
        <w:tc>
          <w:tcPr>
            <w:tcW w:w="220" w:type="dxa"/>
            <w:vAlign w:val="bottom"/>
            <w:tcBorders>
              <w:bottom w:val="single" w:sz="8" w:color="auto"/>
            </w:tcBorders>
            <w:shd w:val="clear" w:color="auto" w:fill="CCEEFF"/>
          </w:tcPr>
          <w:p>
            <w:pPr>
              <w:spacing w:after="0"/>
              <w:rPr>
                <w:sz w:val="18"/>
                <w:szCs w:val="18"/>
                <w:color w:val="auto"/>
              </w:rPr>
            </w:pPr>
          </w:p>
        </w:tc>
        <w:tc>
          <w:tcPr>
            <w:tcW w:w="800" w:type="dxa"/>
            <w:vAlign w:val="bottom"/>
            <w:tcBorders>
              <w:bottom w:val="single" w:sz="8" w:color="auto"/>
            </w:tcBorders>
            <w:shd w:val="clear" w:color="auto" w:fill="CCEEFF"/>
          </w:tcPr>
          <w:p>
            <w:pPr>
              <w:jc w:val="right"/>
              <w:ind w:right="12"/>
              <w:spacing w:after="0"/>
              <w:rPr>
                <w:sz w:val="20"/>
                <w:szCs w:val="20"/>
                <w:color w:val="auto"/>
              </w:rPr>
            </w:pPr>
            <w:r>
              <w:rPr>
                <w:rFonts w:ascii="Arial" w:cs="Arial" w:eastAsia="Arial" w:hAnsi="Arial"/>
                <w:sz w:val="18"/>
                <w:szCs w:val="18"/>
                <w:b w:val="1"/>
                <w:bCs w:val="1"/>
                <w:color w:val="auto"/>
              </w:rPr>
              <w:t>0.9</w:t>
            </w:r>
          </w:p>
        </w:tc>
        <w:tc>
          <w:tcPr>
            <w:tcW w:w="260" w:type="dxa"/>
            <w:vAlign w:val="bottom"/>
            <w:tcBorders>
              <w:bottom w:val="single" w:sz="8" w:color="auto"/>
            </w:tcBorders>
            <w:shd w:val="clear" w:color="auto" w:fill="CCEEFF"/>
          </w:tcPr>
          <w:p>
            <w:pPr>
              <w:spacing w:after="0"/>
              <w:rPr>
                <w:sz w:val="18"/>
                <w:szCs w:val="18"/>
                <w:color w:val="auto"/>
              </w:rPr>
            </w:pPr>
          </w:p>
        </w:tc>
        <w:tc>
          <w:tcPr>
            <w:tcW w:w="840" w:type="dxa"/>
            <w:vAlign w:val="bottom"/>
            <w:tcBorders>
              <w:bottom w:val="single" w:sz="8" w:color="auto"/>
            </w:tcBorders>
            <w:shd w:val="clear" w:color="auto" w:fill="CCEEFF"/>
          </w:tcPr>
          <w:p>
            <w:pPr>
              <w:jc w:val="right"/>
              <w:ind w:right="14"/>
              <w:spacing w:after="0"/>
              <w:rPr>
                <w:sz w:val="20"/>
                <w:szCs w:val="20"/>
                <w:color w:val="auto"/>
              </w:rPr>
            </w:pPr>
            <w:r>
              <w:rPr>
                <w:rFonts w:ascii="Arial" w:cs="Arial" w:eastAsia="Arial" w:hAnsi="Arial"/>
                <w:sz w:val="18"/>
                <w:szCs w:val="18"/>
                <w:color w:val="auto"/>
              </w:rPr>
              <w:t>0.9</w:t>
            </w:r>
          </w:p>
        </w:tc>
        <w:tc>
          <w:tcPr>
            <w:tcW w:w="420" w:type="dxa"/>
            <w:vAlign w:val="bottom"/>
            <w:tcBorders>
              <w:bottom w:val="single" w:sz="8" w:color="auto"/>
            </w:tcBorders>
            <w:shd w:val="clear" w:color="auto" w:fill="CCEEFF"/>
          </w:tcPr>
          <w:p>
            <w:pPr>
              <w:spacing w:after="0"/>
              <w:rPr>
                <w:sz w:val="18"/>
                <w:szCs w:val="18"/>
                <w:color w:val="auto"/>
              </w:rPr>
            </w:pPr>
          </w:p>
        </w:tc>
        <w:tc>
          <w:tcPr>
            <w:tcW w:w="60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auto"/>
            </w:tcBorders>
            <w:shd w:val="clear" w:color="auto" w:fill="CCEEFF"/>
          </w:tcPr>
          <w:p>
            <w:pPr>
              <w:spacing w:after="0"/>
              <w:rPr>
                <w:sz w:val="18"/>
                <w:szCs w:val="18"/>
                <w:color w:val="auto"/>
              </w:rPr>
            </w:pPr>
          </w:p>
        </w:tc>
        <w:tc>
          <w:tcPr>
            <w:tcW w:w="740" w:type="dxa"/>
            <w:vAlign w:val="bottom"/>
            <w:tcBorders>
              <w:bottom w:val="single" w:sz="8" w:color="auto"/>
            </w:tcBorders>
            <w:shd w:val="clear" w:color="auto" w:fill="CCEEFF"/>
          </w:tcPr>
          <w:p>
            <w:pPr>
              <w:jc w:val="right"/>
              <w:ind w:right="12"/>
              <w:spacing w:after="0"/>
              <w:rPr>
                <w:sz w:val="20"/>
                <w:szCs w:val="20"/>
                <w:color w:val="auto"/>
              </w:rPr>
            </w:pPr>
            <w:r>
              <w:rPr>
                <w:rFonts w:ascii="Arial" w:cs="Arial" w:eastAsia="Arial" w:hAnsi="Arial"/>
                <w:sz w:val="18"/>
                <w:szCs w:val="18"/>
                <w:color w:val="auto"/>
              </w:rPr>
              <w:t>0.9</w:t>
            </w:r>
          </w:p>
        </w:tc>
      </w:tr>
      <w:tr>
        <w:trPr>
          <w:trHeight w:val="210"/>
        </w:trPr>
        <w:tc>
          <w:tcPr>
            <w:tcW w:w="4320" w:type="dxa"/>
            <w:vAlign w:val="bottom"/>
            <w:tcBorders>
              <w:bottom w:val="single" w:sz="8" w:color="auto"/>
            </w:tcBorders>
          </w:tcPr>
          <w:p>
            <w:pPr>
              <w:spacing w:after="0"/>
              <w:rPr>
                <w:sz w:val="18"/>
                <w:szCs w:val="18"/>
                <w:color w:val="auto"/>
              </w:rPr>
            </w:pPr>
          </w:p>
        </w:tc>
        <w:tc>
          <w:tcPr>
            <w:tcW w:w="1120" w:type="dxa"/>
            <w:vAlign w:val="bottom"/>
            <w:tcBorders>
              <w:bottom w:val="single" w:sz="8" w:color="auto"/>
            </w:tcBorders>
          </w:tcPr>
          <w:p>
            <w:pPr>
              <w:spacing w:after="0"/>
              <w:rPr>
                <w:sz w:val="18"/>
                <w:szCs w:val="18"/>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0.9</w:t>
            </w:r>
          </w:p>
        </w:tc>
        <w:tc>
          <w:tcPr>
            <w:tcW w:w="520" w:type="dxa"/>
            <w:vAlign w:val="bottom"/>
            <w:tcBorders>
              <w:bottom w:val="single" w:sz="8" w:color="auto"/>
            </w:tcBorders>
          </w:tcPr>
          <w:p>
            <w:pPr>
              <w:spacing w:after="0"/>
              <w:rPr>
                <w:sz w:val="18"/>
                <w:szCs w:val="18"/>
                <w:color w:val="auto"/>
              </w:rPr>
            </w:pPr>
          </w:p>
        </w:tc>
        <w:tc>
          <w:tcPr>
            <w:tcW w:w="58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b w:val="1"/>
                <w:bCs w:val="1"/>
                <w:color w:val="auto"/>
              </w:rPr>
              <w:t>—</w:t>
            </w:r>
          </w:p>
        </w:tc>
        <w:tc>
          <w:tcPr>
            <w:tcW w:w="220" w:type="dxa"/>
            <w:vAlign w:val="bottom"/>
            <w:tcBorders>
              <w:bottom w:val="single" w:sz="8" w:color="auto"/>
            </w:tcBorders>
          </w:tcPr>
          <w:p>
            <w:pPr>
              <w:spacing w:after="0"/>
              <w:rPr>
                <w:sz w:val="18"/>
                <w:szCs w:val="18"/>
                <w:color w:val="auto"/>
              </w:rPr>
            </w:pPr>
          </w:p>
        </w:tc>
        <w:tc>
          <w:tcPr>
            <w:tcW w:w="800" w:type="dxa"/>
            <w:vAlign w:val="bottom"/>
            <w:tcBorders>
              <w:bottom w:val="single" w:sz="8" w:color="auto"/>
            </w:tcBorders>
          </w:tcPr>
          <w:p>
            <w:pPr>
              <w:jc w:val="right"/>
              <w:ind w:right="12"/>
              <w:spacing w:after="0"/>
              <w:rPr>
                <w:sz w:val="20"/>
                <w:szCs w:val="20"/>
                <w:color w:val="auto"/>
              </w:rPr>
            </w:pPr>
            <w:r>
              <w:rPr>
                <w:rFonts w:ascii="Arial" w:cs="Arial" w:eastAsia="Arial" w:hAnsi="Arial"/>
                <w:sz w:val="18"/>
                <w:szCs w:val="18"/>
                <w:b w:val="1"/>
                <w:bCs w:val="1"/>
                <w:color w:val="auto"/>
              </w:rPr>
              <w:t>0.9</w:t>
            </w:r>
          </w:p>
        </w:tc>
        <w:tc>
          <w:tcPr>
            <w:tcW w:w="260" w:type="dxa"/>
            <w:vAlign w:val="bottom"/>
            <w:tcBorders>
              <w:bottom w:val="single" w:sz="8" w:color="auto"/>
            </w:tcBorders>
          </w:tcPr>
          <w:p>
            <w:pPr>
              <w:spacing w:after="0"/>
              <w:rPr>
                <w:sz w:val="18"/>
                <w:szCs w:val="18"/>
                <w:color w:val="auto"/>
              </w:rPr>
            </w:pPr>
          </w:p>
        </w:tc>
        <w:tc>
          <w:tcPr>
            <w:tcW w:w="840" w:type="dxa"/>
            <w:vAlign w:val="bottom"/>
            <w:tcBorders>
              <w:bottom w:val="single" w:sz="8" w:color="auto"/>
            </w:tcBorders>
          </w:tcPr>
          <w:p>
            <w:pPr>
              <w:jc w:val="right"/>
              <w:ind w:right="14"/>
              <w:spacing w:after="0"/>
              <w:rPr>
                <w:sz w:val="20"/>
                <w:szCs w:val="20"/>
                <w:color w:val="auto"/>
              </w:rPr>
            </w:pPr>
            <w:r>
              <w:rPr>
                <w:rFonts w:ascii="Arial" w:cs="Arial" w:eastAsia="Arial" w:hAnsi="Arial"/>
                <w:sz w:val="18"/>
                <w:szCs w:val="18"/>
                <w:color w:val="auto"/>
              </w:rPr>
              <w:t>0.9</w:t>
            </w:r>
          </w:p>
        </w:tc>
        <w:tc>
          <w:tcPr>
            <w:tcW w:w="420" w:type="dxa"/>
            <w:vAlign w:val="bottom"/>
            <w:tcBorders>
              <w:bottom w:val="single" w:sz="8" w:color="auto"/>
            </w:tcBorders>
          </w:tcPr>
          <w:p>
            <w:pPr>
              <w:spacing w:after="0"/>
              <w:rPr>
                <w:sz w:val="18"/>
                <w:szCs w:val="18"/>
                <w:color w:val="auto"/>
              </w:rPr>
            </w:pPr>
          </w:p>
        </w:tc>
        <w:tc>
          <w:tcPr>
            <w:tcW w:w="60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auto"/>
            </w:tcBorders>
          </w:tcPr>
          <w:p>
            <w:pPr>
              <w:spacing w:after="0"/>
              <w:rPr>
                <w:sz w:val="18"/>
                <w:szCs w:val="18"/>
                <w:color w:val="auto"/>
              </w:rPr>
            </w:pPr>
          </w:p>
        </w:tc>
        <w:tc>
          <w:tcPr>
            <w:tcW w:w="740" w:type="dxa"/>
            <w:vAlign w:val="bottom"/>
            <w:tcBorders>
              <w:bottom w:val="single" w:sz="8" w:color="auto"/>
            </w:tcBorders>
          </w:tcPr>
          <w:p>
            <w:pPr>
              <w:jc w:val="right"/>
              <w:ind w:right="12"/>
              <w:spacing w:after="0"/>
              <w:rPr>
                <w:sz w:val="20"/>
                <w:szCs w:val="20"/>
                <w:color w:val="auto"/>
              </w:rPr>
            </w:pPr>
            <w:r>
              <w:rPr>
                <w:rFonts w:ascii="Arial" w:cs="Arial" w:eastAsia="Arial" w:hAnsi="Arial"/>
                <w:sz w:val="18"/>
                <w:szCs w:val="18"/>
                <w:color w:val="auto"/>
              </w:rPr>
              <w:t>0.9</w:t>
            </w:r>
          </w:p>
        </w:tc>
      </w:tr>
      <w:tr>
        <w:trPr>
          <w:trHeight w:val="217"/>
        </w:trPr>
        <w:tc>
          <w:tcPr>
            <w:tcW w:w="432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color w:val="auto"/>
              </w:rPr>
              <w:t>Total Intangible Assets</w:t>
            </w:r>
          </w:p>
        </w:tc>
        <w:tc>
          <w:tcPr>
            <w:tcW w:w="1120" w:type="dxa"/>
            <w:vAlign w:val="bottom"/>
            <w:tcBorders>
              <w:bottom w:val="single" w:sz="8" w:color="auto"/>
            </w:tcBorders>
            <w:shd w:val="clear" w:color="auto" w:fill="CCEEFF"/>
          </w:tcPr>
          <w:p>
            <w:pPr>
              <w:ind w:left="960"/>
              <w:spacing w:after="0"/>
              <w:rPr>
                <w:sz w:val="20"/>
                <w:szCs w:val="20"/>
                <w:color w:val="auto"/>
              </w:rPr>
            </w:pPr>
            <w:r>
              <w:rPr>
                <w:rFonts w:ascii="Arial" w:cs="Arial" w:eastAsia="Arial" w:hAnsi="Arial"/>
                <w:sz w:val="18"/>
                <w:szCs w:val="18"/>
                <w:b w:val="1"/>
                <w:bCs w:val="1"/>
                <w:color w:val="auto"/>
              </w:rPr>
              <w:t>$</w:t>
            </w: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17.7</w:t>
            </w:r>
          </w:p>
        </w:tc>
        <w:tc>
          <w:tcPr>
            <w:tcW w:w="520" w:type="dxa"/>
            <w:vAlign w:val="bottom"/>
            <w:tcBorders>
              <w:bottom w:val="single" w:sz="8" w:color="auto"/>
            </w:tcBorders>
            <w:shd w:val="clear" w:color="auto" w:fill="CCEEFF"/>
          </w:tcPr>
          <w:p>
            <w:pPr>
              <w:ind w:left="180"/>
              <w:spacing w:after="0"/>
              <w:rPr>
                <w:sz w:val="20"/>
                <w:szCs w:val="20"/>
                <w:color w:val="auto"/>
              </w:rPr>
            </w:pPr>
            <w:r>
              <w:rPr>
                <w:rFonts w:ascii="Arial" w:cs="Arial" w:eastAsia="Arial" w:hAnsi="Arial"/>
                <w:sz w:val="18"/>
                <w:szCs w:val="18"/>
                <w:b w:val="1"/>
                <w:bCs w:val="1"/>
                <w:color w:val="auto"/>
              </w:rPr>
              <w:t>$</w:t>
            </w:r>
          </w:p>
        </w:tc>
        <w:tc>
          <w:tcPr>
            <w:tcW w:w="58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6.7</w:t>
            </w:r>
          </w:p>
        </w:tc>
        <w:tc>
          <w:tcPr>
            <w:tcW w:w="220" w:type="dxa"/>
            <w:vAlign w:val="bottom"/>
            <w:tcBorders>
              <w:bottom w:val="single" w:sz="8" w:color="auto"/>
            </w:tcBorders>
            <w:shd w:val="clear" w:color="auto" w:fill="CCEEFF"/>
          </w:tcPr>
          <w:p>
            <w:pPr>
              <w:ind w:left="100"/>
              <w:spacing w:after="0"/>
              <w:rPr>
                <w:sz w:val="20"/>
                <w:szCs w:val="20"/>
                <w:color w:val="auto"/>
              </w:rPr>
            </w:pPr>
            <w:r>
              <w:rPr>
                <w:rFonts w:ascii="Arial" w:cs="Arial" w:eastAsia="Arial" w:hAnsi="Arial"/>
                <w:sz w:val="18"/>
                <w:szCs w:val="18"/>
                <w:b w:val="1"/>
                <w:bCs w:val="1"/>
                <w:color w:val="auto"/>
                <w:w w:val="99"/>
              </w:rPr>
              <w:t>$</w:t>
            </w:r>
          </w:p>
        </w:tc>
        <w:tc>
          <w:tcPr>
            <w:tcW w:w="800" w:type="dxa"/>
            <w:vAlign w:val="bottom"/>
            <w:tcBorders>
              <w:bottom w:val="single" w:sz="8" w:color="auto"/>
            </w:tcBorders>
            <w:shd w:val="clear" w:color="auto" w:fill="CCEEFF"/>
          </w:tcPr>
          <w:p>
            <w:pPr>
              <w:jc w:val="right"/>
              <w:ind w:right="12"/>
              <w:spacing w:after="0"/>
              <w:rPr>
                <w:sz w:val="20"/>
                <w:szCs w:val="20"/>
                <w:color w:val="auto"/>
              </w:rPr>
            </w:pPr>
            <w:r>
              <w:rPr>
                <w:rFonts w:ascii="Arial" w:cs="Arial" w:eastAsia="Arial" w:hAnsi="Arial"/>
                <w:sz w:val="18"/>
                <w:szCs w:val="18"/>
                <w:b w:val="1"/>
                <w:bCs w:val="1"/>
                <w:color w:val="auto"/>
              </w:rPr>
              <w:t>11.0</w:t>
            </w:r>
          </w:p>
        </w:tc>
        <w:tc>
          <w:tcPr>
            <w:tcW w:w="260" w:type="dxa"/>
            <w:vAlign w:val="bottom"/>
            <w:tcBorders>
              <w:bottom w:val="single" w:sz="8" w:color="auto"/>
            </w:tcBorders>
            <w:shd w:val="clear" w:color="auto" w:fill="CCEEFF"/>
          </w:tcPr>
          <w:p>
            <w:pPr>
              <w:ind w:left="100"/>
              <w:spacing w:after="0"/>
              <w:rPr>
                <w:sz w:val="20"/>
                <w:szCs w:val="20"/>
                <w:color w:val="auto"/>
              </w:rPr>
            </w:pPr>
            <w:r>
              <w:rPr>
                <w:rFonts w:ascii="Arial" w:cs="Arial" w:eastAsia="Arial" w:hAnsi="Arial"/>
                <w:sz w:val="18"/>
                <w:szCs w:val="18"/>
                <w:color w:val="auto"/>
              </w:rPr>
              <w:t>$</w:t>
            </w:r>
          </w:p>
        </w:tc>
        <w:tc>
          <w:tcPr>
            <w:tcW w:w="840" w:type="dxa"/>
            <w:vAlign w:val="bottom"/>
            <w:tcBorders>
              <w:bottom w:val="single" w:sz="8" w:color="auto"/>
            </w:tcBorders>
            <w:shd w:val="clear" w:color="auto" w:fill="CCEEFF"/>
          </w:tcPr>
          <w:p>
            <w:pPr>
              <w:jc w:val="right"/>
              <w:ind w:right="14"/>
              <w:spacing w:after="0"/>
              <w:rPr>
                <w:sz w:val="20"/>
                <w:szCs w:val="20"/>
                <w:color w:val="auto"/>
              </w:rPr>
            </w:pPr>
            <w:r>
              <w:rPr>
                <w:rFonts w:ascii="Arial" w:cs="Arial" w:eastAsia="Arial" w:hAnsi="Arial"/>
                <w:sz w:val="18"/>
                <w:szCs w:val="18"/>
                <w:color w:val="auto"/>
              </w:rPr>
              <w:t>17.7</w:t>
            </w:r>
          </w:p>
        </w:tc>
        <w:tc>
          <w:tcPr>
            <w:tcW w:w="420" w:type="dxa"/>
            <w:vAlign w:val="bottom"/>
            <w:tcBorders>
              <w:bottom w:val="single" w:sz="8" w:color="auto"/>
            </w:tcBorders>
            <w:shd w:val="clear" w:color="auto" w:fill="CCEEFF"/>
          </w:tcPr>
          <w:p>
            <w:pPr>
              <w:ind w:left="100"/>
              <w:spacing w:after="0"/>
              <w:rPr>
                <w:sz w:val="20"/>
                <w:szCs w:val="20"/>
                <w:color w:val="auto"/>
              </w:rPr>
            </w:pPr>
            <w:r>
              <w:rPr>
                <w:rFonts w:ascii="Arial" w:cs="Arial" w:eastAsia="Arial" w:hAnsi="Arial"/>
                <w:sz w:val="18"/>
                <w:szCs w:val="18"/>
                <w:color w:val="auto"/>
              </w:rPr>
              <w:t>$</w:t>
            </w:r>
          </w:p>
        </w:tc>
        <w:tc>
          <w:tcPr>
            <w:tcW w:w="60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rPr>
              <w:t>6.5</w:t>
            </w:r>
          </w:p>
        </w:tc>
        <w:tc>
          <w:tcPr>
            <w:tcW w:w="160" w:type="dxa"/>
            <w:vAlign w:val="bottom"/>
            <w:tcBorders>
              <w:bottom w:val="single" w:sz="8" w:color="auto"/>
            </w:tcBorders>
            <w:shd w:val="clear" w:color="auto" w:fill="CCEEFF"/>
          </w:tcPr>
          <w:p>
            <w:pPr>
              <w:ind w:left="40"/>
              <w:spacing w:after="0"/>
              <w:rPr>
                <w:sz w:val="20"/>
                <w:szCs w:val="20"/>
                <w:color w:val="auto"/>
              </w:rPr>
            </w:pPr>
            <w:r>
              <w:rPr>
                <w:rFonts w:ascii="Arial" w:cs="Arial" w:eastAsia="Arial" w:hAnsi="Arial"/>
                <w:sz w:val="18"/>
                <w:szCs w:val="18"/>
                <w:color w:val="auto"/>
                <w:w w:val="99"/>
              </w:rPr>
              <w:t>$</w:t>
            </w:r>
          </w:p>
        </w:tc>
        <w:tc>
          <w:tcPr>
            <w:tcW w:w="740" w:type="dxa"/>
            <w:vAlign w:val="bottom"/>
            <w:tcBorders>
              <w:bottom w:val="single" w:sz="8" w:color="auto"/>
            </w:tcBorders>
            <w:shd w:val="clear" w:color="auto" w:fill="CCEEFF"/>
          </w:tcPr>
          <w:p>
            <w:pPr>
              <w:jc w:val="right"/>
              <w:ind w:right="12"/>
              <w:spacing w:after="0"/>
              <w:rPr>
                <w:sz w:val="20"/>
                <w:szCs w:val="20"/>
                <w:color w:val="auto"/>
              </w:rPr>
            </w:pPr>
            <w:r>
              <w:rPr>
                <w:rFonts w:ascii="Arial" w:cs="Arial" w:eastAsia="Arial" w:hAnsi="Arial"/>
                <w:sz w:val="18"/>
                <w:szCs w:val="18"/>
                <w:color w:val="auto"/>
              </w:rPr>
              <w:t>11.2</w:t>
            </w:r>
          </w:p>
        </w:tc>
      </w:tr>
    </w:tbl>
    <w:p>
      <w:pPr>
        <w:spacing w:after="0" w:line="202" w:lineRule="exact"/>
        <w:rPr>
          <w:sz w:val="20"/>
          <w:szCs w:val="20"/>
          <w:color w:val="auto"/>
        </w:rPr>
      </w:pPr>
    </w:p>
    <w:p>
      <w:pPr>
        <w:ind w:right="120"/>
        <w:spacing w:after="0" w:line="342" w:lineRule="auto"/>
        <w:rPr>
          <w:sz w:val="20"/>
          <w:szCs w:val="20"/>
          <w:color w:val="auto"/>
        </w:rPr>
      </w:pPr>
      <w:r>
        <w:rPr>
          <w:rFonts w:ascii="Arial" w:cs="Arial" w:eastAsia="Arial" w:hAnsi="Arial"/>
          <w:sz w:val="16"/>
          <w:szCs w:val="16"/>
          <w:color w:val="auto"/>
        </w:rPr>
        <w:t>Intangible assets subject to amortization are amortized on a straight-line method over their legal or estimated useful lives, with useful lives ranging from five to 20 years. Amortization expense for intangible assets for the three months ended March 31, 2014 and 2013 was $0.2 and $0.3 million, respectively.</w:t>
      </w:r>
    </w:p>
    <w:p>
      <w:pPr>
        <w:spacing w:after="0" w:line="322" w:lineRule="exact"/>
        <w:rPr>
          <w:sz w:val="20"/>
          <w:szCs w:val="20"/>
          <w:color w:val="auto"/>
        </w:rPr>
      </w:pPr>
    </w:p>
    <w:p>
      <w:pPr>
        <w:spacing w:after="0"/>
        <w:rPr>
          <w:sz w:val="20"/>
          <w:szCs w:val="20"/>
          <w:color w:val="auto"/>
        </w:rPr>
      </w:pPr>
      <w:r>
        <w:rPr>
          <w:rFonts w:ascii="Arial" w:cs="Arial" w:eastAsia="Arial" w:hAnsi="Arial"/>
          <w:sz w:val="23"/>
          <w:szCs w:val="23"/>
          <w:b w:val="1"/>
          <w:bCs w:val="1"/>
          <w:color w:val="auto"/>
        </w:rPr>
        <w:t>Note 6 - Financing Arrangements</w:t>
      </w:r>
    </w:p>
    <w:p>
      <w:pPr>
        <w:spacing w:after="0" w:line="239"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180" w:type="dxa"/>
            <w:vAlign w:val="bottom"/>
          </w:tcPr>
          <w:p>
            <w:pPr>
              <w:ind w:left="920"/>
              <w:spacing w:after="0"/>
              <w:rPr>
                <w:sz w:val="20"/>
                <w:szCs w:val="20"/>
                <w:color w:val="auto"/>
              </w:rPr>
            </w:pPr>
            <w:r>
              <w:rPr>
                <w:rFonts w:ascii="Arial" w:cs="Arial" w:eastAsia="Arial" w:hAnsi="Arial"/>
                <w:sz w:val="18"/>
                <w:szCs w:val="18"/>
                <w:color w:val="auto"/>
              </w:rPr>
              <w:t>Long-term debt at March 31, 2014 and December 31, 2013 was as follows:</w:t>
            </w:r>
          </w:p>
        </w:tc>
        <w:tc>
          <w:tcPr>
            <w:tcW w:w="118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3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41"/>
        </w:trPr>
        <w:tc>
          <w:tcPr>
            <w:tcW w:w="8180" w:type="dxa"/>
            <w:vAlign w:val="bottom"/>
          </w:tcPr>
          <w:p>
            <w:pPr>
              <w:spacing w:after="0"/>
              <w:rPr>
                <w:sz w:val="24"/>
                <w:szCs w:val="24"/>
                <w:color w:val="auto"/>
              </w:rPr>
            </w:pPr>
          </w:p>
        </w:tc>
        <w:tc>
          <w:tcPr>
            <w:tcW w:w="1180" w:type="dxa"/>
            <w:vAlign w:val="bottom"/>
          </w:tcPr>
          <w:p>
            <w:pPr>
              <w:jc w:val="right"/>
              <w:spacing w:after="0"/>
              <w:rPr>
                <w:sz w:val="20"/>
                <w:szCs w:val="20"/>
                <w:color w:val="auto"/>
              </w:rPr>
            </w:pPr>
            <w:r>
              <w:rPr>
                <w:rFonts w:ascii="Arial" w:cs="Arial" w:eastAsia="Arial" w:hAnsi="Arial"/>
                <w:sz w:val="18"/>
                <w:szCs w:val="18"/>
                <w:b w:val="1"/>
                <w:bCs w:val="1"/>
                <w:color w:val="auto"/>
              </w:rPr>
              <w:t>March 31,</w:t>
            </w:r>
          </w:p>
        </w:tc>
        <w:tc>
          <w:tcPr>
            <w:tcW w:w="4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380" w:type="dxa"/>
            <w:vAlign w:val="bottom"/>
          </w:tcPr>
          <w:p>
            <w:pPr>
              <w:jc w:val="right"/>
              <w:ind w:right="230"/>
              <w:spacing w:after="0"/>
              <w:rPr>
                <w:sz w:val="20"/>
                <w:szCs w:val="20"/>
                <w:color w:val="auto"/>
              </w:rPr>
            </w:pPr>
            <w:r>
              <w:rPr>
                <w:rFonts w:ascii="Arial" w:cs="Arial" w:eastAsia="Arial" w:hAnsi="Arial"/>
                <w:sz w:val="18"/>
                <w:szCs w:val="18"/>
                <w:color w:val="auto"/>
                <w:w w:val="91"/>
              </w:rPr>
              <w:t>December 31,</w:t>
            </w:r>
          </w:p>
        </w:tc>
        <w:tc>
          <w:tcPr>
            <w:tcW w:w="0" w:type="dxa"/>
            <w:vAlign w:val="bottom"/>
          </w:tcPr>
          <w:p>
            <w:pPr>
              <w:spacing w:after="0"/>
              <w:rPr>
                <w:sz w:val="1"/>
                <w:szCs w:val="1"/>
                <w:color w:val="auto"/>
              </w:rPr>
            </w:pPr>
          </w:p>
        </w:tc>
      </w:tr>
      <w:tr>
        <w:trPr>
          <w:trHeight w:val="234"/>
        </w:trPr>
        <w:tc>
          <w:tcPr>
            <w:tcW w:w="8180" w:type="dxa"/>
            <w:vAlign w:val="bottom"/>
            <w:tcBorders>
              <w:bottom w:val="single" w:sz="8" w:color="auto"/>
            </w:tcBorders>
          </w:tcPr>
          <w:p>
            <w:pPr>
              <w:spacing w:after="0"/>
              <w:rPr>
                <w:sz w:val="20"/>
                <w:szCs w:val="20"/>
                <w:color w:val="auto"/>
              </w:rPr>
            </w:pPr>
          </w:p>
        </w:tc>
        <w:tc>
          <w:tcPr>
            <w:tcW w:w="1180" w:type="dxa"/>
            <w:vAlign w:val="bottom"/>
            <w:tcBorders>
              <w:bottom w:val="single" w:sz="8" w:color="auto"/>
            </w:tcBorders>
          </w:tcPr>
          <w:p>
            <w:pPr>
              <w:jc w:val="right"/>
              <w:ind w:right="130"/>
              <w:spacing w:after="0"/>
              <w:rPr>
                <w:sz w:val="20"/>
                <w:szCs w:val="20"/>
                <w:color w:val="auto"/>
              </w:rPr>
            </w:pPr>
            <w:r>
              <w:rPr>
                <w:rFonts w:ascii="Arial" w:cs="Arial" w:eastAsia="Arial" w:hAnsi="Arial"/>
                <w:sz w:val="18"/>
                <w:szCs w:val="18"/>
                <w:b w:val="1"/>
                <w:bCs w:val="1"/>
                <w:color w:val="auto"/>
              </w:rPr>
              <w:t>2014</w:t>
            </w:r>
          </w:p>
        </w:tc>
        <w:tc>
          <w:tcPr>
            <w:tcW w:w="420" w:type="dxa"/>
            <w:vAlign w:val="bottom"/>
            <w:tcBorders>
              <w:bottom w:val="single" w:sz="8" w:color="auto"/>
            </w:tcBorders>
          </w:tcPr>
          <w:p>
            <w:pPr>
              <w:spacing w:after="0"/>
              <w:rPr>
                <w:sz w:val="20"/>
                <w:szCs w:val="20"/>
                <w:color w:val="auto"/>
              </w:rPr>
            </w:pPr>
          </w:p>
        </w:tc>
        <w:tc>
          <w:tcPr>
            <w:tcW w:w="260" w:type="dxa"/>
            <w:vAlign w:val="bottom"/>
            <w:tcBorders>
              <w:bottom w:val="single" w:sz="8" w:color="auto"/>
            </w:tcBorders>
          </w:tcPr>
          <w:p>
            <w:pPr>
              <w:spacing w:after="0"/>
              <w:rPr>
                <w:sz w:val="20"/>
                <w:szCs w:val="20"/>
                <w:color w:val="auto"/>
              </w:rPr>
            </w:pPr>
          </w:p>
        </w:tc>
        <w:tc>
          <w:tcPr>
            <w:tcW w:w="1380" w:type="dxa"/>
            <w:vAlign w:val="bottom"/>
            <w:tcBorders>
              <w:bottom w:val="single" w:sz="8" w:color="auto"/>
            </w:tcBorders>
          </w:tcPr>
          <w:p>
            <w:pPr>
              <w:jc w:val="right"/>
              <w:ind w:right="550"/>
              <w:spacing w:after="0"/>
              <w:rPr>
                <w:sz w:val="20"/>
                <w:szCs w:val="20"/>
                <w:color w:val="auto"/>
              </w:rPr>
            </w:pPr>
            <w:r>
              <w:rPr>
                <w:rFonts w:ascii="Arial" w:cs="Arial" w:eastAsia="Arial" w:hAnsi="Arial"/>
                <w:sz w:val="18"/>
                <w:szCs w:val="18"/>
                <w:color w:val="auto"/>
              </w:rPr>
              <w:t>2013</w:t>
            </w:r>
          </w:p>
        </w:tc>
        <w:tc>
          <w:tcPr>
            <w:tcW w:w="0" w:type="dxa"/>
            <w:vAlign w:val="bottom"/>
          </w:tcPr>
          <w:p>
            <w:pPr>
              <w:spacing w:after="0"/>
              <w:rPr>
                <w:sz w:val="1"/>
                <w:szCs w:val="1"/>
                <w:color w:val="auto"/>
              </w:rPr>
            </w:pPr>
          </w:p>
        </w:tc>
      </w:tr>
      <w:tr>
        <w:trPr>
          <w:trHeight w:val="195"/>
        </w:trPr>
        <w:tc>
          <w:tcPr>
            <w:tcW w:w="8180" w:type="dxa"/>
            <w:vAlign w:val="bottom"/>
            <w:shd w:val="clear" w:color="auto" w:fill="CCEEFF"/>
          </w:tcPr>
          <w:p>
            <w:pPr>
              <w:spacing w:after="0" w:line="195" w:lineRule="exact"/>
              <w:rPr>
                <w:sz w:val="20"/>
                <w:szCs w:val="20"/>
                <w:color w:val="auto"/>
              </w:rPr>
            </w:pPr>
            <w:r>
              <w:rPr>
                <w:rFonts w:ascii="Arial" w:cs="Arial" w:eastAsia="Arial" w:hAnsi="Arial"/>
                <w:sz w:val="18"/>
                <w:szCs w:val="18"/>
                <w:color w:val="auto"/>
                <w:w w:val="95"/>
              </w:rPr>
              <w:t>Variable-rate State of Ohio Water Development Revenue Refunding Bonds, maturing on November 1, 2025</w:t>
            </w:r>
          </w:p>
        </w:tc>
        <w:tc>
          <w:tcPr>
            <w:tcW w:w="1180" w:type="dxa"/>
            <w:vAlign w:val="bottom"/>
            <w:vMerge w:val="restart"/>
            <w:shd w:val="clear" w:color="auto" w:fill="CCEEFF"/>
          </w:tcPr>
          <w:p>
            <w:pPr>
              <w:jc w:val="right"/>
              <w:ind w:right="950"/>
              <w:spacing w:after="0"/>
              <w:rPr>
                <w:sz w:val="20"/>
                <w:szCs w:val="20"/>
                <w:color w:val="auto"/>
              </w:rPr>
            </w:pPr>
            <w:r>
              <w:rPr>
                <w:rFonts w:ascii="Arial" w:cs="Arial" w:eastAsia="Arial" w:hAnsi="Arial"/>
                <w:sz w:val="18"/>
                <w:szCs w:val="18"/>
                <w:b w:val="1"/>
                <w:bCs w:val="1"/>
                <w:color w:val="auto"/>
              </w:rPr>
              <w:t>$</w:t>
            </w:r>
          </w:p>
        </w:tc>
        <w:tc>
          <w:tcPr>
            <w:tcW w:w="420" w:type="dxa"/>
            <w:vAlign w:val="bottom"/>
            <w:vMerge w:val="restart"/>
            <w:shd w:val="clear" w:color="auto" w:fill="CCEEFF"/>
          </w:tcPr>
          <w:p>
            <w:pPr>
              <w:jc w:val="right"/>
              <w:ind w:right="10"/>
              <w:spacing w:after="0"/>
              <w:rPr>
                <w:sz w:val="20"/>
                <w:szCs w:val="20"/>
                <w:color w:val="auto"/>
              </w:rPr>
            </w:pPr>
            <w:r>
              <w:rPr>
                <w:rFonts w:ascii="Arial" w:cs="Arial" w:eastAsia="Arial" w:hAnsi="Arial"/>
                <w:sz w:val="18"/>
                <w:szCs w:val="18"/>
                <w:b w:val="1"/>
                <w:bCs w:val="1"/>
                <w:color w:val="auto"/>
                <w:w w:val="85"/>
              </w:rPr>
              <w:t>12.2</w:t>
            </w:r>
          </w:p>
        </w:tc>
        <w:tc>
          <w:tcPr>
            <w:tcW w:w="260" w:type="dxa"/>
            <w:vAlign w:val="bottom"/>
            <w:shd w:val="clear" w:color="auto" w:fill="CCEEFF"/>
          </w:tcPr>
          <w:p>
            <w:pPr>
              <w:spacing w:after="0"/>
              <w:rPr>
                <w:sz w:val="16"/>
                <w:szCs w:val="16"/>
                <w:color w:val="auto"/>
              </w:rPr>
            </w:pPr>
          </w:p>
        </w:tc>
        <w:tc>
          <w:tcPr>
            <w:tcW w:w="138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30"/>
        </w:trPr>
        <w:tc>
          <w:tcPr>
            <w:tcW w:w="8180" w:type="dxa"/>
            <w:vAlign w:val="bottom"/>
            <w:shd w:val="clear" w:color="auto" w:fill="CCEEFF"/>
          </w:tcPr>
          <w:p>
            <w:pPr>
              <w:spacing w:after="0"/>
              <w:rPr>
                <w:sz w:val="20"/>
                <w:szCs w:val="20"/>
                <w:color w:val="auto"/>
              </w:rPr>
            </w:pPr>
            <w:r>
              <w:rPr>
                <w:rFonts w:ascii="Arial" w:cs="Arial" w:eastAsia="Arial" w:hAnsi="Arial"/>
                <w:sz w:val="18"/>
                <w:szCs w:val="18"/>
                <w:color w:val="auto"/>
              </w:rPr>
              <w:t>(0.04% as of March 31, 2014)</w:t>
            </w:r>
          </w:p>
        </w:tc>
        <w:tc>
          <w:tcPr>
            <w:tcW w:w="1180" w:type="dxa"/>
            <w:vAlign w:val="bottom"/>
            <w:vMerge w:val="continue"/>
            <w:shd w:val="clear" w:color="auto" w:fill="CCEEFF"/>
          </w:tcPr>
          <w:p>
            <w:pPr>
              <w:spacing w:after="0"/>
              <w:rPr>
                <w:sz w:val="20"/>
                <w:szCs w:val="20"/>
                <w:color w:val="auto"/>
              </w:rPr>
            </w:pPr>
          </w:p>
        </w:tc>
        <w:tc>
          <w:tcPr>
            <w:tcW w:w="420" w:type="dxa"/>
            <w:vAlign w:val="bottom"/>
            <w:vMerge w:val="continue"/>
            <w:shd w:val="clear" w:color="auto" w:fill="CCEEFF"/>
          </w:tcPr>
          <w:p>
            <w:pPr>
              <w:spacing w:after="0"/>
              <w:rPr>
                <w:sz w:val="20"/>
                <w:szCs w:val="20"/>
                <w:color w:val="auto"/>
              </w:rPr>
            </w:pPr>
          </w:p>
        </w:tc>
        <w:tc>
          <w:tcPr>
            <w:tcW w:w="2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38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12.2</w:t>
            </w:r>
          </w:p>
        </w:tc>
        <w:tc>
          <w:tcPr>
            <w:tcW w:w="0" w:type="dxa"/>
            <w:vAlign w:val="bottom"/>
          </w:tcPr>
          <w:p>
            <w:pPr>
              <w:spacing w:after="0"/>
              <w:rPr>
                <w:sz w:val="1"/>
                <w:szCs w:val="1"/>
                <w:color w:val="auto"/>
              </w:rPr>
            </w:pPr>
          </w:p>
        </w:tc>
      </w:tr>
      <w:tr>
        <w:trPr>
          <w:trHeight w:val="202"/>
        </w:trPr>
        <w:tc>
          <w:tcPr>
            <w:tcW w:w="8180" w:type="dxa"/>
            <w:vAlign w:val="bottom"/>
          </w:tcPr>
          <w:p>
            <w:pPr>
              <w:spacing w:after="0" w:line="201" w:lineRule="exact"/>
              <w:rPr>
                <w:sz w:val="20"/>
                <w:szCs w:val="20"/>
                <w:color w:val="auto"/>
              </w:rPr>
            </w:pPr>
            <w:r>
              <w:rPr>
                <w:rFonts w:ascii="Arial" w:cs="Arial" w:eastAsia="Arial" w:hAnsi="Arial"/>
                <w:sz w:val="18"/>
                <w:szCs w:val="18"/>
                <w:color w:val="auto"/>
                <w:w w:val="96"/>
              </w:rPr>
              <w:t>Variable-rate State of Ohio Air Quality Development Revenue Refunding Bonds, maturing on November 1,</w:t>
            </w:r>
          </w:p>
        </w:tc>
        <w:tc>
          <w:tcPr>
            <w:tcW w:w="1180" w:type="dxa"/>
            <w:vAlign w:val="bottom"/>
          </w:tcPr>
          <w:p>
            <w:pPr>
              <w:spacing w:after="0"/>
              <w:rPr>
                <w:sz w:val="17"/>
                <w:szCs w:val="17"/>
                <w:color w:val="auto"/>
              </w:rPr>
            </w:pPr>
          </w:p>
        </w:tc>
        <w:tc>
          <w:tcPr>
            <w:tcW w:w="420" w:type="dxa"/>
            <w:vAlign w:val="bottom"/>
            <w:vMerge w:val="restart"/>
          </w:tcPr>
          <w:p>
            <w:pPr>
              <w:jc w:val="right"/>
              <w:ind w:right="10"/>
              <w:spacing w:after="0"/>
              <w:rPr>
                <w:sz w:val="20"/>
                <w:szCs w:val="20"/>
                <w:color w:val="auto"/>
              </w:rPr>
            </w:pPr>
            <w:r>
              <w:rPr>
                <w:rFonts w:ascii="Arial" w:cs="Arial" w:eastAsia="Arial" w:hAnsi="Arial"/>
                <w:sz w:val="18"/>
                <w:szCs w:val="18"/>
                <w:b w:val="1"/>
                <w:bCs w:val="1"/>
                <w:color w:val="auto"/>
              </w:rPr>
              <w:t>9.5</w:t>
            </w:r>
          </w:p>
        </w:tc>
        <w:tc>
          <w:tcPr>
            <w:tcW w:w="260" w:type="dxa"/>
            <w:vAlign w:val="bottom"/>
          </w:tcPr>
          <w:p>
            <w:pPr>
              <w:spacing w:after="0"/>
              <w:rPr>
                <w:sz w:val="17"/>
                <w:szCs w:val="17"/>
                <w:color w:val="auto"/>
              </w:rPr>
            </w:pPr>
          </w:p>
        </w:tc>
        <w:tc>
          <w:tcPr>
            <w:tcW w:w="13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8180" w:type="dxa"/>
            <w:vAlign w:val="bottom"/>
          </w:tcPr>
          <w:p>
            <w:pPr>
              <w:spacing w:after="0"/>
              <w:rPr>
                <w:sz w:val="20"/>
                <w:szCs w:val="20"/>
                <w:color w:val="auto"/>
              </w:rPr>
            </w:pPr>
            <w:r>
              <w:rPr>
                <w:rFonts w:ascii="Arial" w:cs="Arial" w:eastAsia="Arial" w:hAnsi="Arial"/>
                <w:sz w:val="18"/>
                <w:szCs w:val="18"/>
                <w:color w:val="auto"/>
              </w:rPr>
              <w:t>2025 (0.13% as of March 31, 2014)</w:t>
            </w:r>
          </w:p>
        </w:tc>
        <w:tc>
          <w:tcPr>
            <w:tcW w:w="1180" w:type="dxa"/>
            <w:vAlign w:val="bottom"/>
          </w:tcPr>
          <w:p>
            <w:pPr>
              <w:spacing w:after="0"/>
              <w:rPr>
                <w:sz w:val="20"/>
                <w:szCs w:val="20"/>
                <w:color w:val="auto"/>
              </w:rPr>
            </w:pPr>
          </w:p>
        </w:tc>
        <w:tc>
          <w:tcPr>
            <w:tcW w:w="420" w:type="dxa"/>
            <w:vAlign w:val="bottom"/>
            <w:vMerge w:val="continue"/>
          </w:tcPr>
          <w:p>
            <w:pPr>
              <w:spacing w:after="0"/>
              <w:rPr>
                <w:sz w:val="20"/>
                <w:szCs w:val="20"/>
                <w:color w:val="auto"/>
              </w:rPr>
            </w:pPr>
          </w:p>
        </w:tc>
        <w:tc>
          <w:tcPr>
            <w:tcW w:w="260" w:type="dxa"/>
            <w:vAlign w:val="bottom"/>
          </w:tcPr>
          <w:p>
            <w:pPr>
              <w:spacing w:after="0"/>
              <w:rPr>
                <w:sz w:val="20"/>
                <w:szCs w:val="20"/>
                <w:color w:val="auto"/>
              </w:rPr>
            </w:pPr>
          </w:p>
        </w:tc>
        <w:tc>
          <w:tcPr>
            <w:tcW w:w="1380" w:type="dxa"/>
            <w:vAlign w:val="bottom"/>
          </w:tcPr>
          <w:p>
            <w:pPr>
              <w:jc w:val="right"/>
              <w:ind w:right="10"/>
              <w:spacing w:after="0"/>
              <w:rPr>
                <w:sz w:val="20"/>
                <w:szCs w:val="20"/>
                <w:color w:val="auto"/>
              </w:rPr>
            </w:pPr>
            <w:r>
              <w:rPr>
                <w:rFonts w:ascii="Arial" w:cs="Arial" w:eastAsia="Arial" w:hAnsi="Arial"/>
                <w:sz w:val="18"/>
                <w:szCs w:val="18"/>
                <w:color w:val="auto"/>
              </w:rPr>
              <w:t>9.5</w:t>
            </w:r>
          </w:p>
        </w:tc>
        <w:tc>
          <w:tcPr>
            <w:tcW w:w="0" w:type="dxa"/>
            <w:vAlign w:val="bottom"/>
          </w:tcPr>
          <w:p>
            <w:pPr>
              <w:spacing w:after="0"/>
              <w:rPr>
                <w:sz w:val="1"/>
                <w:szCs w:val="1"/>
                <w:color w:val="auto"/>
              </w:rPr>
            </w:pPr>
          </w:p>
        </w:tc>
      </w:tr>
      <w:tr>
        <w:trPr>
          <w:trHeight w:val="202"/>
        </w:trPr>
        <w:tc>
          <w:tcPr>
            <w:tcW w:w="818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w w:val="91"/>
              </w:rPr>
              <w:t>Variable-rate State of Ohio Pollution Control Revenue Refunding Bonds, maturing on June 1, 2033 (0.13% as of</w:t>
            </w:r>
          </w:p>
        </w:tc>
        <w:tc>
          <w:tcPr>
            <w:tcW w:w="1180" w:type="dxa"/>
            <w:vAlign w:val="bottom"/>
            <w:shd w:val="clear" w:color="auto" w:fill="CCEEFF"/>
          </w:tcPr>
          <w:p>
            <w:pPr>
              <w:spacing w:after="0"/>
              <w:rPr>
                <w:sz w:val="17"/>
                <w:szCs w:val="17"/>
                <w:color w:val="auto"/>
              </w:rPr>
            </w:pPr>
          </w:p>
        </w:tc>
        <w:tc>
          <w:tcPr>
            <w:tcW w:w="420" w:type="dxa"/>
            <w:vAlign w:val="bottom"/>
            <w:vMerge w:val="restart"/>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8.5</w:t>
            </w:r>
          </w:p>
        </w:tc>
        <w:tc>
          <w:tcPr>
            <w:tcW w:w="260" w:type="dxa"/>
            <w:vAlign w:val="bottom"/>
            <w:shd w:val="clear" w:color="auto" w:fill="CCEEFF"/>
          </w:tcPr>
          <w:p>
            <w:pPr>
              <w:spacing w:after="0"/>
              <w:rPr>
                <w:sz w:val="17"/>
                <w:szCs w:val="17"/>
                <w:color w:val="auto"/>
              </w:rPr>
            </w:pPr>
          </w:p>
        </w:tc>
        <w:tc>
          <w:tcPr>
            <w:tcW w:w="138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818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color w:val="auto"/>
              </w:rPr>
              <w:t>March 31, 2014)</w:t>
            </w:r>
          </w:p>
        </w:tc>
        <w:tc>
          <w:tcPr>
            <w:tcW w:w="1180" w:type="dxa"/>
            <w:vAlign w:val="bottom"/>
            <w:tcBorders>
              <w:bottom w:val="single" w:sz="8" w:color="auto"/>
            </w:tcBorders>
            <w:shd w:val="clear" w:color="auto" w:fill="CCEEFF"/>
          </w:tcPr>
          <w:p>
            <w:pPr>
              <w:spacing w:after="0"/>
              <w:rPr>
                <w:sz w:val="20"/>
                <w:szCs w:val="20"/>
                <w:color w:val="auto"/>
              </w:rPr>
            </w:pPr>
          </w:p>
        </w:tc>
        <w:tc>
          <w:tcPr>
            <w:tcW w:w="420" w:type="dxa"/>
            <w:vAlign w:val="bottom"/>
            <w:tcBorders>
              <w:bottom w:val="single" w:sz="8" w:color="auto"/>
            </w:tcBorders>
            <w:vMerge w:val="continue"/>
            <w:shd w:val="clear" w:color="auto" w:fill="CCEEFF"/>
          </w:tcPr>
          <w:p>
            <w:pPr>
              <w:spacing w:after="0"/>
              <w:rPr>
                <w:sz w:val="20"/>
                <w:szCs w:val="20"/>
                <w:color w:val="auto"/>
              </w:rPr>
            </w:pPr>
          </w:p>
        </w:tc>
        <w:tc>
          <w:tcPr>
            <w:tcW w:w="260" w:type="dxa"/>
            <w:vAlign w:val="bottom"/>
            <w:tcBorders>
              <w:bottom w:val="single" w:sz="8" w:color="auto"/>
            </w:tcBorders>
            <w:shd w:val="clear" w:color="auto" w:fill="CCEEFF"/>
          </w:tcPr>
          <w:p>
            <w:pPr>
              <w:spacing w:after="0"/>
              <w:rPr>
                <w:sz w:val="20"/>
                <w:szCs w:val="20"/>
                <w:color w:val="auto"/>
              </w:rPr>
            </w:pPr>
          </w:p>
        </w:tc>
        <w:tc>
          <w:tcPr>
            <w:tcW w:w="138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8.5</w:t>
            </w:r>
          </w:p>
        </w:tc>
        <w:tc>
          <w:tcPr>
            <w:tcW w:w="0" w:type="dxa"/>
            <w:vAlign w:val="bottom"/>
          </w:tcPr>
          <w:p>
            <w:pPr>
              <w:spacing w:after="0"/>
              <w:rPr>
                <w:sz w:val="1"/>
                <w:szCs w:val="1"/>
                <w:color w:val="auto"/>
              </w:rPr>
            </w:pPr>
          </w:p>
        </w:tc>
      </w:tr>
      <w:tr>
        <w:trPr>
          <w:trHeight w:val="217"/>
        </w:trPr>
        <w:tc>
          <w:tcPr>
            <w:tcW w:w="8180" w:type="dxa"/>
            <w:vAlign w:val="bottom"/>
            <w:tcBorders>
              <w:bottom w:val="single" w:sz="8" w:color="auto"/>
            </w:tcBorders>
          </w:tcPr>
          <w:p>
            <w:pPr>
              <w:ind w:left="180"/>
              <w:spacing w:after="0"/>
              <w:rPr>
                <w:sz w:val="20"/>
                <w:szCs w:val="20"/>
                <w:color w:val="auto"/>
              </w:rPr>
            </w:pPr>
            <w:r>
              <w:rPr>
                <w:rFonts w:ascii="Arial" w:cs="Arial" w:eastAsia="Arial" w:hAnsi="Arial"/>
                <w:sz w:val="18"/>
                <w:szCs w:val="18"/>
                <w:color w:val="auto"/>
              </w:rPr>
              <w:t>Total long-term debt</w:t>
            </w:r>
          </w:p>
        </w:tc>
        <w:tc>
          <w:tcPr>
            <w:tcW w:w="1180" w:type="dxa"/>
            <w:vAlign w:val="bottom"/>
            <w:tcBorders>
              <w:bottom w:val="single" w:sz="8" w:color="auto"/>
            </w:tcBorders>
          </w:tcPr>
          <w:p>
            <w:pPr>
              <w:jc w:val="right"/>
              <w:ind w:right="950"/>
              <w:spacing w:after="0"/>
              <w:rPr>
                <w:sz w:val="20"/>
                <w:szCs w:val="20"/>
                <w:color w:val="auto"/>
              </w:rPr>
            </w:pPr>
            <w:r>
              <w:rPr>
                <w:rFonts w:ascii="Arial" w:cs="Arial" w:eastAsia="Arial" w:hAnsi="Arial"/>
                <w:sz w:val="18"/>
                <w:szCs w:val="18"/>
                <w:b w:val="1"/>
                <w:bCs w:val="1"/>
                <w:color w:val="auto"/>
              </w:rPr>
              <w:t>$</w:t>
            </w:r>
          </w:p>
        </w:tc>
        <w:tc>
          <w:tcPr>
            <w:tcW w:w="42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b w:val="1"/>
                <w:bCs w:val="1"/>
                <w:color w:val="auto"/>
                <w:w w:val="85"/>
              </w:rPr>
              <w:t>30.2</w:t>
            </w:r>
          </w:p>
        </w:tc>
        <w:tc>
          <w:tcPr>
            <w:tcW w:w="2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38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30.2</w:t>
            </w:r>
          </w:p>
        </w:tc>
        <w:tc>
          <w:tcPr>
            <w:tcW w:w="0" w:type="dxa"/>
            <w:vAlign w:val="bottom"/>
          </w:tcPr>
          <w:p>
            <w:pPr>
              <w:spacing w:after="0"/>
              <w:rPr>
                <w:sz w:val="1"/>
                <w:szCs w:val="1"/>
                <w:color w:val="auto"/>
              </w:rPr>
            </w:pPr>
          </w:p>
        </w:tc>
      </w:tr>
    </w:tbl>
    <w:p>
      <w:pPr>
        <w:spacing w:after="0" w:line="202" w:lineRule="exact"/>
        <w:rPr>
          <w:sz w:val="20"/>
          <w:szCs w:val="20"/>
          <w:color w:val="auto"/>
        </w:rPr>
      </w:pPr>
    </w:p>
    <w:p>
      <w:pPr>
        <w:ind w:right="100" w:firstLine="913"/>
        <w:spacing w:after="0" w:line="279" w:lineRule="auto"/>
        <w:rPr>
          <w:sz w:val="20"/>
          <w:szCs w:val="20"/>
          <w:color w:val="auto"/>
        </w:rPr>
      </w:pPr>
      <w:r>
        <w:rPr>
          <w:rFonts w:ascii="Arial" w:cs="Arial" w:eastAsia="Arial" w:hAnsi="Arial"/>
          <w:sz w:val="17"/>
          <w:szCs w:val="17"/>
          <w:color w:val="auto"/>
        </w:rPr>
        <w:t>In 2011, TimkenSteel was notified that its variable-rate State of Ohio Pollution Control Revenue Refunding Bonds (Bonds), maturing on June 1, 2033, had lost their tax-exempt status and would now be taxable to its bondholders. As part of the settlement with the Internal Revenue Service (IRS), TimkenSteel redeemed half of the balance during the third quarter of 2012 and agreed to redeem the remaining balance of $8.5 million on December 31, 2022. In addition, the IRS agreed to allow the Bonds to remain tax-exempt during the period they are outstanding.</w:t>
      </w:r>
    </w:p>
    <w:p>
      <w:pPr>
        <w:spacing w:after="0" w:line="171" w:lineRule="exact"/>
        <w:rPr>
          <w:sz w:val="20"/>
          <w:szCs w:val="20"/>
          <w:color w:val="auto"/>
        </w:rPr>
      </w:pPr>
    </w:p>
    <w:p>
      <w:pPr>
        <w:ind w:right="80" w:firstLine="913"/>
        <w:spacing w:after="0" w:line="277" w:lineRule="auto"/>
        <w:rPr>
          <w:sz w:val="20"/>
          <w:szCs w:val="20"/>
          <w:color w:val="auto"/>
        </w:rPr>
      </w:pPr>
      <w:r>
        <w:rPr>
          <w:rFonts w:ascii="Arial" w:cs="Arial" w:eastAsia="Arial" w:hAnsi="Arial"/>
          <w:sz w:val="18"/>
          <w:szCs w:val="18"/>
          <w:color w:val="auto"/>
        </w:rPr>
        <w:t>Interest expense for three months ended March 31, 2014 and March 31, 2013 was minimal due to the low interest rates related to the outstanding financing arrangements.</w:t>
      </w:r>
    </w:p>
    <w:p>
      <w:pPr>
        <w:spacing w:after="0" w:line="170" w:lineRule="exact"/>
        <w:rPr>
          <w:sz w:val="20"/>
          <w:szCs w:val="20"/>
          <w:color w:val="auto"/>
        </w:rPr>
      </w:pPr>
    </w:p>
    <w:p>
      <w:pPr>
        <w:ind w:left="920"/>
        <w:spacing w:after="0"/>
        <w:rPr>
          <w:sz w:val="20"/>
          <w:szCs w:val="20"/>
          <w:color w:val="auto"/>
        </w:rPr>
      </w:pPr>
      <w:r>
        <w:rPr>
          <w:rFonts w:ascii="Arial" w:cs="Arial" w:eastAsia="Arial" w:hAnsi="Arial"/>
          <w:sz w:val="16"/>
          <w:szCs w:val="16"/>
          <w:color w:val="auto"/>
        </w:rPr>
        <w:t>All of TimkenSteel’s long-term debt is variable-rate debt, and as a result, the carrying value of this debt is a reasonable estimate of fair value.</w:t>
      </w:r>
    </w:p>
    <w:p>
      <w:pPr>
        <w:spacing w:after="0" w:line="200" w:lineRule="exact"/>
        <w:rPr>
          <w:sz w:val="20"/>
          <w:szCs w:val="20"/>
          <w:color w:val="auto"/>
        </w:rPr>
      </w:pPr>
    </w:p>
    <w:p>
      <w:pPr>
        <w:spacing w:after="0" w:line="247" w:lineRule="exact"/>
        <w:rPr>
          <w:sz w:val="20"/>
          <w:szCs w:val="20"/>
          <w:color w:val="auto"/>
        </w:rPr>
      </w:pPr>
    </w:p>
    <w:p>
      <w:pPr>
        <w:spacing w:after="0"/>
        <w:rPr>
          <w:sz w:val="20"/>
          <w:szCs w:val="20"/>
          <w:color w:val="auto"/>
        </w:rPr>
      </w:pPr>
      <w:r>
        <w:rPr>
          <w:rFonts w:ascii="Arial" w:cs="Arial" w:eastAsia="Arial" w:hAnsi="Arial"/>
          <w:sz w:val="23"/>
          <w:szCs w:val="23"/>
          <w:b w:val="1"/>
          <w:bCs w:val="1"/>
          <w:color w:val="auto"/>
        </w:rPr>
        <w:t>Note 7 - Accumulated Other Comprehensive Loss</w:t>
      </w:r>
    </w:p>
    <w:p>
      <w:pPr>
        <w:spacing w:after="0" w:line="239" w:lineRule="exact"/>
        <w:rPr>
          <w:sz w:val="20"/>
          <w:szCs w:val="20"/>
          <w:color w:val="auto"/>
        </w:rPr>
      </w:pPr>
    </w:p>
    <w:p>
      <w:pPr>
        <w:ind w:right="60" w:firstLine="913"/>
        <w:spacing w:after="0" w:line="264" w:lineRule="auto"/>
        <w:rPr>
          <w:sz w:val="20"/>
          <w:szCs w:val="20"/>
          <w:color w:val="auto"/>
        </w:rPr>
      </w:pPr>
      <w:r>
        <w:rPr>
          <w:rFonts w:ascii="Arial" w:cs="Arial" w:eastAsia="Arial" w:hAnsi="Arial"/>
          <w:sz w:val="18"/>
          <w:szCs w:val="18"/>
          <w:color w:val="auto"/>
        </w:rPr>
        <w:t>Accumulated other comprehensive loss of $0.6 million and $0.4 million as of March 31, 2014 and December 31, 2013, respectively, consists of accumulated foreign currency translation adjustments. For the three months ended March 31, 2014 and March 31, 2013, there were no reclassifications out of accumulated other comprehensive loss.</w:t>
      </w:r>
    </w:p>
    <w:p>
      <w:pPr>
        <w:spacing w:after="0" w:line="1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F-29</w:t>
      </w:r>
    </w:p>
    <w:p>
      <w:pPr>
        <w:sectPr>
          <w:pgSz w:w="11900" w:h="16838" w:orient="portrait"/>
          <w:cols w:equalWidth="0" w:num="1">
            <w:col w:w="11420"/>
          </w:cols>
          <w:pgMar w:left="240" w:top="459" w:right="239" w:bottom="1440" w:gutter="0" w:footer="0" w:header="0"/>
        </w:sectPr>
      </w:pPr>
    </w:p>
    <w:bookmarkStart w:id="136" w:name="page137"/>
    <w:bookmarkEnd w:id="13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64">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292" w:lineRule="exact"/>
        <w:rPr>
          <w:sz w:val="20"/>
          <w:szCs w:val="20"/>
          <w:color w:val="auto"/>
        </w:rPr>
      </w:pPr>
    </w:p>
    <w:p>
      <w:pPr>
        <w:spacing w:after="0"/>
        <w:rPr>
          <w:sz w:val="20"/>
          <w:szCs w:val="20"/>
          <w:color w:val="auto"/>
        </w:rPr>
      </w:pPr>
      <w:r>
        <w:rPr>
          <w:rFonts w:ascii="Arial" w:cs="Arial" w:eastAsia="Arial" w:hAnsi="Arial"/>
          <w:sz w:val="23"/>
          <w:szCs w:val="23"/>
          <w:b w:val="1"/>
          <w:bCs w:val="1"/>
          <w:color w:val="auto"/>
        </w:rPr>
        <w:t>Note 8 - Retirement and Postretirement Benefit Plans</w:t>
      </w:r>
    </w:p>
    <w:p>
      <w:pPr>
        <w:spacing w:after="0" w:line="239" w:lineRule="exact"/>
        <w:rPr>
          <w:sz w:val="20"/>
          <w:szCs w:val="20"/>
          <w:color w:val="auto"/>
        </w:rPr>
      </w:pPr>
    </w:p>
    <w:p>
      <w:pPr>
        <w:ind w:right="60" w:firstLine="913"/>
        <w:spacing w:after="0" w:line="291" w:lineRule="auto"/>
        <w:rPr>
          <w:sz w:val="20"/>
          <w:szCs w:val="20"/>
          <w:color w:val="auto"/>
        </w:rPr>
      </w:pPr>
      <w:r>
        <w:rPr>
          <w:rFonts w:ascii="Arial" w:cs="Arial" w:eastAsia="Arial" w:hAnsi="Arial"/>
          <w:sz w:val="16"/>
          <w:szCs w:val="16"/>
          <w:color w:val="auto"/>
        </w:rPr>
        <w:t>Timken offers various retirement benefits to its eligible employees, including employees of TimkenSteel. Because Timken provides these benefits to eligible employees and retirees of TimkenSteel, the costs to participating employees of TimkenSteel in these plans are reflected in the Unaudited Consolidated Statements of Comprehensive Income, while the related assets and liabilities are retained by Timken and excluded from the Unaudited Consolidated Balance Sheets. TimkenSteel expects to record the net benefit plan obligations related to these plans and reflect them on the Unaudited Consolidated Balance Sheet prior to the distribution date. Expense allocations for these benefits were determined based on a review of personnel by business unit and based on allocations of corporate and other shared functional personnel. All cost allocations related to the various retirement benefit plans have been deemed paid by TimkenSteel to Timken in the period in which the cost was recorded in the Unaudited Consolidated Statements of Comprehensive Income.</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Defined Benefit Pensions</w:t>
      </w:r>
    </w:p>
    <w:p>
      <w:pPr>
        <w:spacing w:after="0" w:line="225" w:lineRule="exact"/>
        <w:rPr>
          <w:sz w:val="20"/>
          <w:szCs w:val="20"/>
          <w:color w:val="auto"/>
        </w:rPr>
      </w:pPr>
    </w:p>
    <w:p>
      <w:pPr>
        <w:ind w:firstLine="913"/>
        <w:spacing w:after="0" w:line="255" w:lineRule="auto"/>
        <w:rPr>
          <w:sz w:val="20"/>
          <w:szCs w:val="20"/>
          <w:color w:val="auto"/>
        </w:rPr>
      </w:pPr>
      <w:r>
        <w:rPr>
          <w:rFonts w:ascii="Arial" w:cs="Arial" w:eastAsia="Arial" w:hAnsi="Arial"/>
          <w:sz w:val="18"/>
          <w:szCs w:val="18"/>
          <w:color w:val="auto"/>
        </w:rPr>
        <w:t>Timken sponsors The Timken Company Pension Plan, The Timken-Latrobe-MPB-Torrington Retirement Plan and Timken UK Pension Scheme, which cover eligible employees, including certain employees in foreign countries. These plans are generally non-contributory. Pension benefits earned are generally based on years of service and compensation during active employment. Timken’s funding policy is consistent with the funding requirements of applicable laws and regulations. Asset allocations are established in a manner consistent with projected plan liabilities, benefit payments and expected rates of return for the various asset classes. The expected rate of return for the investment portfolio is based on expected rates of return for various asset classes, as well as historical asset class and fund performance.</w:t>
      </w:r>
    </w:p>
    <w:p>
      <w:pPr>
        <w:spacing w:after="0" w:line="193" w:lineRule="exact"/>
        <w:rPr>
          <w:sz w:val="20"/>
          <w:szCs w:val="20"/>
          <w:color w:val="auto"/>
        </w:rPr>
      </w:pPr>
    </w:p>
    <w:p>
      <w:pPr>
        <w:ind w:right="20" w:firstLine="913"/>
        <w:spacing w:after="0" w:line="279" w:lineRule="auto"/>
        <w:rPr>
          <w:sz w:val="20"/>
          <w:szCs w:val="20"/>
          <w:color w:val="auto"/>
        </w:rPr>
      </w:pPr>
      <w:r>
        <w:rPr>
          <w:rFonts w:ascii="Arial" w:cs="Arial" w:eastAsia="Arial" w:hAnsi="Arial"/>
          <w:sz w:val="17"/>
          <w:szCs w:val="17"/>
          <w:color w:val="auto"/>
        </w:rPr>
        <w:t>Total Timken defined benefit pension plan net expenses allocated to TimkenSteel and contributed to the plans were $4.4 million and $5.3 million for the three months ended March 31, 2014 and 2013, respectively. These costs are reflected in the Unaudited Consolidated Statements of Comprehensive Income as a component of cost of products sold and selling, general and administrative expenses. These costs were funded through intercompany transactions with Timken, which are reflected within the Net Parent Investment balance in the Unaudited Consolidated Balance Sheets.</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Postretirement Benefits</w:t>
      </w:r>
    </w:p>
    <w:p>
      <w:pPr>
        <w:spacing w:after="0" w:line="225" w:lineRule="exact"/>
        <w:rPr>
          <w:sz w:val="20"/>
          <w:szCs w:val="20"/>
          <w:color w:val="auto"/>
        </w:rPr>
      </w:pPr>
    </w:p>
    <w:p>
      <w:pPr>
        <w:ind w:right="20" w:firstLine="913"/>
        <w:spacing w:after="0" w:line="255" w:lineRule="auto"/>
        <w:rPr>
          <w:sz w:val="20"/>
          <w:szCs w:val="20"/>
          <w:color w:val="auto"/>
        </w:rPr>
      </w:pPr>
      <w:r>
        <w:rPr>
          <w:rFonts w:ascii="Arial" w:cs="Arial" w:eastAsia="Arial" w:hAnsi="Arial"/>
          <w:sz w:val="18"/>
          <w:szCs w:val="18"/>
          <w:color w:val="auto"/>
        </w:rPr>
        <w:t>Timken sponsors several funded and unfunded postretirement plans that provide health care and life insurance benefits for eligible retirees and dependents of TimkenSteel. Depending on retirement date and employee classification, certain health care plans contain contribution and cost-sharing features such as deductibles and coinsurance. The remaining health care and life insurance plans are non-contributory. TimkenSteel recorded $1.7 million and $2.1 million for the three months ended March 31, 2014 and 2013, respectively, for Timken allocated expenses and contributions in connection with these plans. These costs were funded through intercompany transactions with Timken. Following is a listing of postretirement plans sponsored by Timken in which eligible TimkenSteel employees and retirees participate:</w:t>
      </w:r>
    </w:p>
    <w:p>
      <w:pPr>
        <w:spacing w:after="0" w:line="220" w:lineRule="exact"/>
        <w:rPr>
          <w:sz w:val="20"/>
          <w:szCs w:val="20"/>
          <w:color w:val="auto"/>
        </w:rPr>
      </w:pPr>
    </w:p>
    <w:p>
      <w:pPr>
        <w:ind w:left="1120" w:hanging="207"/>
        <w:spacing w:after="0"/>
        <w:tabs>
          <w:tab w:leader="none" w:pos="1120" w:val="left"/>
        </w:tabs>
        <w:numPr>
          <w:ilvl w:val="0"/>
          <w:numId w:val="50"/>
        </w:numPr>
        <w:rPr>
          <w:rFonts w:ascii="Arial" w:cs="Arial" w:eastAsia="Arial" w:hAnsi="Arial"/>
          <w:sz w:val="18"/>
          <w:szCs w:val="18"/>
          <w:color w:val="auto"/>
        </w:rPr>
      </w:pPr>
      <w:r>
        <w:rPr>
          <w:rFonts w:ascii="Arial" w:cs="Arial" w:eastAsia="Arial" w:hAnsi="Arial"/>
          <w:sz w:val="18"/>
          <w:szCs w:val="18"/>
          <w:color w:val="auto"/>
        </w:rPr>
        <w:t>The Timken Company Bargaining Unit Welfare Benefit Plan for Retirees</w:t>
      </w:r>
    </w:p>
    <w:p>
      <w:pPr>
        <w:spacing w:after="0" w:line="23" w:lineRule="exact"/>
        <w:rPr>
          <w:rFonts w:ascii="Arial" w:cs="Arial" w:eastAsia="Arial" w:hAnsi="Arial"/>
          <w:sz w:val="18"/>
          <w:szCs w:val="18"/>
          <w:color w:val="auto"/>
        </w:rPr>
      </w:pPr>
    </w:p>
    <w:p>
      <w:pPr>
        <w:ind w:left="1120" w:hanging="207"/>
        <w:spacing w:after="0"/>
        <w:tabs>
          <w:tab w:leader="none" w:pos="1120" w:val="left"/>
        </w:tabs>
        <w:numPr>
          <w:ilvl w:val="0"/>
          <w:numId w:val="50"/>
        </w:numPr>
        <w:rPr>
          <w:rFonts w:ascii="Arial" w:cs="Arial" w:eastAsia="Arial" w:hAnsi="Arial"/>
          <w:sz w:val="18"/>
          <w:szCs w:val="18"/>
          <w:color w:val="auto"/>
        </w:rPr>
      </w:pPr>
      <w:r>
        <w:rPr>
          <w:rFonts w:ascii="Arial" w:cs="Arial" w:eastAsia="Arial" w:hAnsi="Arial"/>
          <w:sz w:val="18"/>
          <w:szCs w:val="18"/>
          <w:color w:val="auto"/>
        </w:rPr>
        <w:t>The Timken Company Welfare Plan for Retirees</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Defined Contribution Plan - Employee Savings Plans</w:t>
      </w:r>
    </w:p>
    <w:p>
      <w:pPr>
        <w:spacing w:after="0" w:line="225" w:lineRule="exact"/>
        <w:rPr>
          <w:sz w:val="20"/>
          <w:szCs w:val="20"/>
          <w:color w:val="auto"/>
        </w:rPr>
      </w:pPr>
    </w:p>
    <w:p>
      <w:pPr>
        <w:ind w:right="240" w:firstLine="913"/>
        <w:spacing w:after="0" w:line="259" w:lineRule="auto"/>
        <w:rPr>
          <w:sz w:val="20"/>
          <w:szCs w:val="20"/>
          <w:color w:val="auto"/>
        </w:rPr>
      </w:pPr>
      <w:r>
        <w:rPr>
          <w:rFonts w:ascii="Arial" w:cs="Arial" w:eastAsia="Arial" w:hAnsi="Arial"/>
          <w:sz w:val="18"/>
          <w:szCs w:val="18"/>
          <w:color w:val="auto"/>
        </w:rPr>
        <w:t>Timken sponsors defined contribution retirement and savings plans covering substantially all of TimkenSteel’s employees in the United States and employees at certain non-U.S. locations. Timken has contributed its common shares to certain of these plans based on formulas established in the respective plan agreements. TimkenSteel recorded charges for these defined contribution plans of $1.1 million and $1.2 million for the three months ended March 31, 2014 and 2013, respectively.</w:t>
      </w:r>
    </w:p>
    <w:p>
      <w:pPr>
        <w:spacing w:after="0" w:line="385" w:lineRule="exact"/>
        <w:rPr>
          <w:sz w:val="20"/>
          <w:szCs w:val="20"/>
          <w:color w:val="auto"/>
        </w:rPr>
      </w:pPr>
    </w:p>
    <w:p>
      <w:pPr>
        <w:spacing w:after="0"/>
        <w:rPr>
          <w:sz w:val="20"/>
          <w:szCs w:val="20"/>
          <w:color w:val="auto"/>
        </w:rPr>
      </w:pPr>
      <w:r>
        <w:rPr>
          <w:rFonts w:ascii="Arial" w:cs="Arial" w:eastAsia="Arial" w:hAnsi="Arial"/>
          <w:sz w:val="23"/>
          <w:szCs w:val="23"/>
          <w:b w:val="1"/>
          <w:bCs w:val="1"/>
          <w:color w:val="auto"/>
        </w:rPr>
        <w:t>Note 9 - Segment Information</w:t>
      </w:r>
    </w:p>
    <w:p>
      <w:pPr>
        <w:spacing w:after="0" w:line="239" w:lineRule="exact"/>
        <w:rPr>
          <w:sz w:val="20"/>
          <w:szCs w:val="20"/>
          <w:color w:val="auto"/>
        </w:rPr>
      </w:pPr>
    </w:p>
    <w:p>
      <w:pPr>
        <w:ind w:firstLine="913"/>
        <w:spacing w:after="0" w:line="272" w:lineRule="auto"/>
        <w:rPr>
          <w:sz w:val="20"/>
          <w:szCs w:val="20"/>
          <w:color w:val="auto"/>
        </w:rPr>
      </w:pPr>
      <w:r>
        <w:rPr>
          <w:rFonts w:ascii="Arial" w:cs="Arial" w:eastAsia="Arial" w:hAnsi="Arial"/>
          <w:sz w:val="17"/>
          <w:szCs w:val="17"/>
          <w:color w:val="auto"/>
        </w:rPr>
        <w:t>TimkenSteel operates and reports financial results for two segments: Industrial &amp; Mobile and Energy &amp; Distribution. These segments represent the level at which the chief operating decision maker (CODM) reviews the financial performance of TimkenSteel and makes operating decisions. Segment earnings before interest and taxes (EBIT) is the measure of profit and loss that the CODM uses to evaluate the financial performance of TimkenSteel and is the basis for resource allocation, performance reviews and compensation. For these reasons, TimkenSteel believes that Segment EBIT represents the most relevant measure of segment profit and loss. The CODM may exclude certain charges or gains, such as corporate charges and other special charges, from EBIT to arrive at a Segment EBIT that is a more meaningful measure of profit and loss upon which to base operating decisions. TimkenSteel defines Segment EBIT margin as Segment EBIT as a percentage of net revenues.</w:t>
      </w:r>
    </w:p>
    <w:p>
      <w:pPr>
        <w:spacing w:after="0" w:line="11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F-30</w:t>
      </w:r>
    </w:p>
    <w:p>
      <w:pPr>
        <w:sectPr>
          <w:pgSz w:w="11900" w:h="16838" w:orient="portrait"/>
          <w:cols w:equalWidth="0" w:num="1">
            <w:col w:w="11400"/>
          </w:cols>
          <w:pgMar w:left="240" w:top="459" w:right="259" w:bottom="1440" w:gutter="0" w:footer="0" w:header="0"/>
        </w:sectPr>
      </w:pPr>
    </w:p>
    <w:bookmarkStart w:id="137" w:name="page138"/>
    <w:bookmarkEnd w:id="13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65">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920"/>
        <w:spacing w:after="0"/>
        <w:rPr>
          <w:sz w:val="20"/>
          <w:szCs w:val="20"/>
          <w:color w:val="auto"/>
        </w:rPr>
      </w:pPr>
      <w:r>
        <w:rPr>
          <w:rFonts w:ascii="Arial" w:cs="Arial" w:eastAsia="Arial" w:hAnsi="Arial"/>
          <w:sz w:val="18"/>
          <w:szCs w:val="18"/>
          <w:b w:val="1"/>
          <w:bCs w:val="1"/>
          <w:i w:val="1"/>
          <w:iCs w:val="1"/>
          <w:color w:val="auto"/>
        </w:rPr>
        <w:t>Industrial &amp; Mobile</w:t>
      </w:r>
    </w:p>
    <w:p>
      <w:pPr>
        <w:spacing w:after="0" w:line="225" w:lineRule="exact"/>
        <w:rPr>
          <w:sz w:val="20"/>
          <w:szCs w:val="20"/>
          <w:color w:val="auto"/>
        </w:rPr>
      </w:pPr>
    </w:p>
    <w:p>
      <w:pPr>
        <w:ind w:right="80" w:firstLine="913"/>
        <w:spacing w:after="0" w:line="276" w:lineRule="auto"/>
        <w:rPr>
          <w:sz w:val="20"/>
          <w:szCs w:val="20"/>
          <w:color w:val="auto"/>
        </w:rPr>
      </w:pPr>
      <w:r>
        <w:rPr>
          <w:rFonts w:ascii="Arial" w:cs="Arial" w:eastAsia="Arial" w:hAnsi="Arial"/>
          <w:sz w:val="17"/>
          <w:szCs w:val="17"/>
          <w:color w:val="auto"/>
        </w:rPr>
        <w:t>Our Industrial &amp; Mobile segment is a leading provider of high-quality air-melted alloy steel bars, tubes, precision components and value-added services. For the industrial market sector, we sell to original equipment manufacturers including agriculture, construction, machinery, military, mining, power generation and rail. For the mobile market sector, we sell to automotive customers including light-vehicle, medium-truck and heavy-truck applications. Our products in this segment are in applications including engine, transmission and driveline components, large hydraulic system components, military ordnance, mining and construction drilling applications and other types of equipment.</w:t>
      </w:r>
    </w:p>
    <w:p>
      <w:pPr>
        <w:spacing w:after="0" w:line="173" w:lineRule="exact"/>
        <w:rPr>
          <w:sz w:val="20"/>
          <w:szCs w:val="20"/>
          <w:color w:val="auto"/>
        </w:rPr>
      </w:pPr>
    </w:p>
    <w:p>
      <w:pPr>
        <w:ind w:left="920"/>
        <w:spacing w:after="0"/>
        <w:rPr>
          <w:sz w:val="20"/>
          <w:szCs w:val="20"/>
          <w:color w:val="auto"/>
        </w:rPr>
      </w:pPr>
      <w:r>
        <w:rPr>
          <w:rFonts w:ascii="Arial" w:cs="Arial" w:eastAsia="Arial" w:hAnsi="Arial"/>
          <w:sz w:val="18"/>
          <w:szCs w:val="18"/>
          <w:b w:val="1"/>
          <w:bCs w:val="1"/>
          <w:i w:val="1"/>
          <w:iCs w:val="1"/>
          <w:color w:val="auto"/>
        </w:rPr>
        <w:t>Energy &amp; Distribution</w:t>
      </w:r>
    </w:p>
    <w:p>
      <w:pPr>
        <w:spacing w:after="0" w:line="225" w:lineRule="exact"/>
        <w:rPr>
          <w:sz w:val="20"/>
          <w:szCs w:val="20"/>
          <w:color w:val="auto"/>
        </w:rPr>
      </w:pPr>
    </w:p>
    <w:p>
      <w:pPr>
        <w:ind w:right="160" w:firstLine="913"/>
        <w:spacing w:after="0" w:line="291" w:lineRule="auto"/>
        <w:rPr>
          <w:sz w:val="20"/>
          <w:szCs w:val="20"/>
          <w:color w:val="auto"/>
        </w:rPr>
      </w:pPr>
      <w:r>
        <w:rPr>
          <w:rFonts w:ascii="Arial" w:cs="Arial" w:eastAsia="Arial" w:hAnsi="Arial"/>
          <w:sz w:val="16"/>
          <w:szCs w:val="16"/>
          <w:color w:val="auto"/>
        </w:rPr>
        <w:t>Our Energy &amp; Distribution segment is a leading provider of high quality air-melted alloy steel bars, seamless tubes and value-added services such as thermal treatment and machining. The Energy &amp; Distribution segment offers unique steel chemistries in various product configurations to improve our customers’ performance in demanding drilling, completion and production activities. Application of our engineered material solutions can be found in both offshore and land based drilling rig activities. Vertical and horizontal drilling and completion applications include high strength drill string components and specialized completion tools that enable hydraulic fracturing for shale gas and oil. Distribution channel activity is also conducted through this segment. Our distribution channel activity constitutes direct sales of steel bars and seamless mechanical tubes to our distributors. TimkenSteel authorized service centers enable us to collaborate with various independent service centers to deliver differentiated solutions for our end users.</w:t>
      </w:r>
    </w:p>
    <w:p>
      <w:pPr>
        <w:spacing w:after="0" w:line="190" w:lineRule="exact"/>
        <w:rPr>
          <w:sz w:val="20"/>
          <w:szCs w:val="20"/>
          <w:color w:val="auto"/>
        </w:rPr>
      </w:pPr>
    </w:p>
    <w:p>
      <w:pPr>
        <w:ind w:left="8540"/>
        <w:spacing w:after="0"/>
        <w:rPr>
          <w:sz w:val="20"/>
          <w:szCs w:val="20"/>
          <w:color w:val="auto"/>
        </w:rPr>
      </w:pPr>
      <w:r>
        <w:rPr>
          <w:rFonts w:ascii="Arial" w:cs="Arial" w:eastAsia="Arial" w:hAnsi="Arial"/>
          <w:sz w:val="18"/>
          <w:szCs w:val="18"/>
          <w:b w:val="1"/>
          <w:bCs w:val="1"/>
          <w:color w:val="auto"/>
        </w:rPr>
        <w:t>Three Months Ended March 31,</w:t>
      </w:r>
    </w:p>
    <w:p>
      <w:pPr>
        <w:spacing w:after="0" w:line="27" w:lineRule="exact"/>
        <w:rPr>
          <w:sz w:val="20"/>
          <w:szCs w:val="20"/>
          <w:color w:val="auto"/>
        </w:rPr>
      </w:pPr>
    </w:p>
    <w:tbl>
      <w:tblPr>
        <w:tblLayout w:type="fixed"/>
        <w:tblInd w:w="0" w:type="dxa"/>
        <w:tblCellMar>
          <w:top w:w="0" w:type="dxa"/>
          <w:left w:w="0" w:type="dxa"/>
          <w:bottom w:w="0" w:type="dxa"/>
          <w:right w:w="0" w:type="dxa"/>
        </w:tblCellMar>
      </w:tblPr>
      <w:tr>
        <w:trPr>
          <w:trHeight w:val="217"/>
        </w:trPr>
        <w:tc>
          <w:tcPr>
            <w:tcW w:w="5900" w:type="dxa"/>
            <w:vAlign w:val="bottom"/>
            <w:tcBorders>
              <w:top w:val="single" w:sz="8" w:color="auto"/>
              <w:bottom w:val="single" w:sz="8" w:color="auto"/>
            </w:tcBorders>
          </w:tcPr>
          <w:p>
            <w:pPr>
              <w:spacing w:after="0"/>
              <w:rPr>
                <w:sz w:val="18"/>
                <w:szCs w:val="18"/>
                <w:color w:val="auto"/>
              </w:rPr>
            </w:pPr>
          </w:p>
        </w:tc>
        <w:tc>
          <w:tcPr>
            <w:tcW w:w="33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2014</w:t>
            </w:r>
          </w:p>
        </w:tc>
        <w:tc>
          <w:tcPr>
            <w:tcW w:w="600" w:type="dxa"/>
            <w:vAlign w:val="bottom"/>
            <w:tcBorders>
              <w:top w:val="single" w:sz="8" w:color="auto"/>
              <w:bottom w:val="single" w:sz="8" w:color="auto"/>
            </w:tcBorders>
          </w:tcPr>
          <w:p>
            <w:pPr>
              <w:spacing w:after="0"/>
              <w:rPr>
                <w:sz w:val="18"/>
                <w:szCs w:val="18"/>
                <w:color w:val="auto"/>
              </w:rPr>
            </w:pPr>
          </w:p>
        </w:tc>
        <w:tc>
          <w:tcPr>
            <w:tcW w:w="380" w:type="dxa"/>
            <w:vAlign w:val="bottom"/>
            <w:tcBorders>
              <w:top w:val="single" w:sz="8" w:color="auto"/>
              <w:bottom w:val="single" w:sz="8" w:color="auto"/>
            </w:tcBorders>
          </w:tcPr>
          <w:p>
            <w:pPr>
              <w:spacing w:after="0"/>
              <w:rPr>
                <w:sz w:val="18"/>
                <w:szCs w:val="18"/>
                <w:color w:val="auto"/>
              </w:rPr>
            </w:pPr>
          </w:p>
        </w:tc>
        <w:tc>
          <w:tcPr>
            <w:tcW w:w="1240" w:type="dxa"/>
            <w:vAlign w:val="bottom"/>
            <w:tcBorders>
              <w:top w:val="single" w:sz="8" w:color="auto"/>
              <w:bottom w:val="single" w:sz="8" w:color="auto"/>
            </w:tcBorders>
          </w:tcPr>
          <w:p>
            <w:pPr>
              <w:jc w:val="right"/>
              <w:ind w:right="570"/>
              <w:spacing w:after="0"/>
              <w:rPr>
                <w:sz w:val="20"/>
                <w:szCs w:val="20"/>
                <w:color w:val="auto"/>
              </w:rPr>
            </w:pPr>
            <w:r>
              <w:rPr>
                <w:rFonts w:ascii="Arial" w:cs="Arial" w:eastAsia="Arial" w:hAnsi="Arial"/>
                <w:sz w:val="18"/>
                <w:szCs w:val="18"/>
                <w:color w:val="auto"/>
              </w:rPr>
              <w:t>2013</w:t>
            </w:r>
          </w:p>
        </w:tc>
      </w:tr>
      <w:tr>
        <w:trPr>
          <w:trHeight w:val="216"/>
        </w:trPr>
        <w:tc>
          <w:tcPr>
            <w:tcW w:w="590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color w:val="auto"/>
              </w:rPr>
              <w:t>Net Sales to External Customers:</w:t>
            </w:r>
          </w:p>
        </w:tc>
        <w:tc>
          <w:tcPr>
            <w:tcW w:w="3300" w:type="dxa"/>
            <w:vAlign w:val="bottom"/>
            <w:tcBorders>
              <w:bottom w:val="single" w:sz="8" w:color="auto"/>
            </w:tcBorders>
            <w:shd w:val="clear" w:color="auto" w:fill="CCEEFF"/>
          </w:tcPr>
          <w:p>
            <w:pPr>
              <w:spacing w:after="0"/>
              <w:rPr>
                <w:sz w:val="18"/>
                <w:szCs w:val="18"/>
                <w:color w:val="auto"/>
              </w:rPr>
            </w:pPr>
          </w:p>
        </w:tc>
        <w:tc>
          <w:tcPr>
            <w:tcW w:w="600" w:type="dxa"/>
            <w:vAlign w:val="bottom"/>
            <w:tcBorders>
              <w:bottom w:val="single" w:sz="8" w:color="auto"/>
            </w:tcBorders>
            <w:shd w:val="clear" w:color="auto" w:fill="CCEEFF"/>
          </w:tcPr>
          <w:p>
            <w:pPr>
              <w:spacing w:after="0"/>
              <w:rPr>
                <w:sz w:val="18"/>
                <w:szCs w:val="18"/>
                <w:color w:val="auto"/>
              </w:rPr>
            </w:pPr>
          </w:p>
        </w:tc>
        <w:tc>
          <w:tcPr>
            <w:tcW w:w="380" w:type="dxa"/>
            <w:vAlign w:val="bottom"/>
            <w:tcBorders>
              <w:bottom w:val="single" w:sz="8" w:color="auto"/>
            </w:tcBorders>
            <w:shd w:val="clear" w:color="auto" w:fill="CCEEFF"/>
          </w:tcPr>
          <w:p>
            <w:pPr>
              <w:spacing w:after="0"/>
              <w:rPr>
                <w:sz w:val="18"/>
                <w:szCs w:val="18"/>
                <w:color w:val="auto"/>
              </w:rPr>
            </w:pPr>
          </w:p>
        </w:tc>
        <w:tc>
          <w:tcPr>
            <w:tcW w:w="1240" w:type="dxa"/>
            <w:vAlign w:val="bottom"/>
            <w:tcBorders>
              <w:bottom w:val="single" w:sz="8" w:color="auto"/>
            </w:tcBorders>
            <w:shd w:val="clear" w:color="auto" w:fill="CCEEFF"/>
          </w:tcPr>
          <w:p>
            <w:pPr>
              <w:spacing w:after="0"/>
              <w:rPr>
                <w:sz w:val="18"/>
                <w:szCs w:val="18"/>
                <w:color w:val="auto"/>
              </w:rPr>
            </w:pPr>
          </w:p>
        </w:tc>
      </w:tr>
      <w:tr>
        <w:trPr>
          <w:trHeight w:val="210"/>
        </w:trPr>
        <w:tc>
          <w:tcPr>
            <w:tcW w:w="5900" w:type="dxa"/>
            <w:vAlign w:val="bottom"/>
          </w:tcPr>
          <w:p>
            <w:pPr>
              <w:spacing w:after="0"/>
              <w:rPr>
                <w:sz w:val="20"/>
                <w:szCs w:val="20"/>
                <w:color w:val="auto"/>
              </w:rPr>
            </w:pPr>
            <w:r>
              <w:rPr>
                <w:rFonts w:ascii="Arial" w:cs="Arial" w:eastAsia="Arial" w:hAnsi="Arial"/>
                <w:sz w:val="18"/>
                <w:szCs w:val="18"/>
                <w:color w:val="auto"/>
              </w:rPr>
              <w:t>Industrial &amp; Mobile</w:t>
            </w:r>
          </w:p>
        </w:tc>
        <w:tc>
          <w:tcPr>
            <w:tcW w:w="3300" w:type="dxa"/>
            <w:vAlign w:val="bottom"/>
          </w:tcPr>
          <w:p>
            <w:pPr>
              <w:jc w:val="right"/>
              <w:ind w:right="810"/>
              <w:spacing w:after="0"/>
              <w:rPr>
                <w:sz w:val="20"/>
                <w:szCs w:val="20"/>
                <w:color w:val="auto"/>
              </w:rPr>
            </w:pPr>
            <w:r>
              <w:rPr>
                <w:rFonts w:ascii="Arial" w:cs="Arial" w:eastAsia="Arial" w:hAnsi="Arial"/>
                <w:sz w:val="18"/>
                <w:szCs w:val="18"/>
                <w:b w:val="1"/>
                <w:bCs w:val="1"/>
                <w:color w:val="auto"/>
              </w:rPr>
              <w:t>$</w:t>
            </w:r>
          </w:p>
        </w:tc>
        <w:tc>
          <w:tcPr>
            <w:tcW w:w="600" w:type="dxa"/>
            <w:vAlign w:val="bottom"/>
          </w:tcPr>
          <w:p>
            <w:pPr>
              <w:jc w:val="right"/>
              <w:ind w:right="50"/>
              <w:spacing w:after="0"/>
              <w:rPr>
                <w:sz w:val="20"/>
                <w:szCs w:val="20"/>
                <w:color w:val="auto"/>
              </w:rPr>
            </w:pPr>
            <w:r>
              <w:rPr>
                <w:rFonts w:ascii="Arial" w:cs="Arial" w:eastAsia="Arial" w:hAnsi="Arial"/>
                <w:sz w:val="18"/>
                <w:szCs w:val="18"/>
                <w:b w:val="1"/>
                <w:bCs w:val="1"/>
                <w:color w:val="auto"/>
                <w:w w:val="97"/>
              </w:rPr>
              <w:t>231.8</w:t>
            </w:r>
          </w:p>
        </w:tc>
        <w:tc>
          <w:tcPr>
            <w:tcW w:w="380" w:type="dxa"/>
            <w:vAlign w:val="bottom"/>
          </w:tcPr>
          <w:p>
            <w:pPr>
              <w:jc w:val="right"/>
              <w:ind w:right="130"/>
              <w:spacing w:after="0"/>
              <w:rPr>
                <w:sz w:val="20"/>
                <w:szCs w:val="20"/>
                <w:color w:val="auto"/>
              </w:rPr>
            </w:pPr>
            <w:r>
              <w:rPr>
                <w:rFonts w:ascii="Arial" w:cs="Arial" w:eastAsia="Arial" w:hAnsi="Arial"/>
                <w:sz w:val="18"/>
                <w:szCs w:val="18"/>
                <w:color w:val="auto"/>
              </w:rPr>
              <w:t>$</w:t>
            </w:r>
          </w:p>
        </w:tc>
        <w:tc>
          <w:tcPr>
            <w:tcW w:w="1240" w:type="dxa"/>
            <w:vAlign w:val="bottom"/>
          </w:tcPr>
          <w:p>
            <w:pPr>
              <w:jc w:val="right"/>
              <w:ind w:right="10"/>
              <w:spacing w:after="0"/>
              <w:rPr>
                <w:sz w:val="20"/>
                <w:szCs w:val="20"/>
                <w:color w:val="auto"/>
              </w:rPr>
            </w:pPr>
            <w:r>
              <w:rPr>
                <w:rFonts w:ascii="Arial" w:cs="Arial" w:eastAsia="Arial" w:hAnsi="Arial"/>
                <w:sz w:val="18"/>
                <w:szCs w:val="18"/>
                <w:color w:val="auto"/>
              </w:rPr>
              <w:t>217.8</w:t>
            </w:r>
          </w:p>
        </w:tc>
      </w:tr>
      <w:tr>
        <w:trPr>
          <w:trHeight w:val="216"/>
        </w:trPr>
        <w:tc>
          <w:tcPr>
            <w:tcW w:w="590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color w:val="auto"/>
              </w:rPr>
              <w:t>Energy &amp; Distribution</w:t>
            </w:r>
          </w:p>
        </w:tc>
        <w:tc>
          <w:tcPr>
            <w:tcW w:w="3300" w:type="dxa"/>
            <w:vAlign w:val="bottom"/>
            <w:tcBorders>
              <w:bottom w:val="single" w:sz="8" w:color="auto"/>
            </w:tcBorders>
            <w:shd w:val="clear" w:color="auto" w:fill="CCEEFF"/>
          </w:tcPr>
          <w:p>
            <w:pPr>
              <w:spacing w:after="0"/>
              <w:rPr>
                <w:sz w:val="18"/>
                <w:szCs w:val="18"/>
                <w:color w:val="auto"/>
              </w:rPr>
            </w:pPr>
          </w:p>
        </w:tc>
        <w:tc>
          <w:tcPr>
            <w:tcW w:w="60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b w:val="1"/>
                <w:bCs w:val="1"/>
                <w:color w:val="auto"/>
                <w:w w:val="97"/>
              </w:rPr>
              <w:t>157.7</w:t>
            </w:r>
          </w:p>
        </w:tc>
        <w:tc>
          <w:tcPr>
            <w:tcW w:w="380" w:type="dxa"/>
            <w:vAlign w:val="bottom"/>
            <w:tcBorders>
              <w:bottom w:val="single" w:sz="8" w:color="auto"/>
            </w:tcBorders>
            <w:shd w:val="clear" w:color="auto" w:fill="CCEEFF"/>
          </w:tcPr>
          <w:p>
            <w:pPr>
              <w:spacing w:after="0"/>
              <w:rPr>
                <w:sz w:val="18"/>
                <w:szCs w:val="18"/>
                <w:color w:val="auto"/>
              </w:rPr>
            </w:pPr>
          </w:p>
        </w:tc>
        <w:tc>
          <w:tcPr>
            <w:tcW w:w="124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128.5</w:t>
            </w:r>
          </w:p>
        </w:tc>
      </w:tr>
      <w:tr>
        <w:trPr>
          <w:trHeight w:val="217"/>
        </w:trPr>
        <w:tc>
          <w:tcPr>
            <w:tcW w:w="5900" w:type="dxa"/>
            <w:vAlign w:val="bottom"/>
            <w:tcBorders>
              <w:bottom w:val="single" w:sz="8" w:color="auto"/>
            </w:tcBorders>
          </w:tcPr>
          <w:p>
            <w:pPr>
              <w:spacing w:after="0"/>
              <w:rPr>
                <w:sz w:val="18"/>
                <w:szCs w:val="18"/>
                <w:color w:val="auto"/>
              </w:rPr>
            </w:pPr>
          </w:p>
        </w:tc>
        <w:tc>
          <w:tcPr>
            <w:tcW w:w="3300" w:type="dxa"/>
            <w:vAlign w:val="bottom"/>
            <w:tcBorders>
              <w:bottom w:val="single" w:sz="8" w:color="auto"/>
            </w:tcBorders>
          </w:tcPr>
          <w:p>
            <w:pPr>
              <w:jc w:val="right"/>
              <w:ind w:right="810"/>
              <w:spacing w:after="0"/>
              <w:rPr>
                <w:sz w:val="20"/>
                <w:szCs w:val="20"/>
                <w:color w:val="auto"/>
              </w:rPr>
            </w:pPr>
            <w:r>
              <w:rPr>
                <w:rFonts w:ascii="Arial" w:cs="Arial" w:eastAsia="Arial" w:hAnsi="Arial"/>
                <w:sz w:val="18"/>
                <w:szCs w:val="18"/>
                <w:b w:val="1"/>
                <w:bCs w:val="1"/>
                <w:color w:val="auto"/>
              </w:rPr>
              <w:t>$</w:t>
            </w:r>
          </w:p>
        </w:tc>
        <w:tc>
          <w:tcPr>
            <w:tcW w:w="60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b w:val="1"/>
                <w:bCs w:val="1"/>
                <w:color w:val="auto"/>
                <w:w w:val="97"/>
              </w:rPr>
              <w:t>389.5</w:t>
            </w:r>
          </w:p>
        </w:tc>
        <w:tc>
          <w:tcPr>
            <w:tcW w:w="380" w:type="dxa"/>
            <w:vAlign w:val="bottom"/>
            <w:tcBorders>
              <w:bottom w:val="single" w:sz="8" w:color="auto"/>
            </w:tcBorders>
          </w:tcPr>
          <w:p>
            <w:pPr>
              <w:jc w:val="right"/>
              <w:ind w:right="130"/>
              <w:spacing w:after="0"/>
              <w:rPr>
                <w:sz w:val="20"/>
                <w:szCs w:val="20"/>
                <w:color w:val="auto"/>
              </w:rPr>
            </w:pPr>
            <w:r>
              <w:rPr>
                <w:rFonts w:ascii="Arial" w:cs="Arial" w:eastAsia="Arial" w:hAnsi="Arial"/>
                <w:sz w:val="18"/>
                <w:szCs w:val="18"/>
                <w:color w:val="auto"/>
              </w:rPr>
              <w:t>$</w:t>
            </w:r>
          </w:p>
        </w:tc>
        <w:tc>
          <w:tcPr>
            <w:tcW w:w="124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346.3</w:t>
            </w:r>
          </w:p>
        </w:tc>
      </w:tr>
      <w:tr>
        <w:trPr>
          <w:trHeight w:val="216"/>
        </w:trPr>
        <w:tc>
          <w:tcPr>
            <w:tcW w:w="590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color w:val="auto"/>
              </w:rPr>
              <w:t>Segment EBIT:</w:t>
            </w:r>
          </w:p>
        </w:tc>
        <w:tc>
          <w:tcPr>
            <w:tcW w:w="3300" w:type="dxa"/>
            <w:vAlign w:val="bottom"/>
            <w:tcBorders>
              <w:bottom w:val="single" w:sz="8" w:color="auto"/>
            </w:tcBorders>
            <w:shd w:val="clear" w:color="auto" w:fill="CCEEFF"/>
          </w:tcPr>
          <w:p>
            <w:pPr>
              <w:spacing w:after="0"/>
              <w:rPr>
                <w:sz w:val="18"/>
                <w:szCs w:val="18"/>
                <w:color w:val="auto"/>
              </w:rPr>
            </w:pPr>
          </w:p>
        </w:tc>
        <w:tc>
          <w:tcPr>
            <w:tcW w:w="600" w:type="dxa"/>
            <w:vAlign w:val="bottom"/>
            <w:tcBorders>
              <w:bottom w:val="single" w:sz="8" w:color="auto"/>
            </w:tcBorders>
            <w:shd w:val="clear" w:color="auto" w:fill="CCEEFF"/>
          </w:tcPr>
          <w:p>
            <w:pPr>
              <w:spacing w:after="0"/>
              <w:rPr>
                <w:sz w:val="18"/>
                <w:szCs w:val="18"/>
                <w:color w:val="auto"/>
              </w:rPr>
            </w:pPr>
          </w:p>
        </w:tc>
        <w:tc>
          <w:tcPr>
            <w:tcW w:w="380" w:type="dxa"/>
            <w:vAlign w:val="bottom"/>
            <w:tcBorders>
              <w:bottom w:val="single" w:sz="8" w:color="auto"/>
            </w:tcBorders>
            <w:shd w:val="clear" w:color="auto" w:fill="CCEEFF"/>
          </w:tcPr>
          <w:p>
            <w:pPr>
              <w:spacing w:after="0"/>
              <w:rPr>
                <w:sz w:val="18"/>
                <w:szCs w:val="18"/>
                <w:color w:val="auto"/>
              </w:rPr>
            </w:pPr>
          </w:p>
        </w:tc>
        <w:tc>
          <w:tcPr>
            <w:tcW w:w="1240" w:type="dxa"/>
            <w:vAlign w:val="bottom"/>
            <w:tcBorders>
              <w:bottom w:val="single" w:sz="8" w:color="auto"/>
            </w:tcBorders>
            <w:shd w:val="clear" w:color="auto" w:fill="CCEEFF"/>
          </w:tcPr>
          <w:p>
            <w:pPr>
              <w:spacing w:after="0"/>
              <w:rPr>
                <w:sz w:val="18"/>
                <w:szCs w:val="18"/>
                <w:color w:val="auto"/>
              </w:rPr>
            </w:pPr>
          </w:p>
        </w:tc>
      </w:tr>
      <w:tr>
        <w:trPr>
          <w:trHeight w:val="210"/>
        </w:trPr>
        <w:tc>
          <w:tcPr>
            <w:tcW w:w="5900" w:type="dxa"/>
            <w:vAlign w:val="bottom"/>
          </w:tcPr>
          <w:p>
            <w:pPr>
              <w:spacing w:after="0"/>
              <w:rPr>
                <w:sz w:val="20"/>
                <w:szCs w:val="20"/>
                <w:color w:val="auto"/>
              </w:rPr>
            </w:pPr>
            <w:r>
              <w:rPr>
                <w:rFonts w:ascii="Arial" w:cs="Arial" w:eastAsia="Arial" w:hAnsi="Arial"/>
                <w:sz w:val="18"/>
                <w:szCs w:val="18"/>
                <w:color w:val="auto"/>
              </w:rPr>
              <w:t>Industrial &amp; Mobile</w:t>
            </w:r>
          </w:p>
        </w:tc>
        <w:tc>
          <w:tcPr>
            <w:tcW w:w="3300" w:type="dxa"/>
            <w:vAlign w:val="bottom"/>
          </w:tcPr>
          <w:p>
            <w:pPr>
              <w:jc w:val="right"/>
              <w:ind w:right="810"/>
              <w:spacing w:after="0"/>
              <w:rPr>
                <w:sz w:val="20"/>
                <w:szCs w:val="20"/>
                <w:color w:val="auto"/>
              </w:rPr>
            </w:pPr>
            <w:r>
              <w:rPr>
                <w:rFonts w:ascii="Arial" w:cs="Arial" w:eastAsia="Arial" w:hAnsi="Arial"/>
                <w:sz w:val="18"/>
                <w:szCs w:val="18"/>
                <w:b w:val="1"/>
                <w:bCs w:val="1"/>
                <w:color w:val="auto"/>
              </w:rPr>
              <w:t>$</w:t>
            </w:r>
          </w:p>
        </w:tc>
        <w:tc>
          <w:tcPr>
            <w:tcW w:w="600" w:type="dxa"/>
            <w:vAlign w:val="bottom"/>
          </w:tcPr>
          <w:p>
            <w:pPr>
              <w:jc w:val="right"/>
              <w:ind w:right="50"/>
              <w:spacing w:after="0"/>
              <w:rPr>
                <w:sz w:val="20"/>
                <w:szCs w:val="20"/>
                <w:color w:val="auto"/>
              </w:rPr>
            </w:pPr>
            <w:r>
              <w:rPr>
                <w:rFonts w:ascii="Arial" w:cs="Arial" w:eastAsia="Arial" w:hAnsi="Arial"/>
                <w:sz w:val="18"/>
                <w:szCs w:val="18"/>
                <w:b w:val="1"/>
                <w:bCs w:val="1"/>
                <w:color w:val="auto"/>
              </w:rPr>
              <w:t>27.0</w:t>
            </w:r>
          </w:p>
        </w:tc>
        <w:tc>
          <w:tcPr>
            <w:tcW w:w="380" w:type="dxa"/>
            <w:vAlign w:val="bottom"/>
          </w:tcPr>
          <w:p>
            <w:pPr>
              <w:jc w:val="right"/>
              <w:ind w:right="130"/>
              <w:spacing w:after="0"/>
              <w:rPr>
                <w:sz w:val="20"/>
                <w:szCs w:val="20"/>
                <w:color w:val="auto"/>
              </w:rPr>
            </w:pPr>
            <w:r>
              <w:rPr>
                <w:rFonts w:ascii="Arial" w:cs="Arial" w:eastAsia="Arial" w:hAnsi="Arial"/>
                <w:sz w:val="18"/>
                <w:szCs w:val="18"/>
                <w:color w:val="auto"/>
              </w:rPr>
              <w:t>$</w:t>
            </w:r>
          </w:p>
        </w:tc>
        <w:tc>
          <w:tcPr>
            <w:tcW w:w="1240" w:type="dxa"/>
            <w:vAlign w:val="bottom"/>
          </w:tcPr>
          <w:p>
            <w:pPr>
              <w:jc w:val="right"/>
              <w:ind w:right="10"/>
              <w:spacing w:after="0"/>
              <w:rPr>
                <w:sz w:val="20"/>
                <w:szCs w:val="20"/>
                <w:color w:val="auto"/>
              </w:rPr>
            </w:pPr>
            <w:r>
              <w:rPr>
                <w:rFonts w:ascii="Arial" w:cs="Arial" w:eastAsia="Arial" w:hAnsi="Arial"/>
                <w:sz w:val="18"/>
                <w:szCs w:val="18"/>
                <w:color w:val="auto"/>
              </w:rPr>
              <w:t>21.5</w:t>
            </w:r>
          </w:p>
        </w:tc>
      </w:tr>
      <w:tr>
        <w:trPr>
          <w:trHeight w:val="216"/>
        </w:trPr>
        <w:tc>
          <w:tcPr>
            <w:tcW w:w="590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color w:val="auto"/>
              </w:rPr>
              <w:t>Energy &amp; Distribution</w:t>
            </w:r>
          </w:p>
        </w:tc>
        <w:tc>
          <w:tcPr>
            <w:tcW w:w="3300" w:type="dxa"/>
            <w:vAlign w:val="bottom"/>
            <w:tcBorders>
              <w:bottom w:val="single" w:sz="8" w:color="auto"/>
            </w:tcBorders>
            <w:shd w:val="clear" w:color="auto" w:fill="CCEEFF"/>
          </w:tcPr>
          <w:p>
            <w:pPr>
              <w:spacing w:after="0"/>
              <w:rPr>
                <w:sz w:val="18"/>
                <w:szCs w:val="18"/>
                <w:color w:val="auto"/>
              </w:rPr>
            </w:pPr>
          </w:p>
        </w:tc>
        <w:tc>
          <w:tcPr>
            <w:tcW w:w="60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b w:val="1"/>
                <w:bCs w:val="1"/>
                <w:color w:val="auto"/>
              </w:rPr>
              <w:t>31.2</w:t>
            </w:r>
          </w:p>
        </w:tc>
        <w:tc>
          <w:tcPr>
            <w:tcW w:w="380" w:type="dxa"/>
            <w:vAlign w:val="bottom"/>
            <w:tcBorders>
              <w:bottom w:val="single" w:sz="8" w:color="auto"/>
            </w:tcBorders>
            <w:shd w:val="clear" w:color="auto" w:fill="CCEEFF"/>
          </w:tcPr>
          <w:p>
            <w:pPr>
              <w:spacing w:after="0"/>
              <w:rPr>
                <w:sz w:val="18"/>
                <w:szCs w:val="18"/>
                <w:color w:val="auto"/>
              </w:rPr>
            </w:pPr>
          </w:p>
        </w:tc>
        <w:tc>
          <w:tcPr>
            <w:tcW w:w="124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16.0</w:t>
            </w:r>
          </w:p>
        </w:tc>
      </w:tr>
      <w:tr>
        <w:trPr>
          <w:trHeight w:val="210"/>
        </w:trPr>
        <w:tc>
          <w:tcPr>
            <w:tcW w:w="5900" w:type="dxa"/>
            <w:vAlign w:val="bottom"/>
          </w:tcPr>
          <w:p>
            <w:pPr>
              <w:spacing w:after="0"/>
              <w:rPr>
                <w:sz w:val="20"/>
                <w:szCs w:val="20"/>
                <w:color w:val="auto"/>
              </w:rPr>
            </w:pPr>
            <w:r>
              <w:rPr>
                <w:rFonts w:ascii="Arial" w:cs="Arial" w:eastAsia="Arial" w:hAnsi="Arial"/>
                <w:sz w:val="18"/>
                <w:szCs w:val="18"/>
                <w:color w:val="auto"/>
              </w:rPr>
              <w:t>Total Segment EBIT</w:t>
            </w:r>
          </w:p>
        </w:tc>
        <w:tc>
          <w:tcPr>
            <w:tcW w:w="3300" w:type="dxa"/>
            <w:vAlign w:val="bottom"/>
          </w:tcPr>
          <w:p>
            <w:pPr>
              <w:jc w:val="right"/>
              <w:ind w:right="810"/>
              <w:spacing w:after="0"/>
              <w:rPr>
                <w:sz w:val="20"/>
                <w:szCs w:val="20"/>
                <w:color w:val="auto"/>
              </w:rPr>
            </w:pPr>
            <w:r>
              <w:rPr>
                <w:rFonts w:ascii="Arial" w:cs="Arial" w:eastAsia="Arial" w:hAnsi="Arial"/>
                <w:sz w:val="18"/>
                <w:szCs w:val="18"/>
                <w:b w:val="1"/>
                <w:bCs w:val="1"/>
                <w:color w:val="auto"/>
              </w:rPr>
              <w:t>$</w:t>
            </w:r>
          </w:p>
        </w:tc>
        <w:tc>
          <w:tcPr>
            <w:tcW w:w="600" w:type="dxa"/>
            <w:vAlign w:val="bottom"/>
          </w:tcPr>
          <w:p>
            <w:pPr>
              <w:jc w:val="right"/>
              <w:ind w:right="50"/>
              <w:spacing w:after="0"/>
              <w:rPr>
                <w:sz w:val="20"/>
                <w:szCs w:val="20"/>
                <w:color w:val="auto"/>
              </w:rPr>
            </w:pPr>
            <w:r>
              <w:rPr>
                <w:rFonts w:ascii="Arial" w:cs="Arial" w:eastAsia="Arial" w:hAnsi="Arial"/>
                <w:sz w:val="18"/>
                <w:szCs w:val="18"/>
                <w:b w:val="1"/>
                <w:bCs w:val="1"/>
                <w:color w:val="auto"/>
              </w:rPr>
              <w:t>58.2</w:t>
            </w:r>
          </w:p>
        </w:tc>
        <w:tc>
          <w:tcPr>
            <w:tcW w:w="380" w:type="dxa"/>
            <w:vAlign w:val="bottom"/>
          </w:tcPr>
          <w:p>
            <w:pPr>
              <w:jc w:val="right"/>
              <w:ind w:right="130"/>
              <w:spacing w:after="0"/>
              <w:rPr>
                <w:sz w:val="20"/>
                <w:szCs w:val="20"/>
                <w:color w:val="auto"/>
              </w:rPr>
            </w:pPr>
            <w:r>
              <w:rPr>
                <w:rFonts w:ascii="Arial" w:cs="Arial" w:eastAsia="Arial" w:hAnsi="Arial"/>
                <w:sz w:val="18"/>
                <w:szCs w:val="18"/>
                <w:color w:val="auto"/>
              </w:rPr>
              <w:t>$</w:t>
            </w:r>
          </w:p>
        </w:tc>
        <w:tc>
          <w:tcPr>
            <w:tcW w:w="1240" w:type="dxa"/>
            <w:vAlign w:val="bottom"/>
          </w:tcPr>
          <w:p>
            <w:pPr>
              <w:jc w:val="right"/>
              <w:ind w:right="10"/>
              <w:spacing w:after="0"/>
              <w:rPr>
                <w:sz w:val="20"/>
                <w:szCs w:val="20"/>
                <w:color w:val="auto"/>
              </w:rPr>
            </w:pPr>
            <w:r>
              <w:rPr>
                <w:rFonts w:ascii="Arial" w:cs="Arial" w:eastAsia="Arial" w:hAnsi="Arial"/>
                <w:sz w:val="18"/>
                <w:szCs w:val="18"/>
                <w:color w:val="auto"/>
              </w:rPr>
              <w:t>37.5</w:t>
            </w:r>
          </w:p>
        </w:tc>
      </w:tr>
      <w:tr>
        <w:trPr>
          <w:trHeight w:val="216"/>
        </w:trPr>
        <w:tc>
          <w:tcPr>
            <w:tcW w:w="590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color w:val="auto"/>
              </w:rPr>
              <w:t>Unallocated corporate expenses</w:t>
            </w:r>
          </w:p>
        </w:tc>
        <w:tc>
          <w:tcPr>
            <w:tcW w:w="3300" w:type="dxa"/>
            <w:vAlign w:val="bottom"/>
            <w:tcBorders>
              <w:bottom w:val="single" w:sz="8" w:color="auto"/>
            </w:tcBorders>
            <w:shd w:val="clear" w:color="auto" w:fill="CCEEFF"/>
          </w:tcPr>
          <w:p>
            <w:pPr>
              <w:spacing w:after="0"/>
              <w:rPr>
                <w:sz w:val="18"/>
                <w:szCs w:val="18"/>
                <w:color w:val="auto"/>
              </w:rPr>
            </w:pP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(7.4)</w:t>
            </w:r>
          </w:p>
        </w:tc>
        <w:tc>
          <w:tcPr>
            <w:tcW w:w="380" w:type="dxa"/>
            <w:vAlign w:val="bottom"/>
            <w:tcBorders>
              <w:bottom w:val="single" w:sz="8" w:color="auto"/>
            </w:tcBorders>
            <w:shd w:val="clear" w:color="auto" w:fill="CCEEFF"/>
          </w:tcPr>
          <w:p>
            <w:pPr>
              <w:spacing w:after="0"/>
              <w:rPr>
                <w:sz w:val="18"/>
                <w:szCs w:val="18"/>
                <w:color w:val="auto"/>
              </w:rPr>
            </w:pPr>
          </w:p>
        </w:tc>
        <w:tc>
          <w:tcPr>
            <w:tcW w:w="12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(5.3)</w:t>
            </w:r>
          </w:p>
        </w:tc>
      </w:tr>
      <w:tr>
        <w:trPr>
          <w:trHeight w:val="217"/>
        </w:trPr>
        <w:tc>
          <w:tcPr>
            <w:tcW w:w="5900" w:type="dxa"/>
            <w:vAlign w:val="bottom"/>
            <w:tcBorders>
              <w:bottom w:val="single" w:sz="8" w:color="auto"/>
            </w:tcBorders>
          </w:tcPr>
          <w:p>
            <w:pPr>
              <w:spacing w:after="0"/>
              <w:rPr>
                <w:sz w:val="20"/>
                <w:szCs w:val="20"/>
                <w:color w:val="auto"/>
              </w:rPr>
            </w:pPr>
            <w:r>
              <w:rPr>
                <w:rFonts w:ascii="Arial" w:cs="Arial" w:eastAsia="Arial" w:hAnsi="Arial"/>
                <w:sz w:val="18"/>
                <w:szCs w:val="18"/>
                <w:b w:val="1"/>
                <w:bCs w:val="1"/>
                <w:color w:val="auto"/>
              </w:rPr>
              <w:t>Income From Operations Before Income Taxes</w:t>
            </w:r>
          </w:p>
        </w:tc>
        <w:tc>
          <w:tcPr>
            <w:tcW w:w="3300" w:type="dxa"/>
            <w:vAlign w:val="bottom"/>
            <w:tcBorders>
              <w:bottom w:val="single" w:sz="8" w:color="auto"/>
            </w:tcBorders>
          </w:tcPr>
          <w:p>
            <w:pPr>
              <w:jc w:val="right"/>
              <w:ind w:right="810"/>
              <w:spacing w:after="0"/>
              <w:rPr>
                <w:sz w:val="20"/>
                <w:szCs w:val="20"/>
                <w:color w:val="auto"/>
              </w:rPr>
            </w:pPr>
            <w:r>
              <w:rPr>
                <w:rFonts w:ascii="Arial" w:cs="Arial" w:eastAsia="Arial" w:hAnsi="Arial"/>
                <w:sz w:val="18"/>
                <w:szCs w:val="18"/>
                <w:b w:val="1"/>
                <w:bCs w:val="1"/>
                <w:color w:val="auto"/>
              </w:rPr>
              <w:t>$</w:t>
            </w:r>
          </w:p>
        </w:tc>
        <w:tc>
          <w:tcPr>
            <w:tcW w:w="60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b w:val="1"/>
                <w:bCs w:val="1"/>
                <w:color w:val="auto"/>
              </w:rPr>
              <w:t>50.8</w:t>
            </w:r>
          </w:p>
        </w:tc>
        <w:tc>
          <w:tcPr>
            <w:tcW w:w="380" w:type="dxa"/>
            <w:vAlign w:val="bottom"/>
            <w:tcBorders>
              <w:bottom w:val="single" w:sz="8" w:color="auto"/>
            </w:tcBorders>
          </w:tcPr>
          <w:p>
            <w:pPr>
              <w:jc w:val="right"/>
              <w:ind w:right="130"/>
              <w:spacing w:after="0"/>
              <w:rPr>
                <w:sz w:val="20"/>
                <w:szCs w:val="20"/>
                <w:color w:val="auto"/>
              </w:rPr>
            </w:pPr>
            <w:r>
              <w:rPr>
                <w:rFonts w:ascii="Arial" w:cs="Arial" w:eastAsia="Arial" w:hAnsi="Arial"/>
                <w:sz w:val="18"/>
                <w:szCs w:val="18"/>
                <w:color w:val="auto"/>
              </w:rPr>
              <w:t>$</w:t>
            </w:r>
          </w:p>
        </w:tc>
        <w:tc>
          <w:tcPr>
            <w:tcW w:w="124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32.2</w:t>
            </w:r>
          </w:p>
        </w:tc>
      </w:tr>
    </w:tbl>
    <w:p>
      <w:pPr>
        <w:spacing w:after="0" w:line="202" w:lineRule="exact"/>
        <w:rPr>
          <w:sz w:val="20"/>
          <w:szCs w:val="20"/>
          <w:color w:val="auto"/>
        </w:rPr>
      </w:pPr>
    </w:p>
    <w:p>
      <w:pPr>
        <w:ind w:right="400" w:firstLine="913"/>
        <w:spacing w:after="0" w:line="277" w:lineRule="auto"/>
        <w:rPr>
          <w:sz w:val="20"/>
          <w:szCs w:val="20"/>
          <w:color w:val="auto"/>
        </w:rPr>
      </w:pPr>
      <w:r>
        <w:rPr>
          <w:rFonts w:ascii="Arial" w:cs="Arial" w:eastAsia="Arial" w:hAnsi="Arial"/>
          <w:sz w:val="18"/>
          <w:szCs w:val="18"/>
          <w:color w:val="auto"/>
        </w:rPr>
        <w:t>Energy &amp; Distribution intersegment sales to the Industrial &amp; Mobile segment were $0.2 million and $0.6 million for the three months ended March 31, 2014 and 2013, respectively.</w:t>
      </w:r>
    </w:p>
    <w:p>
      <w:pPr>
        <w:spacing w:after="0" w:line="369" w:lineRule="exact"/>
        <w:rPr>
          <w:sz w:val="20"/>
          <w:szCs w:val="20"/>
          <w:color w:val="auto"/>
        </w:rPr>
      </w:pPr>
    </w:p>
    <w:p>
      <w:pPr>
        <w:spacing w:after="0"/>
        <w:rPr>
          <w:sz w:val="20"/>
          <w:szCs w:val="20"/>
          <w:color w:val="auto"/>
        </w:rPr>
      </w:pPr>
      <w:r>
        <w:rPr>
          <w:rFonts w:ascii="Arial" w:cs="Arial" w:eastAsia="Arial" w:hAnsi="Arial"/>
          <w:sz w:val="23"/>
          <w:szCs w:val="23"/>
          <w:b w:val="1"/>
          <w:bCs w:val="1"/>
          <w:color w:val="auto"/>
        </w:rPr>
        <w:t>Note 10 - Income Taxes</w:t>
      </w:r>
    </w:p>
    <w:p>
      <w:pPr>
        <w:spacing w:after="0" w:line="239" w:lineRule="exact"/>
        <w:rPr>
          <w:sz w:val="20"/>
          <w:szCs w:val="20"/>
          <w:color w:val="auto"/>
        </w:rPr>
      </w:pPr>
    </w:p>
    <w:p>
      <w:pPr>
        <w:ind w:right="360" w:firstLine="913"/>
        <w:spacing w:after="0" w:line="264" w:lineRule="auto"/>
        <w:rPr>
          <w:sz w:val="20"/>
          <w:szCs w:val="20"/>
          <w:color w:val="auto"/>
        </w:rPr>
      </w:pPr>
      <w:r>
        <w:rPr>
          <w:rFonts w:ascii="Arial" w:cs="Arial" w:eastAsia="Arial" w:hAnsi="Arial"/>
          <w:sz w:val="18"/>
          <w:szCs w:val="18"/>
          <w:color w:val="auto"/>
        </w:rPr>
        <w:t>TimkenSteel’s provision for income taxes in interim periods is computed by applying the appropriate estimated annual effective tax rates to income or loss before income taxes for the period. In addition, non-recurring or discrete items, including interest on prior-year tax liabilities, are recorded during the period(s) in which they occur.</w:t>
      </w:r>
    </w:p>
    <w:p>
      <w:pPr>
        <w:spacing w:after="0" w:line="204" w:lineRule="exact"/>
        <w:rPr>
          <w:sz w:val="20"/>
          <w:szCs w:val="20"/>
          <w:color w:val="auto"/>
        </w:rPr>
      </w:pPr>
    </w:p>
    <w:p>
      <w:pPr>
        <w:ind w:left="8380"/>
        <w:spacing w:after="0"/>
        <w:rPr>
          <w:sz w:val="20"/>
          <w:szCs w:val="20"/>
          <w:color w:val="auto"/>
        </w:rPr>
      </w:pPr>
      <w:r>
        <w:rPr>
          <w:rFonts w:ascii="Arial" w:cs="Arial" w:eastAsia="Arial" w:hAnsi="Arial"/>
          <w:sz w:val="18"/>
          <w:szCs w:val="18"/>
          <w:b w:val="1"/>
          <w:bCs w:val="1"/>
          <w:color w:val="auto"/>
        </w:rPr>
        <w:t>Three Months Ended March 31,</w:t>
      </w:r>
    </w:p>
    <w:p>
      <w:pPr>
        <w:spacing w:after="0" w:line="27" w:lineRule="exact"/>
        <w:rPr>
          <w:sz w:val="20"/>
          <w:szCs w:val="20"/>
          <w:color w:val="auto"/>
        </w:rPr>
      </w:pPr>
    </w:p>
    <w:tbl>
      <w:tblPr>
        <w:tblLayout w:type="fixed"/>
        <w:tblInd w:w="0" w:type="dxa"/>
        <w:tblCellMar>
          <w:top w:w="0" w:type="dxa"/>
          <w:left w:w="0" w:type="dxa"/>
          <w:bottom w:w="0" w:type="dxa"/>
          <w:right w:w="0" w:type="dxa"/>
        </w:tblCellMar>
      </w:tblPr>
      <w:tr>
        <w:trPr>
          <w:trHeight w:val="217"/>
        </w:trPr>
        <w:tc>
          <w:tcPr>
            <w:tcW w:w="5000" w:type="dxa"/>
            <w:vAlign w:val="bottom"/>
            <w:tcBorders>
              <w:top w:val="single" w:sz="8" w:color="auto"/>
              <w:bottom w:val="single" w:sz="8" w:color="auto"/>
            </w:tcBorders>
          </w:tcPr>
          <w:p>
            <w:pPr>
              <w:spacing w:after="0"/>
              <w:rPr>
                <w:sz w:val="18"/>
                <w:szCs w:val="18"/>
                <w:color w:val="auto"/>
              </w:rPr>
            </w:pPr>
          </w:p>
        </w:tc>
        <w:tc>
          <w:tcPr>
            <w:tcW w:w="402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b w:val="1"/>
                <w:bCs w:val="1"/>
                <w:color w:val="auto"/>
              </w:rPr>
              <w:t>2014</w:t>
            </w:r>
          </w:p>
        </w:tc>
        <w:tc>
          <w:tcPr>
            <w:tcW w:w="680" w:type="dxa"/>
            <w:vAlign w:val="bottom"/>
            <w:tcBorders>
              <w:top w:val="single" w:sz="8" w:color="auto"/>
              <w:bottom w:val="single" w:sz="8" w:color="auto"/>
            </w:tcBorders>
          </w:tcPr>
          <w:p>
            <w:pPr>
              <w:spacing w:after="0"/>
              <w:rPr>
                <w:sz w:val="18"/>
                <w:szCs w:val="18"/>
                <w:color w:val="auto"/>
              </w:rPr>
            </w:pPr>
          </w:p>
        </w:tc>
        <w:tc>
          <w:tcPr>
            <w:tcW w:w="380" w:type="dxa"/>
            <w:vAlign w:val="bottom"/>
            <w:tcBorders>
              <w:top w:val="single" w:sz="8" w:color="auto"/>
              <w:bottom w:val="single" w:sz="8" w:color="auto"/>
            </w:tcBorders>
          </w:tcPr>
          <w:p>
            <w:pPr>
              <w:spacing w:after="0"/>
              <w:rPr>
                <w:sz w:val="18"/>
                <w:szCs w:val="18"/>
                <w:color w:val="auto"/>
              </w:rPr>
            </w:pPr>
          </w:p>
        </w:tc>
        <w:tc>
          <w:tcPr>
            <w:tcW w:w="1340" w:type="dxa"/>
            <w:vAlign w:val="bottom"/>
            <w:tcBorders>
              <w:top w:val="single" w:sz="8" w:color="auto"/>
              <w:bottom w:val="single" w:sz="8" w:color="auto"/>
            </w:tcBorders>
          </w:tcPr>
          <w:p>
            <w:pPr>
              <w:jc w:val="right"/>
              <w:ind w:right="650"/>
              <w:spacing w:after="0"/>
              <w:rPr>
                <w:sz w:val="20"/>
                <w:szCs w:val="20"/>
                <w:color w:val="auto"/>
              </w:rPr>
            </w:pPr>
            <w:r>
              <w:rPr>
                <w:rFonts w:ascii="Arial" w:cs="Arial" w:eastAsia="Arial" w:hAnsi="Arial"/>
                <w:sz w:val="18"/>
                <w:szCs w:val="18"/>
                <w:color w:val="auto"/>
              </w:rPr>
              <w:t>2013</w:t>
            </w:r>
          </w:p>
        </w:tc>
      </w:tr>
      <w:tr>
        <w:trPr>
          <w:trHeight w:val="216"/>
        </w:trPr>
        <w:tc>
          <w:tcPr>
            <w:tcW w:w="5000" w:type="dxa"/>
            <w:vAlign w:val="bottom"/>
            <w:shd w:val="clear" w:color="auto" w:fill="CCEEFF"/>
          </w:tcPr>
          <w:p>
            <w:pPr>
              <w:spacing w:after="0"/>
              <w:rPr>
                <w:sz w:val="20"/>
                <w:szCs w:val="20"/>
                <w:color w:val="auto"/>
              </w:rPr>
            </w:pPr>
            <w:r>
              <w:rPr>
                <w:rFonts w:ascii="Arial" w:cs="Arial" w:eastAsia="Arial" w:hAnsi="Arial"/>
                <w:sz w:val="18"/>
                <w:szCs w:val="18"/>
                <w:color w:val="auto"/>
              </w:rPr>
              <w:t>Provision for Income Taxes</w:t>
            </w:r>
          </w:p>
        </w:tc>
        <w:tc>
          <w:tcPr>
            <w:tcW w:w="4020" w:type="dxa"/>
            <w:vAlign w:val="bottom"/>
            <w:shd w:val="clear" w:color="auto" w:fill="CCEEFF"/>
          </w:tcPr>
          <w:p>
            <w:pPr>
              <w:jc w:val="right"/>
              <w:ind w:right="830"/>
              <w:spacing w:after="0"/>
              <w:rPr>
                <w:sz w:val="20"/>
                <w:szCs w:val="20"/>
                <w:color w:val="auto"/>
              </w:rPr>
            </w:pPr>
            <w:r>
              <w:rPr>
                <w:rFonts w:ascii="Arial" w:cs="Arial" w:eastAsia="Arial" w:hAnsi="Arial"/>
                <w:sz w:val="18"/>
                <w:szCs w:val="18"/>
                <w:b w:val="1"/>
                <w:bCs w:val="1"/>
                <w:color w:val="auto"/>
              </w:rPr>
              <w:t>$</w:t>
            </w:r>
          </w:p>
        </w:tc>
        <w:tc>
          <w:tcPr>
            <w:tcW w:w="680" w:type="dxa"/>
            <w:vAlign w:val="bottom"/>
            <w:shd w:val="clear" w:color="auto" w:fill="CCEEFF"/>
          </w:tcPr>
          <w:p>
            <w:pPr>
              <w:ind w:left="120"/>
              <w:spacing w:after="0"/>
              <w:rPr>
                <w:sz w:val="20"/>
                <w:szCs w:val="20"/>
                <w:color w:val="auto"/>
              </w:rPr>
            </w:pPr>
            <w:r>
              <w:rPr>
                <w:rFonts w:ascii="Arial" w:cs="Arial" w:eastAsia="Arial" w:hAnsi="Arial"/>
                <w:sz w:val="18"/>
                <w:szCs w:val="18"/>
                <w:b w:val="1"/>
                <w:bCs w:val="1"/>
                <w:color w:val="auto"/>
              </w:rPr>
              <w:t>17.2</w:t>
            </w:r>
          </w:p>
        </w:tc>
        <w:tc>
          <w:tcPr>
            <w:tcW w:w="380" w:type="dxa"/>
            <w:vAlign w:val="bottom"/>
            <w:shd w:val="clear" w:color="auto" w:fill="CCEEFF"/>
          </w:tcPr>
          <w:p>
            <w:pPr>
              <w:jc w:val="right"/>
              <w:ind w:right="130"/>
              <w:spacing w:after="0"/>
              <w:rPr>
                <w:sz w:val="20"/>
                <w:szCs w:val="20"/>
                <w:color w:val="auto"/>
              </w:rPr>
            </w:pPr>
            <w:r>
              <w:rPr>
                <w:rFonts w:ascii="Arial" w:cs="Arial" w:eastAsia="Arial" w:hAnsi="Arial"/>
                <w:sz w:val="18"/>
                <w:szCs w:val="18"/>
                <w:color w:val="auto"/>
              </w:rPr>
              <w:t>$</w:t>
            </w:r>
          </w:p>
        </w:tc>
        <w:tc>
          <w:tcPr>
            <w:tcW w:w="1340" w:type="dxa"/>
            <w:vAlign w:val="bottom"/>
            <w:shd w:val="clear" w:color="auto" w:fill="CCEEFF"/>
          </w:tcPr>
          <w:p>
            <w:pPr>
              <w:ind w:left="820"/>
              <w:spacing w:after="0"/>
              <w:rPr>
                <w:sz w:val="20"/>
                <w:szCs w:val="20"/>
                <w:color w:val="auto"/>
              </w:rPr>
            </w:pPr>
            <w:r>
              <w:rPr>
                <w:rFonts w:ascii="Arial" w:cs="Arial" w:eastAsia="Arial" w:hAnsi="Arial"/>
                <w:sz w:val="18"/>
                <w:szCs w:val="18"/>
                <w:color w:val="auto"/>
              </w:rPr>
              <w:t>11.2</w:t>
            </w:r>
          </w:p>
        </w:tc>
      </w:tr>
      <w:tr>
        <w:trPr>
          <w:trHeight w:val="223"/>
        </w:trPr>
        <w:tc>
          <w:tcPr>
            <w:tcW w:w="500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Effective Tax Rate</w:t>
            </w:r>
          </w:p>
        </w:tc>
        <w:tc>
          <w:tcPr>
            <w:tcW w:w="4020" w:type="dxa"/>
            <w:vAlign w:val="bottom"/>
            <w:tcBorders>
              <w:bottom w:val="single" w:sz="8" w:color="auto"/>
            </w:tcBorders>
          </w:tcPr>
          <w:p>
            <w:pPr>
              <w:spacing w:after="0"/>
              <w:rPr>
                <w:sz w:val="19"/>
                <w:szCs w:val="19"/>
                <w:color w:val="auto"/>
              </w:rPr>
            </w:pPr>
          </w:p>
        </w:tc>
        <w:tc>
          <w:tcPr>
            <w:tcW w:w="680" w:type="dxa"/>
            <w:vAlign w:val="bottom"/>
            <w:tcBorders>
              <w:bottom w:val="single" w:sz="8" w:color="auto"/>
            </w:tcBorders>
          </w:tcPr>
          <w:p>
            <w:pPr>
              <w:ind w:left="120"/>
              <w:spacing w:after="0"/>
              <w:rPr>
                <w:sz w:val="20"/>
                <w:szCs w:val="20"/>
                <w:color w:val="auto"/>
              </w:rPr>
            </w:pPr>
            <w:r>
              <w:rPr>
                <w:rFonts w:ascii="Arial" w:cs="Arial" w:eastAsia="Arial" w:hAnsi="Arial"/>
                <w:sz w:val="18"/>
                <w:szCs w:val="18"/>
                <w:b w:val="1"/>
                <w:bCs w:val="1"/>
                <w:color w:val="auto"/>
              </w:rPr>
              <w:t>33.8%</w:t>
            </w:r>
          </w:p>
        </w:tc>
        <w:tc>
          <w:tcPr>
            <w:tcW w:w="380" w:type="dxa"/>
            <w:vAlign w:val="bottom"/>
            <w:tcBorders>
              <w:bottom w:val="single" w:sz="8" w:color="auto"/>
            </w:tcBorders>
          </w:tcPr>
          <w:p>
            <w:pPr>
              <w:spacing w:after="0"/>
              <w:rPr>
                <w:sz w:val="19"/>
                <w:szCs w:val="19"/>
                <w:color w:val="auto"/>
              </w:rPr>
            </w:pPr>
          </w:p>
        </w:tc>
        <w:tc>
          <w:tcPr>
            <w:tcW w:w="1340" w:type="dxa"/>
            <w:vAlign w:val="bottom"/>
            <w:tcBorders>
              <w:bottom w:val="single" w:sz="8" w:color="auto"/>
            </w:tcBorders>
          </w:tcPr>
          <w:p>
            <w:pPr>
              <w:ind w:left="820"/>
              <w:spacing w:after="0"/>
              <w:rPr>
                <w:sz w:val="20"/>
                <w:szCs w:val="20"/>
                <w:color w:val="auto"/>
              </w:rPr>
            </w:pPr>
            <w:r>
              <w:rPr>
                <w:rFonts w:ascii="Arial" w:cs="Arial" w:eastAsia="Arial" w:hAnsi="Arial"/>
                <w:sz w:val="18"/>
                <w:szCs w:val="18"/>
                <w:color w:val="auto"/>
                <w:w w:val="97"/>
              </w:rPr>
              <w:t>34.8%</w:t>
            </w:r>
          </w:p>
        </w:tc>
      </w:tr>
    </w:tbl>
    <w:p>
      <w:pPr>
        <w:spacing w:after="0" w:line="202" w:lineRule="exact"/>
        <w:rPr>
          <w:sz w:val="20"/>
          <w:szCs w:val="20"/>
          <w:color w:val="auto"/>
        </w:rPr>
      </w:pPr>
    </w:p>
    <w:p>
      <w:pPr>
        <w:ind w:right="480" w:firstLine="913"/>
        <w:spacing w:after="0" w:line="264" w:lineRule="auto"/>
        <w:rPr>
          <w:sz w:val="20"/>
          <w:szCs w:val="20"/>
          <w:color w:val="auto"/>
        </w:rPr>
      </w:pPr>
      <w:r>
        <w:rPr>
          <w:rFonts w:ascii="Arial" w:cs="Arial" w:eastAsia="Arial" w:hAnsi="Arial"/>
          <w:sz w:val="18"/>
          <w:szCs w:val="18"/>
          <w:color w:val="auto"/>
        </w:rPr>
        <w:t>The effective tax rate for the first three months of 2014 was lower than the U.S. federal statutory rate of 35% primarily due to the U.S. manufacturing deduction, earnings in certain foreign tax jurisdictions where the effective tax rate is below 35% and certain discrete tax expenses. These factors were partially offset by U.S. state and local taxes and certain non-deductible U.S. expenses.</w:t>
      </w:r>
    </w:p>
    <w:p>
      <w:pPr>
        <w:spacing w:after="0" w:line="181" w:lineRule="exact"/>
        <w:rPr>
          <w:sz w:val="20"/>
          <w:szCs w:val="20"/>
          <w:color w:val="auto"/>
        </w:rPr>
      </w:pPr>
    </w:p>
    <w:p>
      <w:pPr>
        <w:ind w:left="920"/>
        <w:spacing w:after="0"/>
        <w:rPr>
          <w:sz w:val="20"/>
          <w:szCs w:val="20"/>
          <w:color w:val="auto"/>
        </w:rPr>
      </w:pPr>
      <w:r>
        <w:rPr>
          <w:rFonts w:ascii="Arial" w:cs="Arial" w:eastAsia="Arial" w:hAnsi="Arial"/>
          <w:sz w:val="17"/>
          <w:szCs w:val="17"/>
          <w:color w:val="auto"/>
        </w:rPr>
        <w:t>The effective tax rate for the first three months of 2013 was lower than the U.S. federal statutory rate of 35% primarily due to the U.S.</w:t>
      </w:r>
    </w:p>
    <w:p>
      <w:pPr>
        <w:spacing w:after="0" w:line="35" w:lineRule="exact"/>
        <w:rPr>
          <w:sz w:val="20"/>
          <w:szCs w:val="20"/>
          <w:color w:val="auto"/>
        </w:rPr>
      </w:pPr>
    </w:p>
    <w:p>
      <w:pPr>
        <w:spacing w:after="0"/>
        <w:rPr>
          <w:sz w:val="20"/>
          <w:szCs w:val="20"/>
          <w:color w:val="auto"/>
        </w:rPr>
      </w:pPr>
      <w:r>
        <w:rPr>
          <w:rFonts w:ascii="Arial" w:cs="Arial" w:eastAsia="Arial" w:hAnsi="Arial"/>
          <w:sz w:val="16"/>
          <w:szCs w:val="16"/>
          <w:color w:val="auto"/>
        </w:rPr>
        <w:t>manufacturing deduction and the U.S. research tax credit. These factors were partially offset by U.S. state and local taxes and certain discrete tax expenses.</w:t>
      </w:r>
    </w:p>
    <w:p>
      <w:pPr>
        <w:spacing w:after="0" w:line="16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F-31</w:t>
      </w:r>
    </w:p>
    <w:p>
      <w:pPr>
        <w:sectPr>
          <w:pgSz w:w="11900" w:h="16838" w:orient="portrait"/>
          <w:cols w:equalWidth="0" w:num="1">
            <w:col w:w="11420"/>
          </w:cols>
          <w:pgMar w:left="240" w:top="459" w:right="239" w:bottom="1440" w:gutter="0" w:footer="0" w:header="0"/>
        </w:sectPr>
      </w:pPr>
    </w:p>
    <w:bookmarkStart w:id="138" w:name="page139"/>
    <w:bookmarkEnd w:id="13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66">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292" w:lineRule="exact"/>
        <w:rPr>
          <w:sz w:val="20"/>
          <w:szCs w:val="20"/>
          <w:color w:val="auto"/>
        </w:rPr>
      </w:pPr>
    </w:p>
    <w:p>
      <w:pPr>
        <w:spacing w:after="0"/>
        <w:rPr>
          <w:sz w:val="20"/>
          <w:szCs w:val="20"/>
          <w:color w:val="auto"/>
        </w:rPr>
      </w:pPr>
      <w:r>
        <w:rPr>
          <w:rFonts w:ascii="Arial" w:cs="Arial" w:eastAsia="Arial" w:hAnsi="Arial"/>
          <w:sz w:val="23"/>
          <w:szCs w:val="23"/>
          <w:b w:val="1"/>
          <w:bCs w:val="1"/>
          <w:color w:val="auto"/>
        </w:rPr>
        <w:t>Note 11 - Relationship with Parent and Related Entities</w:t>
      </w:r>
    </w:p>
    <w:p>
      <w:pPr>
        <w:spacing w:after="0" w:line="239" w:lineRule="exact"/>
        <w:rPr>
          <w:sz w:val="20"/>
          <w:szCs w:val="20"/>
          <w:color w:val="auto"/>
        </w:rPr>
      </w:pPr>
    </w:p>
    <w:p>
      <w:pPr>
        <w:ind w:right="120" w:firstLine="913"/>
        <w:spacing w:after="0" w:line="272" w:lineRule="auto"/>
        <w:rPr>
          <w:sz w:val="20"/>
          <w:szCs w:val="20"/>
          <w:color w:val="auto"/>
        </w:rPr>
      </w:pPr>
      <w:r>
        <w:rPr>
          <w:rFonts w:ascii="Arial" w:cs="Arial" w:eastAsia="Arial" w:hAnsi="Arial"/>
          <w:sz w:val="17"/>
          <w:szCs w:val="17"/>
          <w:color w:val="auto"/>
        </w:rPr>
        <w:t>Historically, TimkenSteel has been managed and operated in the normal course of business with other affiliates of Timken. Accordingly, certain shared costs have been allocated to TimkenSteel and reflected as expenses in the stand-alone Unaudited Consolidated Financial Statements. Management of Timken and TimkenSteel consider the allocation methodologies used to be reasonable and appropriate reflections of historical expenses of Timken attributable to TimkenSteel for purposes of the stand-alone financial statements; however, the expenses reflected in the Unaudited Consolidated Financial Statements may not be indicative of the actual expenses that would have been incurred during the periods presented if TimkenSteel historically operated as a separate, stand-alone entity. In addition, the expenses reflected in the Unaudited Consolidated Financial Statements may not be indicative of expenses that will be incurred in the future by TimkenSteel.</w:t>
      </w:r>
    </w:p>
    <w:p>
      <w:pPr>
        <w:spacing w:after="0" w:line="178" w:lineRule="exact"/>
        <w:rPr>
          <w:sz w:val="20"/>
          <w:szCs w:val="20"/>
          <w:color w:val="auto"/>
        </w:rPr>
      </w:pPr>
    </w:p>
    <w:p>
      <w:pPr>
        <w:ind w:right="60" w:firstLine="913"/>
        <w:spacing w:after="0" w:line="286" w:lineRule="auto"/>
        <w:rPr>
          <w:sz w:val="20"/>
          <w:szCs w:val="20"/>
          <w:color w:val="auto"/>
        </w:rPr>
      </w:pPr>
      <w:r>
        <w:rPr>
          <w:rFonts w:ascii="Arial" w:cs="Arial" w:eastAsia="Arial" w:hAnsi="Arial"/>
          <w:sz w:val="17"/>
          <w:szCs w:val="17"/>
          <w:color w:val="auto"/>
        </w:rPr>
        <w:t>Transactions between Timken and TimkenSteel, with the exception of sales and purchase transactions and reimbursements for payments made to third-party service providers by Timken on TimkenSteel’s behalf, are reflected in equity in the Unaudited Consolidated Balance Sheets as Net Parent Investment and in the Unaudited Consolidated Statements of Cash Flows as a financing activity in Net transfers to Parent and affiliates.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Corporate Costs/Allocations</w:t>
      </w:r>
    </w:p>
    <w:p>
      <w:pPr>
        <w:spacing w:after="0" w:line="225" w:lineRule="exact"/>
        <w:rPr>
          <w:sz w:val="20"/>
          <w:szCs w:val="20"/>
          <w:color w:val="auto"/>
        </w:rPr>
      </w:pPr>
    </w:p>
    <w:p>
      <w:pPr>
        <w:ind w:right="20" w:firstLine="913"/>
        <w:spacing w:after="0" w:line="290" w:lineRule="auto"/>
        <w:rPr>
          <w:sz w:val="20"/>
          <w:szCs w:val="20"/>
          <w:color w:val="auto"/>
        </w:rPr>
      </w:pPr>
      <w:r>
        <w:rPr>
          <w:rFonts w:ascii="Arial" w:cs="Arial" w:eastAsia="Arial" w:hAnsi="Arial"/>
          <w:sz w:val="16"/>
          <w:szCs w:val="16"/>
          <w:color w:val="auto"/>
        </w:rPr>
        <w:t>The Unaudited Consolidated Financial Statements include corporate costs incurred by Timken for services that are provided to or on behalf of TimkenSteel. These costs consist of allocated cost pools and direct costs. Corporate costs have been directly charged to, or allocated to, TimkenSteel using methods management believes are consistent and reasonable. TimkenSteel direct costs are incurred directly by TimkenSteel based on negotiated usage rates and dedicated employee assignments. The method for allocating corporate function costs to TimkenSteel is based on various proportionate formulas involving allocation factors. The methods for allocating corporate administration costs to TimkenSteel are based on revenue. However, the expenses reflected in the Unaudited Consolidated Financial Statements may not be indicative of the actual expenses that would have been incurred during the periods presented if TimkenSteel historically operated as a separate, stand-alone entity. All corporate charges and allocations have been deemed paid by TimkenSteel to Timken in the period in which the cost was recorded in the Unaudited Consolidated Statements of Comprehensive Income.</w:t>
      </w:r>
    </w:p>
    <w:p>
      <w:pPr>
        <w:spacing w:after="0" w:line="166" w:lineRule="exact"/>
        <w:rPr>
          <w:sz w:val="20"/>
          <w:szCs w:val="20"/>
          <w:color w:val="auto"/>
        </w:rPr>
      </w:pPr>
    </w:p>
    <w:p>
      <w:pPr>
        <w:ind w:left="920"/>
        <w:spacing w:after="0"/>
        <w:rPr>
          <w:sz w:val="20"/>
          <w:szCs w:val="20"/>
          <w:color w:val="auto"/>
        </w:rPr>
      </w:pPr>
      <w:r>
        <w:rPr>
          <w:rFonts w:ascii="Arial" w:cs="Arial" w:eastAsia="Arial" w:hAnsi="Arial"/>
          <w:sz w:val="18"/>
          <w:szCs w:val="18"/>
          <w:color w:val="auto"/>
        </w:rPr>
        <w:t>Allocated corporate costs included in selling, general and administrative expenses were as follows:</w:t>
      </w:r>
    </w:p>
    <w:p>
      <w:pPr>
        <w:spacing w:after="0" w:line="248" w:lineRule="exact"/>
        <w:rPr>
          <w:sz w:val="20"/>
          <w:szCs w:val="20"/>
          <w:color w:val="auto"/>
        </w:rPr>
      </w:pPr>
    </w:p>
    <w:p>
      <w:pPr>
        <w:ind w:left="8540"/>
        <w:spacing w:after="0"/>
        <w:rPr>
          <w:sz w:val="20"/>
          <w:szCs w:val="20"/>
          <w:color w:val="auto"/>
        </w:rPr>
      </w:pPr>
      <w:r>
        <w:rPr>
          <w:rFonts w:ascii="Arial" w:cs="Arial" w:eastAsia="Arial" w:hAnsi="Arial"/>
          <w:sz w:val="18"/>
          <w:szCs w:val="18"/>
          <w:b w:val="1"/>
          <w:bCs w:val="1"/>
          <w:color w:val="auto"/>
        </w:rPr>
        <w:t>Three Months Ended March 31,</w:t>
      </w:r>
    </w:p>
    <w:p>
      <w:pPr>
        <w:spacing w:after="0" w:line="27" w:lineRule="exact"/>
        <w:rPr>
          <w:sz w:val="20"/>
          <w:szCs w:val="20"/>
          <w:color w:val="auto"/>
        </w:rPr>
      </w:pPr>
    </w:p>
    <w:tbl>
      <w:tblPr>
        <w:tblLayout w:type="fixed"/>
        <w:tblInd w:w="0" w:type="dxa"/>
        <w:tblCellMar>
          <w:top w:w="0" w:type="dxa"/>
          <w:left w:w="0" w:type="dxa"/>
          <w:bottom w:w="0" w:type="dxa"/>
          <w:right w:w="0" w:type="dxa"/>
        </w:tblCellMar>
      </w:tblPr>
      <w:tr>
        <w:trPr>
          <w:trHeight w:val="210"/>
        </w:trPr>
        <w:tc>
          <w:tcPr>
            <w:tcW w:w="5800" w:type="dxa"/>
            <w:vAlign w:val="bottom"/>
            <w:tcBorders>
              <w:top w:val="single" w:sz="8" w:color="auto"/>
            </w:tcBorders>
          </w:tcPr>
          <w:p>
            <w:pPr>
              <w:spacing w:after="0"/>
              <w:rPr>
                <w:sz w:val="18"/>
                <w:szCs w:val="18"/>
                <w:color w:val="auto"/>
              </w:rPr>
            </w:pPr>
          </w:p>
        </w:tc>
        <w:tc>
          <w:tcPr>
            <w:tcW w:w="3500" w:type="dxa"/>
            <w:vAlign w:val="bottom"/>
            <w:tcBorders>
              <w:top w:val="single" w:sz="8" w:color="auto"/>
            </w:tcBorders>
          </w:tcPr>
          <w:p>
            <w:pPr>
              <w:jc w:val="right"/>
              <w:ind w:right="70"/>
              <w:spacing w:after="0"/>
              <w:rPr>
                <w:sz w:val="20"/>
                <w:szCs w:val="20"/>
                <w:color w:val="auto"/>
              </w:rPr>
            </w:pPr>
            <w:r>
              <w:rPr>
                <w:rFonts w:ascii="Arial" w:cs="Arial" w:eastAsia="Arial" w:hAnsi="Arial"/>
                <w:sz w:val="18"/>
                <w:szCs w:val="18"/>
                <w:b w:val="1"/>
                <w:bCs w:val="1"/>
                <w:color w:val="auto"/>
              </w:rPr>
              <w:t>2014</w:t>
            </w:r>
          </w:p>
        </w:tc>
        <w:tc>
          <w:tcPr>
            <w:tcW w:w="480" w:type="dxa"/>
            <w:vAlign w:val="bottom"/>
            <w:tcBorders>
              <w:top w:val="single" w:sz="8" w:color="auto"/>
            </w:tcBorders>
          </w:tcPr>
          <w:p>
            <w:pPr>
              <w:spacing w:after="0"/>
              <w:rPr>
                <w:sz w:val="18"/>
                <w:szCs w:val="18"/>
                <w:color w:val="auto"/>
              </w:rPr>
            </w:pPr>
          </w:p>
        </w:tc>
        <w:tc>
          <w:tcPr>
            <w:tcW w:w="420" w:type="dxa"/>
            <w:vAlign w:val="bottom"/>
            <w:tcBorders>
              <w:top w:val="single" w:sz="8" w:color="auto"/>
            </w:tcBorders>
          </w:tcPr>
          <w:p>
            <w:pPr>
              <w:spacing w:after="0"/>
              <w:rPr>
                <w:sz w:val="18"/>
                <w:szCs w:val="18"/>
                <w:color w:val="auto"/>
              </w:rPr>
            </w:pPr>
          </w:p>
        </w:tc>
        <w:tc>
          <w:tcPr>
            <w:tcW w:w="1220" w:type="dxa"/>
            <w:vAlign w:val="bottom"/>
            <w:tcBorders>
              <w:top w:val="single" w:sz="8" w:color="auto"/>
            </w:tcBorders>
          </w:tcPr>
          <w:p>
            <w:pPr>
              <w:jc w:val="right"/>
              <w:ind w:right="550"/>
              <w:spacing w:after="0"/>
              <w:rPr>
                <w:sz w:val="20"/>
                <w:szCs w:val="20"/>
                <w:color w:val="auto"/>
              </w:rPr>
            </w:pPr>
            <w:r>
              <w:rPr>
                <w:rFonts w:ascii="Arial" w:cs="Arial" w:eastAsia="Arial" w:hAnsi="Arial"/>
                <w:sz w:val="18"/>
                <w:szCs w:val="18"/>
                <w:color w:val="auto"/>
              </w:rPr>
              <w:t>2013</w:t>
            </w:r>
          </w:p>
        </w:tc>
      </w:tr>
      <w:tr>
        <w:trPr>
          <w:trHeight w:val="216"/>
        </w:trPr>
        <w:tc>
          <w:tcPr>
            <w:tcW w:w="5800" w:type="dxa"/>
            <w:vAlign w:val="bottom"/>
            <w:shd w:val="clear" w:color="auto" w:fill="CCEEFF"/>
          </w:tcPr>
          <w:p>
            <w:pPr>
              <w:spacing w:after="0"/>
              <w:rPr>
                <w:sz w:val="20"/>
                <w:szCs w:val="20"/>
                <w:color w:val="auto"/>
              </w:rPr>
            </w:pPr>
            <w:r>
              <w:rPr>
                <w:rFonts w:ascii="Arial" w:cs="Arial" w:eastAsia="Arial" w:hAnsi="Arial"/>
                <w:sz w:val="18"/>
                <w:szCs w:val="18"/>
                <w:color w:val="auto"/>
              </w:rPr>
              <w:t>Finance Center</w:t>
            </w:r>
          </w:p>
        </w:tc>
        <w:tc>
          <w:tcPr>
            <w:tcW w:w="3500" w:type="dxa"/>
            <w:vAlign w:val="bottom"/>
            <w:shd w:val="clear" w:color="auto" w:fill="CCEEFF"/>
          </w:tcPr>
          <w:p>
            <w:pPr>
              <w:jc w:val="right"/>
              <w:ind w:right="890"/>
              <w:spacing w:after="0"/>
              <w:rPr>
                <w:sz w:val="20"/>
                <w:szCs w:val="20"/>
                <w:color w:val="auto"/>
              </w:rPr>
            </w:pPr>
            <w:r>
              <w:rPr>
                <w:rFonts w:ascii="Arial" w:cs="Arial" w:eastAsia="Arial" w:hAnsi="Arial"/>
                <w:sz w:val="18"/>
                <w:szCs w:val="18"/>
                <w:b w:val="1"/>
                <w:bCs w:val="1"/>
                <w:color w:val="auto"/>
              </w:rPr>
              <w:t>$</w:t>
            </w:r>
          </w:p>
        </w:tc>
        <w:tc>
          <w:tcPr>
            <w:tcW w:w="480" w:type="dxa"/>
            <w:vAlign w:val="bottom"/>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1.0</w:t>
            </w:r>
          </w:p>
        </w:tc>
        <w:tc>
          <w:tcPr>
            <w:tcW w:w="420" w:type="dxa"/>
            <w:vAlign w:val="bottom"/>
            <w:shd w:val="clear" w:color="auto" w:fill="CCEEFF"/>
          </w:tcPr>
          <w:p>
            <w:pPr>
              <w:jc w:val="right"/>
              <w:ind w:right="130"/>
              <w:spacing w:after="0"/>
              <w:rPr>
                <w:sz w:val="20"/>
                <w:szCs w:val="20"/>
                <w:color w:val="auto"/>
              </w:rPr>
            </w:pPr>
            <w:r>
              <w:rPr>
                <w:rFonts w:ascii="Arial" w:cs="Arial" w:eastAsia="Arial" w:hAnsi="Arial"/>
                <w:sz w:val="18"/>
                <w:szCs w:val="18"/>
                <w:color w:val="auto"/>
              </w:rPr>
              <w:t>$</w:t>
            </w:r>
          </w:p>
        </w:tc>
        <w:tc>
          <w:tcPr>
            <w:tcW w:w="122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0.9</w:t>
            </w:r>
          </w:p>
        </w:tc>
      </w:tr>
      <w:tr>
        <w:trPr>
          <w:trHeight w:val="216"/>
        </w:trPr>
        <w:tc>
          <w:tcPr>
            <w:tcW w:w="5800" w:type="dxa"/>
            <w:vAlign w:val="bottom"/>
          </w:tcPr>
          <w:p>
            <w:pPr>
              <w:spacing w:after="0"/>
              <w:rPr>
                <w:sz w:val="20"/>
                <w:szCs w:val="20"/>
                <w:color w:val="auto"/>
              </w:rPr>
            </w:pPr>
            <w:r>
              <w:rPr>
                <w:rFonts w:ascii="Arial" w:cs="Arial" w:eastAsia="Arial" w:hAnsi="Arial"/>
                <w:sz w:val="18"/>
                <w:szCs w:val="18"/>
                <w:color w:val="auto"/>
              </w:rPr>
              <w:t>Law Center</w:t>
            </w:r>
          </w:p>
        </w:tc>
        <w:tc>
          <w:tcPr>
            <w:tcW w:w="3500" w:type="dxa"/>
            <w:vAlign w:val="bottom"/>
          </w:tcPr>
          <w:p>
            <w:pPr>
              <w:spacing w:after="0"/>
              <w:rPr>
                <w:sz w:val="18"/>
                <w:szCs w:val="18"/>
                <w:color w:val="auto"/>
              </w:rPr>
            </w:pPr>
          </w:p>
        </w:tc>
        <w:tc>
          <w:tcPr>
            <w:tcW w:w="480" w:type="dxa"/>
            <w:vAlign w:val="bottom"/>
          </w:tcPr>
          <w:p>
            <w:pPr>
              <w:jc w:val="right"/>
              <w:ind w:right="10"/>
              <w:spacing w:after="0"/>
              <w:rPr>
                <w:sz w:val="20"/>
                <w:szCs w:val="20"/>
                <w:color w:val="auto"/>
              </w:rPr>
            </w:pPr>
            <w:r>
              <w:rPr>
                <w:rFonts w:ascii="Arial" w:cs="Arial" w:eastAsia="Arial" w:hAnsi="Arial"/>
                <w:sz w:val="18"/>
                <w:szCs w:val="18"/>
                <w:b w:val="1"/>
                <w:bCs w:val="1"/>
                <w:color w:val="auto"/>
              </w:rPr>
              <w:t>0.4</w:t>
            </w:r>
          </w:p>
        </w:tc>
        <w:tc>
          <w:tcPr>
            <w:tcW w:w="420" w:type="dxa"/>
            <w:vAlign w:val="bottom"/>
          </w:tcPr>
          <w:p>
            <w:pPr>
              <w:spacing w:after="0"/>
              <w:rPr>
                <w:sz w:val="18"/>
                <w:szCs w:val="18"/>
                <w:color w:val="auto"/>
              </w:rPr>
            </w:pPr>
          </w:p>
        </w:tc>
        <w:tc>
          <w:tcPr>
            <w:tcW w:w="1220" w:type="dxa"/>
            <w:vAlign w:val="bottom"/>
          </w:tcPr>
          <w:p>
            <w:pPr>
              <w:jc w:val="right"/>
              <w:ind w:right="10"/>
              <w:spacing w:after="0"/>
              <w:rPr>
                <w:sz w:val="20"/>
                <w:szCs w:val="20"/>
                <w:color w:val="auto"/>
              </w:rPr>
            </w:pPr>
            <w:r>
              <w:rPr>
                <w:rFonts w:ascii="Arial" w:cs="Arial" w:eastAsia="Arial" w:hAnsi="Arial"/>
                <w:sz w:val="18"/>
                <w:szCs w:val="18"/>
                <w:color w:val="auto"/>
              </w:rPr>
              <w:t>0.3</w:t>
            </w:r>
          </w:p>
        </w:tc>
      </w:tr>
      <w:tr>
        <w:trPr>
          <w:trHeight w:val="216"/>
        </w:trPr>
        <w:tc>
          <w:tcPr>
            <w:tcW w:w="5800" w:type="dxa"/>
            <w:vAlign w:val="bottom"/>
            <w:shd w:val="clear" w:color="auto" w:fill="CCEEFF"/>
          </w:tcPr>
          <w:p>
            <w:pPr>
              <w:spacing w:after="0"/>
              <w:rPr>
                <w:sz w:val="20"/>
                <w:szCs w:val="20"/>
                <w:color w:val="auto"/>
              </w:rPr>
            </w:pPr>
            <w:r>
              <w:rPr>
                <w:rFonts w:ascii="Arial" w:cs="Arial" w:eastAsia="Arial" w:hAnsi="Arial"/>
                <w:sz w:val="18"/>
                <w:szCs w:val="18"/>
                <w:color w:val="auto"/>
              </w:rPr>
              <w:t>Corporate Administration and Shared Services</w:t>
            </w:r>
          </w:p>
        </w:tc>
        <w:tc>
          <w:tcPr>
            <w:tcW w:w="3500" w:type="dxa"/>
            <w:vAlign w:val="bottom"/>
            <w:shd w:val="clear" w:color="auto" w:fill="CCEEFF"/>
          </w:tcPr>
          <w:p>
            <w:pPr>
              <w:spacing w:after="0"/>
              <w:rPr>
                <w:sz w:val="18"/>
                <w:szCs w:val="18"/>
                <w:color w:val="auto"/>
              </w:rPr>
            </w:pPr>
          </w:p>
        </w:tc>
        <w:tc>
          <w:tcPr>
            <w:tcW w:w="480" w:type="dxa"/>
            <w:vAlign w:val="bottom"/>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4.1</w:t>
            </w:r>
          </w:p>
        </w:tc>
        <w:tc>
          <w:tcPr>
            <w:tcW w:w="420" w:type="dxa"/>
            <w:vAlign w:val="bottom"/>
            <w:shd w:val="clear" w:color="auto" w:fill="CCEEFF"/>
          </w:tcPr>
          <w:p>
            <w:pPr>
              <w:spacing w:after="0"/>
              <w:rPr>
                <w:sz w:val="18"/>
                <w:szCs w:val="18"/>
                <w:color w:val="auto"/>
              </w:rPr>
            </w:pPr>
          </w:p>
        </w:tc>
        <w:tc>
          <w:tcPr>
            <w:tcW w:w="122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2.1</w:t>
            </w:r>
          </w:p>
        </w:tc>
      </w:tr>
      <w:tr>
        <w:trPr>
          <w:trHeight w:val="216"/>
        </w:trPr>
        <w:tc>
          <w:tcPr>
            <w:tcW w:w="5800" w:type="dxa"/>
            <w:vAlign w:val="bottom"/>
          </w:tcPr>
          <w:p>
            <w:pPr>
              <w:spacing w:after="0"/>
              <w:rPr>
                <w:sz w:val="20"/>
                <w:szCs w:val="20"/>
                <w:color w:val="auto"/>
              </w:rPr>
            </w:pPr>
            <w:r>
              <w:rPr>
                <w:rFonts w:ascii="Arial" w:cs="Arial" w:eastAsia="Arial" w:hAnsi="Arial"/>
                <w:sz w:val="18"/>
                <w:szCs w:val="18"/>
                <w:color w:val="auto"/>
              </w:rPr>
              <w:t>Corporate Information Systems</w:t>
            </w:r>
          </w:p>
        </w:tc>
        <w:tc>
          <w:tcPr>
            <w:tcW w:w="3500" w:type="dxa"/>
            <w:vAlign w:val="bottom"/>
          </w:tcPr>
          <w:p>
            <w:pPr>
              <w:spacing w:after="0"/>
              <w:rPr>
                <w:sz w:val="18"/>
                <w:szCs w:val="18"/>
                <w:color w:val="auto"/>
              </w:rPr>
            </w:pPr>
          </w:p>
        </w:tc>
        <w:tc>
          <w:tcPr>
            <w:tcW w:w="480" w:type="dxa"/>
            <w:vAlign w:val="bottom"/>
          </w:tcPr>
          <w:p>
            <w:pPr>
              <w:jc w:val="right"/>
              <w:ind w:right="10"/>
              <w:spacing w:after="0"/>
              <w:rPr>
                <w:sz w:val="20"/>
                <w:szCs w:val="20"/>
                <w:color w:val="auto"/>
              </w:rPr>
            </w:pPr>
            <w:r>
              <w:rPr>
                <w:rFonts w:ascii="Arial" w:cs="Arial" w:eastAsia="Arial" w:hAnsi="Arial"/>
                <w:sz w:val="18"/>
                <w:szCs w:val="18"/>
                <w:b w:val="1"/>
                <w:bCs w:val="1"/>
                <w:color w:val="auto"/>
              </w:rPr>
              <w:t>0.6</w:t>
            </w:r>
          </w:p>
        </w:tc>
        <w:tc>
          <w:tcPr>
            <w:tcW w:w="420" w:type="dxa"/>
            <w:vAlign w:val="bottom"/>
          </w:tcPr>
          <w:p>
            <w:pPr>
              <w:spacing w:after="0"/>
              <w:rPr>
                <w:sz w:val="18"/>
                <w:szCs w:val="18"/>
                <w:color w:val="auto"/>
              </w:rPr>
            </w:pPr>
          </w:p>
        </w:tc>
        <w:tc>
          <w:tcPr>
            <w:tcW w:w="1220" w:type="dxa"/>
            <w:vAlign w:val="bottom"/>
          </w:tcPr>
          <w:p>
            <w:pPr>
              <w:jc w:val="right"/>
              <w:ind w:right="10"/>
              <w:spacing w:after="0"/>
              <w:rPr>
                <w:sz w:val="20"/>
                <w:szCs w:val="20"/>
                <w:color w:val="auto"/>
              </w:rPr>
            </w:pPr>
            <w:r>
              <w:rPr>
                <w:rFonts w:ascii="Arial" w:cs="Arial" w:eastAsia="Arial" w:hAnsi="Arial"/>
                <w:sz w:val="18"/>
                <w:szCs w:val="18"/>
                <w:color w:val="auto"/>
              </w:rPr>
              <w:t>0.8</w:t>
            </w:r>
          </w:p>
        </w:tc>
      </w:tr>
      <w:tr>
        <w:trPr>
          <w:trHeight w:val="216"/>
        </w:trPr>
        <w:tc>
          <w:tcPr>
            <w:tcW w:w="5800" w:type="dxa"/>
            <w:vAlign w:val="bottom"/>
            <w:shd w:val="clear" w:color="auto" w:fill="CCEEFF"/>
          </w:tcPr>
          <w:p>
            <w:pPr>
              <w:spacing w:after="0"/>
              <w:rPr>
                <w:sz w:val="20"/>
                <w:szCs w:val="20"/>
                <w:color w:val="auto"/>
              </w:rPr>
            </w:pPr>
            <w:r>
              <w:rPr>
                <w:rFonts w:ascii="Arial" w:cs="Arial" w:eastAsia="Arial" w:hAnsi="Arial"/>
                <w:sz w:val="18"/>
                <w:szCs w:val="18"/>
                <w:color w:val="auto"/>
              </w:rPr>
              <w:t>Organization Advancement</w:t>
            </w:r>
          </w:p>
        </w:tc>
        <w:tc>
          <w:tcPr>
            <w:tcW w:w="3500" w:type="dxa"/>
            <w:vAlign w:val="bottom"/>
            <w:shd w:val="clear" w:color="auto" w:fill="CCEEFF"/>
          </w:tcPr>
          <w:p>
            <w:pPr>
              <w:spacing w:after="0"/>
              <w:rPr>
                <w:sz w:val="18"/>
                <w:szCs w:val="18"/>
                <w:color w:val="auto"/>
              </w:rPr>
            </w:pPr>
          </w:p>
        </w:tc>
        <w:tc>
          <w:tcPr>
            <w:tcW w:w="480" w:type="dxa"/>
            <w:vAlign w:val="bottom"/>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1.0</w:t>
            </w:r>
          </w:p>
        </w:tc>
        <w:tc>
          <w:tcPr>
            <w:tcW w:w="420" w:type="dxa"/>
            <w:vAlign w:val="bottom"/>
            <w:shd w:val="clear" w:color="auto" w:fill="CCEEFF"/>
          </w:tcPr>
          <w:p>
            <w:pPr>
              <w:spacing w:after="0"/>
              <w:rPr>
                <w:sz w:val="18"/>
                <w:szCs w:val="18"/>
                <w:color w:val="auto"/>
              </w:rPr>
            </w:pPr>
          </w:p>
        </w:tc>
        <w:tc>
          <w:tcPr>
            <w:tcW w:w="122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0.9</w:t>
            </w:r>
          </w:p>
        </w:tc>
      </w:tr>
      <w:tr>
        <w:trPr>
          <w:trHeight w:val="230"/>
        </w:trPr>
        <w:tc>
          <w:tcPr>
            <w:tcW w:w="580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Other</w:t>
            </w:r>
          </w:p>
        </w:tc>
        <w:tc>
          <w:tcPr>
            <w:tcW w:w="3500" w:type="dxa"/>
            <w:vAlign w:val="bottom"/>
            <w:tcBorders>
              <w:bottom w:val="single" w:sz="8" w:color="auto"/>
            </w:tcBorders>
          </w:tcPr>
          <w:p>
            <w:pPr>
              <w:spacing w:after="0"/>
              <w:rPr>
                <w:sz w:val="19"/>
                <w:szCs w:val="19"/>
                <w:color w:val="auto"/>
              </w:rPr>
            </w:pPr>
          </w:p>
        </w:tc>
        <w:tc>
          <w:tcPr>
            <w:tcW w:w="48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b w:val="1"/>
                <w:bCs w:val="1"/>
                <w:color w:val="auto"/>
              </w:rPr>
              <w:t>0.3</w:t>
            </w:r>
          </w:p>
        </w:tc>
        <w:tc>
          <w:tcPr>
            <w:tcW w:w="420" w:type="dxa"/>
            <w:vAlign w:val="bottom"/>
            <w:tcBorders>
              <w:bottom w:val="single" w:sz="8" w:color="auto"/>
            </w:tcBorders>
          </w:tcPr>
          <w:p>
            <w:pPr>
              <w:spacing w:after="0"/>
              <w:rPr>
                <w:sz w:val="19"/>
                <w:szCs w:val="19"/>
                <w:color w:val="auto"/>
              </w:rPr>
            </w:pPr>
          </w:p>
        </w:tc>
        <w:tc>
          <w:tcPr>
            <w:tcW w:w="122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0.3</w:t>
            </w:r>
          </w:p>
        </w:tc>
      </w:tr>
      <w:tr>
        <w:trPr>
          <w:trHeight w:val="217"/>
        </w:trPr>
        <w:tc>
          <w:tcPr>
            <w:tcW w:w="580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color w:val="auto"/>
              </w:rPr>
              <w:t>Total Allocations</w:t>
            </w:r>
          </w:p>
        </w:tc>
        <w:tc>
          <w:tcPr>
            <w:tcW w:w="3500" w:type="dxa"/>
            <w:vAlign w:val="bottom"/>
            <w:tcBorders>
              <w:bottom w:val="single" w:sz="8" w:color="auto"/>
            </w:tcBorders>
            <w:shd w:val="clear" w:color="auto" w:fill="CCEEFF"/>
          </w:tcPr>
          <w:p>
            <w:pPr>
              <w:jc w:val="right"/>
              <w:ind w:right="890"/>
              <w:spacing w:after="0"/>
              <w:rPr>
                <w:sz w:val="20"/>
                <w:szCs w:val="20"/>
                <w:color w:val="auto"/>
              </w:rPr>
            </w:pPr>
            <w:r>
              <w:rPr>
                <w:rFonts w:ascii="Arial" w:cs="Arial" w:eastAsia="Arial" w:hAnsi="Arial"/>
                <w:sz w:val="18"/>
                <w:szCs w:val="18"/>
                <w:b w:val="1"/>
                <w:bCs w:val="1"/>
                <w:color w:val="auto"/>
              </w:rPr>
              <w:t>$</w:t>
            </w:r>
          </w:p>
        </w:tc>
        <w:tc>
          <w:tcPr>
            <w:tcW w:w="48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7.4</w:t>
            </w:r>
          </w:p>
        </w:tc>
        <w:tc>
          <w:tcPr>
            <w:tcW w:w="420" w:type="dxa"/>
            <w:vAlign w:val="bottom"/>
            <w:tcBorders>
              <w:bottom w:val="single" w:sz="8" w:color="auto"/>
            </w:tcBorders>
            <w:shd w:val="clear" w:color="auto" w:fill="CCEEFF"/>
          </w:tcPr>
          <w:p>
            <w:pPr>
              <w:jc w:val="right"/>
              <w:ind w:right="130"/>
              <w:spacing w:after="0"/>
              <w:rPr>
                <w:sz w:val="20"/>
                <w:szCs w:val="20"/>
                <w:color w:val="auto"/>
              </w:rPr>
            </w:pPr>
            <w:r>
              <w:rPr>
                <w:rFonts w:ascii="Arial" w:cs="Arial" w:eastAsia="Arial" w:hAnsi="Arial"/>
                <w:sz w:val="18"/>
                <w:szCs w:val="18"/>
                <w:color w:val="auto"/>
              </w:rPr>
              <w:t>$</w:t>
            </w:r>
          </w:p>
        </w:tc>
        <w:tc>
          <w:tcPr>
            <w:tcW w:w="12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5.3</w:t>
            </w: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Cash Management and Financing</w:t>
      </w:r>
    </w:p>
    <w:p>
      <w:pPr>
        <w:spacing w:after="0" w:line="225" w:lineRule="exact"/>
        <w:rPr>
          <w:sz w:val="20"/>
          <w:szCs w:val="20"/>
          <w:color w:val="auto"/>
        </w:rPr>
      </w:pPr>
    </w:p>
    <w:p>
      <w:pPr>
        <w:ind w:right="60" w:firstLine="913"/>
        <w:spacing w:after="0" w:line="297" w:lineRule="auto"/>
        <w:rPr>
          <w:sz w:val="20"/>
          <w:szCs w:val="20"/>
          <w:color w:val="auto"/>
        </w:rPr>
      </w:pPr>
      <w:r>
        <w:rPr>
          <w:rFonts w:ascii="Arial" w:cs="Arial" w:eastAsia="Arial" w:hAnsi="Arial"/>
          <w:sz w:val="16"/>
          <w:szCs w:val="16"/>
          <w:color w:val="auto"/>
        </w:rPr>
        <w:t>Timken uses a centralized approach to cash management and financing its operations, including the operations of TimkenSteel. Accordingly, none of the cash and cash equivalents have been allocated to TimkenSteel in the Unaudited Consolidated Financial Statements. Disbursements are made through centralized accounts payable systems, which are operated by Timken. Cash receipts are transferred to centralized accounts, also maintained by Timken. As cash is disbursed and received by Timken, it is accounted for by TimkenSteel through the Net Parent Investment. All short- and long-term debt is financed by Timken and financing decisions for wholly and majority owned subsidiaries are determined by Timken’s corporate treasury operations.</w:t>
      </w:r>
    </w:p>
    <w:p>
      <w:pPr>
        <w:spacing w:after="0" w:line="9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F-32</w:t>
      </w:r>
    </w:p>
    <w:p>
      <w:pPr>
        <w:sectPr>
          <w:pgSz w:w="11900" w:h="16838" w:orient="portrait"/>
          <w:cols w:equalWidth="0" w:num="1">
            <w:col w:w="11420"/>
          </w:cols>
          <w:pgMar w:left="240" w:top="459" w:right="239" w:bottom="1440" w:gutter="0" w:footer="0" w:header="0"/>
        </w:sectPr>
      </w:pPr>
    </w:p>
    <w:bookmarkStart w:id="139" w:name="page140"/>
    <w:bookmarkEnd w:id="13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67">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Transactions with Other Timken Businesses</w:t>
      </w:r>
    </w:p>
    <w:p>
      <w:pPr>
        <w:spacing w:after="0" w:line="225" w:lineRule="exact"/>
        <w:rPr>
          <w:sz w:val="20"/>
          <w:szCs w:val="20"/>
          <w:color w:val="auto"/>
        </w:rPr>
      </w:pPr>
    </w:p>
    <w:p>
      <w:pPr>
        <w:ind w:firstLine="913"/>
        <w:spacing w:after="0" w:line="254" w:lineRule="auto"/>
        <w:rPr>
          <w:sz w:val="20"/>
          <w:szCs w:val="20"/>
          <w:color w:val="auto"/>
        </w:rPr>
      </w:pPr>
      <w:r>
        <w:rPr>
          <w:rFonts w:ascii="Arial" w:cs="Arial" w:eastAsia="Arial" w:hAnsi="Arial"/>
          <w:sz w:val="18"/>
          <w:szCs w:val="18"/>
          <w:color w:val="auto"/>
        </w:rPr>
        <w:t>Throughout the periods covered by the Unaudited Consolidated Financial Statements, TimkenSteel sold finished goods to Timken’s other businesses. Revenues from related party sales of products totaled $22.6 million, or 5.8% of net sales, for the three months ended March 31, 2014 and $19.6 million, or 5.7% of net sales, for the three months ended March 31, 2013. The cost of products sold to related parties was $16.8 million and $14.5 million for the three months ended March 31, 2014 and 2013, respectively. In addition, TimkenSteel has historically made pension contributions to the Timken UK Pension Scheme, which provides benefits to eligible employees and retirees of both Timken and TimkenSteel. Timken agreed to remit cash to settle with TimkenSteel the portion of the net pension contributions related to eligible Timken employees and retirees prior to the completion of the spinoff. TimkenSteel recorded receivables from other Timken businesses relating to the above transactions totaling $28.5 million and $26.7 million as of March 31, 2014 and December 31, 2013, respectively.</w:t>
      </w:r>
    </w:p>
    <w:p>
      <w:pPr>
        <w:spacing w:after="0" w:line="192" w:lineRule="exact"/>
        <w:rPr>
          <w:sz w:val="20"/>
          <w:szCs w:val="20"/>
          <w:color w:val="auto"/>
        </w:rPr>
      </w:pPr>
    </w:p>
    <w:p>
      <w:pPr>
        <w:ind w:right="180" w:firstLine="913"/>
        <w:spacing w:after="0" w:line="279" w:lineRule="auto"/>
        <w:rPr>
          <w:sz w:val="20"/>
          <w:szCs w:val="20"/>
          <w:color w:val="auto"/>
        </w:rPr>
      </w:pPr>
      <w:r>
        <w:rPr>
          <w:rFonts w:ascii="Arial" w:cs="Arial" w:eastAsia="Arial" w:hAnsi="Arial"/>
          <w:sz w:val="17"/>
          <w:szCs w:val="17"/>
          <w:color w:val="auto"/>
        </w:rPr>
        <w:t>TimkenSteel purchased material from a related party for approximately $0.6 million and $1.4 million during the first three months of 2014 and 2013, respectively. In addition, certain of TimkenSteel’s third-party service providers are paid by Timken on behalf of TimkenSteel. TimkenSteel subsequently reimburses Timken for such payments in cash. TimkenSteel recorded payables due to Timken and its businesses relating to the above transactions totaling $21.0 million and $17.7 million as of March 31, 2014 and December 31, 2013, respectively.</w:t>
      </w:r>
    </w:p>
    <w:p>
      <w:pPr>
        <w:spacing w:after="0" w:line="370" w:lineRule="exact"/>
        <w:rPr>
          <w:sz w:val="20"/>
          <w:szCs w:val="20"/>
          <w:color w:val="auto"/>
        </w:rPr>
      </w:pPr>
    </w:p>
    <w:p>
      <w:pPr>
        <w:spacing w:after="0"/>
        <w:rPr>
          <w:sz w:val="20"/>
          <w:szCs w:val="20"/>
          <w:color w:val="auto"/>
        </w:rPr>
      </w:pPr>
      <w:r>
        <w:rPr>
          <w:rFonts w:ascii="Arial" w:cs="Arial" w:eastAsia="Arial" w:hAnsi="Arial"/>
          <w:sz w:val="23"/>
          <w:szCs w:val="23"/>
          <w:b w:val="1"/>
          <w:bCs w:val="1"/>
          <w:color w:val="auto"/>
        </w:rPr>
        <w:t>Note 12 - Subsequent Events</w:t>
      </w:r>
    </w:p>
    <w:p>
      <w:pPr>
        <w:spacing w:after="0" w:line="239" w:lineRule="exact"/>
        <w:rPr>
          <w:sz w:val="20"/>
          <w:szCs w:val="20"/>
          <w:color w:val="auto"/>
        </w:rPr>
      </w:pPr>
    </w:p>
    <w:p>
      <w:pPr>
        <w:ind w:right="560" w:firstLine="913"/>
        <w:spacing w:after="0" w:line="277" w:lineRule="auto"/>
        <w:rPr>
          <w:sz w:val="20"/>
          <w:szCs w:val="20"/>
          <w:color w:val="auto"/>
        </w:rPr>
      </w:pPr>
      <w:r>
        <w:rPr>
          <w:rFonts w:ascii="Arial" w:cs="Arial" w:eastAsia="Arial" w:hAnsi="Arial"/>
          <w:sz w:val="18"/>
          <w:szCs w:val="18"/>
          <w:color w:val="auto"/>
        </w:rPr>
        <w:t>The Unaudited Consolidated Financial Statements reflect management’s evaluation of subsequent events, through May 15, 2014, the date TimkenSteel’s Unaudited Consolidated Financial Statements were available to be issued.</w:t>
      </w:r>
    </w:p>
    <w:p>
      <w:pPr>
        <w:spacing w:after="0" w:line="170" w:lineRule="exact"/>
        <w:rPr>
          <w:sz w:val="20"/>
          <w:szCs w:val="20"/>
          <w:color w:val="auto"/>
        </w:rPr>
      </w:pPr>
    </w:p>
    <w:p>
      <w:pPr>
        <w:ind w:right="60" w:firstLine="913"/>
        <w:spacing w:after="0" w:line="259" w:lineRule="auto"/>
        <w:rPr>
          <w:sz w:val="20"/>
          <w:szCs w:val="20"/>
          <w:color w:val="auto"/>
        </w:rPr>
      </w:pPr>
      <w:r>
        <w:rPr>
          <w:rFonts w:ascii="Arial" w:cs="Arial" w:eastAsia="Arial" w:hAnsi="Arial"/>
          <w:sz w:val="18"/>
          <w:szCs w:val="18"/>
          <w:color w:val="auto"/>
        </w:rPr>
        <w:t>Effective May 1, 2014, Timken-sponsored retirement and postretirement benefit plans were split between Timken and TimkenSteel in anticipation of the separation based on the ERISA prescribed calculations. Based on preliminary estimates, TimkenSteel expects to assume estimated gross US-based pension and postretirement obligations of $1.0 billion and $0.2 billion, respectively. In addition, anticipated assets to be transferred are expected to be $1.1 billion and $0.1 billion, respectively, for US-based pension and postretirement obligations.</w:t>
      </w:r>
    </w:p>
    <w:p>
      <w:pPr>
        <w:spacing w:after="0" w:line="11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F-33</w:t>
      </w:r>
    </w:p>
    <w:p>
      <w:pPr>
        <w:sectPr>
          <w:pgSz w:w="11900" w:h="16838" w:orient="portrait"/>
          <w:cols w:equalWidth="0" w:num="1">
            <w:col w:w="11380"/>
          </w:cols>
          <w:pgMar w:left="240" w:top="459" w:right="279" w:bottom="1440" w:gutter="0" w:footer="0" w:header="0"/>
        </w:sectPr>
      </w:pPr>
    </w:p>
    <w:bookmarkStart w:id="140" w:name="page141"/>
    <w:bookmarkEnd w:id="14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68">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1831975</wp:posOffset>
            </wp:positionH>
            <wp:positionV relativeFrom="paragraph">
              <wp:posOffset>205740</wp:posOffset>
            </wp:positionV>
            <wp:extent cx="3601720" cy="454660"/>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69">
                      <a:extLst>
                        <a:ext uri="{28A0092B-C50C-407E-A947-70E740481C1C}"/>
                      </a:extLst>
                    </a:blip>
                    <a:srcRect/>
                    <a:stretch>
                      <a:fillRect/>
                    </a:stretch>
                  </pic:blipFill>
                  <pic:spPr bwMode="auto">
                    <a:xfrm>
                      <a:off x="0" y="0"/>
                      <a:ext cx="3601720" cy="45466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jc w:val="center"/>
        <w:ind w:right="-339"/>
        <w:spacing w:after="0"/>
        <w:rPr>
          <w:sz w:val="20"/>
          <w:szCs w:val="20"/>
          <w:color w:val="auto"/>
        </w:rPr>
      </w:pPr>
      <w:r>
        <w:rPr>
          <w:rFonts w:ascii="Arial" w:cs="Arial" w:eastAsia="Arial" w:hAnsi="Arial"/>
          <w:sz w:val="18"/>
          <w:szCs w:val="18"/>
          <w:b w:val="1"/>
          <w:bCs w:val="1"/>
          <w:color w:val="auto"/>
        </w:rPr>
        <w:t>Dealer Prospectus Delivery Obligation</w:t>
      </w:r>
    </w:p>
    <w:p>
      <w:pPr>
        <w:spacing w:after="0" w:line="229" w:lineRule="exact"/>
        <w:rPr>
          <w:sz w:val="20"/>
          <w:szCs w:val="20"/>
          <w:color w:val="auto"/>
        </w:rPr>
      </w:pPr>
    </w:p>
    <w:p>
      <w:pPr>
        <w:ind w:left="920"/>
        <w:spacing w:after="0"/>
        <w:tabs>
          <w:tab w:leader="none" w:pos="2220" w:val="left"/>
        </w:tabs>
        <w:rPr>
          <w:sz w:val="20"/>
          <w:szCs w:val="20"/>
          <w:color w:val="auto"/>
        </w:rPr>
      </w:pPr>
      <w:r>
        <w:rPr>
          <w:rFonts w:ascii="Arial" w:cs="Arial" w:eastAsia="Arial" w:hAnsi="Arial"/>
          <w:sz w:val="16"/>
          <w:szCs w:val="16"/>
          <w:color w:val="auto"/>
        </w:rPr>
        <w:t>Until</w:t>
      </w:r>
      <w:r>
        <w:rPr>
          <w:sz w:val="20"/>
          <w:szCs w:val="20"/>
          <w:color w:val="auto"/>
        </w:rPr>
        <w:tab/>
      </w:r>
      <w:r>
        <w:rPr>
          <w:rFonts w:ascii="Arial" w:cs="Arial" w:eastAsia="Arial" w:hAnsi="Arial"/>
          <w:sz w:val="16"/>
          <w:szCs w:val="16"/>
          <w:color w:val="auto"/>
        </w:rPr>
        <w:t>, 2014 (25 days after the date of this prospectus), all dealers that effect transactions in these securities, whether or not</w:t>
      </w:r>
    </w:p>
    <w:p>
      <w:pPr>
        <w:spacing w:after="0" w:line="46" w:lineRule="exact"/>
        <w:rPr>
          <w:sz w:val="20"/>
          <w:szCs w:val="20"/>
          <w:color w:val="auto"/>
        </w:rPr>
      </w:pPr>
    </w:p>
    <w:p>
      <w:pPr>
        <w:spacing w:after="0" w:line="261" w:lineRule="auto"/>
        <w:rPr>
          <w:sz w:val="20"/>
          <w:szCs w:val="20"/>
          <w:color w:val="auto"/>
        </w:rPr>
      </w:pPr>
      <w:r>
        <w:rPr>
          <w:rFonts w:ascii="Arial" w:cs="Arial" w:eastAsia="Arial" w:hAnsi="Arial"/>
          <w:sz w:val="18"/>
          <w:szCs w:val="18"/>
          <w:color w:val="auto"/>
        </w:rPr>
        <w:t>participating in this offering, may be required to deliver a prospectus. This is in addition to each dealer’s obligation to deliver a prospectus when acting as underwriter and with respect to unsold allotments or subscriptions.</w:t>
      </w:r>
    </w:p>
    <w:p>
      <w:pPr>
        <w:sectPr>
          <w:pgSz w:w="11900" w:h="16838" w:orient="portrait"/>
          <w:cols w:equalWidth="0" w:num="1">
            <w:col w:w="11080"/>
          </w:cols>
          <w:pgMar w:left="240" w:top="459" w:right="579" w:bottom="1440" w:gutter="0" w:footer="0" w:header="0"/>
        </w:sectPr>
      </w:pPr>
    </w:p>
    <w:bookmarkStart w:id="141" w:name="page142"/>
    <w:bookmarkEnd w:id="14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70">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PART II</w:t>
      </w:r>
    </w:p>
    <w:p>
      <w:pPr>
        <w:spacing w:after="0" w:line="225" w:lineRule="exact"/>
        <w:rPr>
          <w:sz w:val="20"/>
          <w:szCs w:val="20"/>
          <w:color w:val="auto"/>
        </w:rPr>
      </w:pPr>
    </w:p>
    <w:p>
      <w:pPr>
        <w:ind w:left="3580"/>
        <w:spacing w:after="0"/>
        <w:rPr>
          <w:sz w:val="20"/>
          <w:szCs w:val="20"/>
          <w:color w:val="auto"/>
        </w:rPr>
      </w:pPr>
      <w:r>
        <w:rPr>
          <w:rFonts w:ascii="Arial" w:cs="Arial" w:eastAsia="Arial" w:hAnsi="Arial"/>
          <w:sz w:val="18"/>
          <w:szCs w:val="18"/>
          <w:b w:val="1"/>
          <w:bCs w:val="1"/>
          <w:color w:val="auto"/>
        </w:rPr>
        <w:t>INFORMATION NOT REQUIRED IN PROSPECTUS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13.  </w:t>
      </w:r>
      <w:r>
        <w:rPr>
          <w:rFonts w:ascii="Arial" w:cs="Arial" w:eastAsia="Arial" w:hAnsi="Arial"/>
          <w:sz w:val="18"/>
          <w:szCs w:val="18"/>
          <w:b w:val="1"/>
          <w:bCs w:val="1"/>
          <w:i w:val="1"/>
          <w:iCs w:val="1"/>
          <w:color w:val="auto"/>
        </w:rPr>
        <w:t>OTHER EXPENSES OF ISSUANCE AND DISTRIBUTION.</w:t>
      </w:r>
    </w:p>
    <w:p>
      <w:pPr>
        <w:spacing w:after="0" w:line="54" w:lineRule="exact"/>
        <w:rPr>
          <w:sz w:val="20"/>
          <w:szCs w:val="20"/>
          <w:color w:val="auto"/>
        </w:rPr>
      </w:pPr>
    </w:p>
    <w:p>
      <w:pPr>
        <w:ind w:left="920"/>
        <w:spacing w:after="0"/>
        <w:rPr>
          <w:sz w:val="20"/>
          <w:szCs w:val="20"/>
          <w:color w:val="auto"/>
        </w:rPr>
      </w:pPr>
      <w:r>
        <w:rPr>
          <w:rFonts w:ascii="Arial" w:cs="Arial" w:eastAsia="Arial" w:hAnsi="Arial"/>
          <w:sz w:val="16"/>
          <w:szCs w:val="16"/>
          <w:color w:val="auto"/>
        </w:rPr>
        <w:t>The following table sets forth the costs and expenses payable by the registrant in connection with the issuance of the securities being registered.</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All amounts are estimates except the Securities and Exchange Commission registration fee.</w:t>
      </w:r>
    </w:p>
    <w:p>
      <w:pPr>
        <w:spacing w:after="0" w:line="229" w:lineRule="exact"/>
        <w:rPr>
          <w:sz w:val="20"/>
          <w:szCs w:val="20"/>
          <w:color w:val="auto"/>
        </w:rPr>
      </w:pPr>
    </w:p>
    <w:tbl>
      <w:tblPr>
        <w:tblLayout w:type="fixed"/>
        <w:tblInd w:w="0" w:type="dxa"/>
        <w:tblCellMar>
          <w:top w:w="0" w:type="dxa"/>
          <w:left w:w="0" w:type="dxa"/>
          <w:bottom w:w="0" w:type="dxa"/>
          <w:right w:w="0" w:type="dxa"/>
        </w:tblCellMar>
      </w:tblPr>
      <w:tr>
        <w:trPr>
          <w:trHeight w:val="185"/>
        </w:trPr>
        <w:tc>
          <w:tcPr>
            <w:tcW w:w="10420" w:type="dxa"/>
            <w:vAlign w:val="bottom"/>
          </w:tcPr>
          <w:p>
            <w:pPr>
              <w:spacing w:after="0"/>
              <w:rPr>
                <w:sz w:val="20"/>
                <w:szCs w:val="20"/>
                <w:color w:val="auto"/>
              </w:rPr>
            </w:pPr>
            <w:r>
              <w:rPr>
                <w:rFonts w:ascii="Arial" w:cs="Arial" w:eastAsia="Arial" w:hAnsi="Arial"/>
                <w:sz w:val="14"/>
                <w:szCs w:val="14"/>
                <w:b w:val="1"/>
                <w:bCs w:val="1"/>
                <w:color w:val="auto"/>
              </w:rPr>
              <w:t>Item</w:t>
            </w:r>
          </w:p>
        </w:tc>
        <w:tc>
          <w:tcPr>
            <w:tcW w:w="2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700" w:type="dxa"/>
            <w:vAlign w:val="bottom"/>
            <w:gridSpan w:val="2"/>
          </w:tcPr>
          <w:p>
            <w:pPr>
              <w:jc w:val="right"/>
              <w:ind w:right="180"/>
              <w:spacing w:after="0"/>
              <w:rPr>
                <w:sz w:val="20"/>
                <w:szCs w:val="20"/>
                <w:color w:val="auto"/>
              </w:rPr>
            </w:pPr>
            <w:r>
              <w:rPr>
                <w:rFonts w:ascii="Arial" w:cs="Arial" w:eastAsia="Arial" w:hAnsi="Arial"/>
                <w:sz w:val="14"/>
                <w:szCs w:val="14"/>
                <w:b w:val="1"/>
                <w:bCs w:val="1"/>
                <w:color w:val="auto"/>
                <w:w w:val="94"/>
              </w:rPr>
              <w:t>Amount</w:t>
            </w:r>
          </w:p>
        </w:tc>
      </w:tr>
      <w:tr>
        <w:trPr>
          <w:trHeight w:val="210"/>
        </w:trPr>
        <w:tc>
          <w:tcPr>
            <w:tcW w:w="1042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Securities and Exchange Commission registration fee</w:t>
            </w:r>
          </w:p>
        </w:tc>
        <w:tc>
          <w:tcPr>
            <w:tcW w:w="22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1,510</w:t>
            </w:r>
          </w:p>
        </w:tc>
        <w:tc>
          <w:tcPr>
            <w:tcW w:w="100" w:type="dxa"/>
            <w:vAlign w:val="bottom"/>
            <w:tcBorders>
              <w:top w:val="single" w:sz="8" w:color="CCEEFF"/>
            </w:tcBorders>
            <w:shd w:val="clear" w:color="auto" w:fill="CCEEFF"/>
          </w:tcPr>
          <w:p>
            <w:pPr>
              <w:spacing w:after="0"/>
              <w:rPr>
                <w:sz w:val="18"/>
                <w:szCs w:val="18"/>
                <w:color w:val="auto"/>
              </w:rPr>
            </w:pPr>
          </w:p>
        </w:tc>
      </w:tr>
      <w:tr>
        <w:trPr>
          <w:trHeight w:val="216"/>
        </w:trPr>
        <w:tc>
          <w:tcPr>
            <w:tcW w:w="10420" w:type="dxa"/>
            <w:vAlign w:val="bottom"/>
          </w:tcPr>
          <w:p>
            <w:pPr>
              <w:spacing w:after="0"/>
              <w:rPr>
                <w:sz w:val="20"/>
                <w:szCs w:val="20"/>
                <w:color w:val="auto"/>
              </w:rPr>
            </w:pPr>
            <w:r>
              <w:rPr>
                <w:rFonts w:ascii="Arial" w:cs="Arial" w:eastAsia="Arial" w:hAnsi="Arial"/>
                <w:sz w:val="18"/>
                <w:szCs w:val="18"/>
                <w:color w:val="auto"/>
              </w:rPr>
              <w:t>Legal fees and expenses</w:t>
            </w:r>
          </w:p>
        </w:tc>
        <w:tc>
          <w:tcPr>
            <w:tcW w:w="3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50,000</w:t>
            </w:r>
          </w:p>
        </w:tc>
      </w:tr>
      <w:tr>
        <w:trPr>
          <w:trHeight w:val="216"/>
        </w:trPr>
        <w:tc>
          <w:tcPr>
            <w:tcW w:w="10420" w:type="dxa"/>
            <w:vAlign w:val="bottom"/>
            <w:shd w:val="clear" w:color="auto" w:fill="CCEEFF"/>
          </w:tcPr>
          <w:p>
            <w:pPr>
              <w:spacing w:after="0"/>
              <w:rPr>
                <w:sz w:val="20"/>
                <w:szCs w:val="20"/>
                <w:color w:val="auto"/>
              </w:rPr>
            </w:pPr>
            <w:r>
              <w:rPr>
                <w:rFonts w:ascii="Arial" w:cs="Arial" w:eastAsia="Arial" w:hAnsi="Arial"/>
                <w:sz w:val="18"/>
                <w:szCs w:val="18"/>
                <w:color w:val="auto"/>
              </w:rPr>
              <w:t>Accounting fees and expenses</w:t>
            </w:r>
          </w:p>
        </w:tc>
        <w:tc>
          <w:tcPr>
            <w:tcW w:w="3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20,000</w:t>
            </w:r>
          </w:p>
        </w:tc>
      </w:tr>
      <w:tr>
        <w:trPr>
          <w:trHeight w:val="216"/>
        </w:trPr>
        <w:tc>
          <w:tcPr>
            <w:tcW w:w="10420" w:type="dxa"/>
            <w:vAlign w:val="bottom"/>
          </w:tcPr>
          <w:p>
            <w:pPr>
              <w:spacing w:after="0"/>
              <w:rPr>
                <w:sz w:val="20"/>
                <w:szCs w:val="20"/>
                <w:color w:val="auto"/>
              </w:rPr>
            </w:pPr>
            <w:r>
              <w:rPr>
                <w:rFonts w:ascii="Arial" w:cs="Arial" w:eastAsia="Arial" w:hAnsi="Arial"/>
                <w:sz w:val="18"/>
                <w:szCs w:val="18"/>
                <w:color w:val="auto"/>
              </w:rPr>
              <w:t>Printing expenses</w:t>
            </w:r>
          </w:p>
        </w:tc>
        <w:tc>
          <w:tcPr>
            <w:tcW w:w="3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20,000</w:t>
            </w:r>
          </w:p>
        </w:tc>
      </w:tr>
      <w:tr>
        <w:trPr>
          <w:trHeight w:val="216"/>
        </w:trPr>
        <w:tc>
          <w:tcPr>
            <w:tcW w:w="10420" w:type="dxa"/>
            <w:vAlign w:val="bottom"/>
            <w:shd w:val="clear" w:color="auto" w:fill="CCEEFF"/>
          </w:tcPr>
          <w:p>
            <w:pPr>
              <w:spacing w:after="0"/>
              <w:rPr>
                <w:sz w:val="20"/>
                <w:szCs w:val="20"/>
                <w:color w:val="auto"/>
              </w:rPr>
            </w:pPr>
            <w:r>
              <w:rPr>
                <w:rFonts w:ascii="Arial" w:cs="Arial" w:eastAsia="Arial" w:hAnsi="Arial"/>
                <w:sz w:val="18"/>
                <w:szCs w:val="18"/>
                <w:color w:val="auto"/>
              </w:rPr>
              <w:t>Miscellaneous expenses</w:t>
            </w:r>
          </w:p>
        </w:tc>
        <w:tc>
          <w:tcPr>
            <w:tcW w:w="3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8,490</w:t>
            </w:r>
          </w:p>
        </w:tc>
        <w:tc>
          <w:tcPr>
            <w:tcW w:w="100" w:type="dxa"/>
            <w:vAlign w:val="bottom"/>
            <w:shd w:val="clear" w:color="auto" w:fill="CCEEFF"/>
          </w:tcPr>
          <w:p>
            <w:pPr>
              <w:spacing w:after="0"/>
              <w:rPr>
                <w:sz w:val="18"/>
                <w:szCs w:val="18"/>
                <w:color w:val="auto"/>
              </w:rPr>
            </w:pPr>
          </w:p>
        </w:tc>
      </w:tr>
      <w:tr>
        <w:trPr>
          <w:trHeight w:val="230"/>
        </w:trPr>
        <w:tc>
          <w:tcPr>
            <w:tcW w:w="10420" w:type="dxa"/>
            <w:vAlign w:val="bottom"/>
          </w:tcPr>
          <w:p>
            <w:pPr>
              <w:ind w:left="360"/>
              <w:spacing w:after="0"/>
              <w:rPr>
                <w:sz w:val="20"/>
                <w:szCs w:val="20"/>
                <w:color w:val="auto"/>
              </w:rPr>
            </w:pPr>
            <w:r>
              <w:rPr>
                <w:rFonts w:ascii="Arial" w:cs="Arial" w:eastAsia="Arial" w:hAnsi="Arial"/>
                <w:sz w:val="18"/>
                <w:szCs w:val="18"/>
                <w:color w:val="auto"/>
              </w:rPr>
              <w:t>Total</w:t>
            </w:r>
          </w:p>
        </w:tc>
        <w:tc>
          <w:tcPr>
            <w:tcW w:w="3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00" w:type="dxa"/>
            <w:vAlign w:val="bottom"/>
          </w:tcPr>
          <w:p>
            <w:pPr>
              <w:jc w:val="right"/>
              <w:spacing w:after="0"/>
              <w:rPr>
                <w:sz w:val="20"/>
                <w:szCs w:val="20"/>
                <w:color w:val="auto"/>
              </w:rPr>
            </w:pPr>
            <w:r>
              <w:rPr>
                <w:rFonts w:ascii="Arial" w:cs="Arial" w:eastAsia="Arial" w:hAnsi="Arial"/>
                <w:sz w:val="18"/>
                <w:szCs w:val="18"/>
                <w:color w:val="auto"/>
                <w:w w:val="89"/>
              </w:rPr>
              <w:t>100,000</w:t>
            </w:r>
          </w:p>
        </w:tc>
        <w:tc>
          <w:tcPr>
            <w:tcW w:w="100" w:type="dxa"/>
            <w:vAlign w:val="bottom"/>
          </w:tcPr>
          <w:p>
            <w:pPr>
              <w:spacing w:after="0"/>
              <w:rPr>
                <w:sz w:val="20"/>
                <w:szCs w:val="20"/>
                <w:color w:val="auto"/>
              </w:rPr>
            </w:pPr>
          </w:p>
        </w:tc>
      </w:tr>
    </w:tbl>
    <w:p>
      <w:pPr>
        <w:spacing w:after="0" w:line="40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14.  </w:t>
      </w:r>
      <w:r>
        <w:rPr>
          <w:rFonts w:ascii="Arial" w:cs="Arial" w:eastAsia="Arial" w:hAnsi="Arial"/>
          <w:sz w:val="18"/>
          <w:szCs w:val="18"/>
          <w:b w:val="1"/>
          <w:bCs w:val="1"/>
          <w:i w:val="1"/>
          <w:iCs w:val="1"/>
          <w:color w:val="auto"/>
        </w:rPr>
        <w:t>INDEMNIFICATION OF DIRECTORS AND OFFICERS.</w:t>
      </w:r>
    </w:p>
    <w:p>
      <w:pPr>
        <w:spacing w:after="0" w:line="54" w:lineRule="exact"/>
        <w:rPr>
          <w:sz w:val="20"/>
          <w:szCs w:val="20"/>
          <w:color w:val="auto"/>
        </w:rPr>
      </w:pPr>
    </w:p>
    <w:p>
      <w:pPr>
        <w:ind w:firstLine="913"/>
        <w:spacing w:after="0" w:line="289" w:lineRule="auto"/>
        <w:rPr>
          <w:sz w:val="20"/>
          <w:szCs w:val="20"/>
          <w:color w:val="auto"/>
        </w:rPr>
      </w:pPr>
      <w:r>
        <w:rPr>
          <w:rFonts w:ascii="Arial" w:cs="Arial" w:eastAsia="Arial" w:hAnsi="Arial"/>
          <w:sz w:val="16"/>
          <w:szCs w:val="16"/>
          <w:color w:val="auto"/>
        </w:rPr>
        <w:t>Our regulations provide that we will indemnify, to the fullest extent permitted by law, any person who was or is party or is threatened to be made a party to any threatened, pending or completed action, suit or proceeding, whether civil, criminal, administrative or investigative, by reason of the fact that he is or was a director or officer of us, or is or was serving at our request as a director, trustee or officer of another corporation, domestic or foreign, non-profit or for-profit, partnership, joint venture, trust or other enterprise. We will not be required to indemnify any person with respect to any action, suit or proceeding that was initiated by that person unless the action, suit or proceeding was initiated to enforce any rights to indemnification under our regulations and the person is formally adjudged to be entitled to indemnity. The indemnification obligation provided in our regulations is not exclusive of any other rights to which those seeking indemnification may be entitled under any law, the articles of incorporation or any agreement, vote of shareholders or of disinterested directors or otherwise, both as to action in official capacities and as to action in another capacity while he is our director or officer and shall continue as to a person who has ceased to be a director, trustee or officer and shall inure to the benefit of the heirs, executors and administrators of that person.</w:t>
      </w:r>
    </w:p>
    <w:p>
      <w:pPr>
        <w:spacing w:after="0" w:line="234" w:lineRule="exact"/>
        <w:rPr>
          <w:sz w:val="20"/>
          <w:szCs w:val="20"/>
          <w:color w:val="auto"/>
        </w:rPr>
      </w:pPr>
    </w:p>
    <w:p>
      <w:pPr>
        <w:ind w:firstLine="913"/>
        <w:spacing w:after="0" w:line="259" w:lineRule="auto"/>
        <w:rPr>
          <w:sz w:val="20"/>
          <w:szCs w:val="20"/>
          <w:color w:val="auto"/>
        </w:rPr>
      </w:pPr>
      <w:r>
        <w:rPr>
          <w:rFonts w:ascii="Arial" w:cs="Arial" w:eastAsia="Arial" w:hAnsi="Arial"/>
          <w:sz w:val="18"/>
          <w:szCs w:val="18"/>
          <w:color w:val="auto"/>
        </w:rPr>
        <w:t>Our regulations also permit us to purchase and maintain insurance on behalf of any persons that we are required to indemnify under the regulations against any liability asserted against and incurred by that person, in their status or capacity as a party we must indemnify, whether or not we would have the power to indemnify such person against such liability. We may also, to the fullest extent permitted by law, enter into an indemnification agreement with any persons that we are required to indemnify under the regulations.</w:t>
      </w:r>
    </w:p>
    <w:p>
      <w:pPr>
        <w:spacing w:after="0" w:line="187" w:lineRule="exact"/>
        <w:rPr>
          <w:sz w:val="20"/>
          <w:szCs w:val="20"/>
          <w:color w:val="auto"/>
        </w:rPr>
      </w:pPr>
    </w:p>
    <w:p>
      <w:pPr>
        <w:ind w:right="20" w:firstLine="913"/>
        <w:spacing w:after="0" w:line="264" w:lineRule="auto"/>
        <w:rPr>
          <w:sz w:val="20"/>
          <w:szCs w:val="20"/>
          <w:color w:val="auto"/>
        </w:rPr>
      </w:pPr>
      <w:r>
        <w:rPr>
          <w:rFonts w:ascii="Arial" w:cs="Arial" w:eastAsia="Arial" w:hAnsi="Arial"/>
          <w:sz w:val="18"/>
          <w:szCs w:val="18"/>
          <w:color w:val="auto"/>
        </w:rPr>
        <w:t>We will enter into contracts with some of our directors and officers and indemnify them against many of the types of claims that may be made against them. We also will maintain insurance coverage for the benefit of directors and officers with respect to many types of claims that may be made against them, some of which may be in addition to those described in the regulations.</w:t>
      </w:r>
    </w:p>
    <w:p>
      <w:pPr>
        <w:spacing w:after="0" w:line="249" w:lineRule="exact"/>
        <w:rPr>
          <w:sz w:val="20"/>
          <w:szCs w:val="20"/>
          <w:color w:val="auto"/>
        </w:rPr>
      </w:pPr>
    </w:p>
    <w:p>
      <w:pPr>
        <w:ind w:firstLine="913"/>
        <w:spacing w:after="0" w:line="287" w:lineRule="auto"/>
        <w:rPr>
          <w:sz w:val="20"/>
          <w:szCs w:val="20"/>
          <w:color w:val="auto"/>
        </w:rPr>
      </w:pPr>
      <w:r>
        <w:rPr>
          <w:rFonts w:ascii="Arial" w:cs="Arial" w:eastAsia="Arial" w:hAnsi="Arial"/>
          <w:sz w:val="16"/>
          <w:szCs w:val="16"/>
          <w:color w:val="auto"/>
        </w:rPr>
        <w:t>Section 1701.13 of the Ohio Revised Code, or Section 1701.13, generally permits indemnification of any director, officer or employee with respect to any proceeding against any such person provided that: (a) such person acted in good faith, (b) such person reasonably believed that the conduct was in or not opposed to the best interests of the corporation, and (c) in the case of criminal proceedings, such person had no reasonable cause to believe that the conduct was unlawful. Indemnification may be made against expenses (including attorneys’ fees), judgments, fines and settlements actually and reasonably incurred by such person in connection with the proceeding; provided, however, that if the proceeding is one by or in the right of the corporation, indemnification may be made only against actual and reasonable expenses (including attorneys’ fees) and may not be made with respect to any proceeding in which the director, officer or employee has been adjudged to be liable to the corporation, except to the extent that the court in which the proceeding was brought shall determine, upon application, that such person is, in view of all the circumstances, entitled to indemnity for such expenses as the court shall deem proper. To the extent that a director, officer or employee is successful on the merits or otherwise in defense of the proceeding, indemnification is required. The termination of any proceeding by judgment, order, settlement, conviction or upon a plea of nolo contendere or its equivalent does not, of itself, create a presumption that the director, officer or employee did not meet the standard of conduct required for indemnification to be permitted.</w:t>
      </w:r>
    </w:p>
    <w:p>
      <w:pPr>
        <w:sectPr>
          <w:pgSz w:w="11900" w:h="16838" w:orient="portrait"/>
          <w:cols w:equalWidth="0" w:num="1">
            <w:col w:w="11420"/>
          </w:cols>
          <w:pgMar w:left="240" w:top="459" w:right="239" w:bottom="1440" w:gutter="0" w:footer="0" w:header="0"/>
        </w:sectPr>
      </w:pPr>
    </w:p>
    <w:bookmarkStart w:id="142" w:name="page143"/>
    <w:bookmarkEnd w:id="142"/>
    <w:p>
      <w:pPr>
        <w:ind w:firstLine="913"/>
        <w:spacing w:after="0" w:line="271" w:lineRule="auto"/>
        <w:rPr>
          <w:sz w:val="20"/>
          <w:szCs w:val="20"/>
          <w:color w:val="auto"/>
        </w:rPr>
      </w:pPr>
      <w:r>
        <w:rPr>
          <w:rFonts w:ascii="Arial" w:cs="Arial" w:eastAsia="Arial" w:hAnsi="Arial"/>
          <w:sz w:val="17"/>
          <w:szCs w:val="17"/>
          <w:color w:val="auto"/>
        </w:rPr>
        <w:t>Section 1701.13 further provides that indemnification thereunder may not be made by the corporation unless authorized after a determination has been made that such indemnification is proper, with that determination to be made (a) by the Board of Directors by a majority vote of a quorum consisting of directors not parties to the proceedings; (b) if such a quorum is not obtainable, or, even if obtainable, but a quorum of disinterested directors so directs, by independent legal counsel in a written opinion; (c) by the shareholders; or (d) by the court in which the proceeding was brought. However, a director (but not an officer, employee or agent) is entitled to mandatory advancement of expenses, including attorneys’ fees, incurred in defending any action, including derivative actions, brought against the director, provided that the director agrees to cooperate with the corporation concerning the matter and to repay the amount advanced if it is proved by clear and convincing evidence that such director’s act or failure to act was done with deliberate intent to cause injury to the corporation or with reckless disregard for the corporation’s best interests.</w:t>
      </w:r>
    </w:p>
    <w:p>
      <w:pPr>
        <w:spacing w:after="0" w:line="247" w:lineRule="exact"/>
        <w:rPr>
          <w:sz w:val="20"/>
          <w:szCs w:val="20"/>
          <w:color w:val="auto"/>
        </w:rPr>
      </w:pPr>
    </w:p>
    <w:p>
      <w:pPr>
        <w:jc w:val="both"/>
        <w:ind w:right="40" w:firstLine="913"/>
        <w:spacing w:after="0" w:line="264" w:lineRule="auto"/>
        <w:rPr>
          <w:sz w:val="20"/>
          <w:szCs w:val="20"/>
          <w:color w:val="auto"/>
        </w:rPr>
      </w:pPr>
      <w:r>
        <w:rPr>
          <w:rFonts w:ascii="Arial" w:cs="Arial" w:eastAsia="Arial" w:hAnsi="Arial"/>
          <w:sz w:val="18"/>
          <w:szCs w:val="18"/>
          <w:color w:val="auto"/>
        </w:rPr>
        <w:t>Finally, Section 1701.13 provides that indemnification or advancement of expense provided by that Section is not exclusive of any other rights to which those seeking indemnification may be entitled under the articles of incorporation or regulations or any agreement, vote of shareholders or disinterested directors or otherwise.</w:t>
      </w:r>
    </w:p>
    <w:p>
      <w:pPr>
        <w:spacing w:after="0" w:line="11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II-1</w:t>
      </w:r>
    </w:p>
    <w:p>
      <w:pPr>
        <w:sectPr>
          <w:pgSz w:w="11900" w:h="16838" w:orient="portrait"/>
          <w:cols w:equalWidth="0" w:num="1">
            <w:col w:w="11420"/>
          </w:cols>
          <w:pgMar w:left="240" w:top="125" w:right="239" w:bottom="1440" w:gutter="0" w:footer="0" w:header="0"/>
        </w:sectPr>
      </w:pPr>
    </w:p>
    <w:bookmarkStart w:id="143" w:name="page144"/>
    <w:bookmarkEnd w:id="14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7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15.  </w:t>
      </w:r>
      <w:r>
        <w:rPr>
          <w:rFonts w:ascii="Arial" w:cs="Arial" w:eastAsia="Arial" w:hAnsi="Arial"/>
          <w:sz w:val="18"/>
          <w:szCs w:val="18"/>
          <w:b w:val="1"/>
          <w:bCs w:val="1"/>
          <w:i w:val="1"/>
          <w:iCs w:val="1"/>
          <w:color w:val="auto"/>
        </w:rPr>
        <w:t>RECENT SALES OF UNREGISTERED SECURITIES.</w:t>
      </w:r>
    </w:p>
    <w:p>
      <w:pPr>
        <w:spacing w:after="0" w:line="54" w:lineRule="exact"/>
        <w:rPr>
          <w:sz w:val="20"/>
          <w:szCs w:val="20"/>
          <w:color w:val="auto"/>
        </w:rPr>
      </w:pPr>
    </w:p>
    <w:p>
      <w:pPr>
        <w:ind w:right="20" w:firstLine="913"/>
        <w:spacing w:after="0" w:line="264" w:lineRule="auto"/>
        <w:rPr>
          <w:sz w:val="20"/>
          <w:szCs w:val="20"/>
          <w:color w:val="auto"/>
        </w:rPr>
      </w:pPr>
      <w:r>
        <w:rPr>
          <w:rFonts w:ascii="Arial" w:cs="Arial" w:eastAsia="Arial" w:hAnsi="Arial"/>
          <w:sz w:val="18"/>
          <w:szCs w:val="18"/>
          <w:color w:val="auto"/>
        </w:rPr>
        <w:t>On October 28, 2013, TimkenSteel issued ten TimkenSteel common shares to Timken for an aggregate consideration of $10.00 paid to TimkenSteel by Timken. That issuance was not registered under the Securities Act in reliance on the exemption provided by Section 4(a)(2) of the Securities Act because such issuance did not involve a public offering.</w:t>
      </w:r>
    </w:p>
    <w:p>
      <w:pPr>
        <w:spacing w:after="0" w:line="393"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9580" w:type="dxa"/>
            <w:vAlign w:val="bottom"/>
            <w:gridSpan w:val="14"/>
          </w:tcPr>
          <w:p>
            <w:pPr>
              <w:spacing w:after="0"/>
              <w:rPr>
                <w:sz w:val="20"/>
                <w:szCs w:val="20"/>
                <w:color w:val="auto"/>
              </w:rPr>
            </w:pPr>
            <w:r>
              <w:rPr>
                <w:rFonts w:ascii="Arial" w:cs="Arial" w:eastAsia="Arial" w:hAnsi="Arial"/>
                <w:sz w:val="18"/>
                <w:szCs w:val="18"/>
                <w:b w:val="1"/>
                <w:bCs w:val="1"/>
                <w:color w:val="auto"/>
              </w:rPr>
              <w:t xml:space="preserve">ITEM 16.  </w:t>
            </w:r>
            <w:r>
              <w:rPr>
                <w:rFonts w:ascii="Arial" w:cs="Arial" w:eastAsia="Arial" w:hAnsi="Arial"/>
                <w:sz w:val="18"/>
                <w:szCs w:val="18"/>
                <w:b w:val="1"/>
                <w:bCs w:val="1"/>
                <w:i w:val="1"/>
                <w:iCs w:val="1"/>
                <w:color w:val="auto"/>
              </w:rPr>
              <w:t>EXHIBITS AND FINANCIAL STATEMENT SCHEDULES.</w:t>
            </w:r>
          </w:p>
        </w:tc>
        <w:tc>
          <w:tcPr>
            <w:tcW w:w="1740" w:type="dxa"/>
            <w:vAlign w:val="bottom"/>
          </w:tcPr>
          <w:p>
            <w:pPr>
              <w:spacing w:after="0"/>
              <w:rPr>
                <w:sz w:val="20"/>
                <w:szCs w:val="20"/>
                <w:color w:val="auto"/>
              </w:rPr>
            </w:pPr>
          </w:p>
        </w:tc>
      </w:tr>
      <w:tr>
        <w:trPr>
          <w:trHeight w:val="257"/>
        </w:trPr>
        <w:tc>
          <w:tcPr>
            <w:tcW w:w="360" w:type="dxa"/>
            <w:vAlign w:val="bottom"/>
          </w:tcPr>
          <w:p>
            <w:pPr>
              <w:spacing w:after="0"/>
              <w:rPr>
                <w:sz w:val="22"/>
                <w:szCs w:val="22"/>
                <w:color w:val="auto"/>
              </w:rPr>
            </w:pPr>
          </w:p>
        </w:tc>
        <w:tc>
          <w:tcPr>
            <w:tcW w:w="940" w:type="dxa"/>
            <w:vAlign w:val="bottom"/>
          </w:tcPr>
          <w:p>
            <w:pPr>
              <w:ind w:left="560"/>
              <w:spacing w:after="0"/>
              <w:rPr>
                <w:sz w:val="20"/>
                <w:szCs w:val="20"/>
                <w:color w:val="auto"/>
              </w:rPr>
            </w:pPr>
            <w:r>
              <w:rPr>
                <w:rFonts w:ascii="Arial" w:cs="Arial" w:eastAsia="Arial" w:hAnsi="Arial"/>
                <w:sz w:val="18"/>
                <w:szCs w:val="18"/>
                <w:color w:val="auto"/>
              </w:rPr>
              <w:t>(a)</w:t>
            </w:r>
          </w:p>
        </w:tc>
        <w:tc>
          <w:tcPr>
            <w:tcW w:w="8280" w:type="dxa"/>
            <w:vAlign w:val="bottom"/>
            <w:gridSpan w:val="12"/>
          </w:tcPr>
          <w:p>
            <w:pPr>
              <w:ind w:left="180"/>
              <w:spacing w:after="0"/>
              <w:rPr>
                <w:sz w:val="20"/>
                <w:szCs w:val="20"/>
                <w:color w:val="auto"/>
              </w:rPr>
            </w:pPr>
            <w:r>
              <w:rPr>
                <w:rFonts w:ascii="Arial" w:cs="Arial" w:eastAsia="Arial" w:hAnsi="Arial"/>
                <w:sz w:val="18"/>
                <w:szCs w:val="18"/>
                <w:color w:val="auto"/>
              </w:rPr>
              <w:t>Exhibits</w:t>
            </w:r>
          </w:p>
        </w:tc>
        <w:tc>
          <w:tcPr>
            <w:tcW w:w="1740" w:type="dxa"/>
            <w:vAlign w:val="bottom"/>
          </w:tcPr>
          <w:p>
            <w:pPr>
              <w:spacing w:after="0"/>
              <w:rPr>
                <w:sz w:val="22"/>
                <w:szCs w:val="22"/>
                <w:color w:val="auto"/>
              </w:rPr>
            </w:pPr>
          </w:p>
        </w:tc>
      </w:tr>
      <w:tr>
        <w:trPr>
          <w:trHeight w:val="324"/>
        </w:trPr>
        <w:tc>
          <w:tcPr>
            <w:tcW w:w="360" w:type="dxa"/>
            <w:vAlign w:val="bottom"/>
          </w:tcPr>
          <w:p>
            <w:pPr>
              <w:spacing w:after="0"/>
              <w:rPr>
                <w:sz w:val="24"/>
                <w:szCs w:val="24"/>
                <w:color w:val="auto"/>
              </w:rPr>
            </w:pPr>
          </w:p>
        </w:tc>
        <w:tc>
          <w:tcPr>
            <w:tcW w:w="9220" w:type="dxa"/>
            <w:vAlign w:val="bottom"/>
            <w:gridSpan w:val="13"/>
          </w:tcPr>
          <w:p>
            <w:pPr>
              <w:ind w:left="560"/>
              <w:spacing w:after="0"/>
              <w:rPr>
                <w:sz w:val="20"/>
                <w:szCs w:val="20"/>
                <w:color w:val="auto"/>
              </w:rPr>
            </w:pPr>
            <w:r>
              <w:rPr>
                <w:rFonts w:ascii="Arial" w:cs="Arial" w:eastAsia="Arial" w:hAnsi="Arial"/>
                <w:sz w:val="18"/>
                <w:szCs w:val="18"/>
                <w:color w:val="auto"/>
              </w:rPr>
              <w:t>See Exhibit Index.</w:t>
            </w:r>
          </w:p>
        </w:tc>
        <w:tc>
          <w:tcPr>
            <w:tcW w:w="1740" w:type="dxa"/>
            <w:vAlign w:val="bottom"/>
          </w:tcPr>
          <w:p>
            <w:pPr>
              <w:spacing w:after="0"/>
              <w:rPr>
                <w:sz w:val="24"/>
                <w:szCs w:val="24"/>
                <w:color w:val="auto"/>
              </w:rPr>
            </w:pPr>
          </w:p>
        </w:tc>
      </w:tr>
      <w:tr>
        <w:trPr>
          <w:trHeight w:val="338"/>
        </w:trPr>
        <w:tc>
          <w:tcPr>
            <w:tcW w:w="360" w:type="dxa"/>
            <w:vAlign w:val="bottom"/>
          </w:tcPr>
          <w:p>
            <w:pPr>
              <w:spacing w:after="0"/>
              <w:rPr>
                <w:sz w:val="24"/>
                <w:szCs w:val="24"/>
                <w:color w:val="auto"/>
              </w:rPr>
            </w:pPr>
          </w:p>
        </w:tc>
        <w:tc>
          <w:tcPr>
            <w:tcW w:w="940" w:type="dxa"/>
            <w:vAlign w:val="bottom"/>
          </w:tcPr>
          <w:p>
            <w:pPr>
              <w:ind w:left="560"/>
              <w:spacing w:after="0"/>
              <w:rPr>
                <w:sz w:val="20"/>
                <w:szCs w:val="20"/>
                <w:color w:val="auto"/>
              </w:rPr>
            </w:pPr>
            <w:r>
              <w:rPr>
                <w:rFonts w:ascii="Arial" w:cs="Arial" w:eastAsia="Arial" w:hAnsi="Arial"/>
                <w:sz w:val="18"/>
                <w:szCs w:val="18"/>
                <w:color w:val="auto"/>
              </w:rPr>
              <w:t>(b)</w:t>
            </w:r>
          </w:p>
        </w:tc>
        <w:tc>
          <w:tcPr>
            <w:tcW w:w="8280" w:type="dxa"/>
            <w:vAlign w:val="bottom"/>
            <w:gridSpan w:val="12"/>
          </w:tcPr>
          <w:p>
            <w:pPr>
              <w:ind w:left="180"/>
              <w:spacing w:after="0"/>
              <w:rPr>
                <w:sz w:val="20"/>
                <w:szCs w:val="20"/>
                <w:color w:val="auto"/>
              </w:rPr>
            </w:pPr>
            <w:r>
              <w:rPr>
                <w:rFonts w:ascii="Arial" w:cs="Arial" w:eastAsia="Arial" w:hAnsi="Arial"/>
                <w:sz w:val="18"/>
                <w:szCs w:val="18"/>
                <w:color w:val="auto"/>
              </w:rPr>
              <w:t>Financial Statement Schedules</w:t>
            </w:r>
          </w:p>
        </w:tc>
        <w:tc>
          <w:tcPr>
            <w:tcW w:w="1740" w:type="dxa"/>
            <w:vAlign w:val="bottom"/>
          </w:tcPr>
          <w:p>
            <w:pPr>
              <w:spacing w:after="0"/>
              <w:rPr>
                <w:sz w:val="24"/>
                <w:szCs w:val="24"/>
                <w:color w:val="auto"/>
              </w:rPr>
            </w:pPr>
          </w:p>
        </w:tc>
      </w:tr>
      <w:tr>
        <w:trPr>
          <w:trHeight w:val="432"/>
        </w:trPr>
        <w:tc>
          <w:tcPr>
            <w:tcW w:w="36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2520" w:type="dxa"/>
            <w:vAlign w:val="bottom"/>
          </w:tcPr>
          <w:p>
            <w:pPr>
              <w:spacing w:after="0"/>
              <w:rPr>
                <w:sz w:val="24"/>
                <w:szCs w:val="24"/>
                <w:color w:val="auto"/>
              </w:rPr>
            </w:pPr>
          </w:p>
        </w:tc>
        <w:tc>
          <w:tcPr>
            <w:tcW w:w="5760" w:type="dxa"/>
            <w:vAlign w:val="bottom"/>
            <w:gridSpan w:val="11"/>
          </w:tcPr>
          <w:p>
            <w:pPr>
              <w:jc w:val="center"/>
              <w:ind w:right="1980"/>
              <w:spacing w:after="0"/>
              <w:rPr>
                <w:sz w:val="20"/>
                <w:szCs w:val="20"/>
                <w:color w:val="auto"/>
              </w:rPr>
            </w:pPr>
            <w:r>
              <w:rPr>
                <w:rFonts w:ascii="Arial" w:cs="Arial" w:eastAsia="Arial" w:hAnsi="Arial"/>
                <w:sz w:val="18"/>
                <w:szCs w:val="18"/>
                <w:b w:val="1"/>
                <w:bCs w:val="1"/>
                <w:color w:val="auto"/>
                <w:w w:val="90"/>
              </w:rPr>
              <w:t>Financial Statements and Supplementary Data</w:t>
            </w:r>
          </w:p>
        </w:tc>
        <w:tc>
          <w:tcPr>
            <w:tcW w:w="1740" w:type="dxa"/>
            <w:vAlign w:val="bottom"/>
          </w:tcPr>
          <w:p>
            <w:pPr>
              <w:spacing w:after="0"/>
              <w:rPr>
                <w:sz w:val="24"/>
                <w:szCs w:val="24"/>
                <w:color w:val="auto"/>
              </w:rPr>
            </w:pPr>
          </w:p>
        </w:tc>
      </w:tr>
      <w:tr>
        <w:trPr>
          <w:trHeight w:val="432"/>
        </w:trPr>
        <w:tc>
          <w:tcPr>
            <w:tcW w:w="36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8280" w:type="dxa"/>
            <w:vAlign w:val="bottom"/>
            <w:gridSpan w:val="12"/>
          </w:tcPr>
          <w:p>
            <w:pPr>
              <w:jc w:val="center"/>
              <w:ind w:left="470"/>
              <w:spacing w:after="0"/>
              <w:rPr>
                <w:sz w:val="20"/>
                <w:szCs w:val="20"/>
                <w:color w:val="auto"/>
              </w:rPr>
            </w:pPr>
            <w:r>
              <w:rPr>
                <w:rFonts w:ascii="Arial" w:cs="Arial" w:eastAsia="Arial" w:hAnsi="Arial"/>
                <w:sz w:val="18"/>
                <w:szCs w:val="18"/>
                <w:b w:val="1"/>
                <w:bCs w:val="1"/>
                <w:color w:val="auto"/>
              </w:rPr>
              <w:t>INDEX TO CONSOLIDATED FINANCIAL STATEMENTS</w:t>
            </w:r>
          </w:p>
        </w:tc>
        <w:tc>
          <w:tcPr>
            <w:tcW w:w="1740" w:type="dxa"/>
            <w:vAlign w:val="bottom"/>
          </w:tcPr>
          <w:p>
            <w:pPr>
              <w:spacing w:after="0"/>
              <w:rPr>
                <w:sz w:val="24"/>
                <w:szCs w:val="24"/>
                <w:color w:val="auto"/>
              </w:rPr>
            </w:pPr>
          </w:p>
        </w:tc>
      </w:tr>
      <w:tr>
        <w:trPr>
          <w:trHeight w:val="459"/>
        </w:trPr>
        <w:tc>
          <w:tcPr>
            <w:tcW w:w="9580" w:type="dxa"/>
            <w:vAlign w:val="bottom"/>
            <w:gridSpan w:val="14"/>
          </w:tcPr>
          <w:p>
            <w:pPr>
              <w:spacing w:after="0"/>
              <w:rPr>
                <w:sz w:val="20"/>
                <w:szCs w:val="20"/>
                <w:color w:val="auto"/>
              </w:rPr>
            </w:pPr>
            <w:r>
              <w:rPr>
                <w:rFonts w:ascii="Arial" w:cs="Arial" w:eastAsia="Arial" w:hAnsi="Arial"/>
                <w:sz w:val="18"/>
                <w:szCs w:val="18"/>
                <w:b w:val="1"/>
                <w:bCs w:val="1"/>
                <w:color w:val="auto"/>
              </w:rPr>
              <w:t>Audited Consolidated Financial Statements of TimkenSteel Corporation and Subsidiaries</w:t>
            </w:r>
          </w:p>
        </w:tc>
        <w:tc>
          <w:tcPr>
            <w:tcW w:w="1740" w:type="dxa"/>
            <w:vAlign w:val="bottom"/>
          </w:tcPr>
          <w:p>
            <w:pPr>
              <w:spacing w:after="0"/>
              <w:rPr>
                <w:sz w:val="24"/>
                <w:szCs w:val="24"/>
                <w:color w:val="auto"/>
              </w:rPr>
            </w:pPr>
          </w:p>
        </w:tc>
      </w:tr>
      <w:tr>
        <w:trPr>
          <w:trHeight w:val="284"/>
        </w:trPr>
        <w:tc>
          <w:tcPr>
            <w:tcW w:w="360" w:type="dxa"/>
            <w:vAlign w:val="bottom"/>
          </w:tcPr>
          <w:p>
            <w:pPr>
              <w:spacing w:after="0"/>
              <w:rPr>
                <w:sz w:val="24"/>
                <w:szCs w:val="24"/>
                <w:color w:val="auto"/>
              </w:rPr>
            </w:pPr>
          </w:p>
        </w:tc>
        <w:tc>
          <w:tcPr>
            <w:tcW w:w="9220" w:type="dxa"/>
            <w:vAlign w:val="bottom"/>
            <w:gridSpan w:val="13"/>
          </w:tcPr>
          <w:p>
            <w:pPr>
              <w:spacing w:after="0"/>
              <w:rPr>
                <w:rFonts w:ascii="Arial" w:cs="Arial" w:eastAsia="Arial" w:hAnsi="Arial"/>
                <w:sz w:val="18"/>
                <w:szCs w:val="18"/>
                <w:color w:val="0000EE"/>
              </w:rPr>
            </w:pPr>
            <w:hyperlink w:anchor="page109">
              <w:r>
                <w:rPr>
                  <w:rFonts w:ascii="Arial" w:cs="Arial" w:eastAsia="Arial" w:hAnsi="Arial"/>
                  <w:sz w:val="18"/>
                  <w:szCs w:val="18"/>
                  <w:color w:val="0000EE"/>
                </w:rPr>
                <w:t>Report of Independent Registered Public Accounting Firm</w:t>
              </w:r>
            </w:hyperlink>
          </w:p>
        </w:tc>
        <w:tc>
          <w:tcPr>
            <w:tcW w:w="1740" w:type="dxa"/>
            <w:vAlign w:val="bottom"/>
          </w:tcPr>
          <w:p>
            <w:pPr>
              <w:jc w:val="right"/>
              <w:spacing w:after="0"/>
              <w:rPr>
                <w:sz w:val="20"/>
                <w:szCs w:val="20"/>
                <w:color w:val="auto"/>
              </w:rPr>
            </w:pPr>
            <w:r>
              <w:rPr>
                <w:rFonts w:ascii="Arial" w:cs="Arial" w:eastAsia="Arial" w:hAnsi="Arial"/>
                <w:sz w:val="18"/>
                <w:szCs w:val="18"/>
                <w:color w:val="auto"/>
              </w:rPr>
              <w:t>F-2</w:t>
            </w:r>
          </w:p>
        </w:tc>
      </w:tr>
      <w:tr>
        <w:trPr>
          <w:trHeight w:val="20"/>
        </w:trPr>
        <w:tc>
          <w:tcPr>
            <w:tcW w:w="360" w:type="dxa"/>
            <w:vAlign w:val="bottom"/>
          </w:tcPr>
          <w:p>
            <w:pPr>
              <w:spacing w:after="0" w:line="20" w:lineRule="exact"/>
              <w:rPr>
                <w:sz w:val="1"/>
                <w:szCs w:val="1"/>
                <w:color w:val="auto"/>
              </w:rPr>
            </w:pPr>
          </w:p>
        </w:tc>
        <w:tc>
          <w:tcPr>
            <w:tcW w:w="3460" w:type="dxa"/>
            <w:vAlign w:val="bottom"/>
            <w:gridSpan w:val="2"/>
            <w:shd w:val="clear" w:color="auto" w:fill="0000EE"/>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380" w:type="dxa"/>
            <w:vAlign w:val="bottom"/>
          </w:tcPr>
          <w:p>
            <w:pPr>
              <w:spacing w:after="0" w:line="20" w:lineRule="exact"/>
              <w:rPr>
                <w:sz w:val="1"/>
                <w:szCs w:val="1"/>
                <w:color w:val="auto"/>
              </w:rPr>
            </w:pPr>
          </w:p>
        </w:tc>
        <w:tc>
          <w:tcPr>
            <w:tcW w:w="1740" w:type="dxa"/>
            <w:vAlign w:val="bottom"/>
          </w:tcPr>
          <w:p>
            <w:pPr>
              <w:spacing w:after="0" w:line="20" w:lineRule="exact"/>
              <w:rPr>
                <w:sz w:val="1"/>
                <w:szCs w:val="1"/>
                <w:color w:val="auto"/>
              </w:rPr>
            </w:pPr>
          </w:p>
        </w:tc>
      </w:tr>
      <w:tr>
        <w:trPr>
          <w:trHeight w:val="304"/>
        </w:trPr>
        <w:tc>
          <w:tcPr>
            <w:tcW w:w="360" w:type="dxa"/>
            <w:vAlign w:val="bottom"/>
          </w:tcPr>
          <w:p>
            <w:pPr>
              <w:spacing w:after="0"/>
              <w:rPr>
                <w:sz w:val="24"/>
                <w:szCs w:val="24"/>
                <w:color w:val="auto"/>
              </w:rPr>
            </w:pPr>
          </w:p>
        </w:tc>
        <w:tc>
          <w:tcPr>
            <w:tcW w:w="7840" w:type="dxa"/>
            <w:vAlign w:val="bottom"/>
            <w:tcBorders>
              <w:bottom w:val="single" w:sz="8" w:color="0000EE"/>
            </w:tcBorders>
            <w:gridSpan w:val="12"/>
          </w:tcPr>
          <w:p>
            <w:pPr>
              <w:spacing w:after="0"/>
              <w:rPr>
                <w:rFonts w:ascii="Arial" w:cs="Arial" w:eastAsia="Arial" w:hAnsi="Arial"/>
                <w:sz w:val="18"/>
                <w:szCs w:val="18"/>
                <w:color w:val="0000EE"/>
                <w:w w:val="89"/>
              </w:rPr>
            </w:pPr>
            <w:hyperlink w:anchor="page110">
              <w:r>
                <w:rPr>
                  <w:rFonts w:ascii="Arial" w:cs="Arial" w:eastAsia="Arial" w:hAnsi="Arial"/>
                  <w:sz w:val="18"/>
                  <w:szCs w:val="18"/>
                  <w:color w:val="0000EE"/>
                  <w:w w:val="89"/>
                </w:rPr>
                <w:t>Consolidated Statements of Comprehensive Income for the Years Ended December 31, 2013, 2012 and 2011</w:t>
              </w:r>
            </w:hyperlink>
          </w:p>
        </w:tc>
        <w:tc>
          <w:tcPr>
            <w:tcW w:w="1380" w:type="dxa"/>
            <w:vAlign w:val="bottom"/>
          </w:tcPr>
          <w:p>
            <w:pPr>
              <w:spacing w:after="0"/>
              <w:rPr>
                <w:sz w:val="24"/>
                <w:szCs w:val="24"/>
                <w:color w:val="auto"/>
              </w:rPr>
            </w:pPr>
          </w:p>
        </w:tc>
        <w:tc>
          <w:tcPr>
            <w:tcW w:w="1740" w:type="dxa"/>
            <w:vAlign w:val="bottom"/>
          </w:tcPr>
          <w:p>
            <w:pPr>
              <w:jc w:val="right"/>
              <w:spacing w:after="0"/>
              <w:rPr>
                <w:sz w:val="20"/>
                <w:szCs w:val="20"/>
                <w:color w:val="auto"/>
              </w:rPr>
            </w:pPr>
            <w:r>
              <w:rPr>
                <w:rFonts w:ascii="Arial" w:cs="Arial" w:eastAsia="Arial" w:hAnsi="Arial"/>
                <w:sz w:val="18"/>
                <w:szCs w:val="18"/>
                <w:color w:val="auto"/>
              </w:rPr>
              <w:t>F-3</w:t>
            </w:r>
          </w:p>
        </w:tc>
      </w:tr>
      <w:tr>
        <w:trPr>
          <w:trHeight w:val="304"/>
        </w:trPr>
        <w:tc>
          <w:tcPr>
            <w:tcW w:w="360" w:type="dxa"/>
            <w:vAlign w:val="bottom"/>
          </w:tcPr>
          <w:p>
            <w:pPr>
              <w:spacing w:after="0"/>
              <w:rPr>
                <w:sz w:val="24"/>
                <w:szCs w:val="24"/>
                <w:color w:val="auto"/>
              </w:rPr>
            </w:pPr>
          </w:p>
        </w:tc>
        <w:tc>
          <w:tcPr>
            <w:tcW w:w="4660" w:type="dxa"/>
            <w:vAlign w:val="bottom"/>
            <w:tcBorders>
              <w:bottom w:val="single" w:sz="8" w:color="0000EE"/>
            </w:tcBorders>
            <w:gridSpan w:val="6"/>
          </w:tcPr>
          <w:p>
            <w:pPr>
              <w:spacing w:after="0"/>
              <w:rPr>
                <w:rFonts w:ascii="Arial" w:cs="Arial" w:eastAsia="Arial" w:hAnsi="Arial"/>
                <w:sz w:val="18"/>
                <w:szCs w:val="18"/>
                <w:color w:val="0000EE"/>
                <w:w w:val="88"/>
              </w:rPr>
            </w:pPr>
            <w:hyperlink w:anchor="page111">
              <w:r>
                <w:rPr>
                  <w:rFonts w:ascii="Arial" w:cs="Arial" w:eastAsia="Arial" w:hAnsi="Arial"/>
                  <w:sz w:val="18"/>
                  <w:szCs w:val="18"/>
                  <w:color w:val="0000EE"/>
                  <w:w w:val="88"/>
                </w:rPr>
                <w:t>Consolidated Balance Sheets as of December 31, 2013 and 2012</w:t>
              </w:r>
            </w:hyperlink>
          </w:p>
        </w:tc>
        <w:tc>
          <w:tcPr>
            <w:tcW w:w="4560" w:type="dxa"/>
            <w:vAlign w:val="bottom"/>
            <w:gridSpan w:val="7"/>
          </w:tcPr>
          <w:p>
            <w:pPr>
              <w:spacing w:after="0"/>
              <w:rPr>
                <w:sz w:val="24"/>
                <w:szCs w:val="24"/>
                <w:color w:val="auto"/>
              </w:rPr>
            </w:pPr>
          </w:p>
        </w:tc>
        <w:tc>
          <w:tcPr>
            <w:tcW w:w="1740" w:type="dxa"/>
            <w:vAlign w:val="bottom"/>
          </w:tcPr>
          <w:p>
            <w:pPr>
              <w:jc w:val="right"/>
              <w:spacing w:after="0"/>
              <w:rPr>
                <w:sz w:val="20"/>
                <w:szCs w:val="20"/>
                <w:color w:val="auto"/>
              </w:rPr>
            </w:pPr>
            <w:r>
              <w:rPr>
                <w:rFonts w:ascii="Arial" w:cs="Arial" w:eastAsia="Arial" w:hAnsi="Arial"/>
                <w:sz w:val="18"/>
                <w:szCs w:val="18"/>
                <w:color w:val="auto"/>
              </w:rPr>
              <w:t>F-4</w:t>
            </w:r>
          </w:p>
        </w:tc>
      </w:tr>
      <w:tr>
        <w:trPr>
          <w:trHeight w:val="304"/>
        </w:trPr>
        <w:tc>
          <w:tcPr>
            <w:tcW w:w="360" w:type="dxa"/>
            <w:vAlign w:val="bottom"/>
          </w:tcPr>
          <w:p>
            <w:pPr>
              <w:spacing w:after="0"/>
              <w:rPr>
                <w:sz w:val="24"/>
                <w:szCs w:val="24"/>
                <w:color w:val="auto"/>
              </w:rPr>
            </w:pPr>
          </w:p>
        </w:tc>
        <w:tc>
          <w:tcPr>
            <w:tcW w:w="9220" w:type="dxa"/>
            <w:vAlign w:val="bottom"/>
            <w:gridSpan w:val="13"/>
          </w:tcPr>
          <w:p>
            <w:pPr>
              <w:spacing w:after="0"/>
              <w:rPr>
                <w:rFonts w:ascii="Arial" w:cs="Arial" w:eastAsia="Arial" w:hAnsi="Arial"/>
                <w:sz w:val="18"/>
                <w:szCs w:val="18"/>
                <w:color w:val="0000EE"/>
              </w:rPr>
            </w:pPr>
            <w:hyperlink w:anchor="page112">
              <w:r>
                <w:rPr>
                  <w:rFonts w:ascii="Arial" w:cs="Arial" w:eastAsia="Arial" w:hAnsi="Arial"/>
                  <w:sz w:val="18"/>
                  <w:szCs w:val="18"/>
                  <w:color w:val="0000EE"/>
                </w:rPr>
                <w:t>Consolidated Statements of Cash Flows for the Years Ended December 31, 2013, 2012 and 2011</w:t>
              </w:r>
            </w:hyperlink>
          </w:p>
        </w:tc>
        <w:tc>
          <w:tcPr>
            <w:tcW w:w="1740" w:type="dxa"/>
            <w:vAlign w:val="bottom"/>
          </w:tcPr>
          <w:p>
            <w:pPr>
              <w:jc w:val="right"/>
              <w:spacing w:after="0"/>
              <w:rPr>
                <w:sz w:val="20"/>
                <w:szCs w:val="20"/>
                <w:color w:val="auto"/>
              </w:rPr>
            </w:pPr>
            <w:r>
              <w:rPr>
                <w:rFonts w:ascii="Arial" w:cs="Arial" w:eastAsia="Arial" w:hAnsi="Arial"/>
                <w:sz w:val="18"/>
                <w:szCs w:val="18"/>
                <w:color w:val="auto"/>
              </w:rPr>
              <w:t>F-5</w:t>
            </w:r>
          </w:p>
        </w:tc>
      </w:tr>
      <w:tr>
        <w:trPr>
          <w:trHeight w:val="20"/>
        </w:trPr>
        <w:tc>
          <w:tcPr>
            <w:tcW w:w="360" w:type="dxa"/>
            <w:vAlign w:val="bottom"/>
          </w:tcPr>
          <w:p>
            <w:pPr>
              <w:spacing w:after="0" w:line="20" w:lineRule="exact"/>
              <w:rPr>
                <w:sz w:val="1"/>
                <w:szCs w:val="1"/>
                <w:color w:val="auto"/>
              </w:rPr>
            </w:pPr>
          </w:p>
        </w:tc>
        <w:tc>
          <w:tcPr>
            <w:tcW w:w="3460" w:type="dxa"/>
            <w:vAlign w:val="bottom"/>
            <w:gridSpan w:val="2"/>
            <w:shd w:val="clear" w:color="auto" w:fill="0000EE"/>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1480" w:type="dxa"/>
            <w:vAlign w:val="bottom"/>
            <w:gridSpan w:val="3"/>
            <w:shd w:val="clear" w:color="auto" w:fill="0000EE"/>
          </w:tcPr>
          <w:p>
            <w:pPr>
              <w:spacing w:after="0" w:line="20" w:lineRule="exact"/>
              <w:rPr>
                <w:sz w:val="1"/>
                <w:szCs w:val="1"/>
                <w:color w:val="auto"/>
              </w:rPr>
            </w:pPr>
          </w:p>
        </w:tc>
        <w:tc>
          <w:tcPr>
            <w:tcW w:w="142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1480" w:type="dxa"/>
            <w:vAlign w:val="bottom"/>
            <w:gridSpan w:val="2"/>
          </w:tcPr>
          <w:p>
            <w:pPr>
              <w:spacing w:after="0" w:line="20" w:lineRule="exact"/>
              <w:rPr>
                <w:sz w:val="1"/>
                <w:szCs w:val="1"/>
                <w:color w:val="auto"/>
              </w:rPr>
            </w:pPr>
          </w:p>
        </w:tc>
        <w:tc>
          <w:tcPr>
            <w:tcW w:w="1740" w:type="dxa"/>
            <w:vAlign w:val="bottom"/>
          </w:tcPr>
          <w:p>
            <w:pPr>
              <w:spacing w:after="0" w:line="20" w:lineRule="exact"/>
              <w:rPr>
                <w:sz w:val="1"/>
                <w:szCs w:val="1"/>
                <w:color w:val="auto"/>
              </w:rPr>
            </w:pPr>
          </w:p>
        </w:tc>
      </w:tr>
      <w:tr>
        <w:trPr>
          <w:trHeight w:val="304"/>
        </w:trPr>
        <w:tc>
          <w:tcPr>
            <w:tcW w:w="360" w:type="dxa"/>
            <w:vAlign w:val="bottom"/>
          </w:tcPr>
          <w:p>
            <w:pPr>
              <w:spacing w:after="0"/>
              <w:rPr>
                <w:sz w:val="24"/>
                <w:szCs w:val="24"/>
                <w:color w:val="auto"/>
              </w:rPr>
            </w:pPr>
          </w:p>
        </w:tc>
        <w:tc>
          <w:tcPr>
            <w:tcW w:w="9220" w:type="dxa"/>
            <w:vAlign w:val="bottom"/>
            <w:gridSpan w:val="13"/>
          </w:tcPr>
          <w:p>
            <w:pPr>
              <w:spacing w:after="0"/>
              <w:rPr>
                <w:rFonts w:ascii="Arial" w:cs="Arial" w:eastAsia="Arial" w:hAnsi="Arial"/>
                <w:sz w:val="18"/>
                <w:szCs w:val="18"/>
                <w:color w:val="0000EE"/>
              </w:rPr>
            </w:pPr>
            <w:hyperlink w:anchor="page113">
              <w:r>
                <w:rPr>
                  <w:rFonts w:ascii="Arial" w:cs="Arial" w:eastAsia="Arial" w:hAnsi="Arial"/>
                  <w:sz w:val="18"/>
                  <w:szCs w:val="18"/>
                  <w:color w:val="0000EE"/>
                </w:rPr>
                <w:t>Consolidated Statements of Parent Equity for the Years Ended December 31, 2013, 2012 and 2011</w:t>
              </w:r>
            </w:hyperlink>
          </w:p>
        </w:tc>
        <w:tc>
          <w:tcPr>
            <w:tcW w:w="1740" w:type="dxa"/>
            <w:vAlign w:val="bottom"/>
          </w:tcPr>
          <w:p>
            <w:pPr>
              <w:jc w:val="right"/>
              <w:spacing w:after="0"/>
              <w:rPr>
                <w:sz w:val="20"/>
                <w:szCs w:val="20"/>
                <w:color w:val="auto"/>
              </w:rPr>
            </w:pPr>
            <w:r>
              <w:rPr>
                <w:rFonts w:ascii="Arial" w:cs="Arial" w:eastAsia="Arial" w:hAnsi="Arial"/>
                <w:sz w:val="18"/>
                <w:szCs w:val="18"/>
                <w:color w:val="auto"/>
              </w:rPr>
              <w:t>F-6</w:t>
            </w:r>
          </w:p>
        </w:tc>
      </w:tr>
      <w:tr>
        <w:trPr>
          <w:trHeight w:val="304"/>
        </w:trPr>
        <w:tc>
          <w:tcPr>
            <w:tcW w:w="360" w:type="dxa"/>
            <w:vAlign w:val="bottom"/>
          </w:tcPr>
          <w:p>
            <w:pPr>
              <w:spacing w:after="0"/>
              <w:rPr>
                <w:sz w:val="24"/>
                <w:szCs w:val="24"/>
                <w:color w:val="auto"/>
              </w:rPr>
            </w:pPr>
          </w:p>
        </w:tc>
        <w:tc>
          <w:tcPr>
            <w:tcW w:w="7100" w:type="dxa"/>
            <w:vAlign w:val="bottom"/>
            <w:tcBorders>
              <w:top w:val="single" w:sz="8" w:color="0000EE"/>
            </w:tcBorders>
            <w:gridSpan w:val="10"/>
          </w:tcPr>
          <w:p>
            <w:pPr>
              <w:spacing w:after="0"/>
              <w:rPr>
                <w:rFonts w:ascii="Arial" w:cs="Arial" w:eastAsia="Arial" w:hAnsi="Arial"/>
                <w:sz w:val="18"/>
                <w:szCs w:val="18"/>
                <w:color w:val="0000EE"/>
              </w:rPr>
            </w:pPr>
            <w:hyperlink w:anchor="page114">
              <w:r>
                <w:rPr>
                  <w:rFonts w:ascii="Arial" w:cs="Arial" w:eastAsia="Arial" w:hAnsi="Arial"/>
                  <w:sz w:val="18"/>
                  <w:szCs w:val="18"/>
                  <w:color w:val="0000EE"/>
                </w:rPr>
                <w:t>Notes to Audited Consolidated Financial Statements</w:t>
              </w:r>
            </w:hyperlink>
          </w:p>
        </w:tc>
        <w:tc>
          <w:tcPr>
            <w:tcW w:w="2120" w:type="dxa"/>
            <w:vAlign w:val="bottom"/>
            <w:gridSpan w:val="3"/>
          </w:tcPr>
          <w:p>
            <w:pPr>
              <w:spacing w:after="0"/>
              <w:rPr>
                <w:sz w:val="24"/>
                <w:szCs w:val="24"/>
                <w:color w:val="auto"/>
              </w:rPr>
            </w:pPr>
          </w:p>
        </w:tc>
        <w:tc>
          <w:tcPr>
            <w:tcW w:w="1740" w:type="dxa"/>
            <w:vAlign w:val="bottom"/>
          </w:tcPr>
          <w:p>
            <w:pPr>
              <w:jc w:val="right"/>
              <w:spacing w:after="0"/>
              <w:rPr>
                <w:sz w:val="20"/>
                <w:szCs w:val="20"/>
                <w:color w:val="auto"/>
              </w:rPr>
            </w:pPr>
            <w:r>
              <w:rPr>
                <w:rFonts w:ascii="Arial" w:cs="Arial" w:eastAsia="Arial" w:hAnsi="Arial"/>
                <w:sz w:val="18"/>
                <w:szCs w:val="18"/>
                <w:color w:val="auto"/>
              </w:rPr>
              <w:t>F-7</w:t>
            </w:r>
          </w:p>
        </w:tc>
      </w:tr>
      <w:tr>
        <w:trPr>
          <w:trHeight w:val="304"/>
        </w:trPr>
        <w:tc>
          <w:tcPr>
            <w:tcW w:w="360" w:type="dxa"/>
            <w:vAlign w:val="bottom"/>
          </w:tcPr>
          <w:p>
            <w:pPr>
              <w:spacing w:after="0"/>
              <w:rPr>
                <w:sz w:val="24"/>
                <w:szCs w:val="24"/>
                <w:color w:val="auto"/>
              </w:rPr>
            </w:pPr>
          </w:p>
        </w:tc>
        <w:tc>
          <w:tcPr>
            <w:tcW w:w="3780" w:type="dxa"/>
            <w:vAlign w:val="bottom"/>
            <w:tcBorders>
              <w:top w:val="single" w:sz="8" w:color="0000EE"/>
            </w:tcBorders>
            <w:gridSpan w:val="3"/>
          </w:tcPr>
          <w:p>
            <w:pPr>
              <w:spacing w:after="0"/>
              <w:rPr>
                <w:rFonts w:ascii="Arial" w:cs="Arial" w:eastAsia="Arial" w:hAnsi="Arial"/>
                <w:sz w:val="18"/>
                <w:szCs w:val="18"/>
                <w:color w:val="0000EE"/>
              </w:rPr>
            </w:pPr>
            <w:hyperlink w:anchor="page130">
              <w:r>
                <w:rPr>
                  <w:rFonts w:ascii="Arial" w:cs="Arial" w:eastAsia="Arial" w:hAnsi="Arial"/>
                  <w:sz w:val="18"/>
                  <w:szCs w:val="18"/>
                  <w:color w:val="0000EE"/>
                </w:rPr>
                <w:t>Schedule II, Valuation and Qualifying Accounts</w:t>
              </w:r>
            </w:hyperlink>
          </w:p>
        </w:tc>
        <w:tc>
          <w:tcPr>
            <w:tcW w:w="5440" w:type="dxa"/>
            <w:vAlign w:val="bottom"/>
            <w:gridSpan w:val="10"/>
          </w:tcPr>
          <w:p>
            <w:pPr>
              <w:spacing w:after="0"/>
              <w:rPr>
                <w:sz w:val="24"/>
                <w:szCs w:val="24"/>
                <w:color w:val="auto"/>
              </w:rPr>
            </w:pPr>
          </w:p>
        </w:tc>
        <w:tc>
          <w:tcPr>
            <w:tcW w:w="1740" w:type="dxa"/>
            <w:vAlign w:val="bottom"/>
          </w:tcPr>
          <w:p>
            <w:pPr>
              <w:jc w:val="right"/>
              <w:spacing w:after="0"/>
              <w:rPr>
                <w:sz w:val="20"/>
                <w:szCs w:val="20"/>
                <w:color w:val="auto"/>
              </w:rPr>
            </w:pPr>
            <w:r>
              <w:rPr>
                <w:rFonts w:ascii="Arial" w:cs="Arial" w:eastAsia="Arial" w:hAnsi="Arial"/>
                <w:sz w:val="18"/>
                <w:szCs w:val="18"/>
                <w:color w:val="auto"/>
              </w:rPr>
              <w:t>F-23</w:t>
            </w:r>
          </w:p>
        </w:tc>
      </w:tr>
      <w:tr>
        <w:trPr>
          <w:trHeight w:val="20"/>
        </w:trPr>
        <w:tc>
          <w:tcPr>
            <w:tcW w:w="360" w:type="dxa"/>
            <w:vAlign w:val="bottom"/>
          </w:tcPr>
          <w:p>
            <w:pPr>
              <w:spacing w:after="0" w:line="20" w:lineRule="exact"/>
              <w:rPr>
                <w:sz w:val="1"/>
                <w:szCs w:val="1"/>
                <w:color w:val="auto"/>
              </w:rPr>
            </w:pPr>
          </w:p>
        </w:tc>
        <w:tc>
          <w:tcPr>
            <w:tcW w:w="3460" w:type="dxa"/>
            <w:vAlign w:val="bottom"/>
            <w:gridSpan w:val="2"/>
            <w:shd w:val="clear" w:color="auto" w:fill="0000EE"/>
          </w:tcPr>
          <w:p>
            <w:pPr>
              <w:spacing w:after="0" w:line="20" w:lineRule="exact"/>
              <w:rPr>
                <w:sz w:val="1"/>
                <w:szCs w:val="1"/>
                <w:color w:val="auto"/>
              </w:rPr>
            </w:pPr>
          </w:p>
        </w:tc>
        <w:tc>
          <w:tcPr>
            <w:tcW w:w="500" w:type="dxa"/>
            <w:vAlign w:val="bottom"/>
            <w:gridSpan w:val="2"/>
          </w:tcPr>
          <w:p>
            <w:pPr>
              <w:spacing w:after="0" w:line="20" w:lineRule="exact"/>
              <w:rPr>
                <w:sz w:val="1"/>
                <w:szCs w:val="1"/>
                <w:color w:val="auto"/>
              </w:rPr>
            </w:pPr>
          </w:p>
        </w:tc>
        <w:tc>
          <w:tcPr>
            <w:tcW w:w="1480" w:type="dxa"/>
            <w:vAlign w:val="bottom"/>
            <w:gridSpan w:val="3"/>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c>
          <w:tcPr>
            <w:tcW w:w="880" w:type="dxa"/>
            <w:vAlign w:val="bottom"/>
            <w:gridSpan w:val="3"/>
          </w:tcPr>
          <w:p>
            <w:pPr>
              <w:spacing w:after="0" w:line="20" w:lineRule="exact"/>
              <w:rPr>
                <w:sz w:val="1"/>
                <w:szCs w:val="1"/>
                <w:color w:val="auto"/>
              </w:rPr>
            </w:pPr>
          </w:p>
        </w:tc>
        <w:tc>
          <w:tcPr>
            <w:tcW w:w="1480" w:type="dxa"/>
            <w:vAlign w:val="bottom"/>
            <w:gridSpan w:val="2"/>
          </w:tcPr>
          <w:p>
            <w:pPr>
              <w:spacing w:after="0" w:line="20" w:lineRule="exact"/>
              <w:rPr>
                <w:sz w:val="1"/>
                <w:szCs w:val="1"/>
                <w:color w:val="auto"/>
              </w:rPr>
            </w:pPr>
          </w:p>
        </w:tc>
        <w:tc>
          <w:tcPr>
            <w:tcW w:w="1740" w:type="dxa"/>
            <w:vAlign w:val="bottom"/>
          </w:tcPr>
          <w:p>
            <w:pPr>
              <w:spacing w:after="0" w:line="20" w:lineRule="exact"/>
              <w:rPr>
                <w:sz w:val="1"/>
                <w:szCs w:val="1"/>
                <w:color w:val="auto"/>
              </w:rPr>
            </w:pPr>
          </w:p>
        </w:tc>
      </w:tr>
      <w:tr>
        <w:trPr>
          <w:trHeight w:val="345"/>
        </w:trPr>
        <w:tc>
          <w:tcPr>
            <w:tcW w:w="9580" w:type="dxa"/>
            <w:vAlign w:val="bottom"/>
            <w:gridSpan w:val="14"/>
          </w:tcPr>
          <w:p>
            <w:pPr>
              <w:spacing w:after="0"/>
              <w:rPr>
                <w:sz w:val="20"/>
                <w:szCs w:val="20"/>
                <w:color w:val="auto"/>
              </w:rPr>
            </w:pPr>
            <w:r>
              <w:rPr>
                <w:rFonts w:ascii="Arial" w:cs="Arial" w:eastAsia="Arial" w:hAnsi="Arial"/>
                <w:sz w:val="18"/>
                <w:szCs w:val="18"/>
                <w:b w:val="1"/>
                <w:bCs w:val="1"/>
                <w:color w:val="auto"/>
              </w:rPr>
              <w:t>Unaudited Consolidated Financial Statements of TimkenSteel Corporation and Subsidiaries</w:t>
            </w:r>
          </w:p>
        </w:tc>
        <w:tc>
          <w:tcPr>
            <w:tcW w:w="1740" w:type="dxa"/>
            <w:vAlign w:val="bottom"/>
          </w:tcPr>
          <w:p>
            <w:pPr>
              <w:spacing w:after="0"/>
              <w:rPr>
                <w:sz w:val="24"/>
                <w:szCs w:val="24"/>
                <w:color w:val="auto"/>
              </w:rPr>
            </w:pPr>
          </w:p>
        </w:tc>
      </w:tr>
      <w:tr>
        <w:trPr>
          <w:trHeight w:val="284"/>
        </w:trPr>
        <w:tc>
          <w:tcPr>
            <w:tcW w:w="360" w:type="dxa"/>
            <w:vAlign w:val="bottom"/>
          </w:tcPr>
          <w:p>
            <w:pPr>
              <w:spacing w:after="0"/>
              <w:rPr>
                <w:sz w:val="24"/>
                <w:szCs w:val="24"/>
                <w:color w:val="auto"/>
              </w:rPr>
            </w:pPr>
          </w:p>
        </w:tc>
        <w:tc>
          <w:tcPr>
            <w:tcW w:w="7740" w:type="dxa"/>
            <w:vAlign w:val="bottom"/>
            <w:tcBorders>
              <w:bottom w:val="single" w:sz="8" w:color="0000EE"/>
            </w:tcBorders>
            <w:gridSpan w:val="11"/>
          </w:tcPr>
          <w:p>
            <w:pPr>
              <w:spacing w:after="0"/>
              <w:rPr>
                <w:rFonts w:ascii="Arial" w:cs="Arial" w:eastAsia="Arial" w:hAnsi="Arial"/>
                <w:sz w:val="18"/>
                <w:szCs w:val="18"/>
                <w:color w:val="0000EE"/>
                <w:w w:val="90"/>
              </w:rPr>
            </w:pPr>
            <w:hyperlink w:anchor="page131">
              <w:r>
                <w:rPr>
                  <w:rFonts w:ascii="Arial" w:cs="Arial" w:eastAsia="Arial" w:hAnsi="Arial"/>
                  <w:sz w:val="18"/>
                  <w:szCs w:val="18"/>
                  <w:color w:val="0000EE"/>
                  <w:w w:val="90"/>
                </w:rPr>
                <w:t>Consolidated Statements of Comprehensive Income for the Three Months Ended March 31, 2014 and 2013</w:t>
              </w:r>
            </w:hyperlink>
          </w:p>
        </w:tc>
        <w:tc>
          <w:tcPr>
            <w:tcW w:w="1480" w:type="dxa"/>
            <w:vAlign w:val="bottom"/>
            <w:gridSpan w:val="2"/>
          </w:tcPr>
          <w:p>
            <w:pPr>
              <w:spacing w:after="0"/>
              <w:rPr>
                <w:sz w:val="24"/>
                <w:szCs w:val="24"/>
                <w:color w:val="auto"/>
              </w:rPr>
            </w:pPr>
          </w:p>
        </w:tc>
        <w:tc>
          <w:tcPr>
            <w:tcW w:w="1740" w:type="dxa"/>
            <w:vAlign w:val="bottom"/>
          </w:tcPr>
          <w:p>
            <w:pPr>
              <w:jc w:val="right"/>
              <w:spacing w:after="0"/>
              <w:rPr>
                <w:sz w:val="20"/>
                <w:szCs w:val="20"/>
                <w:color w:val="auto"/>
              </w:rPr>
            </w:pPr>
            <w:r>
              <w:rPr>
                <w:rFonts w:ascii="Arial" w:cs="Arial" w:eastAsia="Arial" w:hAnsi="Arial"/>
                <w:sz w:val="18"/>
                <w:szCs w:val="18"/>
                <w:color w:val="auto"/>
              </w:rPr>
              <w:t>F-24</w:t>
            </w:r>
          </w:p>
        </w:tc>
      </w:tr>
      <w:tr>
        <w:trPr>
          <w:trHeight w:val="304"/>
        </w:trPr>
        <w:tc>
          <w:tcPr>
            <w:tcW w:w="360" w:type="dxa"/>
            <w:vAlign w:val="bottom"/>
          </w:tcPr>
          <w:p>
            <w:pPr>
              <w:spacing w:after="0"/>
              <w:rPr>
                <w:sz w:val="24"/>
                <w:szCs w:val="24"/>
                <w:color w:val="auto"/>
              </w:rPr>
            </w:pPr>
          </w:p>
        </w:tc>
        <w:tc>
          <w:tcPr>
            <w:tcW w:w="9220" w:type="dxa"/>
            <w:vAlign w:val="bottom"/>
            <w:gridSpan w:val="13"/>
          </w:tcPr>
          <w:p>
            <w:pPr>
              <w:spacing w:after="0"/>
              <w:rPr>
                <w:rFonts w:ascii="Arial" w:cs="Arial" w:eastAsia="Arial" w:hAnsi="Arial"/>
                <w:sz w:val="18"/>
                <w:szCs w:val="18"/>
                <w:color w:val="0000EE"/>
              </w:rPr>
            </w:pPr>
            <w:hyperlink w:anchor="page132">
              <w:r>
                <w:rPr>
                  <w:rFonts w:ascii="Arial" w:cs="Arial" w:eastAsia="Arial" w:hAnsi="Arial"/>
                  <w:sz w:val="18"/>
                  <w:szCs w:val="18"/>
                  <w:color w:val="0000EE"/>
                </w:rPr>
                <w:t>Consolidated Balance Sheets as of March 31, 2014 and December 31, 2013</w:t>
              </w:r>
            </w:hyperlink>
          </w:p>
        </w:tc>
        <w:tc>
          <w:tcPr>
            <w:tcW w:w="1740" w:type="dxa"/>
            <w:vAlign w:val="bottom"/>
          </w:tcPr>
          <w:p>
            <w:pPr>
              <w:jc w:val="right"/>
              <w:spacing w:after="0"/>
              <w:rPr>
                <w:sz w:val="20"/>
                <w:szCs w:val="20"/>
                <w:color w:val="auto"/>
              </w:rPr>
            </w:pPr>
            <w:r>
              <w:rPr>
                <w:rFonts w:ascii="Arial" w:cs="Arial" w:eastAsia="Arial" w:hAnsi="Arial"/>
                <w:sz w:val="18"/>
                <w:szCs w:val="18"/>
                <w:color w:val="auto"/>
              </w:rPr>
              <w:t>F-25</w:t>
            </w:r>
          </w:p>
        </w:tc>
      </w:tr>
      <w:tr>
        <w:trPr>
          <w:trHeight w:val="20"/>
        </w:trPr>
        <w:tc>
          <w:tcPr>
            <w:tcW w:w="360" w:type="dxa"/>
            <w:vAlign w:val="bottom"/>
          </w:tcPr>
          <w:p>
            <w:pPr>
              <w:spacing w:after="0" w:line="20" w:lineRule="exact"/>
              <w:rPr>
                <w:sz w:val="1"/>
                <w:szCs w:val="1"/>
                <w:color w:val="auto"/>
              </w:rPr>
            </w:pPr>
          </w:p>
        </w:tc>
        <w:tc>
          <w:tcPr>
            <w:tcW w:w="3960" w:type="dxa"/>
            <w:vAlign w:val="bottom"/>
            <w:gridSpan w:val="4"/>
            <w:shd w:val="clear" w:color="auto" w:fill="0000EE"/>
          </w:tcPr>
          <w:p>
            <w:pPr>
              <w:spacing w:after="0" w:line="20" w:lineRule="exact"/>
              <w:rPr>
                <w:sz w:val="1"/>
                <w:szCs w:val="1"/>
                <w:color w:val="auto"/>
              </w:rPr>
            </w:pPr>
          </w:p>
        </w:tc>
        <w:tc>
          <w:tcPr>
            <w:tcW w:w="1480" w:type="dxa"/>
            <w:vAlign w:val="bottom"/>
            <w:gridSpan w:val="3"/>
            <w:shd w:val="clear" w:color="auto" w:fill="0000EE"/>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c>
          <w:tcPr>
            <w:tcW w:w="2360" w:type="dxa"/>
            <w:vAlign w:val="bottom"/>
            <w:gridSpan w:val="5"/>
          </w:tcPr>
          <w:p>
            <w:pPr>
              <w:spacing w:after="0" w:line="20" w:lineRule="exact"/>
              <w:rPr>
                <w:sz w:val="1"/>
                <w:szCs w:val="1"/>
                <w:color w:val="auto"/>
              </w:rPr>
            </w:pPr>
          </w:p>
        </w:tc>
        <w:tc>
          <w:tcPr>
            <w:tcW w:w="1740" w:type="dxa"/>
            <w:vAlign w:val="bottom"/>
          </w:tcPr>
          <w:p>
            <w:pPr>
              <w:spacing w:after="0" w:line="20" w:lineRule="exact"/>
              <w:rPr>
                <w:sz w:val="1"/>
                <w:szCs w:val="1"/>
                <w:color w:val="auto"/>
              </w:rPr>
            </w:pPr>
          </w:p>
        </w:tc>
      </w:tr>
      <w:tr>
        <w:trPr>
          <w:trHeight w:val="304"/>
        </w:trPr>
        <w:tc>
          <w:tcPr>
            <w:tcW w:w="360" w:type="dxa"/>
            <w:vAlign w:val="bottom"/>
          </w:tcPr>
          <w:p>
            <w:pPr>
              <w:spacing w:after="0"/>
              <w:rPr>
                <w:sz w:val="24"/>
                <w:szCs w:val="24"/>
                <w:color w:val="auto"/>
              </w:rPr>
            </w:pPr>
          </w:p>
        </w:tc>
        <w:tc>
          <w:tcPr>
            <w:tcW w:w="9220" w:type="dxa"/>
            <w:vAlign w:val="bottom"/>
            <w:gridSpan w:val="13"/>
          </w:tcPr>
          <w:p>
            <w:pPr>
              <w:spacing w:after="0"/>
              <w:rPr>
                <w:rFonts w:ascii="Arial" w:cs="Arial" w:eastAsia="Arial" w:hAnsi="Arial"/>
                <w:sz w:val="18"/>
                <w:szCs w:val="18"/>
                <w:color w:val="0000EE"/>
              </w:rPr>
            </w:pPr>
            <w:hyperlink w:anchor="page133">
              <w:r>
                <w:rPr>
                  <w:rFonts w:ascii="Arial" w:cs="Arial" w:eastAsia="Arial" w:hAnsi="Arial"/>
                  <w:sz w:val="18"/>
                  <w:szCs w:val="18"/>
                  <w:color w:val="0000EE"/>
                </w:rPr>
                <w:t>Consolidated Statements of Cash Flows for the Three Months Ended March 31, 2014 and 2013</w:t>
              </w:r>
            </w:hyperlink>
          </w:p>
        </w:tc>
        <w:tc>
          <w:tcPr>
            <w:tcW w:w="1740" w:type="dxa"/>
            <w:vAlign w:val="bottom"/>
          </w:tcPr>
          <w:p>
            <w:pPr>
              <w:jc w:val="right"/>
              <w:spacing w:after="0"/>
              <w:rPr>
                <w:sz w:val="20"/>
                <w:szCs w:val="20"/>
                <w:color w:val="auto"/>
              </w:rPr>
            </w:pPr>
            <w:r>
              <w:rPr>
                <w:rFonts w:ascii="Arial" w:cs="Arial" w:eastAsia="Arial" w:hAnsi="Arial"/>
                <w:sz w:val="18"/>
                <w:szCs w:val="18"/>
                <w:color w:val="auto"/>
              </w:rPr>
              <w:t>F-26</w:t>
            </w:r>
          </w:p>
        </w:tc>
      </w:tr>
      <w:tr>
        <w:trPr>
          <w:trHeight w:val="304"/>
        </w:trPr>
        <w:tc>
          <w:tcPr>
            <w:tcW w:w="360" w:type="dxa"/>
            <w:vAlign w:val="bottom"/>
          </w:tcPr>
          <w:p>
            <w:pPr>
              <w:spacing w:after="0"/>
              <w:rPr>
                <w:sz w:val="24"/>
                <w:szCs w:val="24"/>
                <w:color w:val="auto"/>
              </w:rPr>
            </w:pPr>
          </w:p>
        </w:tc>
        <w:tc>
          <w:tcPr>
            <w:tcW w:w="3960" w:type="dxa"/>
            <w:vAlign w:val="bottom"/>
            <w:tcBorders>
              <w:top w:val="single" w:sz="8" w:color="0000EE"/>
              <w:bottom w:val="single" w:sz="8" w:color="0000EE"/>
            </w:tcBorders>
            <w:gridSpan w:val="4"/>
          </w:tcPr>
          <w:p>
            <w:pPr>
              <w:spacing w:after="0"/>
              <w:rPr>
                <w:rFonts w:ascii="Arial" w:cs="Arial" w:eastAsia="Arial" w:hAnsi="Arial"/>
                <w:sz w:val="18"/>
                <w:szCs w:val="18"/>
                <w:color w:val="0000EE"/>
                <w:w w:val="90"/>
              </w:rPr>
            </w:pPr>
            <w:hyperlink w:anchor="page134">
              <w:r>
                <w:rPr>
                  <w:rFonts w:ascii="Arial" w:cs="Arial" w:eastAsia="Arial" w:hAnsi="Arial"/>
                  <w:sz w:val="18"/>
                  <w:szCs w:val="18"/>
                  <w:color w:val="0000EE"/>
                  <w:w w:val="90"/>
                </w:rPr>
                <w:t>Notes to Unaudited Consolidated Financial Statements</w:t>
              </w:r>
            </w:hyperlink>
          </w:p>
        </w:tc>
        <w:tc>
          <w:tcPr>
            <w:tcW w:w="2900" w:type="dxa"/>
            <w:vAlign w:val="bottom"/>
            <w:tcBorders>
              <w:top w:val="single" w:sz="8" w:color="0000EE"/>
            </w:tcBorders>
            <w:gridSpan w:val="4"/>
          </w:tcPr>
          <w:p>
            <w:pPr>
              <w:spacing w:after="0"/>
              <w:rPr>
                <w:sz w:val="24"/>
                <w:szCs w:val="24"/>
                <w:color w:val="auto"/>
              </w:rPr>
            </w:pPr>
          </w:p>
        </w:tc>
        <w:tc>
          <w:tcPr>
            <w:tcW w:w="2360" w:type="dxa"/>
            <w:vAlign w:val="bottom"/>
            <w:gridSpan w:val="5"/>
          </w:tcPr>
          <w:p>
            <w:pPr>
              <w:spacing w:after="0"/>
              <w:rPr>
                <w:sz w:val="24"/>
                <w:szCs w:val="24"/>
                <w:color w:val="auto"/>
              </w:rPr>
            </w:pPr>
          </w:p>
        </w:tc>
        <w:tc>
          <w:tcPr>
            <w:tcW w:w="1740" w:type="dxa"/>
            <w:vAlign w:val="bottom"/>
          </w:tcPr>
          <w:p>
            <w:pPr>
              <w:jc w:val="right"/>
              <w:spacing w:after="0"/>
              <w:rPr>
                <w:sz w:val="20"/>
                <w:szCs w:val="20"/>
                <w:color w:val="auto"/>
              </w:rPr>
            </w:pPr>
            <w:r>
              <w:rPr>
                <w:rFonts w:ascii="Arial" w:cs="Arial" w:eastAsia="Arial" w:hAnsi="Arial"/>
                <w:sz w:val="18"/>
                <w:szCs w:val="18"/>
                <w:color w:val="auto"/>
              </w:rPr>
              <w:t>F-27</w:t>
            </w:r>
          </w:p>
        </w:tc>
      </w:tr>
    </w:tbl>
    <w:p>
      <w:pPr>
        <w:spacing w:after="0" w:line="200" w:lineRule="exact"/>
        <w:rPr>
          <w:sz w:val="20"/>
          <w:szCs w:val="20"/>
          <w:color w:val="auto"/>
        </w:rPr>
      </w:pPr>
    </w:p>
    <w:p>
      <w:pPr>
        <w:spacing w:after="0" w:line="24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17.  </w:t>
      </w:r>
      <w:r>
        <w:rPr>
          <w:rFonts w:ascii="Arial" w:cs="Arial" w:eastAsia="Arial" w:hAnsi="Arial"/>
          <w:sz w:val="18"/>
          <w:szCs w:val="18"/>
          <w:b w:val="1"/>
          <w:bCs w:val="1"/>
          <w:i w:val="1"/>
          <w:iCs w:val="1"/>
          <w:color w:val="auto"/>
        </w:rPr>
        <w:t>UNDERTAKINGS.</w:t>
      </w:r>
    </w:p>
    <w:p>
      <w:pPr>
        <w:spacing w:after="0" w:line="54" w:lineRule="exact"/>
        <w:rPr>
          <w:sz w:val="20"/>
          <w:szCs w:val="20"/>
          <w:color w:val="auto"/>
        </w:rPr>
      </w:pPr>
    </w:p>
    <w:p>
      <w:pPr>
        <w:ind w:left="920"/>
        <w:spacing w:after="0"/>
        <w:rPr>
          <w:sz w:val="20"/>
          <w:szCs w:val="20"/>
          <w:color w:val="auto"/>
        </w:rPr>
      </w:pPr>
      <w:r>
        <w:rPr>
          <w:rFonts w:ascii="Arial" w:cs="Arial" w:eastAsia="Arial" w:hAnsi="Arial"/>
          <w:sz w:val="18"/>
          <w:szCs w:val="18"/>
          <w:color w:val="auto"/>
        </w:rPr>
        <w:t>The undersigned registrant hereby undertakes:</w:t>
      </w:r>
    </w:p>
    <w:p>
      <w:pPr>
        <w:spacing w:after="0" w:line="131" w:lineRule="exact"/>
        <w:rPr>
          <w:sz w:val="20"/>
          <w:szCs w:val="20"/>
          <w:color w:val="auto"/>
        </w:rPr>
      </w:pPr>
    </w:p>
    <w:p>
      <w:pPr>
        <w:ind w:left="1480" w:hanging="567"/>
        <w:spacing w:after="0"/>
        <w:tabs>
          <w:tab w:leader="none" w:pos="1480" w:val="left"/>
        </w:tabs>
        <w:numPr>
          <w:ilvl w:val="0"/>
          <w:numId w:val="51"/>
        </w:numPr>
        <w:rPr>
          <w:rFonts w:ascii="Arial" w:cs="Arial" w:eastAsia="Arial" w:hAnsi="Arial"/>
          <w:sz w:val="17"/>
          <w:szCs w:val="17"/>
          <w:color w:val="auto"/>
        </w:rPr>
      </w:pPr>
      <w:r>
        <w:rPr>
          <w:rFonts w:ascii="Arial" w:cs="Arial" w:eastAsia="Arial" w:hAnsi="Arial"/>
          <w:sz w:val="17"/>
          <w:szCs w:val="17"/>
          <w:color w:val="auto"/>
        </w:rPr>
        <w:t>To file, during any period in which offers or sales are being made, a post-effective amendment to this registration statement:</w:t>
      </w:r>
    </w:p>
    <w:p>
      <w:pPr>
        <w:spacing w:after="0" w:line="142" w:lineRule="exact"/>
        <w:rPr>
          <w:rFonts w:ascii="Arial" w:cs="Arial" w:eastAsia="Arial" w:hAnsi="Arial"/>
          <w:sz w:val="17"/>
          <w:szCs w:val="17"/>
          <w:color w:val="auto"/>
        </w:rPr>
      </w:pPr>
    </w:p>
    <w:p>
      <w:pPr>
        <w:ind w:left="1920" w:hanging="440"/>
        <w:spacing w:after="0"/>
        <w:tabs>
          <w:tab w:leader="none" w:pos="1920" w:val="left"/>
        </w:tabs>
        <w:numPr>
          <w:ilvl w:val="1"/>
          <w:numId w:val="51"/>
        </w:numPr>
        <w:rPr>
          <w:rFonts w:ascii="Arial" w:cs="Arial" w:eastAsia="Arial" w:hAnsi="Arial"/>
          <w:sz w:val="18"/>
          <w:szCs w:val="18"/>
          <w:color w:val="auto"/>
        </w:rPr>
      </w:pPr>
      <w:r>
        <w:rPr>
          <w:rFonts w:ascii="Arial" w:cs="Arial" w:eastAsia="Arial" w:hAnsi="Arial"/>
          <w:sz w:val="18"/>
          <w:szCs w:val="18"/>
          <w:color w:val="auto"/>
        </w:rPr>
        <w:t>To include any prospectus required by section 10(a)(3) of the Securities Act of 1933;</w:t>
      </w:r>
    </w:p>
    <w:p>
      <w:pPr>
        <w:spacing w:after="0" w:line="130" w:lineRule="exact"/>
        <w:rPr>
          <w:rFonts w:ascii="Arial" w:cs="Arial" w:eastAsia="Arial" w:hAnsi="Arial"/>
          <w:sz w:val="18"/>
          <w:szCs w:val="18"/>
          <w:color w:val="auto"/>
        </w:rPr>
      </w:pPr>
    </w:p>
    <w:p>
      <w:pPr>
        <w:ind w:left="1920" w:hanging="440"/>
        <w:spacing w:after="0" w:line="291" w:lineRule="auto"/>
        <w:tabs>
          <w:tab w:leader="none" w:pos="1920" w:val="left"/>
        </w:tabs>
        <w:numPr>
          <w:ilvl w:val="1"/>
          <w:numId w:val="51"/>
        </w:numPr>
        <w:rPr>
          <w:rFonts w:ascii="Arial" w:cs="Arial" w:eastAsia="Arial" w:hAnsi="Arial"/>
          <w:sz w:val="16"/>
          <w:szCs w:val="16"/>
          <w:color w:val="auto"/>
        </w:rPr>
      </w:pPr>
      <w:r>
        <w:rPr>
          <w:rFonts w:ascii="Arial" w:cs="Arial" w:eastAsia="Arial" w:hAnsi="Arial"/>
          <w:sz w:val="16"/>
          <w:szCs w:val="16"/>
          <w:color w:val="auto"/>
        </w:rPr>
        <w:t>To reflect in the prospectus any facts or events arising after the effective date of the registration statement (or the most recent post-effective amendment thereof) which, individually or in the aggregate, represent a fundamental change in the information set forth in the registration statement. Notwithstanding the foregoing, any increase or decrease in volume of securities offered (if the total dollar value of securities offered would not exceed that which was registered) and any deviation from the low or high end of the estimated maximum offering range may be reflected in the form of prospectus filed with the Commission pursuant to Rule 424(b) if, in the aggregate, the changes in volume and price represent no more than 20% change in the maximum aggregate offering price set forth in the “Calculation of Registration Fee” table in the effective registration statement;</w:t>
      </w:r>
    </w:p>
    <w:p>
      <w:pPr>
        <w:spacing w:after="0" w:line="100"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II-2</w:t>
      </w:r>
    </w:p>
    <w:p>
      <w:pPr>
        <w:sectPr>
          <w:pgSz w:w="11900" w:h="16838" w:orient="portrait"/>
          <w:cols w:equalWidth="0" w:num="1">
            <w:col w:w="11320"/>
          </w:cols>
          <w:pgMar w:left="240" w:top="460" w:right="339" w:bottom="1440" w:gutter="0" w:footer="0" w:header="0"/>
        </w:sectPr>
      </w:pPr>
    </w:p>
    <w:bookmarkStart w:id="144" w:name="page145"/>
    <w:bookmarkEnd w:id="14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72">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1920" w:right="20" w:hanging="440"/>
        <w:spacing w:after="0" w:line="277" w:lineRule="auto"/>
        <w:tabs>
          <w:tab w:leader="none" w:pos="1920" w:val="left"/>
        </w:tabs>
        <w:numPr>
          <w:ilvl w:val="1"/>
          <w:numId w:val="52"/>
        </w:numPr>
        <w:rPr>
          <w:rFonts w:ascii="Arial" w:cs="Arial" w:eastAsia="Arial" w:hAnsi="Arial"/>
          <w:sz w:val="18"/>
          <w:szCs w:val="18"/>
          <w:color w:val="auto"/>
        </w:rPr>
      </w:pPr>
      <w:r>
        <w:rPr>
          <w:rFonts w:ascii="Arial" w:cs="Arial" w:eastAsia="Arial" w:hAnsi="Arial"/>
          <w:sz w:val="18"/>
          <w:szCs w:val="18"/>
          <w:color w:val="auto"/>
        </w:rPr>
        <w:t>To include any material information with respect to the plan of distribution not previously disclosed in the registration statement or any material change to such information in the registration statement.</w:t>
      </w:r>
    </w:p>
    <w:p>
      <w:pPr>
        <w:spacing w:after="0" w:line="75" w:lineRule="exact"/>
        <w:rPr>
          <w:rFonts w:ascii="Arial" w:cs="Arial" w:eastAsia="Arial" w:hAnsi="Arial"/>
          <w:sz w:val="18"/>
          <w:szCs w:val="18"/>
          <w:color w:val="auto"/>
        </w:rPr>
      </w:pPr>
    </w:p>
    <w:p>
      <w:pPr>
        <w:ind w:left="1480" w:hanging="567"/>
        <w:spacing w:after="0" w:line="264" w:lineRule="auto"/>
        <w:tabs>
          <w:tab w:leader="none" w:pos="1480" w:val="left"/>
        </w:tabs>
        <w:numPr>
          <w:ilvl w:val="0"/>
          <w:numId w:val="53"/>
        </w:numPr>
        <w:rPr>
          <w:rFonts w:ascii="Arial" w:cs="Arial" w:eastAsia="Arial" w:hAnsi="Arial"/>
          <w:sz w:val="18"/>
          <w:szCs w:val="18"/>
          <w:color w:val="auto"/>
        </w:rPr>
      </w:pPr>
      <w:r>
        <w:rPr>
          <w:rFonts w:ascii="Arial" w:cs="Arial" w:eastAsia="Arial" w:hAnsi="Arial"/>
          <w:sz w:val="18"/>
          <w:szCs w:val="18"/>
          <w:color w:val="auto"/>
        </w:rPr>
        <w:t>That, for the purpose of determining any liability under the Securities Act of 1933, each such post-effective amendment shall be deemed to be a new registration statement relating to the securities offered therein, and the offering of such securities at that time shall be deemed to be the initial bona fide offering thereof.</w:t>
      </w:r>
    </w:p>
    <w:p>
      <w:pPr>
        <w:spacing w:after="0" w:line="86" w:lineRule="exact"/>
        <w:rPr>
          <w:rFonts w:ascii="Arial" w:cs="Arial" w:eastAsia="Arial" w:hAnsi="Arial"/>
          <w:sz w:val="18"/>
          <w:szCs w:val="18"/>
          <w:color w:val="auto"/>
        </w:rPr>
      </w:pPr>
    </w:p>
    <w:p>
      <w:pPr>
        <w:ind w:left="1480" w:right="220" w:hanging="567"/>
        <w:spacing w:after="0" w:line="277" w:lineRule="auto"/>
        <w:tabs>
          <w:tab w:leader="none" w:pos="1480" w:val="left"/>
        </w:tabs>
        <w:numPr>
          <w:ilvl w:val="0"/>
          <w:numId w:val="53"/>
        </w:numPr>
        <w:rPr>
          <w:rFonts w:ascii="Arial" w:cs="Arial" w:eastAsia="Arial" w:hAnsi="Arial"/>
          <w:sz w:val="18"/>
          <w:szCs w:val="18"/>
          <w:color w:val="auto"/>
        </w:rPr>
      </w:pPr>
      <w:r>
        <w:rPr>
          <w:rFonts w:ascii="Arial" w:cs="Arial" w:eastAsia="Arial" w:hAnsi="Arial"/>
          <w:sz w:val="18"/>
          <w:szCs w:val="18"/>
          <w:color w:val="auto"/>
        </w:rPr>
        <w:t>To remove from registration by means of a post-effective amendment any of the securities being registered which remain unsold at the termination of the offering.</w:t>
      </w:r>
    </w:p>
    <w:p>
      <w:pPr>
        <w:spacing w:after="0" w:line="76" w:lineRule="exact"/>
        <w:rPr>
          <w:sz w:val="20"/>
          <w:szCs w:val="20"/>
          <w:color w:val="auto"/>
        </w:rPr>
      </w:pPr>
    </w:p>
    <w:p>
      <w:pPr>
        <w:ind w:left="1480" w:right="80" w:hanging="567"/>
        <w:spacing w:after="0" w:line="277" w:lineRule="auto"/>
        <w:tabs>
          <w:tab w:leader="none" w:pos="1480" w:val="left"/>
        </w:tabs>
        <w:numPr>
          <w:ilvl w:val="0"/>
          <w:numId w:val="54"/>
        </w:numPr>
        <w:rPr>
          <w:rFonts w:ascii="Arial" w:cs="Arial" w:eastAsia="Arial" w:hAnsi="Arial"/>
          <w:sz w:val="18"/>
          <w:szCs w:val="18"/>
          <w:color w:val="auto"/>
        </w:rPr>
      </w:pPr>
      <w:r>
        <w:rPr>
          <w:rFonts w:ascii="Arial" w:cs="Arial" w:eastAsia="Arial" w:hAnsi="Arial"/>
          <w:sz w:val="18"/>
          <w:szCs w:val="18"/>
          <w:color w:val="auto"/>
        </w:rPr>
        <w:t>That, for the purpose of determining liability of the registrant under the Securities Act of 1933 to any purchaser in the initial distribution of the securities:</w:t>
      </w:r>
    </w:p>
    <w:p>
      <w:pPr>
        <w:spacing w:after="0" w:line="251" w:lineRule="exact"/>
        <w:rPr>
          <w:sz w:val="20"/>
          <w:szCs w:val="20"/>
          <w:color w:val="auto"/>
        </w:rPr>
      </w:pPr>
    </w:p>
    <w:p>
      <w:pPr>
        <w:jc w:val="both"/>
        <w:ind w:firstLine="913"/>
        <w:spacing w:after="0" w:line="312" w:lineRule="auto"/>
        <w:rPr>
          <w:sz w:val="20"/>
          <w:szCs w:val="20"/>
          <w:color w:val="auto"/>
        </w:rPr>
      </w:pPr>
      <w:r>
        <w:rPr>
          <w:rFonts w:ascii="Arial" w:cs="Arial" w:eastAsia="Arial" w:hAnsi="Arial"/>
          <w:sz w:val="16"/>
          <w:szCs w:val="16"/>
          <w:color w:val="auto"/>
        </w:rPr>
        <w:t>The undersigned registrant undertakes that in a primary offering of securities of the undersigned registrant pursuant to this registration statement, regardless of the underwriting method used to sell the securities to the purchaser, if the securities are offered or sold to such purchaser by means of any of the following communications, the undersigned registrant will be a seller to the purchaser and will be considered to offer or sell such securities to such purchaser:</w:t>
      </w:r>
    </w:p>
    <w:p>
      <w:pPr>
        <w:spacing w:after="0" w:line="52" w:lineRule="exact"/>
        <w:rPr>
          <w:sz w:val="20"/>
          <w:szCs w:val="20"/>
          <w:color w:val="auto"/>
        </w:rPr>
      </w:pPr>
    </w:p>
    <w:p>
      <w:pPr>
        <w:ind w:left="1920" w:hanging="440"/>
        <w:spacing w:after="0" w:line="277" w:lineRule="auto"/>
        <w:tabs>
          <w:tab w:leader="none" w:pos="1920" w:val="left"/>
        </w:tabs>
        <w:numPr>
          <w:ilvl w:val="0"/>
          <w:numId w:val="55"/>
        </w:numPr>
        <w:rPr>
          <w:rFonts w:ascii="Arial" w:cs="Arial" w:eastAsia="Arial" w:hAnsi="Arial"/>
          <w:sz w:val="18"/>
          <w:szCs w:val="18"/>
          <w:color w:val="auto"/>
        </w:rPr>
      </w:pPr>
      <w:r>
        <w:rPr>
          <w:rFonts w:ascii="Arial" w:cs="Arial" w:eastAsia="Arial" w:hAnsi="Arial"/>
          <w:sz w:val="18"/>
          <w:szCs w:val="18"/>
          <w:color w:val="auto"/>
        </w:rPr>
        <w:t>Any preliminary prospectus or prospectus of the undersigned registrant relating to the offering required to be filed pursuant to Rule 424;</w:t>
      </w:r>
    </w:p>
    <w:p>
      <w:pPr>
        <w:spacing w:after="0" w:line="75" w:lineRule="exact"/>
        <w:rPr>
          <w:rFonts w:ascii="Arial" w:cs="Arial" w:eastAsia="Arial" w:hAnsi="Arial"/>
          <w:sz w:val="18"/>
          <w:szCs w:val="18"/>
          <w:color w:val="auto"/>
        </w:rPr>
      </w:pPr>
    </w:p>
    <w:p>
      <w:pPr>
        <w:ind w:left="1920" w:right="60" w:hanging="440"/>
        <w:spacing w:after="0" w:line="277" w:lineRule="auto"/>
        <w:tabs>
          <w:tab w:leader="none" w:pos="1920" w:val="left"/>
        </w:tabs>
        <w:numPr>
          <w:ilvl w:val="0"/>
          <w:numId w:val="55"/>
        </w:numPr>
        <w:rPr>
          <w:rFonts w:ascii="Arial" w:cs="Arial" w:eastAsia="Arial" w:hAnsi="Arial"/>
          <w:sz w:val="18"/>
          <w:szCs w:val="18"/>
          <w:color w:val="auto"/>
        </w:rPr>
      </w:pPr>
      <w:r>
        <w:rPr>
          <w:rFonts w:ascii="Arial" w:cs="Arial" w:eastAsia="Arial" w:hAnsi="Arial"/>
          <w:sz w:val="18"/>
          <w:szCs w:val="18"/>
          <w:color w:val="auto"/>
        </w:rPr>
        <w:t>Any free writing prospectus relating to the offering prepared by or on behalf of the undersigned registrant or used or referred to by the undersigned registrant;</w:t>
      </w:r>
    </w:p>
    <w:p>
      <w:pPr>
        <w:spacing w:after="0" w:line="75" w:lineRule="exact"/>
        <w:rPr>
          <w:rFonts w:ascii="Arial" w:cs="Arial" w:eastAsia="Arial" w:hAnsi="Arial"/>
          <w:sz w:val="18"/>
          <w:szCs w:val="18"/>
          <w:color w:val="auto"/>
        </w:rPr>
      </w:pPr>
    </w:p>
    <w:p>
      <w:pPr>
        <w:ind w:left="1920" w:right="360" w:hanging="440"/>
        <w:spacing w:after="0" w:line="277" w:lineRule="auto"/>
        <w:tabs>
          <w:tab w:leader="none" w:pos="1920" w:val="left"/>
        </w:tabs>
        <w:numPr>
          <w:ilvl w:val="0"/>
          <w:numId w:val="55"/>
        </w:numPr>
        <w:rPr>
          <w:rFonts w:ascii="Arial" w:cs="Arial" w:eastAsia="Arial" w:hAnsi="Arial"/>
          <w:sz w:val="18"/>
          <w:szCs w:val="18"/>
          <w:color w:val="auto"/>
        </w:rPr>
      </w:pPr>
      <w:r>
        <w:rPr>
          <w:rFonts w:ascii="Arial" w:cs="Arial" w:eastAsia="Arial" w:hAnsi="Arial"/>
          <w:sz w:val="18"/>
          <w:szCs w:val="18"/>
          <w:color w:val="auto"/>
        </w:rPr>
        <w:t>The portion of any other free writing prospectus relating to the offering containing material information about the undersigned registrant or its securities provided by or on behalf of the undersigned registrant; and</w:t>
      </w:r>
    </w:p>
    <w:p>
      <w:pPr>
        <w:spacing w:after="0" w:line="75" w:lineRule="exact"/>
        <w:rPr>
          <w:rFonts w:ascii="Arial" w:cs="Arial" w:eastAsia="Arial" w:hAnsi="Arial"/>
          <w:sz w:val="18"/>
          <w:szCs w:val="18"/>
          <w:color w:val="auto"/>
        </w:rPr>
      </w:pPr>
    </w:p>
    <w:p>
      <w:pPr>
        <w:ind w:left="1920" w:hanging="440"/>
        <w:spacing w:after="0"/>
        <w:tabs>
          <w:tab w:leader="none" w:pos="1920" w:val="left"/>
        </w:tabs>
        <w:numPr>
          <w:ilvl w:val="0"/>
          <w:numId w:val="55"/>
        </w:numPr>
        <w:rPr>
          <w:rFonts w:ascii="Arial" w:cs="Arial" w:eastAsia="Arial" w:hAnsi="Arial"/>
          <w:sz w:val="18"/>
          <w:szCs w:val="18"/>
          <w:color w:val="auto"/>
        </w:rPr>
      </w:pPr>
      <w:r>
        <w:rPr>
          <w:rFonts w:ascii="Arial" w:cs="Arial" w:eastAsia="Arial" w:hAnsi="Arial"/>
          <w:sz w:val="18"/>
          <w:szCs w:val="18"/>
          <w:color w:val="auto"/>
        </w:rPr>
        <w:t>Any other communication that is an offer in the offering made by the undersigned registrant to the purchaser.</w:t>
      </w:r>
    </w:p>
    <w:p>
      <w:pPr>
        <w:spacing w:after="0" w:line="293" w:lineRule="exact"/>
        <w:rPr>
          <w:sz w:val="20"/>
          <w:szCs w:val="20"/>
          <w:color w:val="auto"/>
        </w:rPr>
      </w:pPr>
    </w:p>
    <w:p>
      <w:pPr>
        <w:ind w:firstLine="913"/>
        <w:spacing w:after="0" w:line="254" w:lineRule="auto"/>
        <w:rPr>
          <w:sz w:val="20"/>
          <w:szCs w:val="20"/>
          <w:color w:val="auto"/>
        </w:rPr>
      </w:pPr>
      <w:r>
        <w:rPr>
          <w:rFonts w:ascii="Arial" w:cs="Arial" w:eastAsia="Arial" w:hAnsi="Arial"/>
          <w:sz w:val="18"/>
          <w:szCs w:val="18"/>
          <w:color w:val="auto"/>
        </w:rPr>
        <w:t>Insofar as indemnification for liabilities arising under the Securities Act of 1933 may be permitted to directors, officers and controlling persons of the registrant pursuant to the foregoing provisions, or otherwise, the registrant has been advised that in the opinion of the Securities and Exchange Commission such indemnification is against public policy as expressed in the Act and is, therefore, unenforceable. In the event that a claim for indemnification against such liabilities (other than the payment by the registrant of expenses incurred or paid by a director, officer or controlling person of the registrant in the successful defense of any action, suit or proceeding) is asserted by such director, officer or controlling person in connection with the securities being registered, the registrant will, unless in the opinion of its counsel the matter has been settled by controlling precedent, submit to a court of appropriate jurisdiction the question whether such indemnification by it is against public policy as expressed in the Act and will be governed by the final adjudication of such issue.</w:t>
      </w:r>
    </w:p>
    <w:p>
      <w:pPr>
        <w:spacing w:after="0" w:line="125"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II-3</w:t>
      </w:r>
    </w:p>
    <w:p>
      <w:pPr>
        <w:sectPr>
          <w:pgSz w:w="11900" w:h="16838" w:orient="portrait"/>
          <w:cols w:equalWidth="0" w:num="1">
            <w:col w:w="11380"/>
          </w:cols>
          <w:pgMar w:left="240" w:top="459" w:right="279" w:bottom="1440" w:gutter="0" w:footer="0" w:header="0"/>
        </w:sectPr>
      </w:pPr>
    </w:p>
    <w:bookmarkStart w:id="145" w:name="page146"/>
    <w:bookmarkEnd w:id="14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73">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99"/>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ind w:right="140" w:firstLine="799"/>
        <w:spacing w:after="0" w:line="277" w:lineRule="auto"/>
        <w:rPr>
          <w:sz w:val="20"/>
          <w:szCs w:val="20"/>
          <w:color w:val="auto"/>
        </w:rPr>
      </w:pPr>
      <w:r>
        <w:rPr>
          <w:rFonts w:ascii="Arial" w:cs="Arial" w:eastAsia="Arial" w:hAnsi="Arial"/>
          <w:sz w:val="18"/>
          <w:szCs w:val="18"/>
          <w:color w:val="auto"/>
        </w:rPr>
        <w:t>Pursuant to the requirements of the Securities Act of 1933, the registrant has duly caused this registration statement to be signed on its behalf by the undersigned, thereunto duly authorized, in the City of Canton, State of Ohio, on May 27, 2014.</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6"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TimkenSteel Corporation</w:t>
      </w:r>
    </w:p>
    <w:p>
      <w:pPr>
        <w:spacing w:after="0" w:line="225" w:lineRule="exact"/>
        <w:rPr>
          <w:sz w:val="20"/>
          <w:szCs w:val="20"/>
          <w:color w:val="auto"/>
        </w:rPr>
      </w:pPr>
    </w:p>
    <w:tbl>
      <w:tblPr>
        <w:tblLayout w:type="fixed"/>
        <w:tblInd w:w="6860" w:type="dxa"/>
        <w:tblCellMar>
          <w:top w:w="0" w:type="dxa"/>
          <w:left w:w="0" w:type="dxa"/>
          <w:bottom w:w="0" w:type="dxa"/>
          <w:right w:w="0" w:type="dxa"/>
        </w:tblCellMar>
      </w:tblPr>
      <w:tr>
        <w:trPr>
          <w:trHeight w:val="230"/>
        </w:trPr>
        <w:tc>
          <w:tcPr>
            <w:tcW w:w="760" w:type="dxa"/>
            <w:vAlign w:val="bottom"/>
          </w:tcPr>
          <w:p>
            <w:pPr>
              <w:spacing w:after="0"/>
              <w:rPr>
                <w:sz w:val="20"/>
                <w:szCs w:val="20"/>
                <w:color w:val="auto"/>
              </w:rPr>
            </w:pPr>
            <w:r>
              <w:rPr>
                <w:rFonts w:ascii="Arial" w:cs="Arial" w:eastAsia="Arial" w:hAnsi="Arial"/>
                <w:sz w:val="18"/>
                <w:szCs w:val="18"/>
                <w:color w:val="auto"/>
              </w:rPr>
              <w:t>By:</w:t>
            </w:r>
          </w:p>
        </w:tc>
        <w:tc>
          <w:tcPr>
            <w:tcW w:w="3260" w:type="dxa"/>
            <w:vAlign w:val="bottom"/>
            <w:tcBorders>
              <w:bottom w:val="single" w:sz="8" w:color="auto"/>
            </w:tcBorders>
          </w:tcPr>
          <w:p>
            <w:pPr>
              <w:ind w:left="40"/>
              <w:spacing w:after="0"/>
              <w:rPr>
                <w:sz w:val="20"/>
                <w:szCs w:val="20"/>
                <w:color w:val="auto"/>
              </w:rPr>
            </w:pPr>
            <w:r>
              <w:rPr>
                <w:rFonts w:ascii="Arial" w:cs="Arial" w:eastAsia="Arial" w:hAnsi="Arial"/>
                <w:sz w:val="18"/>
                <w:szCs w:val="18"/>
                <w:color w:val="auto"/>
              </w:rPr>
              <w:t>/s/ Christopher J. Holding</w:t>
            </w:r>
          </w:p>
        </w:tc>
      </w:tr>
      <w:tr>
        <w:trPr>
          <w:trHeight w:val="250"/>
        </w:trPr>
        <w:tc>
          <w:tcPr>
            <w:tcW w:w="760" w:type="dxa"/>
            <w:vAlign w:val="bottom"/>
          </w:tcPr>
          <w:p>
            <w:pPr>
              <w:spacing w:after="0"/>
              <w:rPr>
                <w:sz w:val="20"/>
                <w:szCs w:val="20"/>
                <w:color w:val="auto"/>
              </w:rPr>
            </w:pPr>
            <w:r>
              <w:rPr>
                <w:rFonts w:ascii="Arial" w:cs="Arial" w:eastAsia="Arial" w:hAnsi="Arial"/>
                <w:sz w:val="18"/>
                <w:szCs w:val="18"/>
                <w:color w:val="auto"/>
              </w:rPr>
              <w:t>Name:</w:t>
            </w:r>
          </w:p>
        </w:tc>
        <w:tc>
          <w:tcPr>
            <w:tcW w:w="3260" w:type="dxa"/>
            <w:vAlign w:val="bottom"/>
          </w:tcPr>
          <w:p>
            <w:pPr>
              <w:ind w:left="40"/>
              <w:spacing w:after="0"/>
              <w:rPr>
                <w:sz w:val="20"/>
                <w:szCs w:val="20"/>
                <w:color w:val="auto"/>
              </w:rPr>
            </w:pPr>
            <w:r>
              <w:rPr>
                <w:rFonts w:ascii="Arial" w:cs="Arial" w:eastAsia="Arial" w:hAnsi="Arial"/>
                <w:sz w:val="18"/>
                <w:szCs w:val="18"/>
                <w:color w:val="auto"/>
              </w:rPr>
              <w:t>Christopher J. Holding</w:t>
            </w:r>
          </w:p>
        </w:tc>
      </w:tr>
      <w:tr>
        <w:trPr>
          <w:trHeight w:val="323"/>
        </w:trPr>
        <w:tc>
          <w:tcPr>
            <w:tcW w:w="760" w:type="dxa"/>
            <w:vAlign w:val="bottom"/>
          </w:tcPr>
          <w:p>
            <w:pPr>
              <w:spacing w:after="0"/>
              <w:rPr>
                <w:sz w:val="20"/>
                <w:szCs w:val="20"/>
                <w:color w:val="auto"/>
              </w:rPr>
            </w:pPr>
            <w:r>
              <w:rPr>
                <w:rFonts w:ascii="Arial" w:cs="Arial" w:eastAsia="Arial" w:hAnsi="Arial"/>
                <w:sz w:val="18"/>
                <w:szCs w:val="18"/>
                <w:color w:val="auto"/>
              </w:rPr>
              <w:t>Title:</w:t>
            </w:r>
          </w:p>
        </w:tc>
        <w:tc>
          <w:tcPr>
            <w:tcW w:w="3260" w:type="dxa"/>
            <w:vAlign w:val="bottom"/>
          </w:tcPr>
          <w:p>
            <w:pPr>
              <w:ind w:left="40"/>
              <w:spacing w:after="0"/>
              <w:rPr>
                <w:sz w:val="20"/>
                <w:szCs w:val="20"/>
                <w:color w:val="auto"/>
              </w:rPr>
            </w:pPr>
            <w:r>
              <w:rPr>
                <w:rFonts w:ascii="Arial" w:cs="Arial" w:eastAsia="Arial" w:hAnsi="Arial"/>
                <w:sz w:val="18"/>
                <w:szCs w:val="18"/>
                <w:color w:val="auto"/>
              </w:rPr>
              <w:t>Executive Vice President and Chief</w:t>
            </w:r>
          </w:p>
        </w:tc>
      </w:tr>
      <w:tr>
        <w:trPr>
          <w:trHeight w:val="230"/>
        </w:trPr>
        <w:tc>
          <w:tcPr>
            <w:tcW w:w="760" w:type="dxa"/>
            <w:vAlign w:val="bottom"/>
          </w:tcPr>
          <w:p>
            <w:pPr>
              <w:spacing w:after="0"/>
              <w:rPr>
                <w:sz w:val="20"/>
                <w:szCs w:val="20"/>
                <w:color w:val="auto"/>
              </w:rPr>
            </w:pPr>
          </w:p>
        </w:tc>
        <w:tc>
          <w:tcPr>
            <w:tcW w:w="3260" w:type="dxa"/>
            <w:vAlign w:val="bottom"/>
          </w:tcPr>
          <w:p>
            <w:pPr>
              <w:ind w:left="40"/>
              <w:spacing w:after="0"/>
              <w:rPr>
                <w:sz w:val="20"/>
                <w:szCs w:val="20"/>
                <w:color w:val="auto"/>
              </w:rPr>
            </w:pPr>
            <w:r>
              <w:rPr>
                <w:rFonts w:ascii="Arial" w:cs="Arial" w:eastAsia="Arial" w:hAnsi="Arial"/>
                <w:sz w:val="18"/>
                <w:szCs w:val="18"/>
                <w:color w:val="auto"/>
              </w:rPr>
              <w:t>Financial Officer</w:t>
            </w:r>
          </w:p>
        </w:tc>
      </w:tr>
    </w:tbl>
    <w:p>
      <w:pPr>
        <w:spacing w:after="0" w:line="202" w:lineRule="exact"/>
        <w:rPr>
          <w:sz w:val="20"/>
          <w:szCs w:val="20"/>
          <w:color w:val="auto"/>
        </w:rPr>
      </w:pPr>
    </w:p>
    <w:p>
      <w:pPr>
        <w:ind w:right="160" w:firstLine="799"/>
        <w:spacing w:after="0" w:line="277" w:lineRule="auto"/>
        <w:rPr>
          <w:sz w:val="20"/>
          <w:szCs w:val="20"/>
          <w:color w:val="auto"/>
        </w:rPr>
      </w:pPr>
      <w:r>
        <w:rPr>
          <w:rFonts w:ascii="Arial" w:cs="Arial" w:eastAsia="Arial" w:hAnsi="Arial"/>
          <w:sz w:val="18"/>
          <w:szCs w:val="18"/>
          <w:color w:val="auto"/>
        </w:rPr>
        <w:t>Pursuant to the requirements of the Securities Act of 1933, this registration statement has been signed by the following persons in the capacities indicated on May 27, 2014.</w:t>
      </w:r>
    </w:p>
    <w:p>
      <w:pPr>
        <w:spacing w:after="0" w:line="193"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4360" w:type="dxa"/>
            <w:vAlign w:val="bottom"/>
          </w:tcPr>
          <w:p>
            <w:pPr>
              <w:jc w:val="center"/>
              <w:spacing w:after="0"/>
              <w:rPr>
                <w:sz w:val="20"/>
                <w:szCs w:val="20"/>
                <w:color w:val="auto"/>
              </w:rPr>
            </w:pPr>
            <w:r>
              <w:rPr>
                <w:rFonts w:ascii="Arial" w:cs="Arial" w:eastAsia="Arial" w:hAnsi="Arial"/>
                <w:sz w:val="18"/>
                <w:szCs w:val="18"/>
                <w:b w:val="1"/>
                <w:bCs w:val="1"/>
                <w:color w:val="auto"/>
                <w:w w:val="91"/>
              </w:rPr>
              <w:t>Signature</w:t>
            </w:r>
          </w:p>
        </w:tc>
        <w:tc>
          <w:tcPr>
            <w:tcW w:w="6960" w:type="dxa"/>
            <w:vAlign w:val="bottom"/>
          </w:tcPr>
          <w:p>
            <w:pPr>
              <w:jc w:val="center"/>
              <w:ind w:left="230"/>
              <w:spacing w:after="0"/>
              <w:rPr>
                <w:sz w:val="20"/>
                <w:szCs w:val="20"/>
                <w:color w:val="auto"/>
              </w:rPr>
            </w:pPr>
            <w:r>
              <w:rPr>
                <w:rFonts w:ascii="Arial" w:cs="Arial" w:eastAsia="Arial" w:hAnsi="Arial"/>
                <w:sz w:val="18"/>
                <w:szCs w:val="18"/>
                <w:b w:val="1"/>
                <w:bCs w:val="1"/>
                <w:color w:val="auto"/>
                <w:w w:val="97"/>
              </w:rPr>
              <w:t>Title</w:t>
            </w:r>
          </w:p>
        </w:tc>
      </w:tr>
      <w:tr>
        <w:trPr>
          <w:trHeight w:val="432"/>
        </w:trPr>
        <w:tc>
          <w:tcPr>
            <w:tcW w:w="436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88"/>
              </w:rPr>
              <w:t>/s/ Ward J. Timken, Jr.</w:t>
            </w:r>
          </w:p>
        </w:tc>
        <w:tc>
          <w:tcPr>
            <w:tcW w:w="6960" w:type="dxa"/>
            <w:vAlign w:val="bottom"/>
          </w:tcPr>
          <w:p>
            <w:pPr>
              <w:jc w:val="center"/>
              <w:ind w:left="230"/>
              <w:spacing w:after="0"/>
              <w:rPr>
                <w:sz w:val="20"/>
                <w:szCs w:val="20"/>
                <w:color w:val="auto"/>
              </w:rPr>
            </w:pPr>
            <w:r>
              <w:rPr>
                <w:rFonts w:ascii="Arial" w:cs="Arial" w:eastAsia="Arial" w:hAnsi="Arial"/>
                <w:sz w:val="18"/>
                <w:szCs w:val="18"/>
                <w:color w:val="auto"/>
                <w:w w:val="92"/>
              </w:rPr>
              <w:t>Chairman, Chief Executive Officer and President (Principal Executive Officer) and Director</w:t>
            </w:r>
          </w:p>
        </w:tc>
      </w:tr>
      <w:tr>
        <w:trPr>
          <w:trHeight w:val="224"/>
        </w:trPr>
        <w:tc>
          <w:tcPr>
            <w:tcW w:w="4360" w:type="dxa"/>
            <w:vAlign w:val="bottom"/>
          </w:tcPr>
          <w:p>
            <w:pPr>
              <w:jc w:val="center"/>
              <w:spacing w:after="0"/>
              <w:rPr>
                <w:sz w:val="20"/>
                <w:szCs w:val="20"/>
                <w:color w:val="auto"/>
              </w:rPr>
            </w:pPr>
            <w:r>
              <w:rPr>
                <w:rFonts w:ascii="Arial" w:cs="Arial" w:eastAsia="Arial" w:hAnsi="Arial"/>
                <w:sz w:val="18"/>
                <w:szCs w:val="18"/>
                <w:color w:val="auto"/>
                <w:w w:val="89"/>
              </w:rPr>
              <w:t>Ward J. Timken, Jr.</w:t>
            </w:r>
          </w:p>
        </w:tc>
        <w:tc>
          <w:tcPr>
            <w:tcW w:w="6960" w:type="dxa"/>
            <w:vAlign w:val="bottom"/>
          </w:tcPr>
          <w:p>
            <w:pPr>
              <w:spacing w:after="0"/>
              <w:rPr>
                <w:sz w:val="19"/>
                <w:szCs w:val="19"/>
                <w:color w:val="auto"/>
              </w:rPr>
            </w:pPr>
          </w:p>
        </w:tc>
      </w:tr>
      <w:tr>
        <w:trPr>
          <w:trHeight w:val="431"/>
        </w:trPr>
        <w:tc>
          <w:tcPr>
            <w:tcW w:w="436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92"/>
              </w:rPr>
              <w:t>/s/ Christopher J. Holding</w:t>
            </w:r>
          </w:p>
        </w:tc>
        <w:tc>
          <w:tcPr>
            <w:tcW w:w="6960" w:type="dxa"/>
            <w:vAlign w:val="bottom"/>
          </w:tcPr>
          <w:p>
            <w:pPr>
              <w:jc w:val="center"/>
              <w:ind w:left="230"/>
              <w:spacing w:after="0"/>
              <w:rPr>
                <w:sz w:val="20"/>
                <w:szCs w:val="20"/>
                <w:color w:val="auto"/>
              </w:rPr>
            </w:pPr>
            <w:r>
              <w:rPr>
                <w:rFonts w:ascii="Arial" w:cs="Arial" w:eastAsia="Arial" w:hAnsi="Arial"/>
                <w:sz w:val="18"/>
                <w:szCs w:val="18"/>
                <w:color w:val="auto"/>
                <w:w w:val="92"/>
              </w:rPr>
              <w:t>Executive Vice President and Chief Financial Officer (Principal Financial Officer) and</w:t>
            </w:r>
          </w:p>
        </w:tc>
      </w:tr>
      <w:tr>
        <w:trPr>
          <w:trHeight w:val="224"/>
        </w:trPr>
        <w:tc>
          <w:tcPr>
            <w:tcW w:w="4360" w:type="dxa"/>
            <w:vAlign w:val="bottom"/>
          </w:tcPr>
          <w:p>
            <w:pPr>
              <w:jc w:val="center"/>
              <w:spacing w:after="0"/>
              <w:rPr>
                <w:sz w:val="20"/>
                <w:szCs w:val="20"/>
                <w:color w:val="auto"/>
              </w:rPr>
            </w:pPr>
            <w:r>
              <w:rPr>
                <w:rFonts w:ascii="Arial" w:cs="Arial" w:eastAsia="Arial" w:hAnsi="Arial"/>
                <w:sz w:val="18"/>
                <w:szCs w:val="18"/>
                <w:color w:val="auto"/>
                <w:w w:val="92"/>
              </w:rPr>
              <w:t>Christopher J. Holding</w:t>
            </w:r>
          </w:p>
        </w:tc>
        <w:tc>
          <w:tcPr>
            <w:tcW w:w="6960" w:type="dxa"/>
            <w:vAlign w:val="bottom"/>
          </w:tcPr>
          <w:p>
            <w:pPr>
              <w:jc w:val="center"/>
              <w:ind w:left="230"/>
              <w:spacing w:after="0"/>
              <w:rPr>
                <w:sz w:val="20"/>
                <w:szCs w:val="20"/>
                <w:color w:val="auto"/>
              </w:rPr>
            </w:pPr>
            <w:r>
              <w:rPr>
                <w:rFonts w:ascii="Arial" w:cs="Arial" w:eastAsia="Arial" w:hAnsi="Arial"/>
                <w:sz w:val="18"/>
                <w:szCs w:val="18"/>
                <w:color w:val="auto"/>
                <w:w w:val="95"/>
              </w:rPr>
              <w:t>Director</w:t>
            </w:r>
          </w:p>
        </w:tc>
      </w:tr>
      <w:tr>
        <w:trPr>
          <w:trHeight w:val="431"/>
        </w:trPr>
        <w:tc>
          <w:tcPr>
            <w:tcW w:w="436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90"/>
              </w:rPr>
              <w:t>/s/ Amanda J. Sterling</w:t>
            </w:r>
          </w:p>
        </w:tc>
        <w:tc>
          <w:tcPr>
            <w:tcW w:w="6960" w:type="dxa"/>
            <w:vAlign w:val="bottom"/>
          </w:tcPr>
          <w:p>
            <w:pPr>
              <w:jc w:val="center"/>
              <w:ind w:left="210"/>
              <w:spacing w:after="0"/>
              <w:rPr>
                <w:sz w:val="20"/>
                <w:szCs w:val="20"/>
                <w:color w:val="auto"/>
              </w:rPr>
            </w:pPr>
            <w:r>
              <w:rPr>
                <w:rFonts w:ascii="Arial" w:cs="Arial" w:eastAsia="Arial" w:hAnsi="Arial"/>
                <w:sz w:val="18"/>
                <w:szCs w:val="18"/>
                <w:color w:val="auto"/>
                <w:w w:val="94"/>
              </w:rPr>
              <w:t>Principal Accounting Officer</w:t>
            </w:r>
          </w:p>
        </w:tc>
      </w:tr>
      <w:tr>
        <w:trPr>
          <w:trHeight w:val="224"/>
        </w:trPr>
        <w:tc>
          <w:tcPr>
            <w:tcW w:w="4360" w:type="dxa"/>
            <w:vAlign w:val="bottom"/>
          </w:tcPr>
          <w:p>
            <w:pPr>
              <w:jc w:val="center"/>
              <w:spacing w:after="0"/>
              <w:rPr>
                <w:sz w:val="20"/>
                <w:szCs w:val="20"/>
                <w:color w:val="auto"/>
              </w:rPr>
            </w:pPr>
            <w:r>
              <w:rPr>
                <w:rFonts w:ascii="Arial" w:cs="Arial" w:eastAsia="Arial" w:hAnsi="Arial"/>
                <w:sz w:val="18"/>
                <w:szCs w:val="18"/>
                <w:color w:val="auto"/>
                <w:w w:val="90"/>
              </w:rPr>
              <w:t>Amanda J. Sterling</w:t>
            </w:r>
          </w:p>
        </w:tc>
        <w:tc>
          <w:tcPr>
            <w:tcW w:w="6960" w:type="dxa"/>
            <w:vAlign w:val="bottom"/>
          </w:tcPr>
          <w:p>
            <w:pPr>
              <w:spacing w:after="0"/>
              <w:rPr>
                <w:sz w:val="19"/>
                <w:szCs w:val="19"/>
                <w:color w:val="auto"/>
              </w:rPr>
            </w:pPr>
          </w:p>
        </w:tc>
      </w:tr>
      <w:tr>
        <w:trPr>
          <w:trHeight w:val="431"/>
        </w:trPr>
        <w:tc>
          <w:tcPr>
            <w:tcW w:w="436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93"/>
              </w:rPr>
              <w:t>/s/ Richard G. Kyle</w:t>
            </w:r>
          </w:p>
        </w:tc>
        <w:tc>
          <w:tcPr>
            <w:tcW w:w="6960" w:type="dxa"/>
            <w:vAlign w:val="bottom"/>
          </w:tcPr>
          <w:p>
            <w:pPr>
              <w:jc w:val="center"/>
              <w:ind w:left="230"/>
              <w:spacing w:after="0"/>
              <w:rPr>
                <w:sz w:val="20"/>
                <w:szCs w:val="20"/>
                <w:color w:val="auto"/>
              </w:rPr>
            </w:pPr>
            <w:r>
              <w:rPr>
                <w:rFonts w:ascii="Arial" w:cs="Arial" w:eastAsia="Arial" w:hAnsi="Arial"/>
                <w:sz w:val="18"/>
                <w:szCs w:val="18"/>
                <w:color w:val="auto"/>
                <w:w w:val="95"/>
              </w:rPr>
              <w:t>Director</w:t>
            </w:r>
          </w:p>
        </w:tc>
      </w:tr>
      <w:tr>
        <w:trPr>
          <w:trHeight w:val="224"/>
        </w:trPr>
        <w:tc>
          <w:tcPr>
            <w:tcW w:w="4360" w:type="dxa"/>
            <w:vAlign w:val="bottom"/>
          </w:tcPr>
          <w:p>
            <w:pPr>
              <w:jc w:val="center"/>
              <w:spacing w:after="0"/>
              <w:rPr>
                <w:sz w:val="20"/>
                <w:szCs w:val="20"/>
                <w:color w:val="auto"/>
              </w:rPr>
            </w:pPr>
            <w:r>
              <w:rPr>
                <w:rFonts w:ascii="Arial" w:cs="Arial" w:eastAsia="Arial" w:hAnsi="Arial"/>
                <w:sz w:val="18"/>
                <w:szCs w:val="18"/>
                <w:color w:val="auto"/>
                <w:w w:val="93"/>
              </w:rPr>
              <w:t>Richard G. Kyle</w:t>
            </w:r>
          </w:p>
        </w:tc>
        <w:tc>
          <w:tcPr>
            <w:tcW w:w="6960" w:type="dxa"/>
            <w:vAlign w:val="bottom"/>
          </w:tcPr>
          <w:p>
            <w:pPr>
              <w:spacing w:after="0"/>
              <w:rPr>
                <w:sz w:val="19"/>
                <w:szCs w:val="19"/>
                <w:color w:val="auto"/>
              </w:rPr>
            </w:pPr>
          </w:p>
        </w:tc>
      </w:tr>
    </w:tbl>
    <w:p>
      <w:pPr>
        <w:sectPr>
          <w:pgSz w:w="11900" w:h="16838" w:orient="portrait"/>
          <w:cols w:equalWidth="0" w:num="1">
            <w:col w:w="11320"/>
          </w:cols>
          <w:pgMar w:left="240" w:top="459" w:right="339" w:bottom="1440" w:gutter="0" w:footer="0" w:header="0"/>
        </w:sectPr>
      </w:pPr>
    </w:p>
    <w:bookmarkStart w:id="146" w:name="page147"/>
    <w:bookmarkEnd w:id="14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74">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20" w:type="dxa"/>
            <w:vAlign w:val="bottom"/>
          </w:tcPr>
          <w:p>
            <w:pPr>
              <w:spacing w:after="0"/>
              <w:rPr>
                <w:sz w:val="20"/>
                <w:szCs w:val="20"/>
                <w:color w:val="auto"/>
              </w:rPr>
            </w:pPr>
          </w:p>
        </w:tc>
        <w:tc>
          <w:tcPr>
            <w:tcW w:w="14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9760" w:type="dxa"/>
            <w:vAlign w:val="bottom"/>
          </w:tcPr>
          <w:p>
            <w:pPr>
              <w:ind w:left="3360"/>
              <w:spacing w:after="0"/>
              <w:rPr>
                <w:sz w:val="20"/>
                <w:szCs w:val="20"/>
                <w:color w:val="auto"/>
              </w:rPr>
            </w:pPr>
            <w:r>
              <w:rPr>
                <w:rFonts w:ascii="Arial" w:cs="Arial" w:eastAsia="Arial" w:hAnsi="Arial"/>
                <w:sz w:val="18"/>
                <w:szCs w:val="18"/>
                <w:b w:val="1"/>
                <w:bCs w:val="1"/>
                <w:color w:val="auto"/>
              </w:rPr>
              <w:t>EXHIBIT INDEX</w:t>
            </w:r>
          </w:p>
        </w:tc>
      </w:tr>
      <w:tr>
        <w:trPr>
          <w:trHeight w:val="662"/>
        </w:trPr>
        <w:tc>
          <w:tcPr>
            <w:tcW w:w="20" w:type="dxa"/>
            <w:vAlign w:val="bottom"/>
          </w:tcPr>
          <w:p>
            <w:pPr>
              <w:spacing w:after="0"/>
              <w:rPr>
                <w:sz w:val="24"/>
                <w:szCs w:val="24"/>
                <w:color w:val="auto"/>
              </w:rPr>
            </w:pPr>
          </w:p>
        </w:tc>
        <w:tc>
          <w:tcPr>
            <w:tcW w:w="1440" w:type="dxa"/>
            <w:vAlign w:val="bottom"/>
            <w:tcBorders>
              <w:bottom w:val="single" w:sz="8" w:color="auto"/>
            </w:tcBorders>
          </w:tcPr>
          <w:p>
            <w:pPr>
              <w:jc w:val="right"/>
              <w:ind w:right="139"/>
              <w:spacing w:after="0"/>
              <w:rPr>
                <w:sz w:val="20"/>
                <w:szCs w:val="20"/>
                <w:color w:val="auto"/>
              </w:rPr>
            </w:pPr>
            <w:r>
              <w:rPr>
                <w:rFonts w:ascii="Arial" w:cs="Arial" w:eastAsia="Arial" w:hAnsi="Arial"/>
                <w:sz w:val="14"/>
                <w:szCs w:val="14"/>
                <w:b w:val="1"/>
                <w:bCs w:val="1"/>
                <w:color w:val="auto"/>
              </w:rPr>
              <w:t>Exhibit Number</w:t>
            </w:r>
          </w:p>
        </w:tc>
        <w:tc>
          <w:tcPr>
            <w:tcW w:w="200" w:type="dxa"/>
            <w:vAlign w:val="bottom"/>
          </w:tcPr>
          <w:p>
            <w:pPr>
              <w:spacing w:after="0"/>
              <w:rPr>
                <w:sz w:val="24"/>
                <w:szCs w:val="24"/>
                <w:color w:val="auto"/>
              </w:rPr>
            </w:pPr>
          </w:p>
        </w:tc>
        <w:tc>
          <w:tcPr>
            <w:tcW w:w="9760" w:type="dxa"/>
            <w:vAlign w:val="bottom"/>
            <w:tcBorders>
              <w:bottom w:val="single" w:sz="8" w:color="auto"/>
            </w:tcBorders>
          </w:tcPr>
          <w:p>
            <w:pPr>
              <w:ind w:left="4180"/>
              <w:spacing w:after="0"/>
              <w:rPr>
                <w:sz w:val="20"/>
                <w:szCs w:val="20"/>
                <w:color w:val="auto"/>
              </w:rPr>
            </w:pPr>
            <w:r>
              <w:rPr>
                <w:rFonts w:ascii="Arial" w:cs="Arial" w:eastAsia="Arial" w:hAnsi="Arial"/>
                <w:sz w:val="14"/>
                <w:szCs w:val="14"/>
                <w:b w:val="1"/>
                <w:bCs w:val="1"/>
                <w:color w:val="auto"/>
              </w:rPr>
              <w:t>Description of Exhibits</w:t>
            </w:r>
          </w:p>
        </w:tc>
      </w:tr>
      <w:tr>
        <w:trPr>
          <w:trHeight w:val="195"/>
        </w:trPr>
        <w:tc>
          <w:tcPr>
            <w:tcW w:w="20" w:type="dxa"/>
            <w:vAlign w:val="bottom"/>
          </w:tcPr>
          <w:p>
            <w:pPr>
              <w:spacing w:after="0"/>
              <w:rPr>
                <w:sz w:val="16"/>
                <w:szCs w:val="16"/>
                <w:color w:val="auto"/>
              </w:rPr>
            </w:pPr>
          </w:p>
        </w:tc>
        <w:tc>
          <w:tcPr>
            <w:tcW w:w="1440" w:type="dxa"/>
            <w:vAlign w:val="bottom"/>
          </w:tcPr>
          <w:p>
            <w:pPr>
              <w:jc w:val="right"/>
              <w:ind w:right="1059"/>
              <w:spacing w:after="0" w:line="195" w:lineRule="exact"/>
              <w:rPr>
                <w:sz w:val="20"/>
                <w:szCs w:val="20"/>
                <w:color w:val="auto"/>
              </w:rPr>
            </w:pPr>
            <w:r>
              <w:rPr>
                <w:rFonts w:ascii="Arial" w:cs="Arial" w:eastAsia="Arial" w:hAnsi="Arial"/>
                <w:sz w:val="18"/>
                <w:szCs w:val="18"/>
                <w:color w:val="auto"/>
              </w:rPr>
              <w:t>2.1</w:t>
            </w:r>
          </w:p>
        </w:tc>
        <w:tc>
          <w:tcPr>
            <w:tcW w:w="200" w:type="dxa"/>
            <w:vAlign w:val="bottom"/>
          </w:tcPr>
          <w:p>
            <w:pPr>
              <w:spacing w:after="0"/>
              <w:rPr>
                <w:sz w:val="16"/>
                <w:szCs w:val="16"/>
                <w:color w:val="auto"/>
              </w:rPr>
            </w:pPr>
          </w:p>
        </w:tc>
        <w:tc>
          <w:tcPr>
            <w:tcW w:w="9760" w:type="dxa"/>
            <w:vAlign w:val="bottom"/>
          </w:tcPr>
          <w:p>
            <w:pPr>
              <w:spacing w:after="0" w:line="195" w:lineRule="exact"/>
              <w:rPr>
                <w:sz w:val="20"/>
                <w:szCs w:val="20"/>
                <w:color w:val="auto"/>
              </w:rPr>
            </w:pPr>
            <w:r>
              <w:rPr>
                <w:rFonts w:ascii="Arial" w:cs="Arial" w:eastAsia="Arial" w:hAnsi="Arial"/>
                <w:sz w:val="18"/>
                <w:szCs w:val="18"/>
                <w:color w:val="auto"/>
                <w:w w:val="91"/>
              </w:rPr>
              <w:t>Form of Separation and Distribution Agreement by and between The Timken Company and TimkenSteel Corporation (incorporated by</w:t>
            </w:r>
          </w:p>
        </w:tc>
      </w:tr>
      <w:tr>
        <w:trPr>
          <w:trHeight w:val="216"/>
        </w:trPr>
        <w:tc>
          <w:tcPr>
            <w:tcW w:w="20" w:type="dxa"/>
            <w:vAlign w:val="bottom"/>
          </w:tcPr>
          <w:p>
            <w:pPr>
              <w:spacing w:after="0"/>
              <w:rPr>
                <w:sz w:val="18"/>
                <w:szCs w:val="18"/>
                <w:color w:val="auto"/>
              </w:rPr>
            </w:pPr>
          </w:p>
        </w:tc>
        <w:tc>
          <w:tcPr>
            <w:tcW w:w="1440" w:type="dxa"/>
            <w:vAlign w:val="bottom"/>
          </w:tcPr>
          <w:p>
            <w:pPr>
              <w:spacing w:after="0"/>
              <w:rPr>
                <w:sz w:val="18"/>
                <w:szCs w:val="18"/>
                <w:color w:val="auto"/>
              </w:rPr>
            </w:pPr>
          </w:p>
        </w:tc>
        <w:tc>
          <w:tcPr>
            <w:tcW w:w="9960" w:type="dxa"/>
            <w:vAlign w:val="bottom"/>
            <w:gridSpan w:val="2"/>
          </w:tcPr>
          <w:p>
            <w:pPr>
              <w:ind w:left="200"/>
              <w:spacing w:after="0"/>
              <w:rPr>
                <w:sz w:val="20"/>
                <w:szCs w:val="20"/>
                <w:color w:val="auto"/>
              </w:rPr>
            </w:pPr>
            <w:r>
              <w:rPr>
                <w:rFonts w:ascii="Arial" w:cs="Arial" w:eastAsia="Arial" w:hAnsi="Arial"/>
                <w:sz w:val="18"/>
                <w:szCs w:val="18"/>
                <w:color w:val="auto"/>
                <w:w w:val="93"/>
              </w:rPr>
              <w:t>reference to Exhibit 2.1 of Amendment No. 2 to the Company’s Registration Statement on Form 10 filed on April 25, 2014, File No.</w:t>
            </w:r>
          </w:p>
        </w:tc>
      </w:tr>
      <w:tr>
        <w:trPr>
          <w:trHeight w:val="230"/>
        </w:trPr>
        <w:tc>
          <w:tcPr>
            <w:tcW w:w="20" w:type="dxa"/>
            <w:vAlign w:val="bottom"/>
          </w:tcPr>
          <w:p>
            <w:pPr>
              <w:spacing w:after="0"/>
              <w:rPr>
                <w:sz w:val="20"/>
                <w:szCs w:val="20"/>
                <w:color w:val="auto"/>
              </w:rPr>
            </w:pPr>
          </w:p>
        </w:tc>
        <w:tc>
          <w:tcPr>
            <w:tcW w:w="1440" w:type="dxa"/>
            <w:vAlign w:val="bottom"/>
          </w:tcPr>
          <w:p>
            <w:pPr>
              <w:spacing w:after="0"/>
              <w:rPr>
                <w:sz w:val="20"/>
                <w:szCs w:val="20"/>
                <w:color w:val="auto"/>
              </w:rPr>
            </w:pPr>
          </w:p>
        </w:tc>
        <w:tc>
          <w:tcPr>
            <w:tcW w:w="9960" w:type="dxa"/>
            <w:vAlign w:val="bottom"/>
            <w:gridSpan w:val="2"/>
          </w:tcPr>
          <w:p>
            <w:pPr>
              <w:ind w:left="200"/>
              <w:spacing w:after="0"/>
              <w:rPr>
                <w:sz w:val="20"/>
                <w:szCs w:val="20"/>
                <w:color w:val="auto"/>
              </w:rPr>
            </w:pPr>
            <w:r>
              <w:rPr>
                <w:rFonts w:ascii="Arial" w:cs="Arial" w:eastAsia="Arial" w:hAnsi="Arial"/>
                <w:sz w:val="18"/>
                <w:szCs w:val="18"/>
                <w:color w:val="auto"/>
              </w:rPr>
              <w:t>001-36313).</w:t>
            </w:r>
          </w:p>
        </w:tc>
      </w:tr>
      <w:tr>
        <w:trPr>
          <w:trHeight w:val="377"/>
        </w:trPr>
        <w:tc>
          <w:tcPr>
            <w:tcW w:w="1460" w:type="dxa"/>
            <w:vAlign w:val="bottom"/>
            <w:gridSpan w:val="2"/>
          </w:tcPr>
          <w:p>
            <w:pPr>
              <w:jc w:val="right"/>
              <w:ind w:right="1059"/>
              <w:spacing w:after="0"/>
              <w:rPr>
                <w:sz w:val="20"/>
                <w:szCs w:val="20"/>
                <w:color w:val="auto"/>
              </w:rPr>
            </w:pPr>
            <w:r>
              <w:rPr>
                <w:rFonts w:ascii="Arial" w:cs="Arial" w:eastAsia="Arial" w:hAnsi="Arial"/>
                <w:sz w:val="18"/>
                <w:szCs w:val="18"/>
                <w:color w:val="auto"/>
              </w:rPr>
              <w:t>3.1</w:t>
            </w:r>
          </w:p>
        </w:tc>
        <w:tc>
          <w:tcPr>
            <w:tcW w:w="9960" w:type="dxa"/>
            <w:vAlign w:val="bottom"/>
            <w:gridSpan w:val="2"/>
          </w:tcPr>
          <w:p>
            <w:pPr>
              <w:ind w:left="200"/>
              <w:spacing w:after="0"/>
              <w:rPr>
                <w:sz w:val="20"/>
                <w:szCs w:val="20"/>
                <w:color w:val="auto"/>
              </w:rPr>
            </w:pPr>
            <w:r>
              <w:rPr>
                <w:rFonts w:ascii="Arial" w:cs="Arial" w:eastAsia="Arial" w:hAnsi="Arial"/>
                <w:sz w:val="18"/>
                <w:szCs w:val="18"/>
                <w:color w:val="auto"/>
                <w:w w:val="95"/>
              </w:rPr>
              <w:t>Form of Amended and Restated Articles of Incorporation of TimkenSteel Corporation (incorporated by reference to Exhibit 3.1 of</w:t>
            </w:r>
          </w:p>
        </w:tc>
      </w:tr>
      <w:tr>
        <w:trPr>
          <w:trHeight w:val="230"/>
        </w:trPr>
        <w:tc>
          <w:tcPr>
            <w:tcW w:w="20" w:type="dxa"/>
            <w:vAlign w:val="bottom"/>
          </w:tcPr>
          <w:p>
            <w:pPr>
              <w:spacing w:after="0"/>
              <w:rPr>
                <w:sz w:val="20"/>
                <w:szCs w:val="20"/>
                <w:color w:val="auto"/>
              </w:rPr>
            </w:pPr>
          </w:p>
        </w:tc>
        <w:tc>
          <w:tcPr>
            <w:tcW w:w="1440" w:type="dxa"/>
            <w:vAlign w:val="bottom"/>
          </w:tcPr>
          <w:p>
            <w:pPr>
              <w:spacing w:after="0"/>
              <w:rPr>
                <w:sz w:val="20"/>
                <w:szCs w:val="20"/>
                <w:color w:val="auto"/>
              </w:rPr>
            </w:pPr>
          </w:p>
        </w:tc>
        <w:tc>
          <w:tcPr>
            <w:tcW w:w="9960" w:type="dxa"/>
            <w:vAlign w:val="bottom"/>
            <w:gridSpan w:val="2"/>
          </w:tcPr>
          <w:p>
            <w:pPr>
              <w:ind w:left="200"/>
              <w:spacing w:after="0"/>
              <w:rPr>
                <w:sz w:val="20"/>
                <w:szCs w:val="20"/>
                <w:color w:val="auto"/>
              </w:rPr>
            </w:pPr>
            <w:r>
              <w:rPr>
                <w:rFonts w:ascii="Arial" w:cs="Arial" w:eastAsia="Arial" w:hAnsi="Arial"/>
                <w:sz w:val="18"/>
                <w:szCs w:val="18"/>
                <w:color w:val="auto"/>
              </w:rPr>
              <w:t>Amendment No. 3 to the Company’s Registration Statement on Form 10 filed on May 15, 2014, File No. 001-36313).</w:t>
            </w:r>
          </w:p>
        </w:tc>
      </w:tr>
      <w:tr>
        <w:trPr>
          <w:trHeight w:val="377"/>
        </w:trPr>
        <w:tc>
          <w:tcPr>
            <w:tcW w:w="1460" w:type="dxa"/>
            <w:vAlign w:val="bottom"/>
            <w:gridSpan w:val="2"/>
          </w:tcPr>
          <w:p>
            <w:pPr>
              <w:jc w:val="right"/>
              <w:ind w:right="1059"/>
              <w:spacing w:after="0"/>
              <w:rPr>
                <w:sz w:val="20"/>
                <w:szCs w:val="20"/>
                <w:color w:val="auto"/>
              </w:rPr>
            </w:pPr>
            <w:r>
              <w:rPr>
                <w:rFonts w:ascii="Arial" w:cs="Arial" w:eastAsia="Arial" w:hAnsi="Arial"/>
                <w:sz w:val="18"/>
                <w:szCs w:val="18"/>
                <w:color w:val="auto"/>
              </w:rPr>
              <w:t>3.2</w:t>
            </w:r>
          </w:p>
        </w:tc>
        <w:tc>
          <w:tcPr>
            <w:tcW w:w="9960" w:type="dxa"/>
            <w:vAlign w:val="bottom"/>
            <w:gridSpan w:val="2"/>
          </w:tcPr>
          <w:p>
            <w:pPr>
              <w:ind w:left="200"/>
              <w:spacing w:after="0"/>
              <w:rPr>
                <w:sz w:val="20"/>
                <w:szCs w:val="20"/>
                <w:color w:val="auto"/>
              </w:rPr>
            </w:pPr>
            <w:r>
              <w:rPr>
                <w:rFonts w:ascii="Arial" w:cs="Arial" w:eastAsia="Arial" w:hAnsi="Arial"/>
                <w:sz w:val="18"/>
                <w:szCs w:val="18"/>
                <w:color w:val="auto"/>
                <w:w w:val="91"/>
              </w:rPr>
              <w:t>Regulations of TimkenSteel Corporation (incorporated by reference to Exhibit 3.2 of Amendment No. 3 to the Company’s Registration</w:t>
            </w:r>
          </w:p>
        </w:tc>
      </w:tr>
      <w:tr>
        <w:trPr>
          <w:trHeight w:val="230"/>
        </w:trPr>
        <w:tc>
          <w:tcPr>
            <w:tcW w:w="20" w:type="dxa"/>
            <w:vAlign w:val="bottom"/>
          </w:tcPr>
          <w:p>
            <w:pPr>
              <w:spacing w:after="0"/>
              <w:rPr>
                <w:sz w:val="20"/>
                <w:szCs w:val="20"/>
                <w:color w:val="auto"/>
              </w:rPr>
            </w:pPr>
          </w:p>
        </w:tc>
        <w:tc>
          <w:tcPr>
            <w:tcW w:w="1440" w:type="dxa"/>
            <w:vAlign w:val="bottom"/>
          </w:tcPr>
          <w:p>
            <w:pPr>
              <w:spacing w:after="0"/>
              <w:rPr>
                <w:sz w:val="20"/>
                <w:szCs w:val="20"/>
                <w:color w:val="auto"/>
              </w:rPr>
            </w:pPr>
          </w:p>
        </w:tc>
        <w:tc>
          <w:tcPr>
            <w:tcW w:w="9960" w:type="dxa"/>
            <w:vAlign w:val="bottom"/>
            <w:gridSpan w:val="2"/>
          </w:tcPr>
          <w:p>
            <w:pPr>
              <w:ind w:left="200"/>
              <w:spacing w:after="0"/>
              <w:rPr>
                <w:sz w:val="20"/>
                <w:szCs w:val="20"/>
                <w:color w:val="auto"/>
              </w:rPr>
            </w:pPr>
            <w:r>
              <w:rPr>
                <w:rFonts w:ascii="Arial" w:cs="Arial" w:eastAsia="Arial" w:hAnsi="Arial"/>
                <w:sz w:val="18"/>
                <w:szCs w:val="18"/>
                <w:color w:val="auto"/>
              </w:rPr>
              <w:t>Statement on Form 10 filed on May 15, 2014, File No. 001-36313).</w:t>
            </w:r>
          </w:p>
        </w:tc>
      </w:tr>
      <w:tr>
        <w:trPr>
          <w:trHeight w:val="377"/>
        </w:trPr>
        <w:tc>
          <w:tcPr>
            <w:tcW w:w="1460" w:type="dxa"/>
            <w:vAlign w:val="bottom"/>
            <w:gridSpan w:val="2"/>
          </w:tcPr>
          <w:p>
            <w:pPr>
              <w:jc w:val="right"/>
              <w:ind w:right="1059"/>
              <w:spacing w:after="0"/>
              <w:rPr>
                <w:sz w:val="20"/>
                <w:szCs w:val="20"/>
                <w:color w:val="auto"/>
              </w:rPr>
            </w:pPr>
            <w:r>
              <w:rPr>
                <w:rFonts w:ascii="Arial" w:cs="Arial" w:eastAsia="Arial" w:hAnsi="Arial"/>
                <w:sz w:val="18"/>
                <w:szCs w:val="18"/>
                <w:color w:val="auto"/>
              </w:rPr>
              <w:t>4.1</w:t>
            </w:r>
          </w:p>
        </w:tc>
        <w:tc>
          <w:tcPr>
            <w:tcW w:w="9960" w:type="dxa"/>
            <w:vAlign w:val="bottom"/>
            <w:gridSpan w:val="2"/>
          </w:tcPr>
          <w:p>
            <w:pPr>
              <w:ind w:left="200"/>
              <w:spacing w:after="0"/>
              <w:rPr>
                <w:sz w:val="20"/>
                <w:szCs w:val="20"/>
                <w:color w:val="auto"/>
              </w:rPr>
            </w:pPr>
            <w:r>
              <w:rPr>
                <w:rFonts w:ascii="Arial" w:cs="Arial" w:eastAsia="Arial" w:hAnsi="Arial"/>
                <w:sz w:val="18"/>
                <w:szCs w:val="18"/>
                <w:color w:val="auto"/>
                <w:w w:val="94"/>
              </w:rPr>
              <w:t>Specimen Certificate for TimkenSteel Corporation’s common shares, without par value (incorporated by reference to Exhibit 4.1 of</w:t>
            </w:r>
          </w:p>
        </w:tc>
      </w:tr>
      <w:tr>
        <w:trPr>
          <w:trHeight w:val="230"/>
        </w:trPr>
        <w:tc>
          <w:tcPr>
            <w:tcW w:w="20" w:type="dxa"/>
            <w:vAlign w:val="bottom"/>
          </w:tcPr>
          <w:p>
            <w:pPr>
              <w:spacing w:after="0"/>
              <w:rPr>
                <w:sz w:val="20"/>
                <w:szCs w:val="20"/>
                <w:color w:val="auto"/>
              </w:rPr>
            </w:pPr>
          </w:p>
        </w:tc>
        <w:tc>
          <w:tcPr>
            <w:tcW w:w="1440" w:type="dxa"/>
            <w:vAlign w:val="bottom"/>
          </w:tcPr>
          <w:p>
            <w:pPr>
              <w:spacing w:after="0"/>
              <w:rPr>
                <w:sz w:val="20"/>
                <w:szCs w:val="20"/>
                <w:color w:val="auto"/>
              </w:rPr>
            </w:pPr>
          </w:p>
        </w:tc>
        <w:tc>
          <w:tcPr>
            <w:tcW w:w="9960" w:type="dxa"/>
            <w:vAlign w:val="bottom"/>
            <w:gridSpan w:val="2"/>
          </w:tcPr>
          <w:p>
            <w:pPr>
              <w:ind w:left="200"/>
              <w:spacing w:after="0"/>
              <w:rPr>
                <w:sz w:val="20"/>
                <w:szCs w:val="20"/>
                <w:color w:val="auto"/>
              </w:rPr>
            </w:pPr>
            <w:r>
              <w:rPr>
                <w:rFonts w:ascii="Arial" w:cs="Arial" w:eastAsia="Arial" w:hAnsi="Arial"/>
                <w:sz w:val="18"/>
                <w:szCs w:val="18"/>
                <w:color w:val="auto"/>
              </w:rPr>
              <w:t>Amendment No. 3 to the Company’s Registration Statement on Form 10 filed on May 15, 2014, File No. 001-36313).</w:t>
            </w:r>
          </w:p>
        </w:tc>
      </w:tr>
      <w:tr>
        <w:trPr>
          <w:trHeight w:val="432"/>
        </w:trPr>
        <w:tc>
          <w:tcPr>
            <w:tcW w:w="1460" w:type="dxa"/>
            <w:vAlign w:val="bottom"/>
            <w:gridSpan w:val="2"/>
          </w:tcPr>
          <w:p>
            <w:pPr>
              <w:jc w:val="right"/>
              <w:ind w:right="1059"/>
              <w:spacing w:after="0"/>
              <w:rPr>
                <w:sz w:val="20"/>
                <w:szCs w:val="20"/>
                <w:color w:val="auto"/>
              </w:rPr>
            </w:pPr>
            <w:r>
              <w:rPr>
                <w:rFonts w:ascii="Arial" w:cs="Arial" w:eastAsia="Arial" w:hAnsi="Arial"/>
                <w:sz w:val="18"/>
                <w:szCs w:val="18"/>
                <w:color w:val="auto"/>
              </w:rPr>
              <w:t>5.1</w:t>
            </w:r>
          </w:p>
        </w:tc>
        <w:tc>
          <w:tcPr>
            <w:tcW w:w="9960" w:type="dxa"/>
            <w:vAlign w:val="bottom"/>
            <w:gridSpan w:val="2"/>
          </w:tcPr>
          <w:p>
            <w:pPr>
              <w:ind w:left="200"/>
              <w:spacing w:after="0"/>
              <w:rPr>
                <w:sz w:val="20"/>
                <w:szCs w:val="20"/>
                <w:color w:val="auto"/>
              </w:rPr>
            </w:pPr>
            <w:r>
              <w:rPr>
                <w:rFonts w:ascii="Arial" w:cs="Arial" w:eastAsia="Arial" w:hAnsi="Arial"/>
                <w:sz w:val="18"/>
                <w:szCs w:val="18"/>
                <w:color w:val="auto"/>
              </w:rPr>
              <w:t>Opinion of Jones Day.*</w:t>
            </w:r>
          </w:p>
        </w:tc>
      </w:tr>
      <w:tr>
        <w:trPr>
          <w:trHeight w:val="377"/>
        </w:trPr>
        <w:tc>
          <w:tcPr>
            <w:tcW w:w="1460" w:type="dxa"/>
            <w:vAlign w:val="bottom"/>
            <w:gridSpan w:val="2"/>
          </w:tcPr>
          <w:p>
            <w:pPr>
              <w:jc w:val="right"/>
              <w:ind w:right="1059"/>
              <w:spacing w:after="0"/>
              <w:rPr>
                <w:sz w:val="20"/>
                <w:szCs w:val="20"/>
                <w:color w:val="auto"/>
              </w:rPr>
            </w:pPr>
            <w:r>
              <w:rPr>
                <w:rFonts w:ascii="Arial" w:cs="Arial" w:eastAsia="Arial" w:hAnsi="Arial"/>
                <w:sz w:val="18"/>
                <w:szCs w:val="18"/>
                <w:color w:val="auto"/>
                <w:w w:val="85"/>
              </w:rPr>
              <w:t>10.1</w:t>
            </w:r>
          </w:p>
        </w:tc>
        <w:tc>
          <w:tcPr>
            <w:tcW w:w="9960" w:type="dxa"/>
            <w:vAlign w:val="bottom"/>
            <w:gridSpan w:val="2"/>
          </w:tcPr>
          <w:p>
            <w:pPr>
              <w:ind w:left="200"/>
              <w:spacing w:after="0"/>
              <w:rPr>
                <w:sz w:val="20"/>
                <w:szCs w:val="20"/>
                <w:color w:val="auto"/>
              </w:rPr>
            </w:pPr>
            <w:r>
              <w:rPr>
                <w:rFonts w:ascii="Arial" w:cs="Arial" w:eastAsia="Arial" w:hAnsi="Arial"/>
                <w:sz w:val="18"/>
                <w:szCs w:val="18"/>
                <w:color w:val="auto"/>
                <w:w w:val="93"/>
              </w:rPr>
              <w:t>Form of Tax Sharing Agreement between The Timken Company and TimkenSteel Corporation (incorporated by reference to Exhibit</w:t>
            </w:r>
          </w:p>
        </w:tc>
      </w:tr>
      <w:tr>
        <w:trPr>
          <w:trHeight w:val="230"/>
        </w:trPr>
        <w:tc>
          <w:tcPr>
            <w:tcW w:w="20" w:type="dxa"/>
            <w:vAlign w:val="bottom"/>
          </w:tcPr>
          <w:p>
            <w:pPr>
              <w:spacing w:after="0"/>
              <w:rPr>
                <w:sz w:val="20"/>
                <w:szCs w:val="20"/>
                <w:color w:val="auto"/>
              </w:rPr>
            </w:pPr>
          </w:p>
        </w:tc>
        <w:tc>
          <w:tcPr>
            <w:tcW w:w="1440" w:type="dxa"/>
            <w:vAlign w:val="bottom"/>
          </w:tcPr>
          <w:p>
            <w:pPr>
              <w:spacing w:after="0"/>
              <w:rPr>
                <w:sz w:val="20"/>
                <w:szCs w:val="20"/>
                <w:color w:val="auto"/>
              </w:rPr>
            </w:pPr>
          </w:p>
        </w:tc>
        <w:tc>
          <w:tcPr>
            <w:tcW w:w="9960" w:type="dxa"/>
            <w:vAlign w:val="bottom"/>
            <w:gridSpan w:val="2"/>
          </w:tcPr>
          <w:p>
            <w:pPr>
              <w:ind w:left="200"/>
              <w:spacing w:after="0"/>
              <w:rPr>
                <w:sz w:val="20"/>
                <w:szCs w:val="20"/>
                <w:color w:val="auto"/>
              </w:rPr>
            </w:pPr>
            <w:r>
              <w:rPr>
                <w:rFonts w:ascii="Arial" w:cs="Arial" w:eastAsia="Arial" w:hAnsi="Arial"/>
                <w:sz w:val="18"/>
                <w:szCs w:val="18"/>
                <w:color w:val="auto"/>
                <w:w w:val="98"/>
              </w:rPr>
              <w:t>10.1 of Amendment No. 2 to the Company’s Registration Statement on Form 10 filed on April 25, 2014, File No. 001-36313).</w:t>
            </w:r>
          </w:p>
        </w:tc>
      </w:tr>
      <w:tr>
        <w:trPr>
          <w:trHeight w:val="377"/>
        </w:trPr>
        <w:tc>
          <w:tcPr>
            <w:tcW w:w="1460" w:type="dxa"/>
            <w:vAlign w:val="bottom"/>
            <w:gridSpan w:val="2"/>
          </w:tcPr>
          <w:p>
            <w:pPr>
              <w:jc w:val="right"/>
              <w:ind w:right="1059"/>
              <w:spacing w:after="0"/>
              <w:rPr>
                <w:sz w:val="20"/>
                <w:szCs w:val="20"/>
                <w:color w:val="auto"/>
              </w:rPr>
            </w:pPr>
            <w:r>
              <w:rPr>
                <w:rFonts w:ascii="Arial" w:cs="Arial" w:eastAsia="Arial" w:hAnsi="Arial"/>
                <w:sz w:val="18"/>
                <w:szCs w:val="18"/>
                <w:color w:val="auto"/>
                <w:w w:val="85"/>
              </w:rPr>
              <w:t>10.2</w:t>
            </w:r>
          </w:p>
        </w:tc>
        <w:tc>
          <w:tcPr>
            <w:tcW w:w="9960" w:type="dxa"/>
            <w:vAlign w:val="bottom"/>
            <w:gridSpan w:val="2"/>
          </w:tcPr>
          <w:p>
            <w:pPr>
              <w:ind w:left="200"/>
              <w:spacing w:after="0"/>
              <w:rPr>
                <w:sz w:val="20"/>
                <w:szCs w:val="20"/>
                <w:color w:val="auto"/>
              </w:rPr>
            </w:pPr>
            <w:r>
              <w:rPr>
                <w:rFonts w:ascii="Arial" w:cs="Arial" w:eastAsia="Arial" w:hAnsi="Arial"/>
                <w:sz w:val="18"/>
                <w:szCs w:val="18"/>
                <w:color w:val="auto"/>
                <w:w w:val="94"/>
              </w:rPr>
              <w:t>Form of Employee Matters Agreement between The Timken Company and TimkenSteel Corporation (incorporated by reference to</w:t>
            </w:r>
          </w:p>
        </w:tc>
      </w:tr>
      <w:tr>
        <w:trPr>
          <w:trHeight w:val="230"/>
        </w:trPr>
        <w:tc>
          <w:tcPr>
            <w:tcW w:w="20" w:type="dxa"/>
            <w:vAlign w:val="bottom"/>
          </w:tcPr>
          <w:p>
            <w:pPr>
              <w:spacing w:after="0"/>
              <w:rPr>
                <w:sz w:val="20"/>
                <w:szCs w:val="20"/>
                <w:color w:val="auto"/>
              </w:rPr>
            </w:pPr>
          </w:p>
        </w:tc>
        <w:tc>
          <w:tcPr>
            <w:tcW w:w="1440" w:type="dxa"/>
            <w:vAlign w:val="bottom"/>
          </w:tcPr>
          <w:p>
            <w:pPr>
              <w:spacing w:after="0"/>
              <w:rPr>
                <w:sz w:val="20"/>
                <w:szCs w:val="20"/>
                <w:color w:val="auto"/>
              </w:rPr>
            </w:pPr>
          </w:p>
        </w:tc>
        <w:tc>
          <w:tcPr>
            <w:tcW w:w="9960" w:type="dxa"/>
            <w:vAlign w:val="bottom"/>
            <w:gridSpan w:val="2"/>
          </w:tcPr>
          <w:p>
            <w:pPr>
              <w:ind w:left="200"/>
              <w:spacing w:after="0"/>
              <w:rPr>
                <w:sz w:val="20"/>
                <w:szCs w:val="20"/>
                <w:color w:val="auto"/>
              </w:rPr>
            </w:pPr>
            <w:r>
              <w:rPr>
                <w:rFonts w:ascii="Arial" w:cs="Arial" w:eastAsia="Arial" w:hAnsi="Arial"/>
                <w:sz w:val="18"/>
                <w:szCs w:val="18"/>
                <w:color w:val="auto"/>
                <w:w w:val="92"/>
              </w:rPr>
              <w:t>Exhibit 10.2 of Amendment No. 2 to the Company’s Registration Statement on Form 10 filed on April 25, 2014, File No. 001-36313).</w:t>
            </w:r>
          </w:p>
        </w:tc>
      </w:tr>
      <w:tr>
        <w:trPr>
          <w:trHeight w:val="377"/>
        </w:trPr>
        <w:tc>
          <w:tcPr>
            <w:tcW w:w="1460" w:type="dxa"/>
            <w:vAlign w:val="bottom"/>
            <w:gridSpan w:val="2"/>
          </w:tcPr>
          <w:p>
            <w:pPr>
              <w:jc w:val="right"/>
              <w:ind w:right="1059"/>
              <w:spacing w:after="0"/>
              <w:rPr>
                <w:sz w:val="20"/>
                <w:szCs w:val="20"/>
                <w:color w:val="auto"/>
              </w:rPr>
            </w:pPr>
            <w:r>
              <w:rPr>
                <w:rFonts w:ascii="Arial" w:cs="Arial" w:eastAsia="Arial" w:hAnsi="Arial"/>
                <w:sz w:val="18"/>
                <w:szCs w:val="18"/>
                <w:color w:val="auto"/>
                <w:w w:val="85"/>
              </w:rPr>
              <w:t>10.3</w:t>
            </w:r>
          </w:p>
        </w:tc>
        <w:tc>
          <w:tcPr>
            <w:tcW w:w="9960" w:type="dxa"/>
            <w:vAlign w:val="bottom"/>
            <w:gridSpan w:val="2"/>
          </w:tcPr>
          <w:p>
            <w:pPr>
              <w:ind w:left="200"/>
              <w:spacing w:after="0"/>
              <w:rPr>
                <w:sz w:val="20"/>
                <w:szCs w:val="20"/>
                <w:color w:val="auto"/>
              </w:rPr>
            </w:pPr>
            <w:r>
              <w:rPr>
                <w:rFonts w:ascii="Arial" w:cs="Arial" w:eastAsia="Arial" w:hAnsi="Arial"/>
                <w:sz w:val="18"/>
                <w:szCs w:val="18"/>
                <w:color w:val="auto"/>
                <w:w w:val="93"/>
              </w:rPr>
              <w:t>Form of Transition Services Agreement between The Timken Company and TimkenSteel Corporation (incorporated by reference to</w:t>
            </w:r>
          </w:p>
        </w:tc>
      </w:tr>
      <w:tr>
        <w:trPr>
          <w:trHeight w:val="216"/>
        </w:trPr>
        <w:tc>
          <w:tcPr>
            <w:tcW w:w="20" w:type="dxa"/>
            <w:vAlign w:val="bottom"/>
          </w:tcPr>
          <w:p>
            <w:pPr>
              <w:spacing w:after="0"/>
              <w:rPr>
                <w:sz w:val="18"/>
                <w:szCs w:val="18"/>
                <w:color w:val="auto"/>
              </w:rPr>
            </w:pPr>
          </w:p>
        </w:tc>
        <w:tc>
          <w:tcPr>
            <w:tcW w:w="1440" w:type="dxa"/>
            <w:vAlign w:val="bottom"/>
          </w:tcPr>
          <w:p>
            <w:pPr>
              <w:spacing w:after="0"/>
              <w:rPr>
                <w:sz w:val="18"/>
                <w:szCs w:val="18"/>
                <w:color w:val="auto"/>
              </w:rPr>
            </w:pPr>
          </w:p>
        </w:tc>
        <w:tc>
          <w:tcPr>
            <w:tcW w:w="9960" w:type="dxa"/>
            <w:vAlign w:val="bottom"/>
            <w:gridSpan w:val="2"/>
          </w:tcPr>
          <w:p>
            <w:pPr>
              <w:ind w:left="200"/>
              <w:spacing w:after="0"/>
              <w:rPr>
                <w:sz w:val="20"/>
                <w:szCs w:val="20"/>
                <w:color w:val="auto"/>
              </w:rPr>
            </w:pPr>
            <w:r>
              <w:rPr>
                <w:rFonts w:ascii="Arial" w:cs="Arial" w:eastAsia="Arial" w:hAnsi="Arial"/>
                <w:sz w:val="18"/>
                <w:szCs w:val="18"/>
                <w:color w:val="auto"/>
                <w:w w:val="92"/>
              </w:rPr>
              <w:t>Exhibit 10.3 of Amendment No. 2 to the Company’s Registration Statement on Form 10 filed on April 25, 2014, File No. File No. 001-</w:t>
            </w:r>
          </w:p>
        </w:tc>
      </w:tr>
      <w:tr>
        <w:trPr>
          <w:trHeight w:val="230"/>
        </w:trPr>
        <w:tc>
          <w:tcPr>
            <w:tcW w:w="20" w:type="dxa"/>
            <w:vAlign w:val="bottom"/>
          </w:tcPr>
          <w:p>
            <w:pPr>
              <w:spacing w:after="0"/>
              <w:rPr>
                <w:sz w:val="20"/>
                <w:szCs w:val="20"/>
                <w:color w:val="auto"/>
              </w:rPr>
            </w:pPr>
          </w:p>
        </w:tc>
        <w:tc>
          <w:tcPr>
            <w:tcW w:w="1440" w:type="dxa"/>
            <w:vAlign w:val="bottom"/>
          </w:tcPr>
          <w:p>
            <w:pPr>
              <w:spacing w:after="0"/>
              <w:rPr>
                <w:sz w:val="20"/>
                <w:szCs w:val="20"/>
                <w:color w:val="auto"/>
              </w:rPr>
            </w:pPr>
          </w:p>
        </w:tc>
        <w:tc>
          <w:tcPr>
            <w:tcW w:w="9960" w:type="dxa"/>
            <w:vAlign w:val="bottom"/>
            <w:gridSpan w:val="2"/>
          </w:tcPr>
          <w:p>
            <w:pPr>
              <w:ind w:left="200"/>
              <w:spacing w:after="0"/>
              <w:rPr>
                <w:sz w:val="20"/>
                <w:szCs w:val="20"/>
                <w:color w:val="auto"/>
              </w:rPr>
            </w:pPr>
            <w:r>
              <w:rPr>
                <w:rFonts w:ascii="Arial" w:cs="Arial" w:eastAsia="Arial" w:hAnsi="Arial"/>
                <w:sz w:val="18"/>
                <w:szCs w:val="18"/>
                <w:color w:val="auto"/>
              </w:rPr>
              <w:t>36313).</w:t>
            </w:r>
          </w:p>
        </w:tc>
      </w:tr>
      <w:tr>
        <w:trPr>
          <w:trHeight w:val="377"/>
        </w:trPr>
        <w:tc>
          <w:tcPr>
            <w:tcW w:w="1460" w:type="dxa"/>
            <w:vAlign w:val="bottom"/>
            <w:gridSpan w:val="2"/>
          </w:tcPr>
          <w:p>
            <w:pPr>
              <w:jc w:val="right"/>
              <w:ind w:right="1059"/>
              <w:spacing w:after="0"/>
              <w:rPr>
                <w:sz w:val="20"/>
                <w:szCs w:val="20"/>
                <w:color w:val="auto"/>
              </w:rPr>
            </w:pPr>
            <w:r>
              <w:rPr>
                <w:rFonts w:ascii="Arial" w:cs="Arial" w:eastAsia="Arial" w:hAnsi="Arial"/>
                <w:sz w:val="18"/>
                <w:szCs w:val="18"/>
                <w:color w:val="auto"/>
                <w:w w:val="85"/>
              </w:rPr>
              <w:t>10.4</w:t>
            </w:r>
          </w:p>
        </w:tc>
        <w:tc>
          <w:tcPr>
            <w:tcW w:w="9960" w:type="dxa"/>
            <w:vAlign w:val="bottom"/>
            <w:gridSpan w:val="2"/>
          </w:tcPr>
          <w:p>
            <w:pPr>
              <w:ind w:left="200"/>
              <w:spacing w:after="0"/>
              <w:rPr>
                <w:sz w:val="20"/>
                <w:szCs w:val="20"/>
                <w:color w:val="auto"/>
              </w:rPr>
            </w:pPr>
            <w:r>
              <w:rPr>
                <w:rFonts w:ascii="Arial" w:cs="Arial" w:eastAsia="Arial" w:hAnsi="Arial"/>
                <w:sz w:val="18"/>
                <w:szCs w:val="18"/>
                <w:color w:val="auto"/>
                <w:w w:val="93"/>
              </w:rPr>
              <w:t>Form of Trademark License Agreement between The Timken Company and TimkenSteel Corporation (incorporated by reference to</w:t>
            </w:r>
          </w:p>
        </w:tc>
      </w:tr>
      <w:tr>
        <w:trPr>
          <w:trHeight w:val="216"/>
        </w:trPr>
        <w:tc>
          <w:tcPr>
            <w:tcW w:w="20" w:type="dxa"/>
            <w:vAlign w:val="bottom"/>
          </w:tcPr>
          <w:p>
            <w:pPr>
              <w:spacing w:after="0"/>
              <w:rPr>
                <w:sz w:val="18"/>
                <w:szCs w:val="18"/>
                <w:color w:val="auto"/>
              </w:rPr>
            </w:pPr>
          </w:p>
        </w:tc>
        <w:tc>
          <w:tcPr>
            <w:tcW w:w="1440" w:type="dxa"/>
            <w:vAlign w:val="bottom"/>
          </w:tcPr>
          <w:p>
            <w:pPr>
              <w:spacing w:after="0"/>
              <w:rPr>
                <w:sz w:val="18"/>
                <w:szCs w:val="18"/>
                <w:color w:val="auto"/>
              </w:rPr>
            </w:pPr>
          </w:p>
        </w:tc>
        <w:tc>
          <w:tcPr>
            <w:tcW w:w="9960" w:type="dxa"/>
            <w:vAlign w:val="bottom"/>
            <w:gridSpan w:val="2"/>
          </w:tcPr>
          <w:p>
            <w:pPr>
              <w:ind w:left="200"/>
              <w:spacing w:after="0"/>
              <w:rPr>
                <w:sz w:val="20"/>
                <w:szCs w:val="20"/>
                <w:color w:val="auto"/>
              </w:rPr>
            </w:pPr>
            <w:r>
              <w:rPr>
                <w:rFonts w:ascii="Arial" w:cs="Arial" w:eastAsia="Arial" w:hAnsi="Arial"/>
                <w:sz w:val="18"/>
                <w:szCs w:val="18"/>
                <w:color w:val="auto"/>
                <w:w w:val="92"/>
              </w:rPr>
              <w:t>Exhibit 10.4 of Amendment No. 2 to the Company’s Registration Statement on Form 10 filed on April 25, 2014, File No. File No. 001-</w:t>
            </w:r>
          </w:p>
        </w:tc>
      </w:tr>
      <w:tr>
        <w:trPr>
          <w:trHeight w:val="230"/>
        </w:trPr>
        <w:tc>
          <w:tcPr>
            <w:tcW w:w="20" w:type="dxa"/>
            <w:vAlign w:val="bottom"/>
          </w:tcPr>
          <w:p>
            <w:pPr>
              <w:spacing w:after="0"/>
              <w:rPr>
                <w:sz w:val="20"/>
                <w:szCs w:val="20"/>
                <w:color w:val="auto"/>
              </w:rPr>
            </w:pPr>
          </w:p>
        </w:tc>
        <w:tc>
          <w:tcPr>
            <w:tcW w:w="1440" w:type="dxa"/>
            <w:vAlign w:val="bottom"/>
          </w:tcPr>
          <w:p>
            <w:pPr>
              <w:spacing w:after="0"/>
              <w:rPr>
                <w:sz w:val="20"/>
                <w:szCs w:val="20"/>
                <w:color w:val="auto"/>
              </w:rPr>
            </w:pPr>
          </w:p>
        </w:tc>
        <w:tc>
          <w:tcPr>
            <w:tcW w:w="9960" w:type="dxa"/>
            <w:vAlign w:val="bottom"/>
            <w:gridSpan w:val="2"/>
          </w:tcPr>
          <w:p>
            <w:pPr>
              <w:ind w:left="200"/>
              <w:spacing w:after="0"/>
              <w:rPr>
                <w:sz w:val="20"/>
                <w:szCs w:val="20"/>
                <w:color w:val="auto"/>
              </w:rPr>
            </w:pPr>
            <w:r>
              <w:rPr>
                <w:rFonts w:ascii="Arial" w:cs="Arial" w:eastAsia="Arial" w:hAnsi="Arial"/>
                <w:sz w:val="18"/>
                <w:szCs w:val="18"/>
                <w:color w:val="auto"/>
              </w:rPr>
              <w:t>36313).***</w:t>
            </w:r>
          </w:p>
        </w:tc>
      </w:tr>
      <w:tr>
        <w:trPr>
          <w:trHeight w:val="377"/>
        </w:trPr>
        <w:tc>
          <w:tcPr>
            <w:tcW w:w="1460" w:type="dxa"/>
            <w:vAlign w:val="bottom"/>
            <w:gridSpan w:val="2"/>
          </w:tcPr>
          <w:p>
            <w:pPr>
              <w:jc w:val="right"/>
              <w:ind w:right="1059"/>
              <w:spacing w:after="0"/>
              <w:rPr>
                <w:sz w:val="20"/>
                <w:szCs w:val="20"/>
                <w:color w:val="auto"/>
              </w:rPr>
            </w:pPr>
            <w:r>
              <w:rPr>
                <w:rFonts w:ascii="Arial" w:cs="Arial" w:eastAsia="Arial" w:hAnsi="Arial"/>
                <w:sz w:val="18"/>
                <w:szCs w:val="18"/>
                <w:color w:val="auto"/>
                <w:w w:val="85"/>
              </w:rPr>
              <w:t>10.5</w:t>
            </w:r>
          </w:p>
        </w:tc>
        <w:tc>
          <w:tcPr>
            <w:tcW w:w="9960" w:type="dxa"/>
            <w:vAlign w:val="bottom"/>
            <w:gridSpan w:val="2"/>
          </w:tcPr>
          <w:p>
            <w:pPr>
              <w:ind w:left="200"/>
              <w:spacing w:after="0"/>
              <w:rPr>
                <w:sz w:val="20"/>
                <w:szCs w:val="20"/>
                <w:color w:val="auto"/>
              </w:rPr>
            </w:pPr>
            <w:r>
              <w:rPr>
                <w:rFonts w:ascii="Arial" w:cs="Arial" w:eastAsia="Arial" w:hAnsi="Arial"/>
                <w:sz w:val="18"/>
                <w:szCs w:val="18"/>
                <w:color w:val="auto"/>
                <w:w w:val="95"/>
              </w:rPr>
              <w:t>Form of Noncompetition Agreement between The Timken Company and TimkenSteel Corporation (incorporated by reference to</w:t>
            </w:r>
          </w:p>
        </w:tc>
      </w:tr>
      <w:tr>
        <w:trPr>
          <w:trHeight w:val="216"/>
        </w:trPr>
        <w:tc>
          <w:tcPr>
            <w:tcW w:w="20" w:type="dxa"/>
            <w:vAlign w:val="bottom"/>
          </w:tcPr>
          <w:p>
            <w:pPr>
              <w:spacing w:after="0"/>
              <w:rPr>
                <w:sz w:val="18"/>
                <w:szCs w:val="18"/>
                <w:color w:val="auto"/>
              </w:rPr>
            </w:pPr>
          </w:p>
        </w:tc>
        <w:tc>
          <w:tcPr>
            <w:tcW w:w="1440" w:type="dxa"/>
            <w:vAlign w:val="bottom"/>
          </w:tcPr>
          <w:p>
            <w:pPr>
              <w:spacing w:after="0"/>
              <w:rPr>
                <w:sz w:val="18"/>
                <w:szCs w:val="18"/>
                <w:color w:val="auto"/>
              </w:rPr>
            </w:pPr>
          </w:p>
        </w:tc>
        <w:tc>
          <w:tcPr>
            <w:tcW w:w="9960" w:type="dxa"/>
            <w:vAlign w:val="bottom"/>
            <w:gridSpan w:val="2"/>
          </w:tcPr>
          <w:p>
            <w:pPr>
              <w:ind w:left="200"/>
              <w:spacing w:after="0"/>
              <w:rPr>
                <w:sz w:val="20"/>
                <w:szCs w:val="20"/>
                <w:color w:val="auto"/>
              </w:rPr>
            </w:pPr>
            <w:r>
              <w:rPr>
                <w:rFonts w:ascii="Arial" w:cs="Arial" w:eastAsia="Arial" w:hAnsi="Arial"/>
                <w:sz w:val="18"/>
                <w:szCs w:val="18"/>
                <w:color w:val="auto"/>
                <w:w w:val="92"/>
              </w:rPr>
              <w:t>Exhibit 10.5 of Amendment No. 2 to the Company’s Registration Statement on Form 10 filed on April 25, 2014, File No. File No. 001-</w:t>
            </w:r>
          </w:p>
        </w:tc>
      </w:tr>
      <w:tr>
        <w:trPr>
          <w:trHeight w:val="230"/>
        </w:trPr>
        <w:tc>
          <w:tcPr>
            <w:tcW w:w="20" w:type="dxa"/>
            <w:vAlign w:val="bottom"/>
          </w:tcPr>
          <w:p>
            <w:pPr>
              <w:spacing w:after="0"/>
              <w:rPr>
                <w:sz w:val="20"/>
                <w:szCs w:val="20"/>
                <w:color w:val="auto"/>
              </w:rPr>
            </w:pPr>
          </w:p>
        </w:tc>
        <w:tc>
          <w:tcPr>
            <w:tcW w:w="1440" w:type="dxa"/>
            <w:vAlign w:val="bottom"/>
          </w:tcPr>
          <w:p>
            <w:pPr>
              <w:spacing w:after="0"/>
              <w:rPr>
                <w:sz w:val="20"/>
                <w:szCs w:val="20"/>
                <w:color w:val="auto"/>
              </w:rPr>
            </w:pPr>
          </w:p>
        </w:tc>
        <w:tc>
          <w:tcPr>
            <w:tcW w:w="9960" w:type="dxa"/>
            <w:vAlign w:val="bottom"/>
            <w:gridSpan w:val="2"/>
          </w:tcPr>
          <w:p>
            <w:pPr>
              <w:ind w:left="200"/>
              <w:spacing w:after="0"/>
              <w:rPr>
                <w:sz w:val="20"/>
                <w:szCs w:val="20"/>
                <w:color w:val="auto"/>
              </w:rPr>
            </w:pPr>
            <w:r>
              <w:rPr>
                <w:rFonts w:ascii="Arial" w:cs="Arial" w:eastAsia="Arial" w:hAnsi="Arial"/>
                <w:sz w:val="18"/>
                <w:szCs w:val="18"/>
                <w:color w:val="auto"/>
              </w:rPr>
              <w:t>36313).***</w:t>
            </w:r>
          </w:p>
        </w:tc>
      </w:tr>
      <w:tr>
        <w:trPr>
          <w:trHeight w:val="377"/>
        </w:trPr>
        <w:tc>
          <w:tcPr>
            <w:tcW w:w="1460" w:type="dxa"/>
            <w:vAlign w:val="bottom"/>
            <w:gridSpan w:val="2"/>
          </w:tcPr>
          <w:p>
            <w:pPr>
              <w:jc w:val="right"/>
              <w:ind w:right="1059"/>
              <w:spacing w:after="0"/>
              <w:rPr>
                <w:sz w:val="20"/>
                <w:szCs w:val="20"/>
                <w:color w:val="auto"/>
              </w:rPr>
            </w:pPr>
            <w:r>
              <w:rPr>
                <w:rFonts w:ascii="Arial" w:cs="Arial" w:eastAsia="Arial" w:hAnsi="Arial"/>
                <w:sz w:val="18"/>
                <w:szCs w:val="18"/>
                <w:color w:val="auto"/>
                <w:w w:val="85"/>
              </w:rPr>
              <w:t>10.6</w:t>
            </w:r>
          </w:p>
        </w:tc>
        <w:tc>
          <w:tcPr>
            <w:tcW w:w="9960" w:type="dxa"/>
            <w:vAlign w:val="bottom"/>
            <w:gridSpan w:val="2"/>
          </w:tcPr>
          <w:p>
            <w:pPr>
              <w:ind w:left="200"/>
              <w:spacing w:after="0"/>
              <w:rPr>
                <w:sz w:val="20"/>
                <w:szCs w:val="20"/>
                <w:color w:val="auto"/>
              </w:rPr>
            </w:pPr>
            <w:r>
              <w:rPr>
                <w:rFonts w:ascii="Arial" w:cs="Arial" w:eastAsia="Arial" w:hAnsi="Arial"/>
                <w:sz w:val="18"/>
                <w:szCs w:val="18"/>
                <w:color w:val="auto"/>
                <w:w w:val="91"/>
              </w:rPr>
              <w:t>TimkenSteel Corporation 2014 Equity and Incentive Compensation Plan (incorporated by reference to Exhibit 10.6 of Amendment No.</w:t>
            </w:r>
          </w:p>
        </w:tc>
      </w:tr>
      <w:tr>
        <w:trPr>
          <w:trHeight w:val="230"/>
        </w:trPr>
        <w:tc>
          <w:tcPr>
            <w:tcW w:w="20" w:type="dxa"/>
            <w:vAlign w:val="bottom"/>
          </w:tcPr>
          <w:p>
            <w:pPr>
              <w:spacing w:after="0"/>
              <w:rPr>
                <w:sz w:val="20"/>
                <w:szCs w:val="20"/>
                <w:color w:val="auto"/>
              </w:rPr>
            </w:pPr>
          </w:p>
        </w:tc>
        <w:tc>
          <w:tcPr>
            <w:tcW w:w="1440" w:type="dxa"/>
            <w:vAlign w:val="bottom"/>
          </w:tcPr>
          <w:p>
            <w:pPr>
              <w:spacing w:after="0"/>
              <w:rPr>
                <w:sz w:val="20"/>
                <w:szCs w:val="20"/>
                <w:color w:val="auto"/>
              </w:rPr>
            </w:pPr>
          </w:p>
        </w:tc>
        <w:tc>
          <w:tcPr>
            <w:tcW w:w="9960" w:type="dxa"/>
            <w:vAlign w:val="bottom"/>
            <w:gridSpan w:val="2"/>
          </w:tcPr>
          <w:p>
            <w:pPr>
              <w:ind w:left="200"/>
              <w:spacing w:after="0"/>
              <w:rPr>
                <w:sz w:val="20"/>
                <w:szCs w:val="20"/>
                <w:color w:val="auto"/>
              </w:rPr>
            </w:pPr>
            <w:r>
              <w:rPr>
                <w:rFonts w:ascii="Arial" w:cs="Arial" w:eastAsia="Arial" w:hAnsi="Arial"/>
                <w:sz w:val="18"/>
                <w:szCs w:val="18"/>
                <w:color w:val="auto"/>
              </w:rPr>
              <w:t>3 to the Company’s Registration Statement on Form 10 filed on May 15, 2014, File No. 001-36313).</w:t>
            </w:r>
          </w:p>
        </w:tc>
      </w:tr>
      <w:tr>
        <w:trPr>
          <w:trHeight w:val="377"/>
        </w:trPr>
        <w:tc>
          <w:tcPr>
            <w:tcW w:w="1460" w:type="dxa"/>
            <w:vAlign w:val="bottom"/>
            <w:gridSpan w:val="2"/>
          </w:tcPr>
          <w:p>
            <w:pPr>
              <w:jc w:val="right"/>
              <w:ind w:right="1059"/>
              <w:spacing w:after="0"/>
              <w:rPr>
                <w:sz w:val="20"/>
                <w:szCs w:val="20"/>
                <w:color w:val="auto"/>
              </w:rPr>
            </w:pPr>
            <w:r>
              <w:rPr>
                <w:rFonts w:ascii="Arial" w:cs="Arial" w:eastAsia="Arial" w:hAnsi="Arial"/>
                <w:sz w:val="18"/>
                <w:szCs w:val="18"/>
                <w:color w:val="auto"/>
                <w:w w:val="85"/>
              </w:rPr>
              <w:t>21.1</w:t>
            </w:r>
          </w:p>
        </w:tc>
        <w:tc>
          <w:tcPr>
            <w:tcW w:w="9960" w:type="dxa"/>
            <w:vAlign w:val="bottom"/>
            <w:gridSpan w:val="2"/>
          </w:tcPr>
          <w:p>
            <w:pPr>
              <w:ind w:left="200"/>
              <w:spacing w:after="0"/>
              <w:rPr>
                <w:sz w:val="20"/>
                <w:szCs w:val="20"/>
                <w:color w:val="auto"/>
              </w:rPr>
            </w:pPr>
            <w:r>
              <w:rPr>
                <w:rFonts w:ascii="Arial" w:cs="Arial" w:eastAsia="Arial" w:hAnsi="Arial"/>
                <w:sz w:val="18"/>
                <w:szCs w:val="18"/>
                <w:color w:val="auto"/>
                <w:w w:val="91"/>
              </w:rPr>
              <w:t>List of Subsidiaries (incorporated by reference to Exhibit 21.1 of Amendment No. 1 to the Company’s Registration Statement on Form</w:t>
            </w:r>
          </w:p>
        </w:tc>
      </w:tr>
      <w:tr>
        <w:trPr>
          <w:trHeight w:val="230"/>
        </w:trPr>
        <w:tc>
          <w:tcPr>
            <w:tcW w:w="20" w:type="dxa"/>
            <w:vAlign w:val="bottom"/>
          </w:tcPr>
          <w:p>
            <w:pPr>
              <w:spacing w:after="0"/>
              <w:rPr>
                <w:sz w:val="20"/>
                <w:szCs w:val="20"/>
                <w:color w:val="auto"/>
              </w:rPr>
            </w:pPr>
          </w:p>
        </w:tc>
        <w:tc>
          <w:tcPr>
            <w:tcW w:w="1440" w:type="dxa"/>
            <w:vAlign w:val="bottom"/>
          </w:tcPr>
          <w:p>
            <w:pPr>
              <w:spacing w:after="0"/>
              <w:rPr>
                <w:sz w:val="20"/>
                <w:szCs w:val="20"/>
                <w:color w:val="auto"/>
              </w:rPr>
            </w:pPr>
          </w:p>
        </w:tc>
        <w:tc>
          <w:tcPr>
            <w:tcW w:w="9960" w:type="dxa"/>
            <w:vAlign w:val="bottom"/>
            <w:gridSpan w:val="2"/>
          </w:tcPr>
          <w:p>
            <w:pPr>
              <w:ind w:left="200"/>
              <w:spacing w:after="0"/>
              <w:rPr>
                <w:sz w:val="20"/>
                <w:szCs w:val="20"/>
                <w:color w:val="auto"/>
              </w:rPr>
            </w:pPr>
            <w:r>
              <w:rPr>
                <w:rFonts w:ascii="Arial" w:cs="Arial" w:eastAsia="Arial" w:hAnsi="Arial"/>
                <w:sz w:val="18"/>
                <w:szCs w:val="18"/>
                <w:color w:val="auto"/>
              </w:rPr>
              <w:t>10 filed on March 28, 2014, File No. 001-36313).</w:t>
            </w:r>
          </w:p>
        </w:tc>
      </w:tr>
      <w:tr>
        <w:trPr>
          <w:trHeight w:val="392"/>
        </w:trPr>
        <w:tc>
          <w:tcPr>
            <w:tcW w:w="1460" w:type="dxa"/>
            <w:vAlign w:val="bottom"/>
            <w:gridSpan w:val="2"/>
          </w:tcPr>
          <w:p>
            <w:pPr>
              <w:jc w:val="right"/>
              <w:ind w:right="1059"/>
              <w:spacing w:after="0"/>
              <w:rPr>
                <w:sz w:val="20"/>
                <w:szCs w:val="20"/>
                <w:color w:val="auto"/>
              </w:rPr>
            </w:pPr>
            <w:r>
              <w:rPr>
                <w:rFonts w:ascii="Arial" w:cs="Arial" w:eastAsia="Arial" w:hAnsi="Arial"/>
                <w:sz w:val="18"/>
                <w:szCs w:val="18"/>
                <w:color w:val="auto"/>
                <w:w w:val="85"/>
              </w:rPr>
              <w:t>23.1</w:t>
            </w:r>
          </w:p>
        </w:tc>
        <w:tc>
          <w:tcPr>
            <w:tcW w:w="9960" w:type="dxa"/>
            <w:vAlign w:val="bottom"/>
            <w:gridSpan w:val="2"/>
          </w:tcPr>
          <w:p>
            <w:pPr>
              <w:ind w:left="200"/>
              <w:spacing w:after="0"/>
              <w:rPr>
                <w:sz w:val="20"/>
                <w:szCs w:val="20"/>
                <w:color w:val="auto"/>
              </w:rPr>
            </w:pPr>
            <w:r>
              <w:rPr>
                <w:rFonts w:ascii="Arial" w:cs="Arial" w:eastAsia="Arial" w:hAnsi="Arial"/>
                <w:sz w:val="18"/>
                <w:szCs w:val="18"/>
                <w:color w:val="auto"/>
              </w:rPr>
              <w:t>Consent of Independent Registered Public Accounting Firm.*</w:t>
            </w:r>
          </w:p>
        </w:tc>
      </w:tr>
      <w:tr>
        <w:trPr>
          <w:trHeight w:val="392"/>
        </w:trPr>
        <w:tc>
          <w:tcPr>
            <w:tcW w:w="1460" w:type="dxa"/>
            <w:vAlign w:val="bottom"/>
            <w:gridSpan w:val="2"/>
          </w:tcPr>
          <w:p>
            <w:pPr>
              <w:jc w:val="right"/>
              <w:ind w:right="1059"/>
              <w:spacing w:after="0"/>
              <w:rPr>
                <w:sz w:val="20"/>
                <w:szCs w:val="20"/>
                <w:color w:val="auto"/>
              </w:rPr>
            </w:pPr>
            <w:r>
              <w:rPr>
                <w:rFonts w:ascii="Arial" w:cs="Arial" w:eastAsia="Arial" w:hAnsi="Arial"/>
                <w:sz w:val="18"/>
                <w:szCs w:val="18"/>
                <w:color w:val="auto"/>
                <w:w w:val="85"/>
              </w:rPr>
              <w:t>99.1</w:t>
            </w:r>
          </w:p>
        </w:tc>
        <w:tc>
          <w:tcPr>
            <w:tcW w:w="9960" w:type="dxa"/>
            <w:vAlign w:val="bottom"/>
            <w:gridSpan w:val="2"/>
          </w:tcPr>
          <w:p>
            <w:pPr>
              <w:ind w:left="200"/>
              <w:spacing w:after="0"/>
              <w:rPr>
                <w:sz w:val="20"/>
                <w:szCs w:val="20"/>
                <w:color w:val="auto"/>
              </w:rPr>
            </w:pPr>
            <w:r>
              <w:rPr>
                <w:rFonts w:ascii="Arial" w:cs="Arial" w:eastAsia="Arial" w:hAnsi="Arial"/>
                <w:sz w:val="18"/>
                <w:szCs w:val="18"/>
                <w:color w:val="auto"/>
              </w:rPr>
              <w:t>Consent of Joseph A. Carabba**</w:t>
            </w:r>
          </w:p>
        </w:tc>
      </w:tr>
      <w:tr>
        <w:trPr>
          <w:trHeight w:val="392"/>
        </w:trPr>
        <w:tc>
          <w:tcPr>
            <w:tcW w:w="1460" w:type="dxa"/>
            <w:vAlign w:val="bottom"/>
            <w:gridSpan w:val="2"/>
          </w:tcPr>
          <w:p>
            <w:pPr>
              <w:jc w:val="right"/>
              <w:ind w:right="1059"/>
              <w:spacing w:after="0"/>
              <w:rPr>
                <w:sz w:val="20"/>
                <w:szCs w:val="20"/>
                <w:color w:val="auto"/>
              </w:rPr>
            </w:pPr>
            <w:r>
              <w:rPr>
                <w:rFonts w:ascii="Arial" w:cs="Arial" w:eastAsia="Arial" w:hAnsi="Arial"/>
                <w:sz w:val="18"/>
                <w:szCs w:val="18"/>
                <w:color w:val="auto"/>
                <w:w w:val="85"/>
              </w:rPr>
              <w:t>99.2</w:t>
            </w:r>
          </w:p>
        </w:tc>
        <w:tc>
          <w:tcPr>
            <w:tcW w:w="9960" w:type="dxa"/>
            <w:vAlign w:val="bottom"/>
            <w:gridSpan w:val="2"/>
          </w:tcPr>
          <w:p>
            <w:pPr>
              <w:ind w:left="200"/>
              <w:spacing w:after="0"/>
              <w:rPr>
                <w:sz w:val="20"/>
                <w:szCs w:val="20"/>
                <w:color w:val="auto"/>
              </w:rPr>
            </w:pPr>
            <w:r>
              <w:rPr>
                <w:rFonts w:ascii="Arial" w:cs="Arial" w:eastAsia="Arial" w:hAnsi="Arial"/>
                <w:sz w:val="18"/>
                <w:szCs w:val="18"/>
                <w:color w:val="auto"/>
              </w:rPr>
              <w:t>Consent of Phillip R. Cox**</w:t>
            </w:r>
          </w:p>
        </w:tc>
      </w:tr>
      <w:tr>
        <w:trPr>
          <w:trHeight w:val="392"/>
        </w:trPr>
        <w:tc>
          <w:tcPr>
            <w:tcW w:w="1460" w:type="dxa"/>
            <w:vAlign w:val="bottom"/>
            <w:gridSpan w:val="2"/>
          </w:tcPr>
          <w:p>
            <w:pPr>
              <w:jc w:val="right"/>
              <w:ind w:right="1059"/>
              <w:spacing w:after="0"/>
              <w:rPr>
                <w:sz w:val="20"/>
                <w:szCs w:val="20"/>
                <w:color w:val="auto"/>
              </w:rPr>
            </w:pPr>
            <w:r>
              <w:rPr>
                <w:rFonts w:ascii="Arial" w:cs="Arial" w:eastAsia="Arial" w:hAnsi="Arial"/>
                <w:sz w:val="18"/>
                <w:szCs w:val="18"/>
                <w:color w:val="auto"/>
                <w:w w:val="85"/>
              </w:rPr>
              <w:t>99.3</w:t>
            </w:r>
          </w:p>
        </w:tc>
        <w:tc>
          <w:tcPr>
            <w:tcW w:w="9960" w:type="dxa"/>
            <w:vAlign w:val="bottom"/>
            <w:gridSpan w:val="2"/>
          </w:tcPr>
          <w:p>
            <w:pPr>
              <w:ind w:left="200"/>
              <w:spacing w:after="0"/>
              <w:rPr>
                <w:sz w:val="20"/>
                <w:szCs w:val="20"/>
                <w:color w:val="auto"/>
              </w:rPr>
            </w:pPr>
            <w:r>
              <w:rPr>
                <w:rFonts w:ascii="Arial" w:cs="Arial" w:eastAsia="Arial" w:hAnsi="Arial"/>
                <w:sz w:val="18"/>
                <w:szCs w:val="18"/>
                <w:color w:val="auto"/>
              </w:rPr>
              <w:t>Consent of Diane C. Creel**</w:t>
            </w:r>
          </w:p>
        </w:tc>
      </w:tr>
      <w:tr>
        <w:trPr>
          <w:trHeight w:val="392"/>
        </w:trPr>
        <w:tc>
          <w:tcPr>
            <w:tcW w:w="1460" w:type="dxa"/>
            <w:vAlign w:val="bottom"/>
            <w:gridSpan w:val="2"/>
          </w:tcPr>
          <w:p>
            <w:pPr>
              <w:jc w:val="right"/>
              <w:ind w:right="1059"/>
              <w:spacing w:after="0"/>
              <w:rPr>
                <w:sz w:val="20"/>
                <w:szCs w:val="20"/>
                <w:color w:val="auto"/>
              </w:rPr>
            </w:pPr>
            <w:r>
              <w:rPr>
                <w:rFonts w:ascii="Arial" w:cs="Arial" w:eastAsia="Arial" w:hAnsi="Arial"/>
                <w:sz w:val="18"/>
                <w:szCs w:val="18"/>
                <w:color w:val="auto"/>
                <w:w w:val="85"/>
              </w:rPr>
              <w:t>99.4</w:t>
            </w:r>
          </w:p>
        </w:tc>
        <w:tc>
          <w:tcPr>
            <w:tcW w:w="9960" w:type="dxa"/>
            <w:vAlign w:val="bottom"/>
            <w:gridSpan w:val="2"/>
          </w:tcPr>
          <w:p>
            <w:pPr>
              <w:ind w:left="200"/>
              <w:spacing w:after="0"/>
              <w:rPr>
                <w:sz w:val="20"/>
                <w:szCs w:val="20"/>
                <w:color w:val="auto"/>
              </w:rPr>
            </w:pPr>
            <w:r>
              <w:rPr>
                <w:rFonts w:ascii="Arial" w:cs="Arial" w:eastAsia="Arial" w:hAnsi="Arial"/>
                <w:sz w:val="18"/>
                <w:szCs w:val="18"/>
                <w:color w:val="auto"/>
              </w:rPr>
              <w:t>Consent of Donald T. Misheff**</w:t>
            </w:r>
          </w:p>
        </w:tc>
      </w:tr>
      <w:tr>
        <w:trPr>
          <w:trHeight w:val="392"/>
        </w:trPr>
        <w:tc>
          <w:tcPr>
            <w:tcW w:w="1460" w:type="dxa"/>
            <w:vAlign w:val="bottom"/>
            <w:gridSpan w:val="2"/>
          </w:tcPr>
          <w:p>
            <w:pPr>
              <w:jc w:val="right"/>
              <w:ind w:right="1059"/>
              <w:spacing w:after="0"/>
              <w:rPr>
                <w:sz w:val="20"/>
                <w:szCs w:val="20"/>
                <w:color w:val="auto"/>
              </w:rPr>
            </w:pPr>
            <w:r>
              <w:rPr>
                <w:rFonts w:ascii="Arial" w:cs="Arial" w:eastAsia="Arial" w:hAnsi="Arial"/>
                <w:sz w:val="18"/>
                <w:szCs w:val="18"/>
                <w:color w:val="auto"/>
                <w:w w:val="85"/>
              </w:rPr>
              <w:t>99.5</w:t>
            </w:r>
          </w:p>
        </w:tc>
        <w:tc>
          <w:tcPr>
            <w:tcW w:w="9960" w:type="dxa"/>
            <w:vAlign w:val="bottom"/>
            <w:gridSpan w:val="2"/>
          </w:tcPr>
          <w:p>
            <w:pPr>
              <w:ind w:left="200"/>
              <w:spacing w:after="0"/>
              <w:rPr>
                <w:sz w:val="20"/>
                <w:szCs w:val="20"/>
                <w:color w:val="auto"/>
              </w:rPr>
            </w:pPr>
            <w:r>
              <w:rPr>
                <w:rFonts w:ascii="Arial" w:cs="Arial" w:eastAsia="Arial" w:hAnsi="Arial"/>
                <w:sz w:val="18"/>
                <w:szCs w:val="18"/>
                <w:color w:val="auto"/>
              </w:rPr>
              <w:t>Consent of John P. Reilly**</w:t>
            </w:r>
          </w:p>
        </w:tc>
      </w:tr>
      <w:tr>
        <w:trPr>
          <w:trHeight w:val="392"/>
        </w:trPr>
        <w:tc>
          <w:tcPr>
            <w:tcW w:w="1460" w:type="dxa"/>
            <w:vAlign w:val="bottom"/>
            <w:gridSpan w:val="2"/>
          </w:tcPr>
          <w:p>
            <w:pPr>
              <w:jc w:val="right"/>
              <w:ind w:right="1059"/>
              <w:spacing w:after="0"/>
              <w:rPr>
                <w:sz w:val="20"/>
                <w:szCs w:val="20"/>
                <w:color w:val="auto"/>
              </w:rPr>
            </w:pPr>
            <w:r>
              <w:rPr>
                <w:rFonts w:ascii="Arial" w:cs="Arial" w:eastAsia="Arial" w:hAnsi="Arial"/>
                <w:sz w:val="18"/>
                <w:szCs w:val="18"/>
                <w:color w:val="auto"/>
                <w:w w:val="85"/>
              </w:rPr>
              <w:t>99.6</w:t>
            </w:r>
          </w:p>
        </w:tc>
        <w:tc>
          <w:tcPr>
            <w:tcW w:w="9960" w:type="dxa"/>
            <w:vAlign w:val="bottom"/>
            <w:gridSpan w:val="2"/>
          </w:tcPr>
          <w:p>
            <w:pPr>
              <w:ind w:left="200"/>
              <w:spacing w:after="0"/>
              <w:rPr>
                <w:sz w:val="20"/>
                <w:szCs w:val="20"/>
                <w:color w:val="auto"/>
              </w:rPr>
            </w:pPr>
            <w:r>
              <w:rPr>
                <w:rFonts w:ascii="Arial" w:cs="Arial" w:eastAsia="Arial" w:hAnsi="Arial"/>
                <w:sz w:val="18"/>
                <w:szCs w:val="18"/>
                <w:color w:val="auto"/>
              </w:rPr>
              <w:t>Consent of Randall A. Wotring**</w:t>
            </w:r>
          </w:p>
        </w:tc>
      </w:tr>
    </w:tbl>
    <w:p>
      <w:pPr>
        <w:spacing w:after="0" w:line="202" w:lineRule="exact"/>
        <w:rPr>
          <w:sz w:val="20"/>
          <w:szCs w:val="20"/>
          <w:color w:val="auto"/>
        </w:rPr>
      </w:pPr>
    </w:p>
    <w:p>
      <w:pPr>
        <w:ind w:left="460" w:hanging="452"/>
        <w:spacing w:after="0"/>
        <w:tabs>
          <w:tab w:leader="none" w:pos="460" w:val="left"/>
        </w:tabs>
        <w:numPr>
          <w:ilvl w:val="0"/>
          <w:numId w:val="56"/>
        </w:numPr>
        <w:rPr>
          <w:rFonts w:ascii="Arial" w:cs="Arial" w:eastAsia="Arial" w:hAnsi="Arial"/>
          <w:sz w:val="18"/>
          <w:szCs w:val="18"/>
          <w:color w:val="auto"/>
        </w:rPr>
      </w:pPr>
      <w:r>
        <w:rPr>
          <w:rFonts w:ascii="Arial" w:cs="Arial" w:eastAsia="Arial" w:hAnsi="Arial"/>
          <w:sz w:val="18"/>
          <w:szCs w:val="18"/>
          <w:color w:val="auto"/>
        </w:rPr>
        <w:t>Filed herewith.</w:t>
      </w:r>
    </w:p>
    <w:p>
      <w:pPr>
        <w:spacing w:after="0" w:line="23" w:lineRule="exact"/>
        <w:rPr>
          <w:sz w:val="20"/>
          <w:szCs w:val="20"/>
          <w:color w:val="auto"/>
        </w:rPr>
      </w:pPr>
    </w:p>
    <w:p>
      <w:pPr>
        <w:ind w:left="460" w:hanging="452"/>
        <w:spacing w:after="0"/>
        <w:tabs>
          <w:tab w:leader="none" w:pos="460" w:val="left"/>
        </w:tabs>
        <w:numPr>
          <w:ilvl w:val="0"/>
          <w:numId w:val="57"/>
        </w:numPr>
        <w:rPr>
          <w:rFonts w:ascii="Arial" w:cs="Arial" w:eastAsia="Arial" w:hAnsi="Arial"/>
          <w:sz w:val="18"/>
          <w:szCs w:val="18"/>
          <w:color w:val="auto"/>
        </w:rPr>
      </w:pPr>
      <w:r>
        <w:rPr>
          <w:rFonts w:ascii="Arial" w:cs="Arial" w:eastAsia="Arial" w:hAnsi="Arial"/>
          <w:sz w:val="18"/>
          <w:szCs w:val="18"/>
          <w:color w:val="auto"/>
        </w:rPr>
        <w:t>To be filed by amendment.</w:t>
      </w:r>
    </w:p>
    <w:p>
      <w:pPr>
        <w:spacing w:after="0" w:line="9" w:lineRule="exact"/>
        <w:rPr>
          <w:rFonts w:ascii="Arial" w:cs="Arial" w:eastAsia="Arial" w:hAnsi="Arial"/>
          <w:sz w:val="18"/>
          <w:szCs w:val="18"/>
          <w:color w:val="auto"/>
        </w:rPr>
      </w:pPr>
    </w:p>
    <w:p>
      <w:pPr>
        <w:ind w:left="460" w:right="160" w:hanging="452"/>
        <w:spacing w:after="0" w:line="261" w:lineRule="auto"/>
        <w:tabs>
          <w:tab w:leader="none" w:pos="460" w:val="left"/>
        </w:tabs>
        <w:numPr>
          <w:ilvl w:val="0"/>
          <w:numId w:val="58"/>
        </w:numPr>
        <w:rPr>
          <w:rFonts w:ascii="Arial" w:cs="Arial" w:eastAsia="Arial" w:hAnsi="Arial"/>
          <w:sz w:val="18"/>
          <w:szCs w:val="18"/>
          <w:color w:val="auto"/>
        </w:rPr>
      </w:pPr>
      <w:r>
        <w:rPr>
          <w:rFonts w:ascii="Arial" w:cs="Arial" w:eastAsia="Arial" w:hAnsi="Arial"/>
          <w:sz w:val="18"/>
          <w:szCs w:val="18"/>
          <w:color w:val="auto"/>
        </w:rPr>
        <w:t>Confidential treatment requested and/or approved as to certain portions, which portions have been omitted and filed separately with the Securities and Exchange Commission.</w:t>
      </w:r>
    </w:p>
    <w:p>
      <w:pPr>
        <w:sectPr>
          <w:pgSz w:w="11900" w:h="16838" w:orient="portrait"/>
          <w:cols w:equalWidth="0" w:num="1">
            <w:col w:w="11420"/>
          </w:cols>
          <w:pgMar w:left="240" w:top="459" w:right="239" w:bottom="1440" w:gutter="0" w:footer="0" w:header="0"/>
        </w:sectPr>
      </w:pPr>
    </w:p>
    <w:bookmarkStart w:id="147" w:name="page148"/>
    <w:bookmarkEnd w:id="147"/>
    <w:p>
      <w:pPr>
        <w:jc w:val="right"/>
        <w:spacing w:after="0"/>
        <w:rPr>
          <w:sz w:val="20"/>
          <w:szCs w:val="20"/>
          <w:color w:val="auto"/>
        </w:rPr>
      </w:pPr>
      <w:r>
        <w:rPr>
          <w:rFonts w:ascii="Arial" w:cs="Arial" w:eastAsia="Arial" w:hAnsi="Arial"/>
          <w:sz w:val="18"/>
          <w:szCs w:val="18"/>
          <w:b w:val="1"/>
          <w:bCs w:val="1"/>
          <w:color w:val="auto"/>
        </w:rPr>
        <w:t>Exhibit 5.1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3006725</wp:posOffset>
            </wp:positionH>
            <wp:positionV relativeFrom="paragraph">
              <wp:posOffset>171450</wp:posOffset>
            </wp:positionV>
            <wp:extent cx="1252220" cy="205740"/>
            <wp:wrapNone/>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75">
                      <a:extLst>
                        <a:ext uri="{28A0092B-C50C-407E-A947-70E740481C1C}"/>
                      </a:extLst>
                    </a:blip>
                    <a:srcRect/>
                    <a:stretch>
                      <a:fillRect/>
                    </a:stretch>
                  </pic:blipFill>
                  <pic:spPr bwMode="auto">
                    <a:xfrm>
                      <a:off x="0" y="0"/>
                      <a:ext cx="1252220" cy="2057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96"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North Point • 901 Lakeside Avenue • Cleveland, Ohio 44114.1190</w:t>
      </w:r>
    </w:p>
    <w:p>
      <w:pPr>
        <w:spacing w:after="0" w:line="109"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TELEPHONE: +1.216.586.3939 • FACSIMILE: +1.216.579.0212</w:t>
      </w:r>
    </w:p>
    <w:p>
      <w:pPr>
        <w:spacing w:after="0" w:line="217" w:lineRule="exact"/>
        <w:rPr>
          <w:sz w:val="20"/>
          <w:szCs w:val="20"/>
          <w:color w:val="auto"/>
        </w:rPr>
      </w:pPr>
    </w:p>
    <w:p>
      <w:pPr>
        <w:ind w:left="9420"/>
        <w:spacing w:after="0"/>
        <w:rPr>
          <w:sz w:val="20"/>
          <w:szCs w:val="20"/>
          <w:color w:val="auto"/>
        </w:rPr>
      </w:pPr>
      <w:r>
        <w:rPr>
          <w:rFonts w:ascii="Arial" w:cs="Arial" w:eastAsia="Arial" w:hAnsi="Arial"/>
          <w:sz w:val="14"/>
          <w:szCs w:val="14"/>
          <w:color w:val="auto"/>
        </w:rPr>
        <w:t>Direct Number: (216) 586-7103</w:t>
      </w:r>
    </w:p>
    <w:p>
      <w:pPr>
        <w:spacing w:after="0" w:line="1" w:lineRule="exact"/>
        <w:rPr>
          <w:sz w:val="20"/>
          <w:szCs w:val="20"/>
          <w:color w:val="auto"/>
        </w:rPr>
      </w:pPr>
    </w:p>
    <w:p>
      <w:pPr>
        <w:ind w:left="9620"/>
        <w:spacing w:after="0"/>
        <w:rPr>
          <w:sz w:val="20"/>
          <w:szCs w:val="20"/>
          <w:color w:val="auto"/>
        </w:rPr>
      </w:pPr>
      <w:r>
        <w:rPr>
          <w:rFonts w:ascii="Arial" w:cs="Arial" w:eastAsia="Arial" w:hAnsi="Arial"/>
          <w:sz w:val="14"/>
          <w:szCs w:val="14"/>
          <w:color w:val="auto"/>
        </w:rPr>
        <w:t>mjsolecki@JonesDay.com</w:t>
      </w:r>
    </w:p>
    <w:p>
      <w:pPr>
        <w:spacing w:after="0" w:line="30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May 27, 2014</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TimkenSteel Corporation</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1835 Dueber Ave., S.W.</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Canton, Ohio 44706-2798</w:t>
      </w:r>
    </w:p>
    <w:p>
      <w:pPr>
        <w:spacing w:after="0" w:line="238" w:lineRule="exact"/>
        <w:rPr>
          <w:sz w:val="20"/>
          <w:szCs w:val="20"/>
          <w:color w:val="auto"/>
        </w:rPr>
      </w:pPr>
    </w:p>
    <w:p>
      <w:pPr>
        <w:ind w:left="460"/>
        <w:spacing w:after="0"/>
        <w:tabs>
          <w:tab w:leader="none" w:pos="880" w:val="left"/>
        </w:tabs>
        <w:rPr>
          <w:sz w:val="20"/>
          <w:szCs w:val="20"/>
          <w:color w:val="auto"/>
        </w:rPr>
      </w:pPr>
      <w:r>
        <w:rPr>
          <w:rFonts w:ascii="Arial" w:cs="Arial" w:eastAsia="Arial" w:hAnsi="Arial"/>
          <w:sz w:val="18"/>
          <w:szCs w:val="18"/>
          <w:color w:val="auto"/>
        </w:rPr>
        <w:t>Re:</w:t>
      </w:r>
      <w:r>
        <w:rPr>
          <w:sz w:val="20"/>
          <w:szCs w:val="20"/>
          <w:color w:val="auto"/>
        </w:rPr>
        <w:tab/>
      </w:r>
      <w:r>
        <w:rPr>
          <w:rFonts w:ascii="Arial" w:cs="Arial" w:eastAsia="Arial" w:hAnsi="Arial"/>
          <w:sz w:val="18"/>
          <w:szCs w:val="18"/>
          <w:u w:val="single" w:color="auto"/>
          <w:color w:val="auto"/>
        </w:rPr>
        <w:t>Registration Statement on Form S-1 Filed by TimkenSteel Corporation</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Ladies and Gentlemen:</w:t>
      </w:r>
    </w:p>
    <w:p>
      <w:pPr>
        <w:spacing w:after="0" w:line="117" w:lineRule="exact"/>
        <w:rPr>
          <w:sz w:val="20"/>
          <w:szCs w:val="20"/>
          <w:color w:val="auto"/>
        </w:rPr>
      </w:pPr>
    </w:p>
    <w:p>
      <w:pPr>
        <w:ind w:right="100" w:firstLine="456"/>
        <w:spacing w:after="0" w:line="255" w:lineRule="auto"/>
        <w:rPr>
          <w:sz w:val="20"/>
          <w:szCs w:val="20"/>
          <w:color w:val="auto"/>
        </w:rPr>
      </w:pPr>
      <w:r>
        <w:rPr>
          <w:rFonts w:ascii="Arial" w:cs="Arial" w:eastAsia="Arial" w:hAnsi="Arial"/>
          <w:sz w:val="18"/>
          <w:szCs w:val="18"/>
          <w:color w:val="auto"/>
        </w:rPr>
        <w:t>We have acted as counsel for TimkenSteel Corporation, an Ohio corporation (the “</w:t>
      </w:r>
      <w:r>
        <w:rPr>
          <w:rFonts w:ascii="Arial" w:cs="Arial" w:eastAsia="Arial" w:hAnsi="Arial"/>
          <w:sz w:val="18"/>
          <w:szCs w:val="18"/>
          <w:b w:val="1"/>
          <w:bCs w:val="1"/>
          <w:i w:val="1"/>
          <w:iCs w:val="1"/>
          <w:color w:val="auto"/>
        </w:rPr>
        <w:t>Company</w:t>
      </w:r>
      <w:r>
        <w:rPr>
          <w:rFonts w:ascii="Arial" w:cs="Arial" w:eastAsia="Arial" w:hAnsi="Arial"/>
          <w:sz w:val="18"/>
          <w:szCs w:val="18"/>
          <w:color w:val="auto"/>
        </w:rPr>
        <w:t>”), in connection with the TimkenSteel Corporation 2014 Equity and Incentive Compensation Plan (the “</w:t>
      </w:r>
      <w:r>
        <w:rPr>
          <w:rFonts w:ascii="Arial" w:cs="Arial" w:eastAsia="Arial" w:hAnsi="Arial"/>
          <w:sz w:val="18"/>
          <w:szCs w:val="18"/>
          <w:b w:val="1"/>
          <w:bCs w:val="1"/>
          <w:i w:val="1"/>
          <w:iCs w:val="1"/>
          <w:color w:val="auto"/>
        </w:rPr>
        <w:t>Plan</w:t>
      </w:r>
      <w:r>
        <w:rPr>
          <w:rFonts w:ascii="Arial" w:cs="Arial" w:eastAsia="Arial" w:hAnsi="Arial"/>
          <w:sz w:val="18"/>
          <w:szCs w:val="18"/>
          <w:color w:val="auto"/>
        </w:rPr>
        <w:t>”). In connection with the opinion expressed herein, we have examined such documents, records and matters of law as we have deemed relevant or necessary for purposes of such opinion. Based on the foregoing, and subject to the further limitations, qualifications and assumptions set forth herein, we are of the opinion that the 650,000 shares (the “</w:t>
      </w:r>
      <w:r>
        <w:rPr>
          <w:rFonts w:ascii="Arial" w:cs="Arial" w:eastAsia="Arial" w:hAnsi="Arial"/>
          <w:sz w:val="18"/>
          <w:szCs w:val="18"/>
          <w:b w:val="1"/>
          <w:bCs w:val="1"/>
          <w:i w:val="1"/>
          <w:iCs w:val="1"/>
          <w:color w:val="auto"/>
        </w:rPr>
        <w:t>Shares</w:t>
      </w:r>
      <w:r>
        <w:rPr>
          <w:rFonts w:ascii="Arial" w:cs="Arial" w:eastAsia="Arial" w:hAnsi="Arial"/>
          <w:sz w:val="18"/>
          <w:szCs w:val="18"/>
          <w:color w:val="auto"/>
        </w:rPr>
        <w:t>”) of common stock, without par value, of the Company that may be issued or delivered and sold pursuant to the Plan and the authorized forms of stock option, restricted stock or other applicable award agreements thereunder (the “</w:t>
      </w:r>
      <w:r>
        <w:rPr>
          <w:rFonts w:ascii="Arial" w:cs="Arial" w:eastAsia="Arial" w:hAnsi="Arial"/>
          <w:sz w:val="18"/>
          <w:szCs w:val="18"/>
          <w:b w:val="1"/>
          <w:bCs w:val="1"/>
          <w:i w:val="1"/>
          <w:iCs w:val="1"/>
          <w:color w:val="auto"/>
        </w:rPr>
        <w:t>Award Agreements</w:t>
      </w:r>
      <w:r>
        <w:rPr>
          <w:rFonts w:ascii="Arial" w:cs="Arial" w:eastAsia="Arial" w:hAnsi="Arial"/>
          <w:sz w:val="18"/>
          <w:szCs w:val="18"/>
          <w:color w:val="auto"/>
        </w:rPr>
        <w:t>”) will be, when issued or delivered and sold in accordance with the Plan and the Award Agreements, validly issued, fully paid and nonassessable.</w:t>
      </w:r>
    </w:p>
    <w:p>
      <w:pPr>
        <w:spacing w:after="0" w:line="189" w:lineRule="exact"/>
        <w:rPr>
          <w:sz w:val="20"/>
          <w:szCs w:val="20"/>
          <w:color w:val="auto"/>
        </w:rPr>
      </w:pPr>
    </w:p>
    <w:p>
      <w:pPr>
        <w:ind w:firstLine="456"/>
        <w:spacing w:after="0" w:line="297" w:lineRule="auto"/>
        <w:rPr>
          <w:sz w:val="20"/>
          <w:szCs w:val="20"/>
          <w:color w:val="auto"/>
        </w:rPr>
      </w:pPr>
      <w:r>
        <w:rPr>
          <w:rFonts w:ascii="Arial" w:cs="Arial" w:eastAsia="Arial" w:hAnsi="Arial"/>
          <w:sz w:val="16"/>
          <w:szCs w:val="16"/>
          <w:color w:val="auto"/>
        </w:rPr>
        <w:t>The opinion expressed herein is limited to the laws of the State of Ohio, as currently in effect, and we express no opinion or view as to the effects of the laws of any other jurisdiction on the opinions expressed herein. In addition, we have assumed that the resolutions authorizing the Company to issue or deliver and sell the Shares pursuant to the Plan and the Award Agreements will be in full force and effect at all times at which the Shares are issued or delivered and sold by the Company, and that the Company will take no action inconsistent with such resolutions. In rendering the opinion above, we have assumed that each award under the Plan will be approved by the Board of Directors of the Company or an authorized committee of the Board of Directors.</w:t>
      </w:r>
    </w:p>
    <w:p>
      <w:pPr>
        <w:spacing w:after="0" w:line="158" w:lineRule="exact"/>
        <w:rPr>
          <w:sz w:val="20"/>
          <w:szCs w:val="20"/>
          <w:color w:val="auto"/>
        </w:rPr>
      </w:pPr>
    </w:p>
    <w:p>
      <w:pPr>
        <w:ind w:right="100" w:firstLine="456"/>
        <w:spacing w:after="0" w:line="312" w:lineRule="auto"/>
        <w:rPr>
          <w:sz w:val="20"/>
          <w:szCs w:val="20"/>
          <w:color w:val="auto"/>
        </w:rPr>
      </w:pPr>
      <w:r>
        <w:rPr>
          <w:rFonts w:ascii="Arial" w:cs="Arial" w:eastAsia="Arial" w:hAnsi="Arial"/>
          <w:sz w:val="16"/>
          <w:szCs w:val="16"/>
          <w:color w:val="auto"/>
        </w:rPr>
        <w:t>We hereby consent to the filing of this opinion as Exhibit 5.1 to the Registration Statement on Form S-1 filed by the Company to effect the registration of the Shares under the Securities Act of 1933 (the “</w:t>
      </w:r>
      <w:r>
        <w:rPr>
          <w:rFonts w:ascii="Arial" w:cs="Arial" w:eastAsia="Arial" w:hAnsi="Arial"/>
          <w:sz w:val="16"/>
          <w:szCs w:val="16"/>
          <w:b w:val="1"/>
          <w:bCs w:val="1"/>
          <w:i w:val="1"/>
          <w:iCs w:val="1"/>
          <w:color w:val="auto"/>
        </w:rPr>
        <w:t>Act</w:t>
      </w:r>
      <w:r>
        <w:rPr>
          <w:rFonts w:ascii="Arial" w:cs="Arial" w:eastAsia="Arial" w:hAnsi="Arial"/>
          <w:sz w:val="16"/>
          <w:szCs w:val="16"/>
          <w:color w:val="auto"/>
        </w:rPr>
        <w:t>”). In giving such consent, we do not thereby admit that we are included in the category of persons whose consent is required under Section 7 of the Act or the rules and regulations of the Securities and Exchange Commission promulgated thereunder.</w:t>
      </w:r>
    </w:p>
    <w:p>
      <w:pPr>
        <w:spacing w:after="0" w:line="255" w:lineRule="exact"/>
        <w:rPr>
          <w:sz w:val="20"/>
          <w:szCs w:val="20"/>
          <w:color w:val="auto"/>
        </w:rPr>
      </w:pPr>
    </w:p>
    <w:p>
      <w:pPr>
        <w:ind w:left="6060"/>
        <w:spacing w:after="0"/>
        <w:rPr>
          <w:sz w:val="20"/>
          <w:szCs w:val="20"/>
          <w:color w:val="auto"/>
        </w:rPr>
      </w:pPr>
      <w:r>
        <w:rPr>
          <w:rFonts w:ascii="Arial" w:cs="Arial" w:eastAsia="Arial" w:hAnsi="Arial"/>
          <w:sz w:val="18"/>
          <w:szCs w:val="18"/>
          <w:color w:val="auto"/>
        </w:rPr>
        <w:t>Very truly yours,</w:t>
      </w:r>
    </w:p>
    <w:p>
      <w:pPr>
        <w:spacing w:after="0" w:line="333" w:lineRule="exact"/>
        <w:rPr>
          <w:sz w:val="20"/>
          <w:szCs w:val="20"/>
          <w:color w:val="auto"/>
        </w:rPr>
      </w:pPr>
    </w:p>
    <w:p>
      <w:pPr>
        <w:ind w:left="6060"/>
        <w:spacing w:after="0"/>
        <w:rPr>
          <w:sz w:val="20"/>
          <w:szCs w:val="20"/>
          <w:color w:val="auto"/>
        </w:rPr>
      </w:pPr>
      <w:r>
        <w:rPr>
          <w:rFonts w:ascii="Arial" w:cs="Arial" w:eastAsia="Arial" w:hAnsi="Arial"/>
          <w:sz w:val="18"/>
          <w:szCs w:val="18"/>
          <w:color w:val="auto"/>
        </w:rPr>
        <w:t>/s/ Jones Day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631190</wp:posOffset>
            </wp:positionH>
            <wp:positionV relativeFrom="paragraph">
              <wp:posOffset>649605</wp:posOffset>
            </wp:positionV>
            <wp:extent cx="5994400" cy="660400"/>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76">
                      <a:extLst>
                        <a:ext uri="{28A0092B-C50C-407E-A947-70E740481C1C}"/>
                      </a:extLst>
                    </a:blip>
                    <a:srcRect/>
                    <a:stretch>
                      <a:fillRect/>
                    </a:stretch>
                  </pic:blipFill>
                  <pic:spPr bwMode="auto">
                    <a:xfrm>
                      <a:off x="0" y="0"/>
                      <a:ext cx="5994400" cy="660400"/>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bookmarkStart w:id="148" w:name="page149"/>
    <w:bookmarkEnd w:id="148"/>
    <w:p>
      <w:pPr>
        <w:jc w:val="right"/>
        <w:spacing w:after="0"/>
        <w:rPr>
          <w:sz w:val="20"/>
          <w:szCs w:val="20"/>
          <w:color w:val="auto"/>
        </w:rPr>
      </w:pPr>
      <w:r>
        <w:rPr>
          <w:rFonts w:ascii="Arial" w:cs="Arial" w:eastAsia="Arial" w:hAnsi="Arial"/>
          <w:sz w:val="18"/>
          <w:szCs w:val="18"/>
          <w:b w:val="1"/>
          <w:bCs w:val="1"/>
          <w:color w:val="auto"/>
        </w:rPr>
        <w:t>Exhibit 23.1</w:t>
      </w:r>
    </w:p>
    <w:p>
      <w:pPr>
        <w:spacing w:after="0" w:line="22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Consent of Independent Registered Public Accounting Firm</w:t>
      </w:r>
    </w:p>
    <w:p>
      <w:pPr>
        <w:spacing w:after="0" w:line="225" w:lineRule="exact"/>
        <w:rPr>
          <w:sz w:val="20"/>
          <w:szCs w:val="20"/>
          <w:color w:val="auto"/>
        </w:rPr>
      </w:pPr>
    </w:p>
    <w:p>
      <w:pPr>
        <w:ind w:right="40"/>
        <w:spacing w:after="0" w:line="277" w:lineRule="auto"/>
        <w:rPr>
          <w:sz w:val="20"/>
          <w:szCs w:val="20"/>
          <w:color w:val="auto"/>
        </w:rPr>
      </w:pPr>
      <w:r>
        <w:rPr>
          <w:rFonts w:ascii="Arial" w:cs="Arial" w:eastAsia="Arial" w:hAnsi="Arial"/>
          <w:sz w:val="18"/>
          <w:szCs w:val="18"/>
          <w:color w:val="auto"/>
        </w:rPr>
        <w:t>We consent to the reference to our firm under the caption “Experts” and to the use of our report dated March 28, 2014, in the Registration Statement (Form S-1 No. 333-00000) and related Prospectus of TimkenSteel Corporation for the registration of 650,000 of its common shares.</w:t>
      </w:r>
    </w:p>
    <w:p>
      <w:pPr>
        <w:spacing w:after="0" w:line="170" w:lineRule="exact"/>
        <w:rPr>
          <w:sz w:val="20"/>
          <w:szCs w:val="20"/>
          <w:color w:val="auto"/>
        </w:rPr>
      </w:pPr>
    </w:p>
    <w:p>
      <w:pPr>
        <w:ind w:left="6060"/>
        <w:spacing w:after="0"/>
        <w:rPr>
          <w:sz w:val="20"/>
          <w:szCs w:val="20"/>
          <w:color w:val="auto"/>
        </w:rPr>
      </w:pPr>
      <w:r>
        <w:rPr>
          <w:rFonts w:ascii="Arial" w:cs="Arial" w:eastAsia="Arial" w:hAnsi="Arial"/>
          <w:sz w:val="18"/>
          <w:szCs w:val="18"/>
          <w:color w:val="auto"/>
        </w:rPr>
        <w:t>/s/ Ernst &amp; Young LLP</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Cleveland, Ohio</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May 22, 2014</w:t>
      </w:r>
    </w:p>
    <w:sectPr>
      <w:pgSz w:w="11900" w:h="16838" w:orient="portrait"/>
      <w:cols w:equalWidth="0" w:num="1">
        <w:col w:w="11420"/>
      </w:cols>
      <w:pgMar w:left="240" w:top="121"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3A95F874"/>
    <w:multiLevelType w:val="hybridMultilevel"/>
    <w:lvl w:ilvl="0">
      <w:lvlJc w:val="left"/>
      <w:lvlText w:val="%1"/>
      <w:numFmt w:val="decimal"/>
      <w:start w:val="901"/>
    </w:lvl>
    <w:lvl w:ilvl="1">
      <w:lvlJc w:val="left"/>
      <w:lvlText w:val="(%2)"/>
      <w:numFmt w:val="decimal"/>
      <w:start w:val="216"/>
    </w:lvl>
  </w:abstractNum>
  <w:abstractNum w:abstractNumId="1">
    <w:nsid w:val="8138641"/>
    <w:multiLevelType w:val="hybridMultilevel"/>
    <w:lvl w:ilvl="0">
      <w:lvlJc w:val="left"/>
      <w:lvlText w:val="(%1)"/>
      <w:numFmt w:val="decimal"/>
      <w:start w:val="1"/>
    </w:lvl>
  </w:abstractNum>
  <w:abstractNum w:abstractNumId="2">
    <w:nsid w:val="1E7FF521"/>
    <w:multiLevelType w:val="hybridMultilevel"/>
    <w:lvl w:ilvl="0">
      <w:lvlJc w:val="left"/>
      <w:lvlText w:val="•"/>
      <w:numFmt w:val="bullet"/>
      <w:start w:val="1"/>
    </w:lvl>
  </w:abstractNum>
  <w:abstractNum w:abstractNumId="3">
    <w:nsid w:val="7C3DBD3D"/>
    <w:multiLevelType w:val="hybridMultilevel"/>
    <w:lvl w:ilvl="0">
      <w:lvlJc w:val="left"/>
      <w:lvlText w:val="•"/>
      <w:numFmt w:val="bullet"/>
      <w:start w:val="1"/>
    </w:lvl>
  </w:abstractNum>
  <w:abstractNum w:abstractNumId="4">
    <w:nsid w:val="737B8DDC"/>
    <w:multiLevelType w:val="hybridMultilevel"/>
    <w:lvl w:ilvl="0">
      <w:lvlJc w:val="left"/>
      <w:lvlText w:val="•"/>
      <w:numFmt w:val="bullet"/>
      <w:start w:val="1"/>
    </w:lvl>
  </w:abstractNum>
  <w:abstractNum w:abstractNumId="5">
    <w:nsid w:val="6CEAF087"/>
    <w:multiLevelType w:val="hybridMultilevel"/>
    <w:lvl w:ilvl="0">
      <w:lvlJc w:val="left"/>
      <w:lvlText w:val="•"/>
      <w:numFmt w:val="bullet"/>
      <w:start w:val="1"/>
    </w:lvl>
  </w:abstractNum>
  <w:abstractNum w:abstractNumId="6">
    <w:nsid w:val="22221A70"/>
    <w:multiLevelType w:val="hybridMultilevel"/>
    <w:lvl w:ilvl="0">
      <w:lvlJc w:val="left"/>
      <w:lvlText w:val="•"/>
      <w:numFmt w:val="bullet"/>
      <w:start w:val="1"/>
    </w:lvl>
  </w:abstractNum>
  <w:abstractNum w:abstractNumId="7">
    <w:nsid w:val="4516DDE9"/>
    <w:multiLevelType w:val="hybridMultilevel"/>
    <w:lvl w:ilvl="0">
      <w:lvlJc w:val="left"/>
      <w:lvlText w:val="(%1)"/>
      <w:numFmt w:val="decimal"/>
      <w:start w:val="1"/>
    </w:lvl>
  </w:abstractNum>
  <w:abstractNum w:abstractNumId="8">
    <w:nsid w:val="3006C83E"/>
    <w:multiLevelType w:val="hybridMultilevel"/>
    <w:lvl w:ilvl="0">
      <w:lvlJc w:val="left"/>
      <w:lvlText w:val="•"/>
      <w:numFmt w:val="bullet"/>
      <w:start w:val="1"/>
    </w:lvl>
  </w:abstractNum>
  <w:abstractNum w:abstractNumId="9">
    <w:nsid w:val="614FD4A1"/>
    <w:multiLevelType w:val="hybridMultilevel"/>
    <w:lvl w:ilvl="0">
      <w:lvlJc w:val="left"/>
      <w:lvlText w:val="-"/>
      <w:numFmt w:val="bullet"/>
      <w:start w:val="1"/>
    </w:lvl>
  </w:abstractNum>
  <w:abstractNum w:abstractNumId="10">
    <w:nsid w:val="419AC241"/>
    <w:multiLevelType w:val="hybridMultilevel"/>
    <w:lvl w:ilvl="0">
      <w:lvlJc w:val="left"/>
      <w:lvlText w:val="•"/>
      <w:numFmt w:val="bullet"/>
      <w:start w:val="1"/>
    </w:lvl>
  </w:abstractNum>
  <w:abstractNum w:abstractNumId="11">
    <w:nsid w:val="5577F8E1"/>
    <w:multiLevelType w:val="hybridMultilevel"/>
    <w:lvl w:ilvl="0">
      <w:lvlJc w:val="left"/>
      <w:lvlText w:val="•"/>
      <w:numFmt w:val="bullet"/>
      <w:start w:val="1"/>
    </w:lvl>
  </w:abstractNum>
  <w:abstractNum w:abstractNumId="12">
    <w:nsid w:val="440BADFC"/>
    <w:multiLevelType w:val="hybridMultilevel"/>
    <w:lvl w:ilvl="0">
      <w:lvlJc w:val="left"/>
      <w:lvlText w:val="•"/>
      <w:numFmt w:val="bullet"/>
      <w:start w:val="1"/>
    </w:lvl>
  </w:abstractNum>
  <w:abstractNum w:abstractNumId="13">
    <w:nsid w:val="5072367"/>
    <w:multiLevelType w:val="hybridMultilevel"/>
    <w:lvl w:ilvl="0">
      <w:lvlJc w:val="left"/>
      <w:lvlText w:val="(%1)"/>
      <w:numFmt w:val="upperLetter"/>
      <w:start w:val="1"/>
    </w:lvl>
  </w:abstractNum>
  <w:abstractNum w:abstractNumId="14">
    <w:nsid w:val="3804823E"/>
    <w:multiLevelType w:val="hybridMultilevel"/>
    <w:lvl w:ilvl="0">
      <w:lvlJc w:val="left"/>
      <w:lvlText w:val="%1."/>
      <w:numFmt w:val="decimal"/>
      <w:start w:val="1"/>
    </w:lvl>
  </w:abstractNum>
  <w:abstractNum w:abstractNumId="15">
    <w:nsid w:val="77465F01"/>
    <w:multiLevelType w:val="hybridMultilevel"/>
    <w:lvl w:ilvl="0">
      <w:lvlJc w:val="left"/>
      <w:lvlText w:val="•"/>
      <w:numFmt w:val="bullet"/>
      <w:start w:val="1"/>
    </w:lvl>
  </w:abstractNum>
  <w:abstractNum w:abstractNumId="16">
    <w:nsid w:val="7724C67E"/>
    <w:multiLevelType w:val="hybridMultilevel"/>
    <w:lvl w:ilvl="0">
      <w:lvlJc w:val="left"/>
      <w:lvlText w:val="•"/>
      <w:numFmt w:val="bullet"/>
      <w:start w:val="1"/>
    </w:lvl>
  </w:abstractNum>
  <w:abstractNum w:abstractNumId="17">
    <w:nsid w:val="5C482A97"/>
    <w:multiLevelType w:val="hybridMultilevel"/>
    <w:lvl w:ilvl="0">
      <w:lvlJc w:val="left"/>
      <w:lvlText w:val="•"/>
      <w:numFmt w:val="bullet"/>
      <w:start w:val="1"/>
    </w:lvl>
  </w:abstractNum>
  <w:abstractNum w:abstractNumId="18">
    <w:nsid w:val="2463B9EA"/>
    <w:multiLevelType w:val="hybridMultilevel"/>
    <w:lvl w:ilvl="0">
      <w:lvlJc w:val="left"/>
      <w:lvlText w:val="•"/>
      <w:numFmt w:val="bullet"/>
      <w:start w:val="1"/>
    </w:lvl>
  </w:abstractNum>
  <w:abstractNum w:abstractNumId="19">
    <w:nsid w:val="5E884ADC"/>
    <w:multiLevelType w:val="hybridMultilevel"/>
    <w:lvl w:ilvl="0">
      <w:lvlJc w:val="left"/>
      <w:lvlText w:val="•"/>
      <w:numFmt w:val="bullet"/>
      <w:start w:val="1"/>
    </w:lvl>
  </w:abstractNum>
  <w:abstractNum w:abstractNumId="20">
    <w:nsid w:val="51EAD36B"/>
    <w:multiLevelType w:val="hybridMultilevel"/>
    <w:lvl w:ilvl="0">
      <w:lvlJc w:val="left"/>
      <w:lvlText w:val="•"/>
      <w:numFmt w:val="bullet"/>
      <w:start w:val="1"/>
    </w:lvl>
  </w:abstractNum>
  <w:abstractNum w:abstractNumId="21">
    <w:nsid w:val="2D517796"/>
    <w:multiLevelType w:val="hybridMultilevel"/>
    <w:lvl w:ilvl="0">
      <w:lvlJc w:val="left"/>
      <w:lvlText w:val="•"/>
      <w:numFmt w:val="bullet"/>
      <w:start w:val="1"/>
    </w:lvl>
  </w:abstractNum>
  <w:abstractNum w:abstractNumId="22">
    <w:nsid w:val="580BD78F"/>
    <w:multiLevelType w:val="hybridMultilevel"/>
    <w:lvl w:ilvl="0">
      <w:lvlJc w:val="left"/>
      <w:lvlText w:val="•"/>
      <w:numFmt w:val="bullet"/>
      <w:start w:val="1"/>
    </w:lvl>
  </w:abstractNum>
  <w:abstractNum w:abstractNumId="23">
    <w:nsid w:val="153EA438"/>
    <w:multiLevelType w:val="hybridMultilevel"/>
    <w:lvl w:ilvl="0">
      <w:lvlJc w:val="left"/>
      <w:lvlText w:val="•"/>
      <w:numFmt w:val="bullet"/>
      <w:start w:val="1"/>
    </w:lvl>
  </w:abstractNum>
  <w:abstractNum w:abstractNumId="24">
    <w:nsid w:val="3855585C"/>
    <w:multiLevelType w:val="hybridMultilevel"/>
    <w:lvl w:ilvl="0">
      <w:lvlJc w:val="left"/>
      <w:lvlText w:val="•"/>
      <w:numFmt w:val="bullet"/>
      <w:start w:val="1"/>
    </w:lvl>
  </w:abstractNum>
  <w:abstractNum w:abstractNumId="25">
    <w:nsid w:val="70A64E2A"/>
    <w:multiLevelType w:val="hybridMultilevel"/>
    <w:lvl w:ilvl="0">
      <w:lvlJc w:val="left"/>
      <w:lvlText w:val="•"/>
      <w:numFmt w:val="bullet"/>
      <w:start w:val="1"/>
    </w:lvl>
  </w:abstractNum>
  <w:abstractNum w:abstractNumId="26">
    <w:nsid w:val="6A2342EC"/>
    <w:multiLevelType w:val="hybridMultilevel"/>
    <w:lvl w:ilvl="0">
      <w:lvlJc w:val="left"/>
      <w:lvlText w:val="•"/>
      <w:numFmt w:val="bullet"/>
      <w:start w:val="1"/>
    </w:lvl>
  </w:abstractNum>
  <w:abstractNum w:abstractNumId="27">
    <w:nsid w:val="2A487CB0"/>
    <w:multiLevelType w:val="hybridMultilevel"/>
    <w:lvl w:ilvl="0">
      <w:lvlJc w:val="left"/>
      <w:lvlText w:val="(%1)"/>
      <w:numFmt w:val="decimal"/>
      <w:start w:val="1"/>
    </w:lvl>
  </w:abstractNum>
  <w:abstractNum w:abstractNumId="28">
    <w:nsid w:val="1D4ED43B"/>
    <w:multiLevelType w:val="hybridMultilevel"/>
    <w:lvl w:ilvl="0">
      <w:lvlJc w:val="left"/>
      <w:lvlText w:val="(%1)"/>
      <w:numFmt w:val="decimal"/>
      <w:start w:val="4"/>
    </w:lvl>
  </w:abstractNum>
  <w:abstractNum w:abstractNumId="29">
    <w:nsid w:val="725A06FB"/>
    <w:multiLevelType w:val="hybridMultilevel"/>
    <w:lvl w:ilvl="0">
      <w:lvlJc w:val="left"/>
      <w:lvlText w:val="(%1)"/>
      <w:numFmt w:val="lowerLetter"/>
      <w:start w:val="1"/>
    </w:lvl>
  </w:abstractNum>
  <w:abstractNum w:abstractNumId="30">
    <w:nsid w:val="2CD89A32"/>
    <w:multiLevelType w:val="hybridMultilevel"/>
    <w:lvl w:ilvl="0">
      <w:lvlJc w:val="left"/>
      <w:lvlText w:val="(%1)"/>
      <w:numFmt w:val="decimal"/>
      <w:start w:val="1"/>
    </w:lvl>
  </w:abstractNum>
  <w:abstractNum w:abstractNumId="31">
    <w:nsid w:val="57E4CCAF"/>
    <w:multiLevelType w:val="hybridMultilevel"/>
    <w:lvl w:ilvl="0">
      <w:lvlJc w:val="left"/>
      <w:lvlText w:val="(%1)"/>
      <w:numFmt w:val="decimal"/>
      <w:start w:val="1"/>
    </w:lvl>
  </w:abstractNum>
  <w:abstractNum w:abstractNumId="32">
    <w:nsid w:val="7A6D8D3C"/>
    <w:multiLevelType w:val="hybridMultilevel"/>
    <w:lvl w:ilvl="0">
      <w:lvlJc w:val="left"/>
      <w:lvlText w:val="(%1)"/>
      <w:numFmt w:val="decimal"/>
      <w:start w:val="1"/>
    </w:lvl>
  </w:abstractNum>
  <w:abstractNum w:abstractNumId="33">
    <w:nsid w:val="4B588F54"/>
    <w:multiLevelType w:val="hybridMultilevel"/>
    <w:lvl w:ilvl="0">
      <w:lvlJc w:val="left"/>
      <w:lvlText w:val="(%1)"/>
      <w:numFmt w:val="decimal"/>
      <w:start w:val="2"/>
    </w:lvl>
  </w:abstractNum>
  <w:abstractNum w:abstractNumId="34">
    <w:nsid w:val="542289EC"/>
    <w:multiLevelType w:val="hybridMultilevel"/>
    <w:lvl w:ilvl="0">
      <w:lvlJc w:val="left"/>
      <w:lvlText w:val="(%1)"/>
      <w:numFmt w:val="decimal"/>
      <w:start w:val="1"/>
    </w:lvl>
  </w:abstractNum>
  <w:abstractNum w:abstractNumId="35">
    <w:nsid w:val="6DE91B18"/>
    <w:multiLevelType w:val="hybridMultilevel"/>
    <w:lvl w:ilvl="0">
      <w:lvlJc w:val="left"/>
      <w:lvlText w:val="(%1)"/>
      <w:numFmt w:val="decimal"/>
      <w:start w:val="1"/>
    </w:lvl>
  </w:abstractNum>
  <w:abstractNum w:abstractNumId="36">
    <w:nsid w:val="38437FDB"/>
    <w:multiLevelType w:val="hybridMultilevel"/>
    <w:lvl w:ilvl="0">
      <w:lvlJc w:val="left"/>
      <w:lvlText w:val="(%1)"/>
      <w:numFmt w:val="decimal"/>
      <w:start w:val="3"/>
    </w:lvl>
  </w:abstractNum>
  <w:abstractNum w:abstractNumId="37">
    <w:nsid w:val="7644A45C"/>
    <w:multiLevelType w:val="hybridMultilevel"/>
    <w:lvl w:ilvl="0">
      <w:lvlJc w:val="left"/>
      <w:lvlText w:val="(%1)"/>
      <w:numFmt w:val="decimal"/>
      <w:start w:val="2"/>
    </w:lvl>
  </w:abstractNum>
  <w:abstractNum w:abstractNumId="38">
    <w:nsid w:val="32FFF902"/>
    <w:multiLevelType w:val="hybridMultilevel"/>
    <w:lvl w:ilvl="0">
      <w:lvlJc w:val="left"/>
      <w:lvlText w:val="(%1)"/>
      <w:numFmt w:val="decimal"/>
      <w:start w:val="1"/>
    </w:lvl>
  </w:abstractNum>
  <w:abstractNum w:abstractNumId="39">
    <w:nsid w:val="684A481A"/>
    <w:multiLevelType w:val="hybridMultilevel"/>
    <w:lvl w:ilvl="0">
      <w:lvlJc w:val="left"/>
      <w:lvlText w:val="(%1)"/>
      <w:numFmt w:val="decimal"/>
      <w:start w:val="2"/>
    </w:lvl>
  </w:abstractNum>
  <w:abstractNum w:abstractNumId="40">
    <w:nsid w:val="579478FE"/>
    <w:multiLevelType w:val="hybridMultilevel"/>
    <w:lvl w:ilvl="0">
      <w:lvlJc w:val="left"/>
      <w:lvlText w:val="•"/>
      <w:numFmt w:val="bullet"/>
      <w:start w:val="1"/>
    </w:lvl>
  </w:abstractNum>
  <w:abstractNum w:abstractNumId="41">
    <w:nsid w:val="749ABB43"/>
    <w:multiLevelType w:val="hybridMultilevel"/>
    <w:lvl w:ilvl="0">
      <w:lvlJc w:val="left"/>
      <w:lvlText w:val="*"/>
      <w:numFmt w:val="bullet"/>
      <w:start w:val="1"/>
    </w:lvl>
  </w:abstractNum>
  <w:abstractNum w:abstractNumId="42">
    <w:nsid w:val="3DC240FB"/>
    <w:multiLevelType w:val="hybridMultilevel"/>
    <w:lvl w:ilvl="0">
      <w:lvlJc w:val="left"/>
      <w:lvlText w:val="(%1)"/>
      <w:numFmt w:val="decimal"/>
      <w:start w:val="1"/>
    </w:lvl>
  </w:abstractNum>
  <w:abstractNum w:abstractNumId="43">
    <w:nsid w:val="1BA026FA"/>
    <w:multiLevelType w:val="hybridMultilevel"/>
    <w:lvl w:ilvl="0">
      <w:lvlJc w:val="left"/>
      <w:lvlText w:val="(%1)"/>
      <w:numFmt w:val="decimal"/>
      <w:start w:val="4"/>
    </w:lvl>
  </w:abstractNum>
  <w:abstractNum w:abstractNumId="44">
    <w:nsid w:val="79A1DEAA"/>
    <w:multiLevelType w:val="hybridMultilevel"/>
    <w:lvl w:ilvl="0">
      <w:lvlJc w:val="left"/>
      <w:lvlText w:val="(%1)"/>
      <w:numFmt w:val="decimal"/>
      <w:start w:val="651"/>
    </w:lvl>
  </w:abstractNum>
  <w:abstractNum w:abstractNumId="45">
    <w:nsid w:val="75C6C33A"/>
    <w:multiLevelType w:val="hybridMultilevel"/>
    <w:lvl w:ilvl="0">
      <w:lvlJc w:val="left"/>
      <w:lvlText w:val="•"/>
      <w:numFmt w:val="bullet"/>
      <w:start w:val="1"/>
    </w:lvl>
  </w:abstractNum>
  <w:abstractNum w:abstractNumId="46">
    <w:nsid w:val="12E685FB"/>
    <w:multiLevelType w:val="hybridMultilevel"/>
    <w:lvl w:ilvl="0">
      <w:lvlJc w:val="left"/>
      <w:lvlText w:val="•"/>
      <w:numFmt w:val="bullet"/>
      <w:start w:val="1"/>
    </w:lvl>
  </w:abstractNum>
  <w:abstractNum w:abstractNumId="47">
    <w:nsid w:val="70C6A529"/>
    <w:multiLevelType w:val="hybridMultilevel"/>
    <w:lvl w:ilvl="0">
      <w:lvlJc w:val="left"/>
      <w:lvlText w:val="•"/>
      <w:numFmt w:val="bullet"/>
      <w:start w:val="1"/>
    </w:lvl>
  </w:abstractNum>
  <w:abstractNum w:abstractNumId="48">
    <w:nsid w:val="520EEDD1"/>
    <w:multiLevelType w:val="hybridMultilevel"/>
    <w:lvl w:ilvl="0">
      <w:lvlJc w:val="left"/>
      <w:lvlText w:val="(%1)"/>
      <w:numFmt w:val="decimal"/>
      <w:start w:val="1"/>
    </w:lvl>
  </w:abstractNum>
  <w:abstractNum w:abstractNumId="49">
    <w:nsid w:val="374A3FE6"/>
    <w:multiLevelType w:val="hybridMultilevel"/>
    <w:lvl w:ilvl="0">
      <w:lvlJc w:val="left"/>
      <w:lvlText w:val="•"/>
      <w:numFmt w:val="bullet"/>
      <w:start w:val="1"/>
    </w:lvl>
  </w:abstractNum>
  <w:abstractNum w:abstractNumId="50">
    <w:nsid w:val="4F4EF005"/>
    <w:multiLevelType w:val="hybridMultilevel"/>
    <w:lvl w:ilvl="0">
      <w:lvlJc w:val="left"/>
      <w:lvlText w:val="(%1)"/>
      <w:numFmt w:val="decimal"/>
      <w:start w:val="1"/>
    </w:lvl>
    <w:lvl w:ilvl="1">
      <w:lvlJc w:val="left"/>
      <w:lvlText w:val="(%2)"/>
      <w:numFmt w:val="lowerRoman"/>
      <w:start w:val="1"/>
    </w:lvl>
  </w:abstractNum>
  <w:abstractNum w:abstractNumId="51">
    <w:nsid w:val="23F9C13C"/>
    <w:multiLevelType w:val="hybridMultilevel"/>
    <w:lvl w:ilvl="0">
      <w:lvlJc w:val="left"/>
      <w:lvlText w:val="%1"/>
      <w:numFmt w:val="decimal"/>
      <w:start w:val="1"/>
    </w:lvl>
    <w:lvl w:ilvl="1">
      <w:lvlJc w:val="left"/>
      <w:lvlText w:val="(%2)"/>
      <w:numFmt w:val="lowerRoman"/>
      <w:start w:val="3"/>
    </w:lvl>
  </w:abstractNum>
  <w:abstractNum w:abstractNumId="52">
    <w:nsid w:val="649BB77C"/>
    <w:multiLevelType w:val="hybridMultilevel"/>
    <w:lvl w:ilvl="0">
      <w:lvlJc w:val="left"/>
      <w:lvlText w:val="(%1)"/>
      <w:numFmt w:val="decimal"/>
      <w:start w:val="2"/>
    </w:lvl>
    <w:lvl w:ilvl="1">
      <w:lvlJc w:val="left"/>
      <w:lvlText w:val="%2"/>
      <w:numFmt w:val="lowerRoman"/>
      <w:start w:val="1"/>
    </w:lvl>
  </w:abstractNum>
  <w:abstractNum w:abstractNumId="53">
    <w:nsid w:val="275AC794"/>
    <w:multiLevelType w:val="hybridMultilevel"/>
    <w:lvl w:ilvl="0">
      <w:lvlJc w:val="left"/>
      <w:lvlText w:val="(%1)"/>
      <w:numFmt w:val="decimal"/>
      <w:start w:val="6"/>
    </w:lvl>
  </w:abstractNum>
  <w:abstractNum w:abstractNumId="54">
    <w:nsid w:val="39386575"/>
    <w:multiLevelType w:val="hybridMultilevel"/>
    <w:lvl w:ilvl="0">
      <w:lvlJc w:val="left"/>
      <w:lvlText w:val="(%1)"/>
      <w:numFmt w:val="lowerRoman"/>
      <w:start w:val="1"/>
    </w:lvl>
  </w:abstractNum>
  <w:abstractNum w:abstractNumId="55">
    <w:nsid w:val="1CF10FD8"/>
    <w:multiLevelType w:val="hybridMultilevel"/>
    <w:lvl w:ilvl="0">
      <w:lvlJc w:val="left"/>
      <w:lvlText w:val="*"/>
      <w:numFmt w:val="bullet"/>
      <w:start w:val="1"/>
    </w:lvl>
  </w:abstractNum>
  <w:abstractNum w:abstractNumId="56">
    <w:nsid w:val="180115BE"/>
    <w:multiLevelType w:val="hybridMultilevel"/>
    <w:lvl w:ilvl="0">
      <w:lvlJc w:val="left"/>
      <w:lvlText w:val="**"/>
      <w:numFmt w:val="bullet"/>
      <w:start w:val="1"/>
    </w:lvl>
  </w:abstractNum>
  <w:abstractNum w:abstractNumId="57">
    <w:nsid w:val="235BA861"/>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jpe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83" Type="http://schemas.openxmlformats.org/officeDocument/2006/relationships/image" Target="media/image76.png"/><Relationship Id="rId84" Type="http://schemas.openxmlformats.org/officeDocument/2006/relationships/image" Target="media/image77.png"/><Relationship Id="rId85" Type="http://schemas.openxmlformats.org/officeDocument/2006/relationships/image" Target="media/image78.png"/><Relationship Id="rId86" Type="http://schemas.openxmlformats.org/officeDocument/2006/relationships/image" Target="media/image79.png"/><Relationship Id="rId87" Type="http://schemas.openxmlformats.org/officeDocument/2006/relationships/image" Target="media/image80.png"/><Relationship Id="rId88" Type="http://schemas.openxmlformats.org/officeDocument/2006/relationships/image" Target="media/image81.png"/><Relationship Id="rId89" Type="http://schemas.openxmlformats.org/officeDocument/2006/relationships/image" Target="media/image82.png"/><Relationship Id="rId90" Type="http://schemas.openxmlformats.org/officeDocument/2006/relationships/image" Target="media/image83.png"/><Relationship Id="rId91" Type="http://schemas.openxmlformats.org/officeDocument/2006/relationships/image" Target="media/image84.png"/><Relationship Id="rId92" Type="http://schemas.openxmlformats.org/officeDocument/2006/relationships/image" Target="media/image85.png"/><Relationship Id="rId93" Type="http://schemas.openxmlformats.org/officeDocument/2006/relationships/image" Target="media/image86.png"/><Relationship Id="rId94" Type="http://schemas.openxmlformats.org/officeDocument/2006/relationships/image" Target="media/image87.png"/><Relationship Id="rId95" Type="http://schemas.openxmlformats.org/officeDocument/2006/relationships/image" Target="media/image88.png"/><Relationship Id="rId96" Type="http://schemas.openxmlformats.org/officeDocument/2006/relationships/image" Target="media/image89.png"/><Relationship Id="rId97" Type="http://schemas.openxmlformats.org/officeDocument/2006/relationships/image" Target="media/image90.png"/><Relationship Id="rId98" Type="http://schemas.openxmlformats.org/officeDocument/2006/relationships/image" Target="media/image91.png"/><Relationship Id="rId99" Type="http://schemas.openxmlformats.org/officeDocument/2006/relationships/image" Target="media/image92.png"/><Relationship Id="rId100" Type="http://schemas.openxmlformats.org/officeDocument/2006/relationships/image" Target="media/image93.png"/><Relationship Id="rId101" Type="http://schemas.openxmlformats.org/officeDocument/2006/relationships/image" Target="media/image94.png"/><Relationship Id="rId102" Type="http://schemas.openxmlformats.org/officeDocument/2006/relationships/image" Target="media/image95.png"/><Relationship Id="rId103" Type="http://schemas.openxmlformats.org/officeDocument/2006/relationships/image" Target="media/image96.png"/><Relationship Id="rId104" Type="http://schemas.openxmlformats.org/officeDocument/2006/relationships/image" Target="media/image97.png"/><Relationship Id="rId105" Type="http://schemas.openxmlformats.org/officeDocument/2006/relationships/image" Target="media/image98.png"/><Relationship Id="rId106" Type="http://schemas.openxmlformats.org/officeDocument/2006/relationships/image" Target="media/image99.png"/><Relationship Id="rId107" Type="http://schemas.openxmlformats.org/officeDocument/2006/relationships/image" Target="media/image100.png"/><Relationship Id="rId108" Type="http://schemas.openxmlformats.org/officeDocument/2006/relationships/image" Target="media/image101.png"/><Relationship Id="rId109" Type="http://schemas.openxmlformats.org/officeDocument/2006/relationships/image" Target="media/image102.png"/><Relationship Id="rId110" Type="http://schemas.openxmlformats.org/officeDocument/2006/relationships/image" Target="media/image103.png"/><Relationship Id="rId111" Type="http://schemas.openxmlformats.org/officeDocument/2006/relationships/image" Target="media/image104.png"/><Relationship Id="rId112" Type="http://schemas.openxmlformats.org/officeDocument/2006/relationships/image" Target="media/image105.png"/><Relationship Id="rId113" Type="http://schemas.openxmlformats.org/officeDocument/2006/relationships/image" Target="media/image106.png"/><Relationship Id="rId114" Type="http://schemas.openxmlformats.org/officeDocument/2006/relationships/image" Target="media/image107.png"/><Relationship Id="rId115" Type="http://schemas.openxmlformats.org/officeDocument/2006/relationships/image" Target="media/image108.png"/><Relationship Id="rId116" Type="http://schemas.openxmlformats.org/officeDocument/2006/relationships/image" Target="media/image109.png"/><Relationship Id="rId117" Type="http://schemas.openxmlformats.org/officeDocument/2006/relationships/image" Target="media/image110.png"/><Relationship Id="rId118" Type="http://schemas.openxmlformats.org/officeDocument/2006/relationships/image" Target="media/image111.png"/><Relationship Id="rId119" Type="http://schemas.openxmlformats.org/officeDocument/2006/relationships/image" Target="media/image112.png"/><Relationship Id="rId120" Type="http://schemas.openxmlformats.org/officeDocument/2006/relationships/image" Target="media/image113.png"/><Relationship Id="rId121" Type="http://schemas.openxmlformats.org/officeDocument/2006/relationships/image" Target="media/image114.png"/><Relationship Id="rId122" Type="http://schemas.openxmlformats.org/officeDocument/2006/relationships/image" Target="media/image115.png"/><Relationship Id="rId123" Type="http://schemas.openxmlformats.org/officeDocument/2006/relationships/image" Target="media/image116.png"/><Relationship Id="rId124" Type="http://schemas.openxmlformats.org/officeDocument/2006/relationships/image" Target="media/image117.png"/><Relationship Id="rId125" Type="http://schemas.openxmlformats.org/officeDocument/2006/relationships/image" Target="media/image118.png"/><Relationship Id="rId126" Type="http://schemas.openxmlformats.org/officeDocument/2006/relationships/image" Target="media/image119.png"/><Relationship Id="rId127" Type="http://schemas.openxmlformats.org/officeDocument/2006/relationships/image" Target="media/image120.png"/><Relationship Id="rId128" Type="http://schemas.openxmlformats.org/officeDocument/2006/relationships/image" Target="media/image121.png"/><Relationship Id="rId129" Type="http://schemas.openxmlformats.org/officeDocument/2006/relationships/image" Target="media/image122.png"/><Relationship Id="rId130" Type="http://schemas.openxmlformats.org/officeDocument/2006/relationships/image" Target="media/image123.png"/><Relationship Id="rId131" Type="http://schemas.openxmlformats.org/officeDocument/2006/relationships/image" Target="media/image124.png"/><Relationship Id="rId132" Type="http://schemas.openxmlformats.org/officeDocument/2006/relationships/image" Target="media/image125.png"/><Relationship Id="rId133" Type="http://schemas.openxmlformats.org/officeDocument/2006/relationships/image" Target="media/image126.png"/><Relationship Id="rId134" Type="http://schemas.openxmlformats.org/officeDocument/2006/relationships/image" Target="media/image127.png"/><Relationship Id="rId135" Type="http://schemas.openxmlformats.org/officeDocument/2006/relationships/image" Target="media/image128.png"/><Relationship Id="rId136" Type="http://schemas.openxmlformats.org/officeDocument/2006/relationships/image" Target="media/image129.png"/><Relationship Id="rId137" Type="http://schemas.openxmlformats.org/officeDocument/2006/relationships/image" Target="media/image130.png"/><Relationship Id="rId138" Type="http://schemas.openxmlformats.org/officeDocument/2006/relationships/image" Target="media/image131.png"/><Relationship Id="rId139" Type="http://schemas.openxmlformats.org/officeDocument/2006/relationships/image" Target="media/image132.png"/><Relationship Id="rId140" Type="http://schemas.openxmlformats.org/officeDocument/2006/relationships/image" Target="media/image133.png"/><Relationship Id="rId141" Type="http://schemas.openxmlformats.org/officeDocument/2006/relationships/image" Target="media/image134.png"/><Relationship Id="rId142" Type="http://schemas.openxmlformats.org/officeDocument/2006/relationships/image" Target="media/image135.png"/><Relationship Id="rId143" Type="http://schemas.openxmlformats.org/officeDocument/2006/relationships/image" Target="media/image136.png"/><Relationship Id="rId144" Type="http://schemas.openxmlformats.org/officeDocument/2006/relationships/image" Target="media/image137.png"/><Relationship Id="rId145" Type="http://schemas.openxmlformats.org/officeDocument/2006/relationships/image" Target="media/image138.png"/><Relationship Id="rId146" Type="http://schemas.openxmlformats.org/officeDocument/2006/relationships/image" Target="media/image139.png"/><Relationship Id="rId147" Type="http://schemas.openxmlformats.org/officeDocument/2006/relationships/image" Target="media/image140.png"/><Relationship Id="rId148" Type="http://schemas.openxmlformats.org/officeDocument/2006/relationships/image" Target="media/image141.png"/><Relationship Id="rId149" Type="http://schemas.openxmlformats.org/officeDocument/2006/relationships/image" Target="media/image142.png"/><Relationship Id="rId150" Type="http://schemas.openxmlformats.org/officeDocument/2006/relationships/image" Target="media/image143.png"/><Relationship Id="rId151" Type="http://schemas.openxmlformats.org/officeDocument/2006/relationships/image" Target="media/image144.png"/><Relationship Id="rId152" Type="http://schemas.openxmlformats.org/officeDocument/2006/relationships/image" Target="media/image145.png"/><Relationship Id="rId153" Type="http://schemas.openxmlformats.org/officeDocument/2006/relationships/image" Target="media/image146.png"/><Relationship Id="rId154" Type="http://schemas.openxmlformats.org/officeDocument/2006/relationships/image" Target="media/image147.png"/><Relationship Id="rId155" Type="http://schemas.openxmlformats.org/officeDocument/2006/relationships/image" Target="media/image148.png"/><Relationship Id="rId156" Type="http://schemas.openxmlformats.org/officeDocument/2006/relationships/image" Target="media/image149.png"/><Relationship Id="rId157" Type="http://schemas.openxmlformats.org/officeDocument/2006/relationships/image" Target="media/image150.png"/><Relationship Id="rId158" Type="http://schemas.openxmlformats.org/officeDocument/2006/relationships/image" Target="media/image151.png"/><Relationship Id="rId159" Type="http://schemas.openxmlformats.org/officeDocument/2006/relationships/image" Target="media/image152.png"/><Relationship Id="rId160" Type="http://schemas.openxmlformats.org/officeDocument/2006/relationships/image" Target="media/image153.png"/><Relationship Id="rId161" Type="http://schemas.openxmlformats.org/officeDocument/2006/relationships/image" Target="media/image154.png"/><Relationship Id="rId162" Type="http://schemas.openxmlformats.org/officeDocument/2006/relationships/image" Target="media/image155.png"/><Relationship Id="rId163" Type="http://schemas.openxmlformats.org/officeDocument/2006/relationships/image" Target="media/image156.png"/><Relationship Id="rId164" Type="http://schemas.openxmlformats.org/officeDocument/2006/relationships/image" Target="media/image157.png"/><Relationship Id="rId165" Type="http://schemas.openxmlformats.org/officeDocument/2006/relationships/image" Target="media/image158.png"/><Relationship Id="rId166" Type="http://schemas.openxmlformats.org/officeDocument/2006/relationships/image" Target="media/image159.png"/><Relationship Id="rId167" Type="http://schemas.openxmlformats.org/officeDocument/2006/relationships/image" Target="media/image160.png"/><Relationship Id="rId168" Type="http://schemas.openxmlformats.org/officeDocument/2006/relationships/image" Target="media/image161.png"/><Relationship Id="rId169" Type="http://schemas.openxmlformats.org/officeDocument/2006/relationships/image" Target="media/image162.jpeg"/><Relationship Id="rId170" Type="http://schemas.openxmlformats.org/officeDocument/2006/relationships/image" Target="media/image163.png"/><Relationship Id="rId171" Type="http://schemas.openxmlformats.org/officeDocument/2006/relationships/image" Target="media/image164.png"/><Relationship Id="rId172" Type="http://schemas.openxmlformats.org/officeDocument/2006/relationships/image" Target="media/image165.png"/><Relationship Id="rId173" Type="http://schemas.openxmlformats.org/officeDocument/2006/relationships/image" Target="media/image166.png"/><Relationship Id="rId174" Type="http://schemas.openxmlformats.org/officeDocument/2006/relationships/image" Target="media/image167.png"/><Relationship Id="rId175" Type="http://schemas.openxmlformats.org/officeDocument/2006/relationships/image" Target="media/image168.jpeg"/><Relationship Id="rId176" Type="http://schemas.openxmlformats.org/officeDocument/2006/relationships/image" Target="media/image169.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2020-01-27T14:52:35Z</dcterms:created>
  <dcterms:modified xsi:type="dcterms:W3CDTF">2020-01-27T14:52:35Z</dcterms:modified>
</cp:coreProperties>
</file>