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22"/>
          <w:szCs w:val="22"/>
          <w:b w:val="1"/>
          <w:bCs w:val="1"/>
          <w:color w:val="auto"/>
        </w:rPr>
        <w:t>Filed Pursuant to Rule 424(b)(3) and Rule 424(c)</w:t>
      </w:r>
    </w:p>
    <w:p>
      <w:pPr>
        <w:spacing w:after="0" w:line="220" w:lineRule="exact"/>
        <w:rPr>
          <w:sz w:val="24"/>
          <w:szCs w:val="24"/>
          <w:color w:val="auto"/>
        </w:rPr>
      </w:pPr>
    </w:p>
    <w:p>
      <w:pPr>
        <w:jc w:val="right"/>
        <w:spacing w:after="0"/>
        <w:rPr>
          <w:sz w:val="20"/>
          <w:szCs w:val="20"/>
          <w:color w:val="auto"/>
        </w:rPr>
      </w:pPr>
      <w:r>
        <w:rPr>
          <w:rFonts w:ascii="Arial" w:cs="Arial" w:eastAsia="Arial" w:hAnsi="Arial"/>
          <w:sz w:val="22"/>
          <w:szCs w:val="22"/>
          <w:b w:val="1"/>
          <w:bCs w:val="1"/>
          <w:color w:val="auto"/>
        </w:rPr>
        <w:t>Registration No. 333-196287</w:t>
      </w:r>
    </w:p>
    <w:p>
      <w:pPr>
        <w:spacing w:after="0" w:line="220" w:lineRule="exact"/>
        <w:rPr>
          <w:sz w:val="24"/>
          <w:szCs w:val="24"/>
          <w:color w:val="auto"/>
        </w:rPr>
      </w:pPr>
    </w:p>
    <w:p>
      <w:pPr>
        <w:spacing w:after="0"/>
        <w:rPr>
          <w:sz w:val="20"/>
          <w:szCs w:val="20"/>
          <w:color w:val="auto"/>
        </w:rPr>
      </w:pPr>
      <w:r>
        <w:rPr>
          <w:rFonts w:ascii="Arial" w:cs="Arial" w:eastAsia="Arial" w:hAnsi="Arial"/>
          <w:sz w:val="22"/>
          <w:szCs w:val="22"/>
          <w:b w:val="1"/>
          <w:bCs w:val="1"/>
          <w:color w:val="auto"/>
        </w:rPr>
        <w:t>Prospectus Supplement No. 1</w:t>
      </w:r>
    </w:p>
    <w:p>
      <w:pPr>
        <w:spacing w:after="0" w:line="200" w:lineRule="exact"/>
        <w:rPr>
          <w:sz w:val="24"/>
          <w:szCs w:val="24"/>
          <w:color w:val="auto"/>
        </w:rPr>
      </w:pPr>
    </w:p>
    <w:p>
      <w:pPr>
        <w:spacing w:after="0" w:line="355"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TimkenSteel Corporation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1574165</wp:posOffset>
            </wp:positionH>
            <wp:positionV relativeFrom="paragraph">
              <wp:posOffset>168275</wp:posOffset>
            </wp:positionV>
            <wp:extent cx="4116705" cy="514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116705" cy="51435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TimkenSteel Corporation</w:t>
      </w:r>
    </w:p>
    <w:p>
      <w:pPr>
        <w:spacing w:after="0" w:line="46"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2014 Equity and Incentive Compensation Plan</w:t>
      </w:r>
    </w:p>
    <w:p>
      <w:pPr>
        <w:spacing w:after="0" w:line="190"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Common Shares</w:t>
      </w:r>
    </w:p>
    <w:p>
      <w:pPr>
        <w:spacing w:after="0" w:line="46"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(without par value)</w:t>
      </w:r>
    </w:p>
    <w:p>
      <w:pPr>
        <w:spacing w:after="0" w:line="210" w:lineRule="exact"/>
        <w:rPr>
          <w:sz w:val="24"/>
          <w:szCs w:val="24"/>
          <w:color w:val="auto"/>
        </w:rPr>
      </w:pPr>
    </w:p>
    <w:p>
      <w:pPr>
        <w:ind w:right="200" w:firstLine="648"/>
        <w:spacing w:after="0" w:line="261" w:lineRule="auto"/>
        <w:rPr>
          <w:sz w:val="20"/>
          <w:szCs w:val="20"/>
          <w:color w:val="auto"/>
        </w:rPr>
      </w:pPr>
      <w:r>
        <w:rPr>
          <w:rFonts w:ascii="Arial" w:cs="Arial" w:eastAsia="Arial" w:hAnsi="Arial"/>
          <w:sz w:val="21"/>
          <w:szCs w:val="21"/>
          <w:color w:val="auto"/>
        </w:rPr>
        <w:t>This prospectus supplement no. 1 amends our prospectus dated June 27, 2014. The common shares that are the subject of the prospectus have been registered so that they may be acquired by participants in the TimkenSteel Corporation 2014 Equity and Incentive Compensation Plan, which we refer to as the 2014 Plan, upon the exercise of certain options to purchase our common shares and upon vesting of certain restricted shares, performance shares, restricted stock units and deferred share awards issued pursuant to the 2014 Plan. Any proceeds received by us from the exercise of stock options covered by the 2014 Plan will be used for general corporate purposes.</w:t>
      </w:r>
    </w:p>
    <w:p>
      <w:pPr>
        <w:spacing w:after="0" w:line="180" w:lineRule="exact"/>
        <w:rPr>
          <w:sz w:val="24"/>
          <w:szCs w:val="24"/>
          <w:color w:val="auto"/>
        </w:rPr>
      </w:pPr>
    </w:p>
    <w:p>
      <w:pPr>
        <w:jc w:val="both"/>
        <w:ind w:right="240" w:firstLine="648"/>
        <w:spacing w:after="0" w:line="250" w:lineRule="auto"/>
        <w:rPr>
          <w:sz w:val="20"/>
          <w:szCs w:val="20"/>
          <w:color w:val="auto"/>
        </w:rPr>
      </w:pPr>
      <w:r>
        <w:rPr>
          <w:rFonts w:ascii="Arial" w:cs="Arial" w:eastAsia="Arial" w:hAnsi="Arial"/>
          <w:sz w:val="22"/>
          <w:szCs w:val="22"/>
          <w:color w:val="auto"/>
        </w:rPr>
        <w:t>This prospectus supplement no. 1 is being filed to include the information set forth in our Quarterly Report on Form 10-Q for the quarterly period ended June 30, 2014, which was filed with the Securities and Exchange Commission on August 14, 2014 and which is set forth below. This prospectus supplement no. 1 should be read in conjunction with the prospectus dated June 27, 2014.</w:t>
      </w:r>
    </w:p>
    <w:p>
      <w:pPr>
        <w:spacing w:after="0" w:line="188" w:lineRule="exact"/>
        <w:rPr>
          <w:sz w:val="24"/>
          <w:szCs w:val="24"/>
          <w:color w:val="auto"/>
        </w:rPr>
      </w:pPr>
    </w:p>
    <w:p>
      <w:pPr>
        <w:ind w:right="520" w:firstLine="648"/>
        <w:spacing w:after="0" w:line="263" w:lineRule="auto"/>
        <w:rPr>
          <w:sz w:val="20"/>
          <w:szCs w:val="20"/>
          <w:color w:val="auto"/>
        </w:rPr>
      </w:pPr>
      <w:r>
        <w:rPr>
          <w:rFonts w:ascii="Arial" w:cs="Arial" w:eastAsia="Arial" w:hAnsi="Arial"/>
          <w:sz w:val="22"/>
          <w:szCs w:val="22"/>
          <w:color w:val="auto"/>
        </w:rPr>
        <w:t>Our common shares are listed the New York Stock Exchange under the symbol “TMST.” On August 13, 2014, the last reported sale price per share of our common shares was $48.64 per share.</w:t>
      </w:r>
    </w:p>
    <w:p>
      <w:pPr>
        <w:spacing w:after="0" w:line="169" w:lineRule="exact"/>
        <w:rPr>
          <w:sz w:val="24"/>
          <w:szCs w:val="24"/>
          <w:color w:val="auto"/>
        </w:rPr>
      </w:pPr>
    </w:p>
    <w:p>
      <w:pPr>
        <w:ind w:right="500" w:firstLine="648"/>
        <w:spacing w:after="0" w:line="269" w:lineRule="auto"/>
        <w:rPr>
          <w:sz w:val="20"/>
          <w:szCs w:val="20"/>
          <w:color w:val="auto"/>
        </w:rPr>
      </w:pPr>
      <w:r>
        <w:rPr>
          <w:rFonts w:ascii="Arial" w:cs="Arial" w:eastAsia="Arial" w:hAnsi="Arial"/>
          <w:sz w:val="22"/>
          <w:szCs w:val="22"/>
          <w:b w:val="1"/>
          <w:bCs w:val="1"/>
          <w:color w:val="auto"/>
        </w:rPr>
        <w:t>In reviewing this prospectus supplement, you should carefully consider the matters described under the caption “Risk Factors” beginning on page 8 of the prospectus.</w:t>
      </w:r>
    </w:p>
    <w:p>
      <w:pPr>
        <w:spacing w:after="0" w:line="162" w:lineRule="exact"/>
        <w:rPr>
          <w:sz w:val="24"/>
          <w:szCs w:val="24"/>
          <w:color w:val="auto"/>
        </w:rPr>
      </w:pPr>
    </w:p>
    <w:p>
      <w:pPr>
        <w:jc w:val="both"/>
        <w:ind w:right="160" w:firstLine="648"/>
        <w:spacing w:after="0" w:line="256" w:lineRule="auto"/>
        <w:rPr>
          <w:sz w:val="20"/>
          <w:szCs w:val="20"/>
          <w:color w:val="auto"/>
        </w:rPr>
      </w:pPr>
      <w:r>
        <w:rPr>
          <w:rFonts w:ascii="Arial" w:cs="Arial" w:eastAsia="Arial" w:hAnsi="Arial"/>
          <w:sz w:val="22"/>
          <w:szCs w:val="22"/>
          <w:b w:val="1"/>
          <w:bCs w:val="1"/>
          <w:color w:val="auto"/>
        </w:rPr>
        <w:t>Neither the Securities and Exchange Commission nor any state securities commission has approved or disapproved of these securities or determined if this prospectus is truthful or complete. Any representation to the contrary is a criminal offense.</w:t>
      </w:r>
    </w:p>
    <w:p>
      <w:pPr>
        <w:spacing w:after="0" w:line="200" w:lineRule="exact"/>
        <w:rPr>
          <w:sz w:val="24"/>
          <w:szCs w:val="24"/>
          <w:color w:val="auto"/>
        </w:rPr>
      </w:pPr>
    </w:p>
    <w:p>
      <w:pPr>
        <w:spacing w:after="0" w:line="200" w:lineRule="exact"/>
        <w:rPr>
          <w:sz w:val="24"/>
          <w:szCs w:val="24"/>
          <w:color w:val="auto"/>
        </w:rPr>
      </w:pPr>
    </w:p>
    <w:p>
      <w:pPr>
        <w:spacing w:after="0" w:line="336"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Prospectus Supplement No. 1 is August 14, 2014.</w:t>
      </w:r>
    </w:p>
    <w:p>
      <w:pPr>
        <w:sectPr>
          <w:pgSz w:w="11900" w:h="16838" w:orient="portrait"/>
          <w:cols w:equalWidth="0" w:num="1">
            <w:col w:w="11420"/>
          </w:cols>
          <w:pgMar w:left="240" w:top="234" w:right="239" w:bottom="1440" w:gutter="0" w:footer="0" w:header="0"/>
        </w:sectPr>
      </w:pPr>
    </w:p>
    <w:bookmarkStart w:id="1" w:name="page2"/>
    <w:bookmarkEnd w:id="1"/>
    <w:p>
      <w:pPr>
        <w:jc w:val="center"/>
        <w:ind w:right="-19"/>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0"/>
          <w:szCs w:val="20"/>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250" w:lineRule="exact"/>
        <w:rPr>
          <w:sz w:val="20"/>
          <w:szCs w:val="20"/>
          <w:color w:val="auto"/>
        </w:rPr>
      </w:pPr>
    </w:p>
    <w:p>
      <w:pPr>
        <w:jc w:val="center"/>
        <w:ind w:right="-19"/>
        <w:spacing w:after="0"/>
        <w:rPr>
          <w:sz w:val="20"/>
          <w:szCs w:val="20"/>
          <w:color w:val="auto"/>
        </w:rPr>
      </w:pPr>
      <w:r>
        <w:rPr>
          <w:rFonts w:ascii="Arial" w:cs="Arial" w:eastAsia="Arial" w:hAnsi="Arial"/>
          <w:sz w:val="32"/>
          <w:szCs w:val="32"/>
          <w:b w:val="1"/>
          <w:bCs w:val="1"/>
          <w:color w:val="auto"/>
        </w:rPr>
        <w:t>FORM 10-Q</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811530</wp:posOffset>
            </wp:positionH>
            <wp:positionV relativeFrom="paragraph">
              <wp:posOffset>41275</wp:posOffset>
            </wp:positionV>
            <wp:extent cx="564261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642610" cy="8890"/>
                    </a:xfrm>
                    <a:prstGeom prst="rect">
                      <a:avLst/>
                    </a:prstGeom>
                    <a:noFill/>
                  </pic:spPr>
                </pic:pic>
              </a:graphicData>
            </a:graphic>
          </wp:anchor>
        </w:drawing>
        <w:drawing>
          <wp:anchor simplePos="0" relativeHeight="251657728" behindDoc="1" locked="0" layoutInCell="0" allowOverlap="1">
            <wp:simplePos x="0" y="0"/>
            <wp:positionH relativeFrom="column">
              <wp:posOffset>811530</wp:posOffset>
            </wp:positionH>
            <wp:positionV relativeFrom="paragraph">
              <wp:posOffset>-232410</wp:posOffset>
            </wp:positionV>
            <wp:extent cx="564261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642610" cy="8890"/>
                    </a:xfrm>
                    <a:prstGeom prst="rect">
                      <a:avLst/>
                    </a:prstGeom>
                    <a:noFill/>
                  </pic:spPr>
                </pic:pic>
              </a:graphicData>
            </a:graphic>
          </wp:anchor>
        </w:drawing>
      </w:r>
    </w:p>
    <w:p>
      <w:pPr>
        <w:spacing w:after="0" w:line="200" w:lineRule="exact"/>
        <w:rPr>
          <w:sz w:val="20"/>
          <w:szCs w:val="20"/>
          <w:color w:val="auto"/>
        </w:rPr>
      </w:pPr>
    </w:p>
    <w:p>
      <w:pPr>
        <w:spacing w:after="0" w:line="285" w:lineRule="exact"/>
        <w:rPr>
          <w:sz w:val="20"/>
          <w:szCs w:val="20"/>
          <w:color w:val="auto"/>
        </w:rPr>
      </w:pPr>
    </w:p>
    <w:p>
      <w:pPr>
        <w:ind w:left="740" w:hanging="469"/>
        <w:spacing w:after="0"/>
        <w:tabs>
          <w:tab w:leader="none" w:pos="740" w:val="left"/>
        </w:tabs>
        <w:numPr>
          <w:ilvl w:val="0"/>
          <w:numId w:val="1"/>
        </w:numPr>
        <w:rPr>
          <w:rFonts w:ascii="MS PGothic" w:cs="MS PGothic" w:eastAsia="MS PGothic" w:hAnsi="MS PGothic"/>
          <w:sz w:val="39"/>
          <w:szCs w:val="39"/>
          <w:color w:val="auto"/>
          <w:vertAlign w:val="subscript"/>
        </w:rPr>
      </w:pPr>
      <w:r>
        <w:rPr>
          <w:rFonts w:ascii="Arial" w:cs="Arial" w:eastAsia="Arial" w:hAnsi="Arial"/>
          <w:sz w:val="20"/>
          <w:szCs w:val="20"/>
          <w:b w:val="1"/>
          <w:bCs w:val="1"/>
          <w:color w:val="auto"/>
        </w:rPr>
        <w:t>QUARTERLY</w:t>
      </w:r>
      <w:r>
        <w:rPr>
          <w:rFonts w:ascii="Arial" w:cs="Arial" w:eastAsia="Arial" w:hAnsi="Arial"/>
          <w:sz w:val="39"/>
          <w:szCs w:val="39"/>
          <w:b w:val="1"/>
          <w:bCs w:val="1"/>
          <w:color w:val="auto"/>
          <w:vertAlign w:val="subscript"/>
        </w:rPr>
        <w:t>1934</w:t>
      </w:r>
      <w:r>
        <w:rPr>
          <w:rFonts w:ascii="Arial" w:cs="Arial" w:eastAsia="Arial" w:hAnsi="Arial"/>
          <w:sz w:val="20"/>
          <w:szCs w:val="20"/>
          <w:b w:val="1"/>
          <w:bCs w:val="1"/>
          <w:color w:val="auto"/>
        </w:rPr>
        <w:t xml:space="preserve"> REPORT PURSUANT TO SECTION 13 OR 15(d) OF THE SECURITIES EXCHANGE ACT OF</w:t>
      </w:r>
    </w:p>
    <w:p>
      <w:pPr>
        <w:spacing w:after="0" w:line="165" w:lineRule="exact"/>
        <w:rPr>
          <w:sz w:val="20"/>
          <w:szCs w:val="20"/>
          <w:color w:val="auto"/>
        </w:rPr>
      </w:pPr>
    </w:p>
    <w:p>
      <w:pPr>
        <w:jc w:val="center"/>
        <w:ind w:right="-19"/>
        <w:spacing w:after="0"/>
        <w:rPr>
          <w:sz w:val="20"/>
          <w:szCs w:val="20"/>
          <w:color w:val="auto"/>
        </w:rPr>
      </w:pPr>
      <w:r>
        <w:rPr>
          <w:rFonts w:ascii="Arial" w:cs="Arial" w:eastAsia="Arial" w:hAnsi="Arial"/>
          <w:sz w:val="16"/>
          <w:szCs w:val="16"/>
          <w:b w:val="1"/>
          <w:bCs w:val="1"/>
          <w:color w:val="auto"/>
        </w:rPr>
        <w:t>For the quarterly period ended June 30, 2014</w:t>
      </w:r>
    </w:p>
    <w:p>
      <w:pPr>
        <w:spacing w:after="0" w:line="86" w:lineRule="exact"/>
        <w:rPr>
          <w:sz w:val="20"/>
          <w:szCs w:val="20"/>
          <w:color w:val="auto"/>
        </w:rPr>
      </w:pPr>
    </w:p>
    <w:p>
      <w:pPr>
        <w:jc w:val="center"/>
        <w:ind w:right="-19"/>
        <w:spacing w:after="0"/>
        <w:rPr>
          <w:sz w:val="20"/>
          <w:szCs w:val="20"/>
          <w:color w:val="auto"/>
        </w:rPr>
      </w:pPr>
      <w:r>
        <w:rPr>
          <w:rFonts w:ascii="Arial" w:cs="Arial" w:eastAsia="Arial" w:hAnsi="Arial"/>
          <w:sz w:val="16"/>
          <w:szCs w:val="16"/>
          <w:b w:val="1"/>
          <w:bCs w:val="1"/>
          <w:color w:val="auto"/>
        </w:rPr>
        <w:t>OR</w:t>
      </w:r>
    </w:p>
    <w:p>
      <w:pPr>
        <w:spacing w:after="0" w:line="194" w:lineRule="exact"/>
        <w:rPr>
          <w:sz w:val="20"/>
          <w:szCs w:val="20"/>
          <w:color w:val="auto"/>
        </w:rPr>
      </w:pPr>
    </w:p>
    <w:p>
      <w:pPr>
        <w:ind w:left="740" w:right="160" w:hanging="428"/>
        <w:spacing w:after="0"/>
        <w:tabs>
          <w:tab w:leader="none" w:pos="740" w:val="left"/>
        </w:tabs>
        <w:numPr>
          <w:ilvl w:val="0"/>
          <w:numId w:val="2"/>
        </w:numPr>
        <w:rPr>
          <w:rFonts w:ascii="Arial" w:cs="Arial" w:eastAsia="Arial" w:hAnsi="Arial"/>
          <w:sz w:val="39"/>
          <w:szCs w:val="39"/>
          <w:color w:val="auto"/>
          <w:vertAlign w:val="subscript"/>
        </w:rPr>
      </w:pPr>
      <w:r>
        <w:rPr>
          <w:rFonts w:ascii="Arial" w:cs="Arial" w:eastAsia="Arial" w:hAnsi="Arial"/>
          <w:sz w:val="20"/>
          <w:szCs w:val="20"/>
          <w:b w:val="1"/>
          <w:bCs w:val="1"/>
          <w:color w:val="auto"/>
        </w:rPr>
        <w:t>TRANSITION REPORT PURSUANT TO SECTION 13 OR 15(d) OF THE SECURITIES EXCHANGE ACT OF 1934</w:t>
      </w:r>
    </w:p>
    <w:p>
      <w:pPr>
        <w:spacing w:after="0" w:line="119" w:lineRule="exact"/>
        <w:rPr>
          <w:sz w:val="20"/>
          <w:szCs w:val="20"/>
          <w:color w:val="auto"/>
        </w:rPr>
      </w:pPr>
    </w:p>
    <w:p>
      <w:pPr>
        <w:ind w:left="4080"/>
        <w:spacing w:after="0"/>
        <w:tabs>
          <w:tab w:leader="none" w:pos="6680" w:val="left"/>
        </w:tabs>
        <w:rPr>
          <w:sz w:val="20"/>
          <w:szCs w:val="20"/>
          <w:color w:val="auto"/>
        </w:rPr>
      </w:pPr>
      <w:r>
        <w:rPr>
          <w:rFonts w:ascii="Arial" w:cs="Arial" w:eastAsia="Arial" w:hAnsi="Arial"/>
          <w:sz w:val="16"/>
          <w:szCs w:val="16"/>
          <w:b w:val="1"/>
          <w:bCs w:val="1"/>
          <w:color w:val="auto"/>
        </w:rPr>
        <w:t>For the transition period from</w:t>
      </w:r>
      <w:r>
        <w:rPr>
          <w:sz w:val="20"/>
          <w:szCs w:val="20"/>
          <w:color w:val="auto"/>
        </w:rPr>
        <w:tab/>
      </w:r>
      <w:r>
        <w:rPr>
          <w:rFonts w:ascii="Arial" w:cs="Arial" w:eastAsia="Arial" w:hAnsi="Arial"/>
          <w:sz w:val="12"/>
          <w:szCs w:val="12"/>
          <w:b w:val="1"/>
          <w:bCs w:val="1"/>
          <w:color w:val="auto"/>
        </w:rPr>
        <w:t>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3942080</wp:posOffset>
            </wp:positionH>
            <wp:positionV relativeFrom="paragraph">
              <wp:posOffset>-4445</wp:posOffset>
            </wp:positionV>
            <wp:extent cx="28321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83210" cy="8890"/>
                    </a:xfrm>
                    <a:prstGeom prst="rect">
                      <a:avLst/>
                    </a:prstGeom>
                    <a:noFill/>
                  </pic:spPr>
                </pic:pic>
              </a:graphicData>
            </a:graphic>
          </wp:anchor>
        </w:drawing>
      </w:r>
    </w:p>
    <w:p>
      <w:pPr>
        <w:spacing w:after="0" w:line="120" w:lineRule="exact"/>
        <w:rPr>
          <w:sz w:val="20"/>
          <w:szCs w:val="20"/>
          <w:color w:val="auto"/>
        </w:rPr>
      </w:pPr>
    </w:p>
    <w:p>
      <w:pPr>
        <w:jc w:val="center"/>
        <w:ind w:right="-19"/>
        <w:spacing w:after="0"/>
        <w:rPr>
          <w:sz w:val="20"/>
          <w:szCs w:val="20"/>
          <w:color w:val="auto"/>
        </w:rPr>
      </w:pPr>
      <w:r>
        <w:rPr>
          <w:rFonts w:ascii="Arial" w:cs="Arial" w:eastAsia="Arial" w:hAnsi="Arial"/>
          <w:sz w:val="16"/>
          <w:szCs w:val="16"/>
          <w:b w:val="1"/>
          <w:bCs w:val="1"/>
          <w:color w:val="auto"/>
        </w:rPr>
        <w:t>Commission file number: 1-36313</w:t>
      </w:r>
    </w:p>
    <w:p>
      <w:pPr>
        <w:spacing w:after="0" w:line="367" w:lineRule="exact"/>
        <w:rPr>
          <w:sz w:val="20"/>
          <w:szCs w:val="20"/>
          <w:color w:val="auto"/>
        </w:rPr>
      </w:pPr>
    </w:p>
    <w:p>
      <w:pPr>
        <w:jc w:val="center"/>
        <w:ind w:right="-19"/>
        <w:spacing w:after="0"/>
        <w:rPr>
          <w:sz w:val="20"/>
          <w:szCs w:val="20"/>
          <w:color w:val="auto"/>
        </w:rPr>
      </w:pPr>
      <w:r>
        <w:rPr>
          <w:rFonts w:ascii="Arial" w:cs="Arial" w:eastAsia="Arial" w:hAnsi="Arial"/>
          <w:sz w:val="43"/>
          <w:szCs w:val="43"/>
          <w:b w:val="1"/>
          <w:bCs w:val="1"/>
          <w:color w:val="auto"/>
        </w:rPr>
        <w:t>TIMKENSTEEL CORPORATION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811530</wp:posOffset>
            </wp:positionH>
            <wp:positionV relativeFrom="paragraph">
              <wp:posOffset>-311785</wp:posOffset>
            </wp:positionV>
            <wp:extent cx="564261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642610" cy="8890"/>
                    </a:xfrm>
                    <a:prstGeom prst="rect">
                      <a:avLst/>
                    </a:prstGeom>
                    <a:noFill/>
                  </pic:spPr>
                </pic:pic>
              </a:graphicData>
            </a:graphic>
          </wp:anchor>
        </w:drawing>
      </w:r>
    </w:p>
    <w:p>
      <w:pPr>
        <w:spacing w:after="0" w:line="3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811530</wp:posOffset>
            </wp:positionH>
            <wp:positionV relativeFrom="paragraph">
              <wp:posOffset>21590</wp:posOffset>
            </wp:positionV>
            <wp:extent cx="564261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642610" cy="8890"/>
                    </a:xfrm>
                    <a:prstGeom prst="rect">
                      <a:avLst/>
                    </a:prstGeom>
                    <a:noFill/>
                  </pic:spPr>
                </pic:pic>
              </a:graphicData>
            </a:graphic>
          </wp:anchor>
        </w:drawing>
      </w:r>
    </w:p>
    <w:p>
      <w:pPr>
        <w:spacing w:after="0" w:line="200" w:lineRule="exact"/>
        <w:rPr>
          <w:sz w:val="20"/>
          <w:szCs w:val="20"/>
          <w:color w:val="auto"/>
        </w:rPr>
      </w:pPr>
    </w:p>
    <w:p>
      <w:pPr>
        <w:spacing w:after="0" w:line="314" w:lineRule="exact"/>
        <w:rPr>
          <w:sz w:val="20"/>
          <w:szCs w:val="20"/>
          <w:color w:val="auto"/>
        </w:rPr>
      </w:pPr>
    </w:p>
    <w:tbl>
      <w:tblPr>
        <w:tblLayout w:type="fixed"/>
        <w:tblInd w:w="1460" w:type="dxa"/>
        <w:tblCellMar>
          <w:top w:w="0" w:type="dxa"/>
          <w:left w:w="0" w:type="dxa"/>
          <w:bottom w:w="0" w:type="dxa"/>
          <w:right w:w="0" w:type="dxa"/>
        </w:tblCellMar>
      </w:tblPr>
      <w:tr>
        <w:trPr>
          <w:trHeight w:val="210"/>
        </w:trPr>
        <w:tc>
          <w:tcPr>
            <w:tcW w:w="3240" w:type="dxa"/>
            <w:vAlign w:val="bottom"/>
          </w:tcPr>
          <w:p>
            <w:pPr>
              <w:jc w:val="center"/>
              <w:ind w:right="464"/>
              <w:spacing w:after="0"/>
              <w:rPr>
                <w:sz w:val="20"/>
                <w:szCs w:val="20"/>
                <w:color w:val="auto"/>
              </w:rPr>
            </w:pPr>
            <w:r>
              <w:rPr>
                <w:rFonts w:ascii="Arial" w:cs="Arial" w:eastAsia="Arial" w:hAnsi="Arial"/>
                <w:sz w:val="16"/>
                <w:szCs w:val="16"/>
                <w:b w:val="1"/>
                <w:bCs w:val="1"/>
                <w:color w:val="auto"/>
                <w:w w:val="93"/>
              </w:rPr>
              <w:t>Ohio</w:t>
            </w:r>
          </w:p>
        </w:tc>
        <w:tc>
          <w:tcPr>
            <w:tcW w:w="4420" w:type="dxa"/>
            <w:vAlign w:val="bottom"/>
          </w:tcPr>
          <w:p>
            <w:pPr>
              <w:jc w:val="center"/>
              <w:ind w:left="3203"/>
              <w:spacing w:after="0"/>
              <w:rPr>
                <w:sz w:val="20"/>
                <w:szCs w:val="20"/>
                <w:color w:val="auto"/>
              </w:rPr>
            </w:pPr>
            <w:r>
              <w:rPr>
                <w:rFonts w:ascii="Arial" w:cs="Arial" w:eastAsia="Arial" w:hAnsi="Arial"/>
                <w:sz w:val="16"/>
                <w:szCs w:val="16"/>
                <w:b w:val="1"/>
                <w:bCs w:val="1"/>
                <w:color w:val="auto"/>
                <w:w w:val="91"/>
              </w:rPr>
              <w:t>46-4024951</w:t>
            </w:r>
          </w:p>
        </w:tc>
      </w:tr>
      <w:tr>
        <w:trPr>
          <w:trHeight w:val="240"/>
        </w:trPr>
        <w:tc>
          <w:tcPr>
            <w:tcW w:w="3240" w:type="dxa"/>
            <w:vAlign w:val="bottom"/>
          </w:tcPr>
          <w:p>
            <w:pPr>
              <w:jc w:val="center"/>
              <w:ind w:right="484"/>
              <w:spacing w:after="0"/>
              <w:rPr>
                <w:sz w:val="20"/>
                <w:szCs w:val="20"/>
                <w:color w:val="auto"/>
              </w:rPr>
            </w:pPr>
            <w:r>
              <w:rPr>
                <w:rFonts w:ascii="Arial" w:cs="Arial" w:eastAsia="Arial" w:hAnsi="Arial"/>
                <w:sz w:val="14"/>
                <w:szCs w:val="14"/>
                <w:color w:val="auto"/>
              </w:rPr>
              <w:t>(State or other jurisdiction of</w:t>
            </w:r>
          </w:p>
        </w:tc>
        <w:tc>
          <w:tcPr>
            <w:tcW w:w="4420" w:type="dxa"/>
            <w:vAlign w:val="bottom"/>
          </w:tcPr>
          <w:p>
            <w:pPr>
              <w:jc w:val="center"/>
              <w:ind w:left="3203"/>
              <w:spacing w:after="0"/>
              <w:rPr>
                <w:sz w:val="20"/>
                <w:szCs w:val="20"/>
                <w:color w:val="auto"/>
              </w:rPr>
            </w:pPr>
            <w:r>
              <w:rPr>
                <w:rFonts w:ascii="Arial" w:cs="Arial" w:eastAsia="Arial" w:hAnsi="Arial"/>
                <w:sz w:val="14"/>
                <w:szCs w:val="14"/>
                <w:color w:val="auto"/>
              </w:rPr>
              <w:t>(I.R.S. Employer</w:t>
            </w:r>
          </w:p>
        </w:tc>
      </w:tr>
      <w:tr>
        <w:trPr>
          <w:trHeight w:val="172"/>
        </w:trPr>
        <w:tc>
          <w:tcPr>
            <w:tcW w:w="3240" w:type="dxa"/>
            <w:vAlign w:val="bottom"/>
          </w:tcPr>
          <w:p>
            <w:pPr>
              <w:jc w:val="center"/>
              <w:ind w:right="484"/>
              <w:spacing w:after="0"/>
              <w:rPr>
                <w:sz w:val="20"/>
                <w:szCs w:val="20"/>
                <w:color w:val="auto"/>
              </w:rPr>
            </w:pPr>
            <w:r>
              <w:rPr>
                <w:rFonts w:ascii="Arial" w:cs="Arial" w:eastAsia="Arial" w:hAnsi="Arial"/>
                <w:sz w:val="14"/>
                <w:szCs w:val="14"/>
                <w:color w:val="auto"/>
              </w:rPr>
              <w:t>incorporation or organization)</w:t>
            </w:r>
          </w:p>
        </w:tc>
        <w:tc>
          <w:tcPr>
            <w:tcW w:w="4420" w:type="dxa"/>
            <w:vAlign w:val="bottom"/>
          </w:tcPr>
          <w:p>
            <w:pPr>
              <w:jc w:val="center"/>
              <w:ind w:left="3223"/>
              <w:spacing w:after="0"/>
              <w:rPr>
                <w:sz w:val="20"/>
                <w:szCs w:val="20"/>
                <w:color w:val="auto"/>
              </w:rPr>
            </w:pPr>
            <w:r>
              <w:rPr>
                <w:rFonts w:ascii="Arial" w:cs="Arial" w:eastAsia="Arial" w:hAnsi="Arial"/>
                <w:sz w:val="14"/>
                <w:szCs w:val="14"/>
                <w:color w:val="auto"/>
              </w:rPr>
              <w:t>Identification No.)</w:t>
            </w:r>
          </w:p>
        </w:tc>
      </w:tr>
      <w:tr>
        <w:trPr>
          <w:trHeight w:val="357"/>
        </w:trPr>
        <w:tc>
          <w:tcPr>
            <w:tcW w:w="3240" w:type="dxa"/>
            <w:vAlign w:val="bottom"/>
          </w:tcPr>
          <w:p>
            <w:pPr>
              <w:jc w:val="center"/>
              <w:ind w:right="484"/>
              <w:spacing w:after="0"/>
              <w:rPr>
                <w:sz w:val="20"/>
                <w:szCs w:val="20"/>
                <w:color w:val="auto"/>
              </w:rPr>
            </w:pPr>
            <w:r>
              <w:rPr>
                <w:rFonts w:ascii="Arial" w:cs="Arial" w:eastAsia="Arial" w:hAnsi="Arial"/>
                <w:sz w:val="16"/>
                <w:szCs w:val="16"/>
                <w:b w:val="1"/>
                <w:bCs w:val="1"/>
                <w:color w:val="auto"/>
                <w:w w:val="92"/>
              </w:rPr>
              <w:t>1835 Dueber Avenue, SW, Canton, OH</w:t>
            </w:r>
          </w:p>
        </w:tc>
        <w:tc>
          <w:tcPr>
            <w:tcW w:w="4420" w:type="dxa"/>
            <w:vAlign w:val="bottom"/>
          </w:tcPr>
          <w:p>
            <w:pPr>
              <w:jc w:val="center"/>
              <w:ind w:left="3203"/>
              <w:spacing w:after="0"/>
              <w:rPr>
                <w:sz w:val="20"/>
                <w:szCs w:val="20"/>
                <w:color w:val="auto"/>
              </w:rPr>
            </w:pPr>
            <w:r>
              <w:rPr>
                <w:rFonts w:ascii="Arial" w:cs="Arial" w:eastAsia="Arial" w:hAnsi="Arial"/>
                <w:sz w:val="16"/>
                <w:szCs w:val="16"/>
                <w:b w:val="1"/>
                <w:bCs w:val="1"/>
                <w:color w:val="auto"/>
                <w:w w:val="91"/>
              </w:rPr>
              <w:t>44706-2798</w:t>
            </w:r>
          </w:p>
        </w:tc>
      </w:tr>
      <w:tr>
        <w:trPr>
          <w:trHeight w:val="224"/>
        </w:trPr>
        <w:tc>
          <w:tcPr>
            <w:tcW w:w="3240" w:type="dxa"/>
            <w:vAlign w:val="bottom"/>
          </w:tcPr>
          <w:p>
            <w:pPr>
              <w:jc w:val="center"/>
              <w:ind w:right="484"/>
              <w:spacing w:after="0"/>
              <w:rPr>
                <w:sz w:val="20"/>
                <w:szCs w:val="20"/>
                <w:color w:val="auto"/>
              </w:rPr>
            </w:pPr>
            <w:r>
              <w:rPr>
                <w:rFonts w:ascii="Arial" w:cs="Arial" w:eastAsia="Arial" w:hAnsi="Arial"/>
                <w:sz w:val="14"/>
                <w:szCs w:val="14"/>
                <w:color w:val="auto"/>
                <w:w w:val="95"/>
              </w:rPr>
              <w:t>(Address of principal executive offices)</w:t>
            </w:r>
          </w:p>
        </w:tc>
        <w:tc>
          <w:tcPr>
            <w:tcW w:w="4420" w:type="dxa"/>
            <w:vAlign w:val="bottom"/>
          </w:tcPr>
          <w:p>
            <w:pPr>
              <w:jc w:val="center"/>
              <w:ind w:left="3203"/>
              <w:spacing w:after="0"/>
              <w:rPr>
                <w:sz w:val="20"/>
                <w:szCs w:val="20"/>
                <w:color w:val="auto"/>
              </w:rPr>
            </w:pPr>
            <w:r>
              <w:rPr>
                <w:rFonts w:ascii="Arial" w:cs="Arial" w:eastAsia="Arial" w:hAnsi="Arial"/>
                <w:sz w:val="14"/>
                <w:szCs w:val="14"/>
                <w:color w:val="auto"/>
                <w:w w:val="93"/>
              </w:rPr>
              <w:t>(Zip Code)</w:t>
            </w:r>
          </w:p>
        </w:tc>
      </w:tr>
      <w:tr>
        <w:trPr>
          <w:trHeight w:val="249"/>
        </w:trPr>
        <w:tc>
          <w:tcPr>
            <w:tcW w:w="3240" w:type="dxa"/>
            <w:vAlign w:val="bottom"/>
          </w:tcPr>
          <w:p>
            <w:pPr>
              <w:spacing w:after="0"/>
              <w:rPr>
                <w:sz w:val="21"/>
                <w:szCs w:val="21"/>
                <w:color w:val="auto"/>
              </w:rPr>
            </w:pPr>
          </w:p>
        </w:tc>
        <w:tc>
          <w:tcPr>
            <w:tcW w:w="4420" w:type="dxa"/>
            <w:vAlign w:val="bottom"/>
          </w:tcPr>
          <w:p>
            <w:pPr>
              <w:jc w:val="right"/>
              <w:ind w:right="2883"/>
              <w:spacing w:after="0"/>
              <w:rPr>
                <w:sz w:val="20"/>
                <w:szCs w:val="20"/>
                <w:color w:val="auto"/>
              </w:rPr>
            </w:pPr>
            <w:r>
              <w:rPr>
                <w:rFonts w:ascii="Arial" w:cs="Arial" w:eastAsia="Arial" w:hAnsi="Arial"/>
                <w:sz w:val="16"/>
                <w:szCs w:val="16"/>
                <w:b w:val="1"/>
                <w:bCs w:val="1"/>
                <w:color w:val="auto"/>
              </w:rPr>
              <w:t>330.438.3000</w:t>
            </w:r>
          </w:p>
        </w:tc>
      </w:tr>
    </w:tbl>
    <w:p>
      <w:pPr>
        <w:spacing w:after="0" w:line="60" w:lineRule="exact"/>
        <w:rPr>
          <w:sz w:val="20"/>
          <w:szCs w:val="20"/>
          <w:color w:val="auto"/>
        </w:rPr>
      </w:pPr>
    </w:p>
    <w:p>
      <w:pPr>
        <w:jc w:val="center"/>
        <w:ind w:right="20"/>
        <w:spacing w:after="0"/>
        <w:rPr>
          <w:sz w:val="20"/>
          <w:szCs w:val="20"/>
          <w:color w:val="auto"/>
        </w:rPr>
      </w:pPr>
      <w:r>
        <w:rPr>
          <w:rFonts w:ascii="Arial" w:cs="Arial" w:eastAsia="Arial" w:hAnsi="Arial"/>
          <w:sz w:val="16"/>
          <w:szCs w:val="16"/>
          <w:b w:val="1"/>
          <w:bCs w:val="1"/>
          <w:color w:val="auto"/>
        </w:rPr>
        <w:t>(Registrant’s telephone number, including area code)</w:t>
      </w:r>
    </w:p>
    <w:p>
      <w:pPr>
        <w:spacing w:after="0" w:line="171" w:lineRule="exact"/>
        <w:rPr>
          <w:sz w:val="20"/>
          <w:szCs w:val="20"/>
          <w:color w:val="auto"/>
        </w:rPr>
      </w:pPr>
    </w:p>
    <w:p>
      <w:pPr>
        <w:ind w:right="400" w:firstLine="432"/>
        <w:spacing w:after="0" w:line="222" w:lineRule="exact"/>
        <w:rPr>
          <w:sz w:val="20"/>
          <w:szCs w:val="20"/>
          <w:color w:val="auto"/>
        </w:rPr>
      </w:pPr>
      <w:r>
        <w:rPr>
          <w:rFonts w:ascii="Arial" w:cs="Arial" w:eastAsia="Arial" w:hAnsi="Arial"/>
          <w:sz w:val="16"/>
          <w:szCs w:val="16"/>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6"/>
          <w:szCs w:val="16"/>
          <w:color w:val="auto"/>
        </w:rPr>
        <w:t xml:space="preserve"> No </w:t>
      </w:r>
      <w:r>
        <w:rPr>
          <w:rFonts w:ascii="MS PGothic" w:cs="MS PGothic" w:eastAsia="MS PGothic" w:hAnsi="MS PGothic"/>
          <w:sz w:val="18"/>
          <w:szCs w:val="18"/>
          <w:color w:val="auto"/>
        </w:rPr>
        <w:t>☒</w:t>
      </w:r>
      <w:r>
        <w:rPr>
          <w:rFonts w:ascii="Arial" w:cs="Arial" w:eastAsia="Arial" w:hAnsi="Arial"/>
          <w:sz w:val="18"/>
          <w:szCs w:val="18"/>
          <w:color w:val="auto"/>
        </w:rPr>
        <w:t>*</w:t>
      </w:r>
    </w:p>
    <w:p>
      <w:pPr>
        <w:spacing w:after="0" w:line="79" w:lineRule="exact"/>
        <w:rPr>
          <w:sz w:val="20"/>
          <w:szCs w:val="20"/>
          <w:color w:val="auto"/>
        </w:rPr>
      </w:pPr>
    </w:p>
    <w:p>
      <w:pPr>
        <w:spacing w:after="0"/>
        <w:rPr>
          <w:sz w:val="20"/>
          <w:szCs w:val="20"/>
          <w:color w:val="auto"/>
        </w:rPr>
      </w:pPr>
      <w:r>
        <w:rPr>
          <w:rFonts w:ascii="Arial" w:cs="Arial" w:eastAsia="Arial" w:hAnsi="Arial"/>
          <w:sz w:val="16"/>
          <w:szCs w:val="16"/>
          <w:color w:val="auto"/>
        </w:rPr>
        <w:t>* The registrant became subject to such requirements on June 10, 2014.</w:t>
      </w:r>
    </w:p>
    <w:p>
      <w:pPr>
        <w:spacing w:after="0" w:line="235" w:lineRule="exact"/>
        <w:rPr>
          <w:sz w:val="20"/>
          <w:szCs w:val="20"/>
          <w:color w:val="auto"/>
        </w:rPr>
      </w:pPr>
    </w:p>
    <w:p>
      <w:pPr>
        <w:ind w:right="280" w:firstLine="432"/>
        <w:spacing w:after="0" w:line="222" w:lineRule="exact"/>
        <w:rPr>
          <w:sz w:val="20"/>
          <w:szCs w:val="20"/>
          <w:color w:val="auto"/>
        </w:rPr>
      </w:pPr>
      <w:r>
        <w:rPr>
          <w:rFonts w:ascii="Arial" w:cs="Arial" w:eastAsia="Arial" w:hAnsi="Arial"/>
          <w:sz w:val="16"/>
          <w:szCs w:val="16"/>
          <w:color w:val="auto"/>
        </w:rPr>
        <w:t xml:space="preserve">Indicate by check mark whether the registrant has submitted electronically and posted on its corporate Web site, if any, every Interactive Data File required to be submitted and posted pursuant to Rule 405 of Regulation S-T during the preceding 12 months (or for such shorter period that the registrant was required to submit and post such files). Yes </w:t>
      </w:r>
      <w:r>
        <w:rPr>
          <w:rFonts w:ascii="MS PGothic" w:cs="MS PGothic" w:eastAsia="MS PGothic" w:hAnsi="MS PGothic"/>
          <w:sz w:val="18"/>
          <w:szCs w:val="18"/>
          <w:color w:val="auto"/>
        </w:rPr>
        <w:t>☒</w:t>
      </w:r>
      <w:r>
        <w:rPr>
          <w:rFonts w:ascii="Arial" w:cs="Arial" w:eastAsia="Arial" w:hAnsi="Arial"/>
          <w:sz w:val="16"/>
          <w:szCs w:val="16"/>
          <w:color w:val="auto"/>
        </w:rPr>
        <w:t xml:space="preserve"> No </w:t>
      </w:r>
      <w:r>
        <w:rPr>
          <w:rFonts w:ascii="MS PGothic" w:cs="MS PGothic" w:eastAsia="MS PGothic" w:hAnsi="MS PGothic"/>
          <w:sz w:val="18"/>
          <w:szCs w:val="18"/>
          <w:color w:val="auto"/>
        </w:rPr>
        <w:t>☐</w:t>
      </w:r>
    </w:p>
    <w:p>
      <w:pPr>
        <w:spacing w:after="0" w:line="187" w:lineRule="exact"/>
        <w:rPr>
          <w:sz w:val="20"/>
          <w:szCs w:val="20"/>
          <w:color w:val="auto"/>
        </w:rPr>
      </w:pPr>
    </w:p>
    <w:p>
      <w:pPr>
        <w:ind w:right="80" w:firstLine="432"/>
        <w:spacing w:after="0" w:line="275"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w:t>
      </w:r>
    </w:p>
    <w:p>
      <w:pPr>
        <w:spacing w:after="0" w:line="114"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1660" w:type="dxa"/>
            <w:vAlign w:val="bottom"/>
            <w:gridSpan w:val="2"/>
          </w:tcPr>
          <w:p>
            <w:pPr>
              <w:spacing w:after="0"/>
              <w:rPr>
                <w:sz w:val="20"/>
                <w:szCs w:val="20"/>
                <w:color w:val="auto"/>
              </w:rPr>
            </w:pPr>
            <w:r>
              <w:rPr>
                <w:rFonts w:ascii="Arial" w:cs="Arial" w:eastAsia="Arial" w:hAnsi="Arial"/>
                <w:sz w:val="16"/>
                <w:szCs w:val="16"/>
                <w:color w:val="auto"/>
              </w:rPr>
              <w:t>Large accelerated filer</w:t>
            </w:r>
          </w:p>
        </w:tc>
        <w:tc>
          <w:tcPr>
            <w:tcW w:w="4920" w:type="dxa"/>
            <w:vAlign w:val="bottom"/>
            <w:gridSpan w:val="2"/>
          </w:tcPr>
          <w:p>
            <w:pPr>
              <w:jc w:val="center"/>
              <w:ind w:right="2280"/>
              <w:spacing w:after="0"/>
              <w:rPr>
                <w:sz w:val="20"/>
                <w:szCs w:val="20"/>
                <w:color w:val="auto"/>
              </w:rPr>
            </w:pPr>
            <w:r>
              <w:rPr>
                <w:rFonts w:ascii="Arial" w:cs="Arial" w:eastAsia="Arial" w:hAnsi="Arial"/>
                <w:sz w:val="18"/>
                <w:szCs w:val="18"/>
                <w:color w:val="auto"/>
                <w:w w:val="79"/>
              </w:rPr>
              <w:t>o</w:t>
            </w:r>
          </w:p>
        </w:tc>
        <w:tc>
          <w:tcPr>
            <w:tcW w:w="4180" w:type="dxa"/>
            <w:vAlign w:val="bottom"/>
            <w:gridSpan w:val="2"/>
          </w:tcPr>
          <w:p>
            <w:pPr>
              <w:ind w:left="1900"/>
              <w:spacing w:after="0"/>
              <w:rPr>
                <w:sz w:val="20"/>
                <w:szCs w:val="20"/>
                <w:color w:val="auto"/>
              </w:rPr>
            </w:pPr>
            <w:r>
              <w:rPr>
                <w:rFonts w:ascii="Arial" w:cs="Arial" w:eastAsia="Arial" w:hAnsi="Arial"/>
                <w:sz w:val="16"/>
                <w:szCs w:val="16"/>
                <w:color w:val="auto"/>
              </w:rPr>
              <w:t>Accelerated filer</w:t>
            </w:r>
          </w:p>
        </w:tc>
        <w:tc>
          <w:tcPr>
            <w:tcW w:w="600" w:type="dxa"/>
            <w:vAlign w:val="bottom"/>
          </w:tcPr>
          <w:p>
            <w:pPr>
              <w:ind w:left="520"/>
              <w:spacing w:after="0"/>
              <w:rPr>
                <w:sz w:val="20"/>
                <w:szCs w:val="20"/>
                <w:color w:val="auto"/>
              </w:rPr>
            </w:pPr>
            <w:r>
              <w:rPr>
                <w:rFonts w:ascii="Arial" w:cs="Arial" w:eastAsia="Arial" w:hAnsi="Arial"/>
                <w:sz w:val="15"/>
                <w:szCs w:val="15"/>
                <w:color w:val="auto"/>
                <w:w w:val="71"/>
              </w:rPr>
              <w:t>o</w:t>
            </w:r>
          </w:p>
        </w:tc>
      </w:tr>
      <w:tr>
        <w:trPr>
          <w:trHeight w:val="412"/>
        </w:trPr>
        <w:tc>
          <w:tcPr>
            <w:tcW w:w="1660" w:type="dxa"/>
            <w:vAlign w:val="bottom"/>
            <w:gridSpan w:val="2"/>
          </w:tcPr>
          <w:p>
            <w:pPr>
              <w:spacing w:after="0"/>
              <w:rPr>
                <w:sz w:val="20"/>
                <w:szCs w:val="20"/>
                <w:color w:val="auto"/>
              </w:rPr>
            </w:pPr>
            <w:r>
              <w:rPr>
                <w:rFonts w:ascii="Arial" w:cs="Arial" w:eastAsia="Arial" w:hAnsi="Arial"/>
                <w:sz w:val="16"/>
                <w:szCs w:val="16"/>
                <w:color w:val="auto"/>
              </w:rPr>
              <w:t>Non-accelerated filer</w:t>
            </w:r>
          </w:p>
        </w:tc>
        <w:tc>
          <w:tcPr>
            <w:tcW w:w="4920" w:type="dxa"/>
            <w:vAlign w:val="bottom"/>
            <w:gridSpan w:val="2"/>
          </w:tcPr>
          <w:p>
            <w:pPr>
              <w:ind w:left="12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4"/>
                <w:szCs w:val="14"/>
                <w:color w:val="auto"/>
              </w:rPr>
              <w:t xml:space="preserve"> (Do not check if smaller reporting company)</w:t>
            </w:r>
          </w:p>
        </w:tc>
        <w:tc>
          <w:tcPr>
            <w:tcW w:w="4180" w:type="dxa"/>
            <w:vAlign w:val="bottom"/>
            <w:gridSpan w:val="2"/>
          </w:tcPr>
          <w:p>
            <w:pPr>
              <w:ind w:left="1900"/>
              <w:spacing w:after="0"/>
              <w:rPr>
                <w:sz w:val="20"/>
                <w:szCs w:val="20"/>
                <w:color w:val="auto"/>
              </w:rPr>
            </w:pPr>
            <w:r>
              <w:rPr>
                <w:rFonts w:ascii="Arial" w:cs="Arial" w:eastAsia="Arial" w:hAnsi="Arial"/>
                <w:sz w:val="16"/>
                <w:szCs w:val="16"/>
                <w:color w:val="auto"/>
              </w:rPr>
              <w:t>Smaller reporting company</w:t>
            </w:r>
          </w:p>
        </w:tc>
        <w:tc>
          <w:tcPr>
            <w:tcW w:w="600" w:type="dxa"/>
            <w:vAlign w:val="bottom"/>
          </w:tcPr>
          <w:p>
            <w:pPr>
              <w:ind w:left="520"/>
              <w:spacing w:after="0"/>
              <w:rPr>
                <w:sz w:val="20"/>
                <w:szCs w:val="20"/>
                <w:color w:val="auto"/>
              </w:rPr>
            </w:pPr>
            <w:r>
              <w:rPr>
                <w:rFonts w:ascii="Arial" w:cs="Arial" w:eastAsia="Arial" w:hAnsi="Arial"/>
                <w:sz w:val="15"/>
                <w:szCs w:val="15"/>
                <w:color w:val="auto"/>
                <w:w w:val="71"/>
              </w:rPr>
              <w:t>o</w:t>
            </w:r>
          </w:p>
        </w:tc>
      </w:tr>
      <w:tr>
        <w:trPr>
          <w:trHeight w:val="513"/>
        </w:trPr>
        <w:tc>
          <w:tcPr>
            <w:tcW w:w="10760" w:type="dxa"/>
            <w:vAlign w:val="bottom"/>
            <w:gridSpan w:val="6"/>
          </w:tcPr>
          <w:p>
            <w:pPr>
              <w:ind w:left="400"/>
              <w:spacing w:after="0" w:line="207" w:lineRule="exact"/>
              <w:rPr>
                <w:sz w:val="20"/>
                <w:szCs w:val="20"/>
                <w:color w:val="auto"/>
              </w:rPr>
            </w:pPr>
            <w:r>
              <w:rPr>
                <w:rFonts w:ascii="Arial" w:cs="Arial" w:eastAsia="Arial" w:hAnsi="Arial"/>
                <w:sz w:val="16"/>
                <w:szCs w:val="16"/>
                <w:color w:val="auto"/>
              </w:rPr>
              <w:t xml:space="preserve">Indicate by check mark whether the registrant is a shell company (as defined in Rule 12b-2 of the Exchange Act). Yes </w:t>
            </w:r>
            <w:r>
              <w:rPr>
                <w:rFonts w:ascii="MS PGothic" w:cs="MS PGothic" w:eastAsia="MS PGothic" w:hAnsi="MS PGothic"/>
                <w:sz w:val="18"/>
                <w:szCs w:val="18"/>
                <w:color w:val="auto"/>
              </w:rPr>
              <w:t>☐</w:t>
            </w:r>
            <w:r>
              <w:rPr>
                <w:rFonts w:ascii="Arial" w:cs="Arial" w:eastAsia="Arial" w:hAnsi="Arial"/>
                <w:sz w:val="16"/>
                <w:szCs w:val="16"/>
                <w:color w:val="auto"/>
              </w:rPr>
              <w:t xml:space="preserve"> No  </w:t>
            </w:r>
            <w:r>
              <w:rPr>
                <w:rFonts w:ascii="MS PGothic" w:cs="MS PGothic" w:eastAsia="MS PGothic" w:hAnsi="MS PGothic"/>
                <w:sz w:val="18"/>
                <w:szCs w:val="18"/>
                <w:color w:val="auto"/>
              </w:rPr>
              <w:t>☒</w:t>
            </w:r>
          </w:p>
        </w:tc>
        <w:tc>
          <w:tcPr>
            <w:tcW w:w="600" w:type="dxa"/>
            <w:vAlign w:val="bottom"/>
          </w:tcPr>
          <w:p>
            <w:pPr>
              <w:spacing w:after="0"/>
              <w:rPr>
                <w:sz w:val="24"/>
                <w:szCs w:val="24"/>
                <w:color w:val="auto"/>
              </w:rPr>
            </w:pPr>
          </w:p>
        </w:tc>
      </w:tr>
      <w:tr>
        <w:trPr>
          <w:trHeight w:val="231"/>
        </w:trPr>
        <w:tc>
          <w:tcPr>
            <w:tcW w:w="10760" w:type="dxa"/>
            <w:vAlign w:val="bottom"/>
            <w:gridSpan w:val="6"/>
          </w:tcPr>
          <w:p>
            <w:pPr>
              <w:ind w:left="400"/>
              <w:spacing w:after="0"/>
              <w:rPr>
                <w:sz w:val="20"/>
                <w:szCs w:val="20"/>
                <w:color w:val="auto"/>
              </w:rPr>
            </w:pPr>
            <w:r>
              <w:rPr>
                <w:rFonts w:ascii="Arial" w:cs="Arial" w:eastAsia="Arial" w:hAnsi="Arial"/>
                <w:sz w:val="16"/>
                <w:szCs w:val="16"/>
                <w:color w:val="auto"/>
              </w:rPr>
              <w:t>Indicate the number of shares outstanding of each of the issuer’s classes of common stock, as of the latest practicable date.</w:t>
            </w:r>
          </w:p>
        </w:tc>
        <w:tc>
          <w:tcPr>
            <w:tcW w:w="600" w:type="dxa"/>
            <w:vAlign w:val="bottom"/>
          </w:tcPr>
          <w:p>
            <w:pPr>
              <w:spacing w:after="0"/>
              <w:rPr>
                <w:sz w:val="20"/>
                <w:szCs w:val="20"/>
                <w:color w:val="auto"/>
              </w:rPr>
            </w:pPr>
          </w:p>
        </w:tc>
      </w:tr>
      <w:tr>
        <w:trPr>
          <w:trHeight w:val="419"/>
        </w:trPr>
        <w:tc>
          <w:tcPr>
            <w:tcW w:w="12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920" w:type="dxa"/>
            <w:vAlign w:val="bottom"/>
            <w:gridSpan w:val="2"/>
          </w:tcPr>
          <w:p>
            <w:pPr>
              <w:jc w:val="center"/>
              <w:ind w:right="2260"/>
              <w:spacing w:after="0"/>
              <w:rPr>
                <w:sz w:val="20"/>
                <w:szCs w:val="20"/>
                <w:color w:val="auto"/>
              </w:rPr>
            </w:pPr>
            <w:r>
              <w:rPr>
                <w:rFonts w:ascii="Arial" w:cs="Arial" w:eastAsia="Arial" w:hAnsi="Arial"/>
                <w:sz w:val="16"/>
                <w:szCs w:val="16"/>
                <w:color w:val="auto"/>
                <w:w w:val="84"/>
              </w:rPr>
              <w:t>Class</w:t>
            </w:r>
          </w:p>
        </w:tc>
        <w:tc>
          <w:tcPr>
            <w:tcW w:w="4180" w:type="dxa"/>
            <w:vAlign w:val="bottom"/>
            <w:gridSpan w:val="2"/>
          </w:tcPr>
          <w:p>
            <w:pPr>
              <w:jc w:val="center"/>
              <w:ind w:right="640"/>
              <w:spacing w:after="0"/>
              <w:rPr>
                <w:sz w:val="20"/>
                <w:szCs w:val="20"/>
                <w:color w:val="auto"/>
              </w:rPr>
            </w:pPr>
            <w:r>
              <w:rPr>
                <w:rFonts w:ascii="Arial" w:cs="Arial" w:eastAsia="Arial" w:hAnsi="Arial"/>
                <w:sz w:val="16"/>
                <w:szCs w:val="16"/>
                <w:color w:val="auto"/>
                <w:w w:val="91"/>
              </w:rPr>
              <w:t>Outstanding at July 31, 2014</w:t>
            </w:r>
          </w:p>
        </w:tc>
        <w:tc>
          <w:tcPr>
            <w:tcW w:w="600" w:type="dxa"/>
            <w:vAlign w:val="bottom"/>
          </w:tcPr>
          <w:p>
            <w:pPr>
              <w:spacing w:after="0"/>
              <w:rPr>
                <w:sz w:val="24"/>
                <w:szCs w:val="24"/>
                <w:color w:val="auto"/>
              </w:rPr>
            </w:pPr>
          </w:p>
        </w:tc>
      </w:tr>
      <w:tr>
        <w:trPr>
          <w:trHeight w:val="33"/>
        </w:trPr>
        <w:tc>
          <w:tcPr>
            <w:tcW w:w="122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3100" w:type="dxa"/>
            <w:vAlign w:val="bottom"/>
            <w:tcBorders>
              <w:bottom w:val="single" w:sz="8" w:color="auto"/>
            </w:tcBorders>
          </w:tcPr>
          <w:p>
            <w:pPr>
              <w:spacing w:after="0"/>
              <w:rPr>
                <w:sz w:val="2"/>
                <w:szCs w:val="2"/>
                <w:color w:val="auto"/>
              </w:rPr>
            </w:pPr>
          </w:p>
        </w:tc>
        <w:tc>
          <w:tcPr>
            <w:tcW w:w="1820" w:type="dxa"/>
            <w:vAlign w:val="bottom"/>
          </w:tcPr>
          <w:p>
            <w:pPr>
              <w:spacing w:after="0"/>
              <w:rPr>
                <w:sz w:val="2"/>
                <w:szCs w:val="2"/>
                <w:color w:val="auto"/>
              </w:rPr>
            </w:pPr>
          </w:p>
        </w:tc>
        <w:tc>
          <w:tcPr>
            <w:tcW w:w="3540" w:type="dxa"/>
            <w:vAlign w:val="bottom"/>
            <w:tcBorders>
              <w:bottom w:val="single" w:sz="8" w:color="auto"/>
            </w:tcBorders>
          </w:tcPr>
          <w:p>
            <w:pPr>
              <w:spacing w:after="0"/>
              <w:rPr>
                <w:sz w:val="2"/>
                <w:szCs w:val="2"/>
                <w:color w:val="auto"/>
              </w:rPr>
            </w:pPr>
          </w:p>
        </w:tc>
        <w:tc>
          <w:tcPr>
            <w:tcW w:w="640" w:type="dxa"/>
            <w:vAlign w:val="bottom"/>
          </w:tcPr>
          <w:p>
            <w:pPr>
              <w:spacing w:after="0"/>
              <w:rPr>
                <w:sz w:val="2"/>
                <w:szCs w:val="2"/>
                <w:color w:val="auto"/>
              </w:rPr>
            </w:pPr>
          </w:p>
        </w:tc>
        <w:tc>
          <w:tcPr>
            <w:tcW w:w="600" w:type="dxa"/>
            <w:vAlign w:val="bottom"/>
          </w:tcPr>
          <w:p>
            <w:pPr>
              <w:spacing w:after="0"/>
              <w:rPr>
                <w:sz w:val="2"/>
                <w:szCs w:val="2"/>
                <w:color w:val="auto"/>
              </w:rPr>
            </w:pPr>
          </w:p>
        </w:tc>
      </w:tr>
      <w:tr>
        <w:trPr>
          <w:trHeight w:val="217"/>
        </w:trPr>
        <w:tc>
          <w:tcPr>
            <w:tcW w:w="12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4920" w:type="dxa"/>
            <w:vAlign w:val="bottom"/>
            <w:gridSpan w:val="2"/>
          </w:tcPr>
          <w:p>
            <w:pPr>
              <w:jc w:val="center"/>
              <w:ind w:right="2260"/>
              <w:spacing w:after="0"/>
              <w:rPr>
                <w:sz w:val="20"/>
                <w:szCs w:val="20"/>
                <w:color w:val="auto"/>
              </w:rPr>
            </w:pPr>
            <w:r>
              <w:rPr>
                <w:rFonts w:ascii="Arial" w:cs="Arial" w:eastAsia="Arial" w:hAnsi="Arial"/>
                <w:sz w:val="16"/>
                <w:szCs w:val="16"/>
                <w:color w:val="auto"/>
                <w:w w:val="92"/>
              </w:rPr>
              <w:t>Common Shares, without par value</w:t>
            </w:r>
          </w:p>
        </w:tc>
        <w:tc>
          <w:tcPr>
            <w:tcW w:w="3540" w:type="dxa"/>
            <w:vAlign w:val="bottom"/>
          </w:tcPr>
          <w:p>
            <w:pPr>
              <w:jc w:val="right"/>
              <w:ind w:right="1319"/>
              <w:spacing w:after="0"/>
              <w:rPr>
                <w:sz w:val="20"/>
                <w:szCs w:val="20"/>
                <w:color w:val="auto"/>
              </w:rPr>
            </w:pPr>
            <w:r>
              <w:rPr>
                <w:rFonts w:ascii="Arial" w:cs="Arial" w:eastAsia="Arial" w:hAnsi="Arial"/>
                <w:sz w:val="16"/>
                <w:szCs w:val="16"/>
                <w:color w:val="auto"/>
              </w:rPr>
              <w:t>45,385,291</w:t>
            </w:r>
          </w:p>
        </w:tc>
        <w:tc>
          <w:tcPr>
            <w:tcW w:w="640" w:type="dxa"/>
            <w:vAlign w:val="bottom"/>
          </w:tcPr>
          <w:p>
            <w:pPr>
              <w:spacing w:after="0"/>
              <w:rPr>
                <w:sz w:val="18"/>
                <w:szCs w:val="18"/>
                <w:color w:val="auto"/>
              </w:rPr>
            </w:pPr>
          </w:p>
        </w:tc>
        <w:tc>
          <w:tcPr>
            <w:tcW w:w="600" w:type="dxa"/>
            <w:vAlign w:val="bottom"/>
          </w:tcPr>
          <w:p>
            <w:pPr>
              <w:spacing w:after="0"/>
              <w:rPr>
                <w:sz w:val="18"/>
                <w:szCs w:val="18"/>
                <w:color w:val="auto"/>
              </w:rPr>
            </w:pPr>
          </w:p>
        </w:tc>
      </w:tr>
    </w:tbl>
    <w:p>
      <w:pPr>
        <w:sectPr>
          <w:pgSz w:w="11900" w:h="16838" w:orient="portrait"/>
          <w:cols w:equalWidth="0" w:num="1">
            <w:col w:w="11400"/>
          </w:cols>
          <w:pgMar w:left="240" w:top="571" w:right="25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t>PART I. FINANCIAL INFORMATION</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I.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Consolidated Statements of Income (Unaudited)</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4460" w:type="dxa"/>
            <w:vAlign w:val="bottom"/>
          </w:tcPr>
          <w:p>
            <w:pPr>
              <w:spacing w:after="0"/>
              <w:rPr>
                <w:sz w:val="18"/>
                <w:szCs w:val="18"/>
                <w:color w:val="auto"/>
              </w:rPr>
            </w:pPr>
          </w:p>
        </w:tc>
        <w:tc>
          <w:tcPr>
            <w:tcW w:w="4120" w:type="dxa"/>
            <w:vAlign w:val="bottom"/>
            <w:gridSpan w:val="2"/>
          </w:tcPr>
          <w:p>
            <w:pPr>
              <w:jc w:val="right"/>
              <w:ind w:right="711"/>
              <w:spacing w:after="0"/>
              <w:rPr>
                <w:sz w:val="20"/>
                <w:szCs w:val="20"/>
                <w:color w:val="auto"/>
              </w:rPr>
            </w:pPr>
            <w:r>
              <w:rPr>
                <w:rFonts w:ascii="Arial" w:cs="Arial" w:eastAsia="Arial" w:hAnsi="Arial"/>
                <w:sz w:val="16"/>
                <w:szCs w:val="16"/>
                <w:b w:val="1"/>
                <w:bCs w:val="1"/>
                <w:color w:val="auto"/>
              </w:rPr>
              <w:t>Three Months Ended June 30,</w:t>
            </w:r>
          </w:p>
        </w:tc>
        <w:tc>
          <w:tcPr>
            <w:tcW w:w="2840" w:type="dxa"/>
            <w:vAlign w:val="bottom"/>
            <w:gridSpan w:val="2"/>
          </w:tcPr>
          <w:p>
            <w:pPr>
              <w:jc w:val="right"/>
              <w:ind w:right="471"/>
              <w:spacing w:after="0"/>
              <w:rPr>
                <w:sz w:val="20"/>
                <w:szCs w:val="20"/>
                <w:color w:val="auto"/>
              </w:rPr>
            </w:pPr>
            <w:r>
              <w:rPr>
                <w:rFonts w:ascii="Arial" w:cs="Arial" w:eastAsia="Arial" w:hAnsi="Arial"/>
                <w:sz w:val="16"/>
                <w:szCs w:val="16"/>
                <w:b w:val="1"/>
                <w:bCs w:val="1"/>
                <w:color w:val="auto"/>
              </w:rPr>
              <w:t>Six Months Ended June 30,</w:t>
            </w:r>
          </w:p>
        </w:tc>
      </w:tr>
      <w:tr>
        <w:trPr>
          <w:trHeight w:val="33"/>
        </w:trPr>
        <w:tc>
          <w:tcPr>
            <w:tcW w:w="4460" w:type="dxa"/>
            <w:vAlign w:val="bottom"/>
            <w:tcBorders>
              <w:bottom w:val="single" w:sz="8" w:color="333333"/>
            </w:tcBorders>
          </w:tcPr>
          <w:p>
            <w:pPr>
              <w:spacing w:after="0"/>
              <w:rPr>
                <w:sz w:val="2"/>
                <w:szCs w:val="2"/>
                <w:color w:val="auto"/>
              </w:rPr>
            </w:pPr>
          </w:p>
        </w:tc>
        <w:tc>
          <w:tcPr>
            <w:tcW w:w="2520" w:type="dxa"/>
            <w:vAlign w:val="bottom"/>
            <w:tcBorders>
              <w:bottom w:val="single" w:sz="8" w:color="333333"/>
            </w:tcBorders>
          </w:tcPr>
          <w:p>
            <w:pPr>
              <w:spacing w:after="0"/>
              <w:rPr>
                <w:sz w:val="2"/>
                <w:szCs w:val="2"/>
                <w:color w:val="auto"/>
              </w:rPr>
            </w:pPr>
          </w:p>
        </w:tc>
        <w:tc>
          <w:tcPr>
            <w:tcW w:w="1600" w:type="dxa"/>
            <w:vAlign w:val="bottom"/>
            <w:tcBorders>
              <w:bottom w:val="single" w:sz="8" w:color="333333"/>
            </w:tcBorders>
          </w:tcPr>
          <w:p>
            <w:pPr>
              <w:spacing w:after="0"/>
              <w:rPr>
                <w:sz w:val="2"/>
                <w:szCs w:val="2"/>
                <w:color w:val="auto"/>
              </w:rPr>
            </w:pPr>
          </w:p>
        </w:tc>
        <w:tc>
          <w:tcPr>
            <w:tcW w:w="1580" w:type="dxa"/>
            <w:vAlign w:val="bottom"/>
            <w:tcBorders>
              <w:bottom w:val="single" w:sz="8" w:color="333333"/>
            </w:tcBorders>
          </w:tcPr>
          <w:p>
            <w:pPr>
              <w:spacing w:after="0"/>
              <w:rPr>
                <w:sz w:val="2"/>
                <w:szCs w:val="2"/>
                <w:color w:val="auto"/>
              </w:rPr>
            </w:pPr>
          </w:p>
        </w:tc>
        <w:tc>
          <w:tcPr>
            <w:tcW w:w="1260" w:type="dxa"/>
            <w:vAlign w:val="bottom"/>
            <w:tcBorders>
              <w:bottom w:val="single" w:sz="8" w:color="333333"/>
            </w:tcBorders>
          </w:tcPr>
          <w:p>
            <w:pPr>
              <w:spacing w:after="0"/>
              <w:rPr>
                <w:sz w:val="2"/>
                <w:szCs w:val="2"/>
                <w:color w:val="auto"/>
              </w:rPr>
            </w:pPr>
          </w:p>
        </w:tc>
      </w:tr>
      <w:tr>
        <w:trPr>
          <w:trHeight w:val="231"/>
        </w:trPr>
        <w:tc>
          <w:tcPr>
            <w:tcW w:w="4460" w:type="dxa"/>
            <w:vAlign w:val="bottom"/>
          </w:tcPr>
          <w:p>
            <w:pPr>
              <w:spacing w:after="0"/>
              <w:rPr>
                <w:sz w:val="20"/>
                <w:szCs w:val="20"/>
                <w:color w:val="auto"/>
              </w:rPr>
            </w:pPr>
          </w:p>
        </w:tc>
        <w:tc>
          <w:tcPr>
            <w:tcW w:w="2520" w:type="dxa"/>
            <w:vAlign w:val="bottom"/>
          </w:tcPr>
          <w:p>
            <w:pPr>
              <w:jc w:val="right"/>
              <w:ind w:right="831"/>
              <w:spacing w:after="0"/>
              <w:rPr>
                <w:sz w:val="20"/>
                <w:szCs w:val="20"/>
                <w:color w:val="auto"/>
              </w:rPr>
            </w:pPr>
            <w:r>
              <w:rPr>
                <w:rFonts w:ascii="Arial" w:cs="Arial" w:eastAsia="Arial" w:hAnsi="Arial"/>
                <w:sz w:val="16"/>
                <w:szCs w:val="16"/>
                <w:b w:val="1"/>
                <w:bCs w:val="1"/>
                <w:color w:val="auto"/>
              </w:rPr>
              <w:t>2014</w:t>
            </w:r>
          </w:p>
        </w:tc>
        <w:tc>
          <w:tcPr>
            <w:tcW w:w="1600" w:type="dxa"/>
            <w:vAlign w:val="bottom"/>
          </w:tcPr>
          <w:p>
            <w:pPr>
              <w:jc w:val="right"/>
              <w:ind w:right="811"/>
              <w:spacing w:after="0"/>
              <w:rPr>
                <w:sz w:val="20"/>
                <w:szCs w:val="20"/>
                <w:color w:val="auto"/>
              </w:rPr>
            </w:pPr>
            <w:r>
              <w:rPr>
                <w:rFonts w:ascii="Arial" w:cs="Arial" w:eastAsia="Arial" w:hAnsi="Arial"/>
                <w:sz w:val="16"/>
                <w:szCs w:val="16"/>
                <w:b w:val="1"/>
                <w:bCs w:val="1"/>
                <w:color w:val="auto"/>
              </w:rPr>
              <w:t>2013</w:t>
            </w:r>
          </w:p>
        </w:tc>
        <w:tc>
          <w:tcPr>
            <w:tcW w:w="1580" w:type="dxa"/>
            <w:vAlign w:val="bottom"/>
          </w:tcPr>
          <w:p>
            <w:pPr>
              <w:jc w:val="right"/>
              <w:ind w:right="791"/>
              <w:spacing w:after="0"/>
              <w:rPr>
                <w:sz w:val="20"/>
                <w:szCs w:val="20"/>
                <w:color w:val="auto"/>
              </w:rPr>
            </w:pPr>
            <w:r>
              <w:rPr>
                <w:rFonts w:ascii="Arial" w:cs="Arial" w:eastAsia="Arial" w:hAnsi="Arial"/>
                <w:sz w:val="16"/>
                <w:szCs w:val="16"/>
                <w:b w:val="1"/>
                <w:bCs w:val="1"/>
                <w:color w:val="auto"/>
              </w:rPr>
              <w:t>2014</w:t>
            </w:r>
          </w:p>
        </w:tc>
        <w:tc>
          <w:tcPr>
            <w:tcW w:w="1260" w:type="dxa"/>
            <w:vAlign w:val="bottom"/>
          </w:tcPr>
          <w:p>
            <w:pPr>
              <w:jc w:val="right"/>
              <w:ind w:right="471"/>
              <w:spacing w:after="0"/>
              <w:rPr>
                <w:sz w:val="20"/>
                <w:szCs w:val="20"/>
                <w:color w:val="auto"/>
              </w:rPr>
            </w:pPr>
            <w:r>
              <w:rPr>
                <w:rFonts w:ascii="Arial" w:cs="Arial" w:eastAsia="Arial" w:hAnsi="Arial"/>
                <w:sz w:val="16"/>
                <w:szCs w:val="16"/>
                <w:b w:val="1"/>
                <w:bCs w:val="1"/>
                <w:color w:val="auto"/>
              </w:rPr>
              <w:t>2013</w:t>
            </w:r>
          </w:p>
        </w:tc>
      </w:tr>
      <w:tr>
        <w:trPr>
          <w:trHeight w:val="40"/>
        </w:trPr>
        <w:tc>
          <w:tcPr>
            <w:tcW w:w="4460" w:type="dxa"/>
            <w:vAlign w:val="bottom"/>
            <w:tcBorders>
              <w:bottom w:val="single" w:sz="8" w:color="333333"/>
            </w:tcBorders>
          </w:tcPr>
          <w:p>
            <w:pPr>
              <w:spacing w:after="0"/>
              <w:rPr>
                <w:sz w:val="3"/>
                <w:szCs w:val="3"/>
                <w:color w:val="auto"/>
              </w:rPr>
            </w:pPr>
          </w:p>
        </w:tc>
        <w:tc>
          <w:tcPr>
            <w:tcW w:w="2520" w:type="dxa"/>
            <w:vAlign w:val="bottom"/>
            <w:tcBorders>
              <w:bottom w:val="single" w:sz="8" w:color="333333"/>
            </w:tcBorders>
          </w:tcPr>
          <w:p>
            <w:pPr>
              <w:spacing w:after="0"/>
              <w:rPr>
                <w:sz w:val="3"/>
                <w:szCs w:val="3"/>
                <w:color w:val="auto"/>
              </w:rPr>
            </w:pPr>
          </w:p>
        </w:tc>
        <w:tc>
          <w:tcPr>
            <w:tcW w:w="1600" w:type="dxa"/>
            <w:vAlign w:val="bottom"/>
            <w:tcBorders>
              <w:bottom w:val="single" w:sz="8" w:color="333333"/>
            </w:tcBorders>
          </w:tcPr>
          <w:p>
            <w:pPr>
              <w:spacing w:after="0"/>
              <w:rPr>
                <w:sz w:val="3"/>
                <w:szCs w:val="3"/>
                <w:color w:val="auto"/>
              </w:rPr>
            </w:pPr>
          </w:p>
        </w:tc>
        <w:tc>
          <w:tcPr>
            <w:tcW w:w="1580" w:type="dxa"/>
            <w:vAlign w:val="bottom"/>
            <w:tcBorders>
              <w:bottom w:val="single" w:sz="8" w:color="333333"/>
            </w:tcBorders>
          </w:tcPr>
          <w:p>
            <w:pPr>
              <w:spacing w:after="0"/>
              <w:rPr>
                <w:sz w:val="3"/>
                <w:szCs w:val="3"/>
                <w:color w:val="auto"/>
              </w:rPr>
            </w:pPr>
          </w:p>
        </w:tc>
        <w:tc>
          <w:tcPr>
            <w:tcW w:w="1260" w:type="dxa"/>
            <w:vAlign w:val="bottom"/>
            <w:tcBorders>
              <w:bottom w:val="single" w:sz="8" w:color="333333"/>
            </w:tcBorders>
          </w:tcPr>
          <w:p>
            <w:pPr>
              <w:spacing w:after="0"/>
              <w:rPr>
                <w:sz w:val="3"/>
                <w:szCs w:val="3"/>
                <w:color w:val="auto"/>
              </w:rPr>
            </w:pPr>
          </w:p>
        </w:tc>
      </w:tr>
      <w:tr>
        <w:trPr>
          <w:trHeight w:val="250"/>
        </w:trPr>
        <w:tc>
          <w:tcPr>
            <w:tcW w:w="4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(Dollars in millions, except per share data)</w:t>
            </w:r>
          </w:p>
        </w:tc>
        <w:tc>
          <w:tcPr>
            <w:tcW w:w="252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r>
      <w:tr>
        <w:trPr>
          <w:trHeight w:val="243"/>
        </w:trPr>
        <w:tc>
          <w:tcPr>
            <w:tcW w:w="4460" w:type="dxa"/>
            <w:vAlign w:val="bottom"/>
          </w:tcPr>
          <w:p>
            <w:pPr>
              <w:ind w:left="40"/>
              <w:spacing w:after="0"/>
              <w:rPr>
                <w:sz w:val="20"/>
                <w:szCs w:val="20"/>
                <w:color w:val="auto"/>
              </w:rPr>
            </w:pPr>
            <w:r>
              <w:rPr>
                <w:rFonts w:ascii="Arial" w:cs="Arial" w:eastAsia="Arial" w:hAnsi="Arial"/>
                <w:sz w:val="18"/>
                <w:szCs w:val="18"/>
                <w:color w:val="auto"/>
              </w:rPr>
              <w:t>Net sales</w:t>
            </w:r>
          </w:p>
        </w:tc>
        <w:tc>
          <w:tcPr>
            <w:tcW w:w="2520" w:type="dxa"/>
            <w:vAlign w:val="bottom"/>
          </w:tcPr>
          <w:p>
            <w:pPr>
              <w:jc w:val="right"/>
              <w:ind w:right="351"/>
              <w:spacing w:after="0"/>
              <w:rPr>
                <w:sz w:val="20"/>
                <w:szCs w:val="20"/>
                <w:color w:val="auto"/>
              </w:rPr>
            </w:pPr>
            <w:r>
              <w:rPr>
                <w:rFonts w:ascii="Arial" w:cs="Arial" w:eastAsia="Arial" w:hAnsi="Arial"/>
                <w:sz w:val="18"/>
                <w:szCs w:val="18"/>
                <w:b w:val="1"/>
                <w:bCs w:val="1"/>
                <w:color w:val="auto"/>
              </w:rPr>
              <w:t>$442.2</w:t>
            </w:r>
          </w:p>
        </w:tc>
        <w:tc>
          <w:tcPr>
            <w:tcW w:w="1600" w:type="dxa"/>
            <w:vAlign w:val="bottom"/>
          </w:tcPr>
          <w:p>
            <w:pPr>
              <w:jc w:val="right"/>
              <w:ind w:right="331"/>
              <w:spacing w:after="0"/>
              <w:rPr>
                <w:sz w:val="20"/>
                <w:szCs w:val="20"/>
                <w:color w:val="auto"/>
              </w:rPr>
            </w:pPr>
            <w:r>
              <w:rPr>
                <w:rFonts w:ascii="Arial" w:cs="Arial" w:eastAsia="Arial" w:hAnsi="Arial"/>
                <w:sz w:val="18"/>
                <w:szCs w:val="18"/>
                <w:color w:val="auto"/>
              </w:rPr>
              <w:t>$354.1</w:t>
            </w:r>
          </w:p>
        </w:tc>
        <w:tc>
          <w:tcPr>
            <w:tcW w:w="1580" w:type="dxa"/>
            <w:vAlign w:val="bottom"/>
          </w:tcPr>
          <w:p>
            <w:pPr>
              <w:jc w:val="right"/>
              <w:ind w:right="331"/>
              <w:spacing w:after="0"/>
              <w:rPr>
                <w:sz w:val="20"/>
                <w:szCs w:val="20"/>
                <w:color w:val="auto"/>
              </w:rPr>
            </w:pPr>
            <w:r>
              <w:rPr>
                <w:rFonts w:ascii="Arial" w:cs="Arial" w:eastAsia="Arial" w:hAnsi="Arial"/>
                <w:sz w:val="18"/>
                <w:szCs w:val="18"/>
                <w:b w:val="1"/>
                <w:bCs w:val="1"/>
                <w:color w:val="auto"/>
              </w:rPr>
              <w:t>$831.7</w:t>
            </w: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$700.4</w:t>
            </w:r>
          </w:p>
        </w:tc>
      </w:tr>
      <w:tr>
        <w:trPr>
          <w:trHeight w:val="27"/>
        </w:trPr>
        <w:tc>
          <w:tcPr>
            <w:tcW w:w="4460" w:type="dxa"/>
            <w:vAlign w:val="bottom"/>
          </w:tcPr>
          <w:p>
            <w:pPr>
              <w:spacing w:after="0"/>
              <w:rPr>
                <w:sz w:val="2"/>
                <w:szCs w:val="2"/>
                <w:color w:val="auto"/>
              </w:rPr>
            </w:pPr>
          </w:p>
        </w:tc>
        <w:tc>
          <w:tcPr>
            <w:tcW w:w="25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75"/>
        </w:trPr>
        <w:tc>
          <w:tcPr>
            <w:tcW w:w="4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Cost of products sold</w:t>
            </w:r>
          </w:p>
        </w:tc>
        <w:tc>
          <w:tcPr>
            <w:tcW w:w="2520" w:type="dxa"/>
            <w:vAlign w:val="bottom"/>
            <w:tcBorders>
              <w:bottom w:val="single" w:sz="8" w:color="CCEEFF"/>
            </w:tcBorders>
            <w:shd w:val="clear" w:color="auto" w:fill="CCEEFF"/>
          </w:tcPr>
          <w:p>
            <w:pPr>
              <w:jc w:val="right"/>
              <w:ind w:right="351"/>
              <w:spacing w:after="0"/>
              <w:rPr>
                <w:sz w:val="20"/>
                <w:szCs w:val="20"/>
                <w:color w:val="auto"/>
              </w:rPr>
            </w:pPr>
            <w:r>
              <w:rPr>
                <w:rFonts w:ascii="Arial" w:cs="Arial" w:eastAsia="Arial" w:hAnsi="Arial"/>
                <w:sz w:val="18"/>
                <w:szCs w:val="18"/>
                <w:b w:val="1"/>
                <w:bCs w:val="1"/>
                <w:color w:val="auto"/>
              </w:rPr>
              <w:t>369.5</w:t>
            </w:r>
          </w:p>
        </w:tc>
        <w:tc>
          <w:tcPr>
            <w:tcW w:w="1600" w:type="dxa"/>
            <w:vAlign w:val="bottom"/>
            <w:tcBorders>
              <w:bottom w:val="single" w:sz="8" w:color="CCEEFF"/>
            </w:tcBorders>
            <w:shd w:val="clear" w:color="auto" w:fill="CCEEFF"/>
          </w:tcPr>
          <w:p>
            <w:pPr>
              <w:jc w:val="right"/>
              <w:ind w:right="331"/>
              <w:spacing w:after="0"/>
              <w:rPr>
                <w:sz w:val="20"/>
                <w:szCs w:val="20"/>
                <w:color w:val="auto"/>
              </w:rPr>
            </w:pPr>
            <w:r>
              <w:rPr>
                <w:rFonts w:ascii="Arial" w:cs="Arial" w:eastAsia="Arial" w:hAnsi="Arial"/>
                <w:sz w:val="18"/>
                <w:szCs w:val="18"/>
                <w:color w:val="auto"/>
              </w:rPr>
              <w:t>291.5</w:t>
            </w:r>
          </w:p>
        </w:tc>
        <w:tc>
          <w:tcPr>
            <w:tcW w:w="1580" w:type="dxa"/>
            <w:vAlign w:val="bottom"/>
            <w:tcBorders>
              <w:bottom w:val="single" w:sz="8" w:color="CCEEFF"/>
            </w:tcBorders>
            <w:shd w:val="clear" w:color="auto" w:fill="CCEEFF"/>
          </w:tcPr>
          <w:p>
            <w:pPr>
              <w:jc w:val="right"/>
              <w:ind w:right="331"/>
              <w:spacing w:after="0"/>
              <w:rPr>
                <w:sz w:val="20"/>
                <w:szCs w:val="20"/>
                <w:color w:val="auto"/>
              </w:rPr>
            </w:pPr>
            <w:r>
              <w:rPr>
                <w:rFonts w:ascii="Arial" w:cs="Arial" w:eastAsia="Arial" w:hAnsi="Arial"/>
                <w:sz w:val="18"/>
                <w:szCs w:val="18"/>
                <w:b w:val="1"/>
                <w:bCs w:val="1"/>
                <w:color w:val="auto"/>
              </w:rPr>
              <w:t>685.5</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583.1</w:t>
            </w:r>
          </w:p>
        </w:tc>
      </w:tr>
      <w:tr>
        <w:trPr>
          <w:trHeight w:val="237"/>
        </w:trPr>
        <w:tc>
          <w:tcPr>
            <w:tcW w:w="4460" w:type="dxa"/>
            <w:vAlign w:val="bottom"/>
            <w:tcBorders>
              <w:top w:val="single" w:sz="8" w:color="333333"/>
            </w:tcBorders>
          </w:tcPr>
          <w:p>
            <w:pPr>
              <w:ind w:left="360"/>
              <w:spacing w:after="0"/>
              <w:rPr>
                <w:sz w:val="20"/>
                <w:szCs w:val="20"/>
                <w:color w:val="auto"/>
              </w:rPr>
            </w:pPr>
            <w:r>
              <w:rPr>
                <w:rFonts w:ascii="Arial" w:cs="Arial" w:eastAsia="Arial" w:hAnsi="Arial"/>
                <w:sz w:val="18"/>
                <w:szCs w:val="18"/>
                <w:b w:val="1"/>
                <w:bCs w:val="1"/>
                <w:color w:val="auto"/>
              </w:rPr>
              <w:t>Gross Profit</w:t>
            </w:r>
          </w:p>
        </w:tc>
        <w:tc>
          <w:tcPr>
            <w:tcW w:w="2520" w:type="dxa"/>
            <w:vAlign w:val="bottom"/>
            <w:tcBorders>
              <w:top w:val="single" w:sz="8" w:color="333333"/>
            </w:tcBorders>
          </w:tcPr>
          <w:p>
            <w:pPr>
              <w:jc w:val="right"/>
              <w:ind w:right="351"/>
              <w:spacing w:after="0"/>
              <w:rPr>
                <w:sz w:val="20"/>
                <w:szCs w:val="20"/>
                <w:color w:val="auto"/>
              </w:rPr>
            </w:pPr>
            <w:r>
              <w:rPr>
                <w:rFonts w:ascii="Arial" w:cs="Arial" w:eastAsia="Arial" w:hAnsi="Arial"/>
                <w:sz w:val="18"/>
                <w:szCs w:val="18"/>
                <w:b w:val="1"/>
                <w:bCs w:val="1"/>
                <w:color w:val="auto"/>
              </w:rPr>
              <w:t>72.7</w:t>
            </w:r>
          </w:p>
        </w:tc>
        <w:tc>
          <w:tcPr>
            <w:tcW w:w="1600" w:type="dxa"/>
            <w:vAlign w:val="bottom"/>
            <w:tcBorders>
              <w:top w:val="single" w:sz="8" w:color="333333"/>
            </w:tcBorders>
          </w:tcPr>
          <w:p>
            <w:pPr>
              <w:jc w:val="right"/>
              <w:ind w:right="331"/>
              <w:spacing w:after="0"/>
              <w:rPr>
                <w:sz w:val="20"/>
                <w:szCs w:val="20"/>
                <w:color w:val="auto"/>
              </w:rPr>
            </w:pPr>
            <w:r>
              <w:rPr>
                <w:rFonts w:ascii="Arial" w:cs="Arial" w:eastAsia="Arial" w:hAnsi="Arial"/>
                <w:sz w:val="18"/>
                <w:szCs w:val="18"/>
                <w:color w:val="auto"/>
              </w:rPr>
              <w:t>62.6</w:t>
            </w:r>
          </w:p>
        </w:tc>
        <w:tc>
          <w:tcPr>
            <w:tcW w:w="1580" w:type="dxa"/>
            <w:vAlign w:val="bottom"/>
            <w:tcBorders>
              <w:top w:val="single" w:sz="8" w:color="333333"/>
            </w:tcBorders>
          </w:tcPr>
          <w:p>
            <w:pPr>
              <w:jc w:val="right"/>
              <w:ind w:right="331"/>
              <w:spacing w:after="0"/>
              <w:rPr>
                <w:sz w:val="20"/>
                <w:szCs w:val="20"/>
                <w:color w:val="auto"/>
              </w:rPr>
            </w:pPr>
            <w:r>
              <w:rPr>
                <w:rFonts w:ascii="Arial" w:cs="Arial" w:eastAsia="Arial" w:hAnsi="Arial"/>
                <w:sz w:val="18"/>
                <w:szCs w:val="18"/>
                <w:b w:val="1"/>
                <w:bCs w:val="1"/>
                <w:color w:val="auto"/>
              </w:rPr>
              <w:t>146.2</w:t>
            </w:r>
          </w:p>
        </w:tc>
        <w:tc>
          <w:tcPr>
            <w:tcW w:w="1260" w:type="dxa"/>
            <w:vAlign w:val="bottom"/>
            <w:tcBorders>
              <w:top w:val="single" w:sz="8" w:color="333333"/>
            </w:tcBorders>
          </w:tcPr>
          <w:p>
            <w:pPr>
              <w:jc w:val="right"/>
              <w:ind w:right="11"/>
              <w:spacing w:after="0"/>
              <w:rPr>
                <w:sz w:val="20"/>
                <w:szCs w:val="20"/>
                <w:color w:val="auto"/>
              </w:rPr>
            </w:pPr>
            <w:r>
              <w:rPr>
                <w:rFonts w:ascii="Arial" w:cs="Arial" w:eastAsia="Arial" w:hAnsi="Arial"/>
                <w:sz w:val="18"/>
                <w:szCs w:val="18"/>
                <w:color w:val="auto"/>
              </w:rPr>
              <w:t>117.3</w:t>
            </w:r>
          </w:p>
        </w:tc>
      </w:tr>
      <w:tr>
        <w:trPr>
          <w:trHeight w:val="27"/>
        </w:trPr>
        <w:tc>
          <w:tcPr>
            <w:tcW w:w="4460" w:type="dxa"/>
            <w:vAlign w:val="bottom"/>
          </w:tcPr>
          <w:p>
            <w:pPr>
              <w:spacing w:after="0"/>
              <w:rPr>
                <w:sz w:val="2"/>
                <w:szCs w:val="2"/>
                <w:color w:val="auto"/>
              </w:rPr>
            </w:pPr>
          </w:p>
        </w:tc>
        <w:tc>
          <w:tcPr>
            <w:tcW w:w="25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324"/>
        </w:trPr>
        <w:tc>
          <w:tcPr>
            <w:tcW w:w="4460" w:type="dxa"/>
            <w:vAlign w:val="bottom"/>
            <w:shd w:val="clear" w:color="auto" w:fill="CCEEFF"/>
          </w:tcPr>
          <w:p>
            <w:pPr>
              <w:spacing w:after="0"/>
              <w:rPr>
                <w:sz w:val="24"/>
                <w:szCs w:val="24"/>
                <w:color w:val="auto"/>
              </w:rPr>
            </w:pPr>
          </w:p>
        </w:tc>
        <w:tc>
          <w:tcPr>
            <w:tcW w:w="2520" w:type="dxa"/>
            <w:vAlign w:val="bottom"/>
            <w:shd w:val="clear" w:color="auto" w:fill="CCEEFF"/>
          </w:tcPr>
          <w:p>
            <w:pPr>
              <w:spacing w:after="0"/>
              <w:rPr>
                <w:sz w:val="24"/>
                <w:szCs w:val="24"/>
                <w:color w:val="auto"/>
              </w:rPr>
            </w:pPr>
          </w:p>
        </w:tc>
        <w:tc>
          <w:tcPr>
            <w:tcW w:w="1600" w:type="dxa"/>
            <w:vAlign w:val="bottom"/>
            <w:shd w:val="clear" w:color="auto" w:fill="CCEEFF"/>
          </w:tcPr>
          <w:p>
            <w:pPr>
              <w:spacing w:after="0"/>
              <w:rPr>
                <w:sz w:val="24"/>
                <w:szCs w:val="24"/>
                <w:color w:val="auto"/>
              </w:rPr>
            </w:pPr>
          </w:p>
        </w:tc>
        <w:tc>
          <w:tcPr>
            <w:tcW w:w="158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r>
      <w:tr>
        <w:trPr>
          <w:trHeight w:val="243"/>
        </w:trPr>
        <w:tc>
          <w:tcPr>
            <w:tcW w:w="4460" w:type="dxa"/>
            <w:vAlign w:val="bottom"/>
          </w:tcPr>
          <w:p>
            <w:pPr>
              <w:ind w:left="40"/>
              <w:spacing w:after="0"/>
              <w:rPr>
                <w:sz w:val="20"/>
                <w:szCs w:val="20"/>
                <w:color w:val="auto"/>
              </w:rPr>
            </w:pPr>
            <w:r>
              <w:rPr>
                <w:rFonts w:ascii="Arial" w:cs="Arial" w:eastAsia="Arial" w:hAnsi="Arial"/>
                <w:sz w:val="18"/>
                <w:szCs w:val="18"/>
                <w:color w:val="auto"/>
              </w:rPr>
              <w:t>Selling, general and administrative expenses</w:t>
            </w:r>
          </w:p>
        </w:tc>
        <w:tc>
          <w:tcPr>
            <w:tcW w:w="2520" w:type="dxa"/>
            <w:vAlign w:val="bottom"/>
          </w:tcPr>
          <w:p>
            <w:pPr>
              <w:jc w:val="right"/>
              <w:ind w:right="351"/>
              <w:spacing w:after="0"/>
              <w:rPr>
                <w:sz w:val="20"/>
                <w:szCs w:val="20"/>
                <w:color w:val="auto"/>
              </w:rPr>
            </w:pPr>
            <w:r>
              <w:rPr>
                <w:rFonts w:ascii="Arial" w:cs="Arial" w:eastAsia="Arial" w:hAnsi="Arial"/>
                <w:sz w:val="18"/>
                <w:szCs w:val="18"/>
                <w:b w:val="1"/>
                <w:bCs w:val="1"/>
                <w:color w:val="auto"/>
              </w:rPr>
              <w:t>26.1</w:t>
            </w:r>
          </w:p>
        </w:tc>
        <w:tc>
          <w:tcPr>
            <w:tcW w:w="1600" w:type="dxa"/>
            <w:vAlign w:val="bottom"/>
          </w:tcPr>
          <w:p>
            <w:pPr>
              <w:jc w:val="right"/>
              <w:ind w:right="331"/>
              <w:spacing w:after="0"/>
              <w:rPr>
                <w:sz w:val="20"/>
                <w:szCs w:val="20"/>
                <w:color w:val="auto"/>
              </w:rPr>
            </w:pPr>
            <w:r>
              <w:rPr>
                <w:rFonts w:ascii="Arial" w:cs="Arial" w:eastAsia="Arial" w:hAnsi="Arial"/>
                <w:sz w:val="18"/>
                <w:szCs w:val="18"/>
                <w:color w:val="auto"/>
              </w:rPr>
              <w:t>23.7</w:t>
            </w:r>
          </w:p>
        </w:tc>
        <w:tc>
          <w:tcPr>
            <w:tcW w:w="1580" w:type="dxa"/>
            <w:vAlign w:val="bottom"/>
          </w:tcPr>
          <w:p>
            <w:pPr>
              <w:jc w:val="right"/>
              <w:ind w:right="331"/>
              <w:spacing w:after="0"/>
              <w:rPr>
                <w:sz w:val="20"/>
                <w:szCs w:val="20"/>
                <w:color w:val="auto"/>
              </w:rPr>
            </w:pPr>
            <w:r>
              <w:rPr>
                <w:rFonts w:ascii="Arial" w:cs="Arial" w:eastAsia="Arial" w:hAnsi="Arial"/>
                <w:sz w:val="18"/>
                <w:szCs w:val="18"/>
                <w:b w:val="1"/>
                <w:bCs w:val="1"/>
                <w:color w:val="auto"/>
              </w:rPr>
              <w:t>50.4</w:t>
            </w: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46.1</w:t>
            </w:r>
          </w:p>
        </w:tc>
      </w:tr>
      <w:tr>
        <w:trPr>
          <w:trHeight w:val="27"/>
        </w:trPr>
        <w:tc>
          <w:tcPr>
            <w:tcW w:w="4460" w:type="dxa"/>
            <w:vAlign w:val="bottom"/>
            <w:tcBorders>
              <w:bottom w:val="single" w:sz="8" w:color="333333"/>
            </w:tcBorders>
          </w:tcPr>
          <w:p>
            <w:pPr>
              <w:spacing w:after="0"/>
              <w:rPr>
                <w:sz w:val="2"/>
                <w:szCs w:val="2"/>
                <w:color w:val="auto"/>
              </w:rPr>
            </w:pPr>
          </w:p>
        </w:tc>
        <w:tc>
          <w:tcPr>
            <w:tcW w:w="2520" w:type="dxa"/>
            <w:vAlign w:val="bottom"/>
            <w:tcBorders>
              <w:bottom w:val="single" w:sz="8" w:color="333333"/>
            </w:tcBorders>
          </w:tcPr>
          <w:p>
            <w:pPr>
              <w:spacing w:after="0"/>
              <w:rPr>
                <w:sz w:val="2"/>
                <w:szCs w:val="2"/>
                <w:color w:val="auto"/>
              </w:rPr>
            </w:pPr>
          </w:p>
        </w:tc>
        <w:tc>
          <w:tcPr>
            <w:tcW w:w="1600" w:type="dxa"/>
            <w:vAlign w:val="bottom"/>
            <w:tcBorders>
              <w:bottom w:val="single" w:sz="8" w:color="333333"/>
            </w:tcBorders>
          </w:tcPr>
          <w:p>
            <w:pPr>
              <w:spacing w:after="0"/>
              <w:rPr>
                <w:sz w:val="2"/>
                <w:szCs w:val="2"/>
                <w:color w:val="auto"/>
              </w:rPr>
            </w:pPr>
          </w:p>
        </w:tc>
        <w:tc>
          <w:tcPr>
            <w:tcW w:w="1580" w:type="dxa"/>
            <w:vAlign w:val="bottom"/>
            <w:tcBorders>
              <w:bottom w:val="single" w:sz="8" w:color="333333"/>
            </w:tcBorders>
          </w:tcPr>
          <w:p>
            <w:pPr>
              <w:spacing w:after="0"/>
              <w:rPr>
                <w:sz w:val="2"/>
                <w:szCs w:val="2"/>
                <w:color w:val="auto"/>
              </w:rPr>
            </w:pPr>
          </w:p>
        </w:tc>
        <w:tc>
          <w:tcPr>
            <w:tcW w:w="1260" w:type="dxa"/>
            <w:vAlign w:val="bottom"/>
            <w:tcBorders>
              <w:bottom w:val="single" w:sz="8" w:color="333333"/>
            </w:tcBorders>
          </w:tcPr>
          <w:p>
            <w:pPr>
              <w:spacing w:after="0"/>
              <w:rPr>
                <w:sz w:val="2"/>
                <w:szCs w:val="2"/>
                <w:color w:val="auto"/>
              </w:rPr>
            </w:pPr>
          </w:p>
        </w:tc>
      </w:tr>
      <w:tr>
        <w:trPr>
          <w:trHeight w:val="244"/>
        </w:trPr>
        <w:tc>
          <w:tcPr>
            <w:tcW w:w="44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b w:val="1"/>
                <w:bCs w:val="1"/>
                <w:color w:val="auto"/>
              </w:rPr>
              <w:t>Operating Income</w:t>
            </w:r>
          </w:p>
        </w:tc>
        <w:tc>
          <w:tcPr>
            <w:tcW w:w="2520" w:type="dxa"/>
            <w:vAlign w:val="bottom"/>
            <w:tcBorders>
              <w:bottom w:val="single" w:sz="8" w:color="CCEEFF"/>
            </w:tcBorders>
            <w:shd w:val="clear" w:color="auto" w:fill="CCEEFF"/>
          </w:tcPr>
          <w:p>
            <w:pPr>
              <w:jc w:val="right"/>
              <w:ind w:right="351"/>
              <w:spacing w:after="0"/>
              <w:rPr>
                <w:sz w:val="20"/>
                <w:szCs w:val="20"/>
                <w:color w:val="auto"/>
              </w:rPr>
            </w:pPr>
            <w:r>
              <w:rPr>
                <w:rFonts w:ascii="Arial" w:cs="Arial" w:eastAsia="Arial" w:hAnsi="Arial"/>
                <w:sz w:val="18"/>
                <w:szCs w:val="18"/>
                <w:b w:val="1"/>
                <w:bCs w:val="1"/>
                <w:color w:val="auto"/>
              </w:rPr>
              <w:t>46.6</w:t>
            </w:r>
          </w:p>
        </w:tc>
        <w:tc>
          <w:tcPr>
            <w:tcW w:w="1600" w:type="dxa"/>
            <w:vAlign w:val="bottom"/>
            <w:tcBorders>
              <w:bottom w:val="single" w:sz="8" w:color="CCEEFF"/>
            </w:tcBorders>
            <w:shd w:val="clear" w:color="auto" w:fill="CCEEFF"/>
          </w:tcPr>
          <w:p>
            <w:pPr>
              <w:jc w:val="right"/>
              <w:ind w:right="331"/>
              <w:spacing w:after="0"/>
              <w:rPr>
                <w:sz w:val="20"/>
                <w:szCs w:val="20"/>
                <w:color w:val="auto"/>
              </w:rPr>
            </w:pPr>
            <w:r>
              <w:rPr>
                <w:rFonts w:ascii="Arial" w:cs="Arial" w:eastAsia="Arial" w:hAnsi="Arial"/>
                <w:sz w:val="18"/>
                <w:szCs w:val="18"/>
                <w:color w:val="auto"/>
              </w:rPr>
              <w:t>38.9</w:t>
            </w:r>
          </w:p>
        </w:tc>
        <w:tc>
          <w:tcPr>
            <w:tcW w:w="1580" w:type="dxa"/>
            <w:vAlign w:val="bottom"/>
            <w:tcBorders>
              <w:bottom w:val="single" w:sz="8" w:color="CCEEFF"/>
            </w:tcBorders>
            <w:shd w:val="clear" w:color="auto" w:fill="CCEEFF"/>
          </w:tcPr>
          <w:p>
            <w:pPr>
              <w:jc w:val="right"/>
              <w:ind w:right="331"/>
              <w:spacing w:after="0"/>
              <w:rPr>
                <w:sz w:val="20"/>
                <w:szCs w:val="20"/>
                <w:color w:val="auto"/>
              </w:rPr>
            </w:pPr>
            <w:r>
              <w:rPr>
                <w:rFonts w:ascii="Arial" w:cs="Arial" w:eastAsia="Arial" w:hAnsi="Arial"/>
                <w:sz w:val="18"/>
                <w:szCs w:val="18"/>
                <w:b w:val="1"/>
                <w:bCs w:val="1"/>
                <w:color w:val="auto"/>
              </w:rPr>
              <w:t>95.8</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71.2</w:t>
            </w:r>
          </w:p>
        </w:tc>
      </w:tr>
      <w:tr>
        <w:trPr>
          <w:trHeight w:val="324"/>
        </w:trPr>
        <w:tc>
          <w:tcPr>
            <w:tcW w:w="446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260" w:type="dxa"/>
            <w:vAlign w:val="bottom"/>
          </w:tcPr>
          <w:p>
            <w:pPr>
              <w:spacing w:after="0"/>
              <w:rPr>
                <w:sz w:val="24"/>
                <w:szCs w:val="24"/>
                <w:color w:val="auto"/>
              </w:rPr>
            </w:pPr>
          </w:p>
        </w:tc>
      </w:tr>
      <w:tr>
        <w:trPr>
          <w:trHeight w:val="250"/>
        </w:trPr>
        <w:tc>
          <w:tcPr>
            <w:tcW w:w="4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expense</w:t>
            </w:r>
          </w:p>
        </w:tc>
        <w:tc>
          <w:tcPr>
            <w:tcW w:w="2520" w:type="dxa"/>
            <w:vAlign w:val="bottom"/>
            <w:tcBorders>
              <w:bottom w:val="single" w:sz="8" w:color="CCEEFF"/>
            </w:tcBorders>
            <w:shd w:val="clear" w:color="auto" w:fill="CCEEFF"/>
          </w:tcPr>
          <w:p>
            <w:pPr>
              <w:jc w:val="right"/>
              <w:ind w:right="291"/>
              <w:spacing w:after="0"/>
              <w:rPr>
                <w:sz w:val="20"/>
                <w:szCs w:val="20"/>
                <w:color w:val="auto"/>
              </w:rPr>
            </w:pPr>
            <w:r>
              <w:rPr>
                <w:rFonts w:ascii="Arial" w:cs="Arial" w:eastAsia="Arial" w:hAnsi="Arial"/>
                <w:sz w:val="18"/>
                <w:szCs w:val="18"/>
                <w:b w:val="1"/>
                <w:bCs w:val="1"/>
                <w:color w:val="auto"/>
              </w:rPr>
              <w:t>(0.7)</w:t>
            </w:r>
          </w:p>
        </w:tc>
        <w:tc>
          <w:tcPr>
            <w:tcW w:w="1600" w:type="dxa"/>
            <w:vAlign w:val="bottom"/>
            <w:tcBorders>
              <w:bottom w:val="single" w:sz="8" w:color="CCEEFF"/>
            </w:tcBorders>
            <w:shd w:val="clear" w:color="auto" w:fill="CCEEFF"/>
          </w:tcPr>
          <w:p>
            <w:pPr>
              <w:jc w:val="right"/>
              <w:ind w:right="331"/>
              <w:spacing w:after="0"/>
              <w:rPr>
                <w:sz w:val="20"/>
                <w:szCs w:val="20"/>
                <w:color w:val="auto"/>
              </w:rPr>
            </w:pPr>
            <w:r>
              <w:rPr>
                <w:rFonts w:ascii="Arial" w:cs="Arial" w:eastAsia="Arial" w:hAnsi="Arial"/>
                <w:sz w:val="18"/>
                <w:szCs w:val="18"/>
                <w:color w:val="auto"/>
              </w:rPr>
              <w:t>—</w:t>
            </w:r>
          </w:p>
        </w:tc>
        <w:tc>
          <w:tcPr>
            <w:tcW w:w="1580" w:type="dxa"/>
            <w:vAlign w:val="bottom"/>
            <w:tcBorders>
              <w:bottom w:val="single" w:sz="8" w:color="CCEEFF"/>
            </w:tcBorders>
            <w:shd w:val="clear" w:color="auto" w:fill="CCEEFF"/>
          </w:tcPr>
          <w:p>
            <w:pPr>
              <w:jc w:val="right"/>
              <w:ind w:right="271"/>
              <w:spacing w:after="0"/>
              <w:rPr>
                <w:sz w:val="20"/>
                <w:szCs w:val="20"/>
                <w:color w:val="auto"/>
              </w:rPr>
            </w:pPr>
            <w:r>
              <w:rPr>
                <w:rFonts w:ascii="Arial" w:cs="Arial" w:eastAsia="Arial" w:hAnsi="Arial"/>
                <w:sz w:val="18"/>
                <w:szCs w:val="18"/>
                <w:b w:val="1"/>
                <w:bCs w:val="1"/>
                <w:color w:val="auto"/>
              </w:rPr>
              <w:t>(0.7)</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4460" w:type="dxa"/>
            <w:vAlign w:val="bottom"/>
          </w:tcPr>
          <w:p>
            <w:pPr>
              <w:ind w:left="40"/>
              <w:spacing w:after="0"/>
              <w:rPr>
                <w:sz w:val="20"/>
                <w:szCs w:val="20"/>
                <w:color w:val="auto"/>
              </w:rPr>
            </w:pPr>
            <w:r>
              <w:rPr>
                <w:rFonts w:ascii="Arial" w:cs="Arial" w:eastAsia="Arial" w:hAnsi="Arial"/>
                <w:sz w:val="18"/>
                <w:szCs w:val="18"/>
                <w:color w:val="auto"/>
              </w:rPr>
              <w:t>Other (expense) income, net</w:t>
            </w:r>
          </w:p>
        </w:tc>
        <w:tc>
          <w:tcPr>
            <w:tcW w:w="2520" w:type="dxa"/>
            <w:vAlign w:val="bottom"/>
          </w:tcPr>
          <w:p>
            <w:pPr>
              <w:jc w:val="right"/>
              <w:ind w:right="291"/>
              <w:spacing w:after="0"/>
              <w:rPr>
                <w:sz w:val="20"/>
                <w:szCs w:val="20"/>
                <w:color w:val="auto"/>
              </w:rPr>
            </w:pPr>
            <w:r>
              <w:rPr>
                <w:rFonts w:ascii="Arial" w:cs="Arial" w:eastAsia="Arial" w:hAnsi="Arial"/>
                <w:sz w:val="18"/>
                <w:szCs w:val="18"/>
                <w:b w:val="1"/>
                <w:bCs w:val="1"/>
                <w:color w:val="auto"/>
              </w:rPr>
              <w:t>(1.5)</w:t>
            </w:r>
          </w:p>
        </w:tc>
        <w:tc>
          <w:tcPr>
            <w:tcW w:w="1600" w:type="dxa"/>
            <w:vAlign w:val="bottom"/>
          </w:tcPr>
          <w:p>
            <w:pPr>
              <w:jc w:val="right"/>
              <w:ind w:right="271"/>
              <w:spacing w:after="0"/>
              <w:rPr>
                <w:sz w:val="20"/>
                <w:szCs w:val="20"/>
                <w:color w:val="auto"/>
              </w:rPr>
            </w:pPr>
            <w:r>
              <w:rPr>
                <w:rFonts w:ascii="Arial" w:cs="Arial" w:eastAsia="Arial" w:hAnsi="Arial"/>
                <w:sz w:val="18"/>
                <w:szCs w:val="18"/>
                <w:color w:val="auto"/>
              </w:rPr>
              <w:t>(0.2)</w:t>
            </w:r>
          </w:p>
        </w:tc>
        <w:tc>
          <w:tcPr>
            <w:tcW w:w="1580" w:type="dxa"/>
            <w:vAlign w:val="bottom"/>
          </w:tcPr>
          <w:p>
            <w:pPr>
              <w:jc w:val="right"/>
              <w:ind w:right="331"/>
              <w:spacing w:after="0"/>
              <w:rPr>
                <w:sz w:val="20"/>
                <w:szCs w:val="20"/>
                <w:color w:val="auto"/>
              </w:rPr>
            </w:pPr>
            <w:r>
              <w:rPr>
                <w:rFonts w:ascii="Arial" w:cs="Arial" w:eastAsia="Arial" w:hAnsi="Arial"/>
                <w:sz w:val="18"/>
                <w:szCs w:val="18"/>
                <w:b w:val="1"/>
                <w:bCs w:val="1"/>
                <w:color w:val="auto"/>
              </w:rPr>
              <w:t>0.1</w:t>
            </w:r>
          </w:p>
        </w:tc>
        <w:tc>
          <w:tcPr>
            <w:tcW w:w="1260" w:type="dxa"/>
            <w:vAlign w:val="bottom"/>
          </w:tcPr>
          <w:p>
            <w:pPr>
              <w:jc w:val="right"/>
              <w:spacing w:after="0"/>
              <w:rPr>
                <w:sz w:val="20"/>
                <w:szCs w:val="20"/>
                <w:color w:val="auto"/>
              </w:rPr>
            </w:pPr>
            <w:r>
              <w:rPr>
                <w:rFonts w:ascii="Arial" w:cs="Arial" w:eastAsia="Arial" w:hAnsi="Arial"/>
                <w:sz w:val="18"/>
                <w:szCs w:val="18"/>
                <w:color w:val="auto"/>
              </w:rPr>
              <w:t>(0.3)</w:t>
            </w:r>
          </w:p>
        </w:tc>
      </w:tr>
      <w:tr>
        <w:trPr>
          <w:trHeight w:val="27"/>
        </w:trPr>
        <w:tc>
          <w:tcPr>
            <w:tcW w:w="4460" w:type="dxa"/>
            <w:vAlign w:val="bottom"/>
            <w:tcBorders>
              <w:bottom w:val="single" w:sz="8" w:color="333333"/>
            </w:tcBorders>
          </w:tcPr>
          <w:p>
            <w:pPr>
              <w:spacing w:after="0"/>
              <w:rPr>
                <w:sz w:val="2"/>
                <w:szCs w:val="2"/>
                <w:color w:val="auto"/>
              </w:rPr>
            </w:pPr>
          </w:p>
        </w:tc>
        <w:tc>
          <w:tcPr>
            <w:tcW w:w="2520" w:type="dxa"/>
            <w:vAlign w:val="bottom"/>
            <w:tcBorders>
              <w:bottom w:val="single" w:sz="8" w:color="333333"/>
            </w:tcBorders>
          </w:tcPr>
          <w:p>
            <w:pPr>
              <w:spacing w:after="0"/>
              <w:rPr>
                <w:sz w:val="2"/>
                <w:szCs w:val="2"/>
                <w:color w:val="auto"/>
              </w:rPr>
            </w:pPr>
          </w:p>
        </w:tc>
        <w:tc>
          <w:tcPr>
            <w:tcW w:w="1600" w:type="dxa"/>
            <w:vAlign w:val="bottom"/>
            <w:tcBorders>
              <w:bottom w:val="single" w:sz="8" w:color="333333"/>
            </w:tcBorders>
          </w:tcPr>
          <w:p>
            <w:pPr>
              <w:spacing w:after="0"/>
              <w:rPr>
                <w:sz w:val="2"/>
                <w:szCs w:val="2"/>
                <w:color w:val="auto"/>
              </w:rPr>
            </w:pPr>
          </w:p>
        </w:tc>
        <w:tc>
          <w:tcPr>
            <w:tcW w:w="1580" w:type="dxa"/>
            <w:vAlign w:val="bottom"/>
            <w:tcBorders>
              <w:bottom w:val="single" w:sz="8" w:color="333333"/>
            </w:tcBorders>
          </w:tcPr>
          <w:p>
            <w:pPr>
              <w:spacing w:after="0"/>
              <w:rPr>
                <w:sz w:val="2"/>
                <w:szCs w:val="2"/>
                <w:color w:val="auto"/>
              </w:rPr>
            </w:pPr>
          </w:p>
        </w:tc>
        <w:tc>
          <w:tcPr>
            <w:tcW w:w="1260" w:type="dxa"/>
            <w:vAlign w:val="bottom"/>
            <w:tcBorders>
              <w:bottom w:val="single" w:sz="8" w:color="333333"/>
            </w:tcBorders>
          </w:tcPr>
          <w:p>
            <w:pPr>
              <w:spacing w:after="0"/>
              <w:rPr>
                <w:sz w:val="2"/>
                <w:szCs w:val="2"/>
                <w:color w:val="auto"/>
              </w:rPr>
            </w:pPr>
          </w:p>
        </w:tc>
      </w:tr>
      <w:tr>
        <w:trPr>
          <w:trHeight w:val="244"/>
        </w:trPr>
        <w:tc>
          <w:tcPr>
            <w:tcW w:w="44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b w:val="1"/>
                <w:bCs w:val="1"/>
                <w:color w:val="auto"/>
              </w:rPr>
              <w:t>Income Before Income Taxes</w:t>
            </w:r>
          </w:p>
        </w:tc>
        <w:tc>
          <w:tcPr>
            <w:tcW w:w="2520" w:type="dxa"/>
            <w:vAlign w:val="bottom"/>
            <w:tcBorders>
              <w:bottom w:val="single" w:sz="8" w:color="CCEEFF"/>
            </w:tcBorders>
            <w:shd w:val="clear" w:color="auto" w:fill="CCEEFF"/>
          </w:tcPr>
          <w:p>
            <w:pPr>
              <w:jc w:val="right"/>
              <w:ind w:right="351"/>
              <w:spacing w:after="0"/>
              <w:rPr>
                <w:sz w:val="20"/>
                <w:szCs w:val="20"/>
                <w:color w:val="auto"/>
              </w:rPr>
            </w:pPr>
            <w:r>
              <w:rPr>
                <w:rFonts w:ascii="Arial" w:cs="Arial" w:eastAsia="Arial" w:hAnsi="Arial"/>
                <w:sz w:val="18"/>
                <w:szCs w:val="18"/>
                <w:b w:val="1"/>
                <w:bCs w:val="1"/>
                <w:color w:val="auto"/>
              </w:rPr>
              <w:t>44.4</w:t>
            </w:r>
          </w:p>
        </w:tc>
        <w:tc>
          <w:tcPr>
            <w:tcW w:w="1600" w:type="dxa"/>
            <w:vAlign w:val="bottom"/>
            <w:tcBorders>
              <w:bottom w:val="single" w:sz="8" w:color="CCEEFF"/>
            </w:tcBorders>
            <w:shd w:val="clear" w:color="auto" w:fill="CCEEFF"/>
          </w:tcPr>
          <w:p>
            <w:pPr>
              <w:jc w:val="right"/>
              <w:ind w:right="331"/>
              <w:spacing w:after="0"/>
              <w:rPr>
                <w:sz w:val="20"/>
                <w:szCs w:val="20"/>
                <w:color w:val="auto"/>
              </w:rPr>
            </w:pPr>
            <w:r>
              <w:rPr>
                <w:rFonts w:ascii="Arial" w:cs="Arial" w:eastAsia="Arial" w:hAnsi="Arial"/>
                <w:sz w:val="18"/>
                <w:szCs w:val="18"/>
                <w:color w:val="auto"/>
              </w:rPr>
              <w:t>38.7</w:t>
            </w:r>
          </w:p>
        </w:tc>
        <w:tc>
          <w:tcPr>
            <w:tcW w:w="1580" w:type="dxa"/>
            <w:vAlign w:val="bottom"/>
            <w:tcBorders>
              <w:bottom w:val="single" w:sz="8" w:color="CCEEFF"/>
            </w:tcBorders>
            <w:shd w:val="clear" w:color="auto" w:fill="CCEEFF"/>
          </w:tcPr>
          <w:p>
            <w:pPr>
              <w:jc w:val="right"/>
              <w:ind w:right="331"/>
              <w:spacing w:after="0"/>
              <w:rPr>
                <w:sz w:val="20"/>
                <w:szCs w:val="20"/>
                <w:color w:val="auto"/>
              </w:rPr>
            </w:pPr>
            <w:r>
              <w:rPr>
                <w:rFonts w:ascii="Arial" w:cs="Arial" w:eastAsia="Arial" w:hAnsi="Arial"/>
                <w:sz w:val="18"/>
                <w:szCs w:val="18"/>
                <w:b w:val="1"/>
                <w:bCs w:val="1"/>
                <w:color w:val="auto"/>
              </w:rPr>
              <w:t>95.2</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70.9</w:t>
            </w:r>
          </w:p>
        </w:tc>
      </w:tr>
      <w:tr>
        <w:trPr>
          <w:trHeight w:val="243"/>
        </w:trPr>
        <w:tc>
          <w:tcPr>
            <w:tcW w:w="4460" w:type="dxa"/>
            <w:vAlign w:val="bottom"/>
          </w:tcPr>
          <w:p>
            <w:pPr>
              <w:ind w:left="40"/>
              <w:spacing w:after="0"/>
              <w:rPr>
                <w:sz w:val="20"/>
                <w:szCs w:val="20"/>
                <w:color w:val="auto"/>
              </w:rPr>
            </w:pPr>
            <w:r>
              <w:rPr>
                <w:rFonts w:ascii="Arial" w:cs="Arial" w:eastAsia="Arial" w:hAnsi="Arial"/>
                <w:sz w:val="18"/>
                <w:szCs w:val="18"/>
                <w:color w:val="auto"/>
              </w:rPr>
              <w:t>Provision for income taxes</w:t>
            </w:r>
          </w:p>
        </w:tc>
        <w:tc>
          <w:tcPr>
            <w:tcW w:w="2520" w:type="dxa"/>
            <w:vAlign w:val="bottom"/>
          </w:tcPr>
          <w:p>
            <w:pPr>
              <w:jc w:val="right"/>
              <w:ind w:right="351"/>
              <w:spacing w:after="0"/>
              <w:rPr>
                <w:sz w:val="20"/>
                <w:szCs w:val="20"/>
                <w:color w:val="auto"/>
              </w:rPr>
            </w:pPr>
            <w:r>
              <w:rPr>
                <w:rFonts w:ascii="Arial" w:cs="Arial" w:eastAsia="Arial" w:hAnsi="Arial"/>
                <w:sz w:val="18"/>
                <w:szCs w:val="18"/>
                <w:b w:val="1"/>
                <w:bCs w:val="1"/>
                <w:color w:val="auto"/>
              </w:rPr>
              <w:t>15.8</w:t>
            </w:r>
          </w:p>
        </w:tc>
        <w:tc>
          <w:tcPr>
            <w:tcW w:w="1600" w:type="dxa"/>
            <w:vAlign w:val="bottom"/>
          </w:tcPr>
          <w:p>
            <w:pPr>
              <w:jc w:val="right"/>
              <w:ind w:right="331"/>
              <w:spacing w:after="0"/>
              <w:rPr>
                <w:sz w:val="20"/>
                <w:szCs w:val="20"/>
                <w:color w:val="auto"/>
              </w:rPr>
            </w:pPr>
            <w:r>
              <w:rPr>
                <w:rFonts w:ascii="Arial" w:cs="Arial" w:eastAsia="Arial" w:hAnsi="Arial"/>
                <w:sz w:val="18"/>
                <w:szCs w:val="18"/>
                <w:color w:val="auto"/>
              </w:rPr>
              <w:t>13.4</w:t>
            </w:r>
          </w:p>
        </w:tc>
        <w:tc>
          <w:tcPr>
            <w:tcW w:w="1580" w:type="dxa"/>
            <w:vAlign w:val="bottom"/>
          </w:tcPr>
          <w:p>
            <w:pPr>
              <w:jc w:val="right"/>
              <w:ind w:right="331"/>
              <w:spacing w:after="0"/>
              <w:rPr>
                <w:sz w:val="20"/>
                <w:szCs w:val="20"/>
                <w:color w:val="auto"/>
              </w:rPr>
            </w:pPr>
            <w:r>
              <w:rPr>
                <w:rFonts w:ascii="Arial" w:cs="Arial" w:eastAsia="Arial" w:hAnsi="Arial"/>
                <w:sz w:val="18"/>
                <w:szCs w:val="18"/>
                <w:b w:val="1"/>
                <w:bCs w:val="1"/>
                <w:color w:val="auto"/>
              </w:rPr>
              <w:t>32.9</w:t>
            </w: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24.6</w:t>
            </w:r>
          </w:p>
        </w:tc>
      </w:tr>
      <w:tr>
        <w:trPr>
          <w:trHeight w:val="27"/>
        </w:trPr>
        <w:tc>
          <w:tcPr>
            <w:tcW w:w="4460" w:type="dxa"/>
            <w:vAlign w:val="bottom"/>
            <w:tcBorders>
              <w:bottom w:val="single" w:sz="8" w:color="333333"/>
            </w:tcBorders>
          </w:tcPr>
          <w:p>
            <w:pPr>
              <w:spacing w:after="0"/>
              <w:rPr>
                <w:sz w:val="2"/>
                <w:szCs w:val="2"/>
                <w:color w:val="auto"/>
              </w:rPr>
            </w:pPr>
          </w:p>
        </w:tc>
        <w:tc>
          <w:tcPr>
            <w:tcW w:w="2520" w:type="dxa"/>
            <w:vAlign w:val="bottom"/>
            <w:tcBorders>
              <w:bottom w:val="single" w:sz="8" w:color="333333"/>
            </w:tcBorders>
          </w:tcPr>
          <w:p>
            <w:pPr>
              <w:spacing w:after="0"/>
              <w:rPr>
                <w:sz w:val="2"/>
                <w:szCs w:val="2"/>
                <w:color w:val="auto"/>
              </w:rPr>
            </w:pPr>
          </w:p>
        </w:tc>
        <w:tc>
          <w:tcPr>
            <w:tcW w:w="1600" w:type="dxa"/>
            <w:vAlign w:val="bottom"/>
            <w:tcBorders>
              <w:bottom w:val="single" w:sz="8" w:color="333333"/>
            </w:tcBorders>
          </w:tcPr>
          <w:p>
            <w:pPr>
              <w:spacing w:after="0"/>
              <w:rPr>
                <w:sz w:val="2"/>
                <w:szCs w:val="2"/>
                <w:color w:val="auto"/>
              </w:rPr>
            </w:pPr>
          </w:p>
        </w:tc>
        <w:tc>
          <w:tcPr>
            <w:tcW w:w="1580" w:type="dxa"/>
            <w:vAlign w:val="bottom"/>
            <w:tcBorders>
              <w:bottom w:val="single" w:sz="8" w:color="333333"/>
            </w:tcBorders>
          </w:tcPr>
          <w:p>
            <w:pPr>
              <w:spacing w:after="0"/>
              <w:rPr>
                <w:sz w:val="2"/>
                <w:szCs w:val="2"/>
                <w:color w:val="auto"/>
              </w:rPr>
            </w:pPr>
          </w:p>
        </w:tc>
        <w:tc>
          <w:tcPr>
            <w:tcW w:w="1260" w:type="dxa"/>
            <w:vAlign w:val="bottom"/>
            <w:tcBorders>
              <w:bottom w:val="single" w:sz="8" w:color="333333"/>
            </w:tcBorders>
          </w:tcPr>
          <w:p>
            <w:pPr>
              <w:spacing w:after="0"/>
              <w:rPr>
                <w:sz w:val="2"/>
                <w:szCs w:val="2"/>
                <w:color w:val="auto"/>
              </w:rPr>
            </w:pPr>
          </w:p>
        </w:tc>
      </w:tr>
      <w:tr>
        <w:trPr>
          <w:trHeight w:val="269"/>
        </w:trPr>
        <w:tc>
          <w:tcPr>
            <w:tcW w:w="44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b w:val="1"/>
                <w:bCs w:val="1"/>
                <w:color w:val="auto"/>
              </w:rPr>
              <w:t>Net Income</w:t>
            </w:r>
          </w:p>
        </w:tc>
        <w:tc>
          <w:tcPr>
            <w:tcW w:w="2520" w:type="dxa"/>
            <w:vAlign w:val="bottom"/>
            <w:tcBorders>
              <w:bottom w:val="single" w:sz="8" w:color="CCEEFF"/>
            </w:tcBorders>
            <w:shd w:val="clear" w:color="auto" w:fill="CCEEFF"/>
          </w:tcPr>
          <w:p>
            <w:pPr>
              <w:jc w:val="right"/>
              <w:ind w:right="351"/>
              <w:spacing w:after="0"/>
              <w:rPr>
                <w:sz w:val="20"/>
                <w:szCs w:val="20"/>
                <w:color w:val="auto"/>
              </w:rPr>
            </w:pPr>
            <w:r>
              <w:rPr>
                <w:rFonts w:ascii="Arial" w:cs="Arial" w:eastAsia="Arial" w:hAnsi="Arial"/>
                <w:sz w:val="18"/>
                <w:szCs w:val="18"/>
                <w:b w:val="1"/>
                <w:bCs w:val="1"/>
                <w:color w:val="auto"/>
              </w:rPr>
              <w:t>$28.6</w:t>
            </w:r>
          </w:p>
        </w:tc>
        <w:tc>
          <w:tcPr>
            <w:tcW w:w="1600" w:type="dxa"/>
            <w:vAlign w:val="bottom"/>
            <w:tcBorders>
              <w:bottom w:val="single" w:sz="8" w:color="CCEEFF"/>
            </w:tcBorders>
            <w:shd w:val="clear" w:color="auto" w:fill="CCEEFF"/>
          </w:tcPr>
          <w:p>
            <w:pPr>
              <w:jc w:val="right"/>
              <w:ind w:right="331"/>
              <w:spacing w:after="0"/>
              <w:rPr>
                <w:sz w:val="20"/>
                <w:szCs w:val="20"/>
                <w:color w:val="auto"/>
              </w:rPr>
            </w:pPr>
            <w:r>
              <w:rPr>
                <w:rFonts w:ascii="Arial" w:cs="Arial" w:eastAsia="Arial" w:hAnsi="Arial"/>
                <w:sz w:val="18"/>
                <w:szCs w:val="18"/>
                <w:color w:val="auto"/>
              </w:rPr>
              <w:t>$25.3</w:t>
            </w:r>
          </w:p>
        </w:tc>
        <w:tc>
          <w:tcPr>
            <w:tcW w:w="1580" w:type="dxa"/>
            <w:vAlign w:val="bottom"/>
            <w:tcBorders>
              <w:bottom w:val="single" w:sz="8" w:color="CCEEFF"/>
            </w:tcBorders>
            <w:shd w:val="clear" w:color="auto" w:fill="CCEEFF"/>
          </w:tcPr>
          <w:p>
            <w:pPr>
              <w:jc w:val="right"/>
              <w:ind w:right="331"/>
              <w:spacing w:after="0"/>
              <w:rPr>
                <w:sz w:val="20"/>
                <w:szCs w:val="20"/>
                <w:color w:val="auto"/>
              </w:rPr>
            </w:pPr>
            <w:r>
              <w:rPr>
                <w:rFonts w:ascii="Arial" w:cs="Arial" w:eastAsia="Arial" w:hAnsi="Arial"/>
                <w:sz w:val="18"/>
                <w:szCs w:val="18"/>
                <w:b w:val="1"/>
                <w:bCs w:val="1"/>
                <w:color w:val="auto"/>
              </w:rPr>
              <w:t>$62.3</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$46.3</w:t>
            </w:r>
          </w:p>
        </w:tc>
      </w:tr>
      <w:tr>
        <w:trPr>
          <w:trHeight w:val="318"/>
        </w:trPr>
        <w:tc>
          <w:tcPr>
            <w:tcW w:w="4460" w:type="dxa"/>
            <w:vAlign w:val="bottom"/>
            <w:tcBorders>
              <w:top w:val="single" w:sz="8" w:color="auto"/>
            </w:tcBorders>
          </w:tcPr>
          <w:p>
            <w:pPr>
              <w:spacing w:after="0"/>
              <w:rPr>
                <w:sz w:val="24"/>
                <w:szCs w:val="24"/>
                <w:color w:val="auto"/>
              </w:rPr>
            </w:pPr>
          </w:p>
        </w:tc>
        <w:tc>
          <w:tcPr>
            <w:tcW w:w="2520" w:type="dxa"/>
            <w:vAlign w:val="bottom"/>
            <w:tcBorders>
              <w:top w:val="single" w:sz="8" w:color="auto"/>
            </w:tcBorders>
          </w:tcPr>
          <w:p>
            <w:pPr>
              <w:spacing w:after="0"/>
              <w:rPr>
                <w:sz w:val="24"/>
                <w:szCs w:val="24"/>
                <w:color w:val="auto"/>
              </w:rPr>
            </w:pPr>
          </w:p>
        </w:tc>
        <w:tc>
          <w:tcPr>
            <w:tcW w:w="1600" w:type="dxa"/>
            <w:vAlign w:val="bottom"/>
            <w:tcBorders>
              <w:top w:val="single" w:sz="8" w:color="auto"/>
            </w:tcBorders>
          </w:tcPr>
          <w:p>
            <w:pPr>
              <w:spacing w:after="0"/>
              <w:rPr>
                <w:sz w:val="24"/>
                <w:szCs w:val="24"/>
                <w:color w:val="auto"/>
              </w:rPr>
            </w:pPr>
          </w:p>
        </w:tc>
        <w:tc>
          <w:tcPr>
            <w:tcW w:w="1580" w:type="dxa"/>
            <w:vAlign w:val="bottom"/>
            <w:tcBorders>
              <w:top w:val="single" w:sz="8" w:color="auto"/>
            </w:tcBorders>
          </w:tcPr>
          <w:p>
            <w:pPr>
              <w:spacing w:after="0"/>
              <w:rPr>
                <w:sz w:val="24"/>
                <w:szCs w:val="24"/>
                <w:color w:val="auto"/>
              </w:rPr>
            </w:pPr>
          </w:p>
        </w:tc>
        <w:tc>
          <w:tcPr>
            <w:tcW w:w="1260" w:type="dxa"/>
            <w:vAlign w:val="bottom"/>
            <w:tcBorders>
              <w:top w:val="single" w:sz="8" w:color="auto"/>
            </w:tcBorders>
          </w:tcPr>
          <w:p>
            <w:pPr>
              <w:spacing w:after="0"/>
              <w:rPr>
                <w:sz w:val="24"/>
                <w:szCs w:val="24"/>
                <w:color w:val="auto"/>
              </w:rPr>
            </w:pPr>
          </w:p>
        </w:tc>
      </w:tr>
      <w:tr>
        <w:trPr>
          <w:trHeight w:val="275"/>
        </w:trPr>
        <w:tc>
          <w:tcPr>
            <w:tcW w:w="4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Per Share Data:</w:t>
            </w:r>
          </w:p>
        </w:tc>
        <w:tc>
          <w:tcPr>
            <w:tcW w:w="2520" w:type="dxa"/>
            <w:vAlign w:val="bottom"/>
            <w:tcBorders>
              <w:bottom w:val="single" w:sz="8" w:color="CCEEFF"/>
            </w:tcBorders>
            <w:shd w:val="clear" w:color="auto" w:fill="CCEEFF"/>
          </w:tcPr>
          <w:p>
            <w:pPr>
              <w:spacing w:after="0"/>
              <w:rPr>
                <w:sz w:val="23"/>
                <w:szCs w:val="23"/>
                <w:color w:val="auto"/>
              </w:rPr>
            </w:pPr>
          </w:p>
        </w:tc>
        <w:tc>
          <w:tcPr>
            <w:tcW w:w="1600" w:type="dxa"/>
            <w:vAlign w:val="bottom"/>
            <w:tcBorders>
              <w:bottom w:val="single" w:sz="8" w:color="CCEEFF"/>
            </w:tcBorders>
            <w:shd w:val="clear" w:color="auto" w:fill="CCEEFF"/>
          </w:tcPr>
          <w:p>
            <w:pPr>
              <w:spacing w:after="0"/>
              <w:rPr>
                <w:sz w:val="23"/>
                <w:szCs w:val="23"/>
                <w:color w:val="auto"/>
              </w:rPr>
            </w:pPr>
          </w:p>
        </w:tc>
        <w:tc>
          <w:tcPr>
            <w:tcW w:w="158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spacing w:after="0"/>
              <w:rPr>
                <w:sz w:val="23"/>
                <w:szCs w:val="23"/>
                <w:color w:val="auto"/>
              </w:rPr>
            </w:pPr>
          </w:p>
        </w:tc>
      </w:tr>
      <w:tr>
        <w:trPr>
          <w:trHeight w:val="237"/>
        </w:trPr>
        <w:tc>
          <w:tcPr>
            <w:tcW w:w="4460" w:type="dxa"/>
            <w:vAlign w:val="bottom"/>
            <w:tcBorders>
              <w:top w:val="single" w:sz="8" w:color="333333"/>
            </w:tcBorders>
          </w:tcPr>
          <w:p>
            <w:pPr>
              <w:ind w:left="360"/>
              <w:spacing w:after="0"/>
              <w:rPr>
                <w:sz w:val="20"/>
                <w:szCs w:val="20"/>
                <w:color w:val="auto"/>
              </w:rPr>
            </w:pPr>
            <w:r>
              <w:rPr>
                <w:rFonts w:ascii="Arial" w:cs="Arial" w:eastAsia="Arial" w:hAnsi="Arial"/>
                <w:sz w:val="18"/>
                <w:szCs w:val="18"/>
                <w:b w:val="1"/>
                <w:bCs w:val="1"/>
                <w:color w:val="auto"/>
              </w:rPr>
              <w:t>Basic earnings per share</w:t>
            </w:r>
          </w:p>
        </w:tc>
        <w:tc>
          <w:tcPr>
            <w:tcW w:w="2520" w:type="dxa"/>
            <w:vAlign w:val="bottom"/>
            <w:tcBorders>
              <w:top w:val="single" w:sz="8" w:color="333333"/>
            </w:tcBorders>
          </w:tcPr>
          <w:p>
            <w:pPr>
              <w:jc w:val="right"/>
              <w:ind w:right="351"/>
              <w:spacing w:after="0"/>
              <w:rPr>
                <w:sz w:val="20"/>
                <w:szCs w:val="20"/>
                <w:color w:val="auto"/>
              </w:rPr>
            </w:pPr>
            <w:r>
              <w:rPr>
                <w:rFonts w:ascii="Arial" w:cs="Arial" w:eastAsia="Arial" w:hAnsi="Arial"/>
                <w:sz w:val="18"/>
                <w:szCs w:val="18"/>
                <w:b w:val="1"/>
                <w:bCs w:val="1"/>
                <w:color w:val="auto"/>
              </w:rPr>
              <w:t>$0.63</w:t>
            </w:r>
          </w:p>
        </w:tc>
        <w:tc>
          <w:tcPr>
            <w:tcW w:w="1600" w:type="dxa"/>
            <w:vAlign w:val="bottom"/>
            <w:tcBorders>
              <w:top w:val="single" w:sz="8" w:color="333333"/>
            </w:tcBorders>
          </w:tcPr>
          <w:p>
            <w:pPr>
              <w:jc w:val="right"/>
              <w:ind w:right="331"/>
              <w:spacing w:after="0"/>
              <w:rPr>
                <w:sz w:val="20"/>
                <w:szCs w:val="20"/>
                <w:color w:val="auto"/>
              </w:rPr>
            </w:pPr>
            <w:r>
              <w:rPr>
                <w:rFonts w:ascii="Arial" w:cs="Arial" w:eastAsia="Arial" w:hAnsi="Arial"/>
                <w:sz w:val="18"/>
                <w:szCs w:val="18"/>
                <w:color w:val="auto"/>
              </w:rPr>
              <w:t>$0.55</w:t>
            </w:r>
          </w:p>
        </w:tc>
        <w:tc>
          <w:tcPr>
            <w:tcW w:w="1580" w:type="dxa"/>
            <w:vAlign w:val="bottom"/>
            <w:tcBorders>
              <w:top w:val="single" w:sz="8" w:color="333333"/>
            </w:tcBorders>
          </w:tcPr>
          <w:p>
            <w:pPr>
              <w:jc w:val="right"/>
              <w:ind w:right="331"/>
              <w:spacing w:after="0"/>
              <w:rPr>
                <w:sz w:val="20"/>
                <w:szCs w:val="20"/>
                <w:color w:val="auto"/>
              </w:rPr>
            </w:pPr>
            <w:r>
              <w:rPr>
                <w:rFonts w:ascii="Arial" w:cs="Arial" w:eastAsia="Arial" w:hAnsi="Arial"/>
                <w:sz w:val="18"/>
                <w:szCs w:val="18"/>
                <w:b w:val="1"/>
                <w:bCs w:val="1"/>
                <w:color w:val="auto"/>
              </w:rPr>
              <w:t>$1.36</w:t>
            </w:r>
          </w:p>
        </w:tc>
        <w:tc>
          <w:tcPr>
            <w:tcW w:w="1260" w:type="dxa"/>
            <w:vAlign w:val="bottom"/>
            <w:tcBorders>
              <w:top w:val="single" w:sz="8" w:color="333333"/>
            </w:tcBorders>
          </w:tcPr>
          <w:p>
            <w:pPr>
              <w:jc w:val="right"/>
              <w:ind w:right="11"/>
              <w:spacing w:after="0"/>
              <w:rPr>
                <w:sz w:val="20"/>
                <w:szCs w:val="20"/>
                <w:color w:val="auto"/>
              </w:rPr>
            </w:pPr>
            <w:r>
              <w:rPr>
                <w:rFonts w:ascii="Arial" w:cs="Arial" w:eastAsia="Arial" w:hAnsi="Arial"/>
                <w:sz w:val="18"/>
                <w:szCs w:val="18"/>
                <w:color w:val="auto"/>
              </w:rPr>
              <w:t>$1.01</w:t>
            </w:r>
          </w:p>
        </w:tc>
      </w:tr>
      <w:tr>
        <w:trPr>
          <w:trHeight w:val="34"/>
        </w:trPr>
        <w:tc>
          <w:tcPr>
            <w:tcW w:w="4460" w:type="dxa"/>
            <w:vAlign w:val="bottom"/>
            <w:tcBorders>
              <w:bottom w:val="single" w:sz="8" w:color="333333"/>
            </w:tcBorders>
          </w:tcPr>
          <w:p>
            <w:pPr>
              <w:spacing w:after="0"/>
              <w:rPr>
                <w:sz w:val="2"/>
                <w:szCs w:val="2"/>
                <w:color w:val="auto"/>
              </w:rPr>
            </w:pPr>
          </w:p>
        </w:tc>
        <w:tc>
          <w:tcPr>
            <w:tcW w:w="2520" w:type="dxa"/>
            <w:vAlign w:val="bottom"/>
            <w:tcBorders>
              <w:bottom w:val="single" w:sz="8" w:color="333333"/>
            </w:tcBorders>
          </w:tcPr>
          <w:p>
            <w:pPr>
              <w:spacing w:after="0"/>
              <w:rPr>
                <w:sz w:val="2"/>
                <w:szCs w:val="2"/>
                <w:color w:val="auto"/>
              </w:rPr>
            </w:pPr>
          </w:p>
        </w:tc>
        <w:tc>
          <w:tcPr>
            <w:tcW w:w="1600" w:type="dxa"/>
            <w:vAlign w:val="bottom"/>
            <w:tcBorders>
              <w:bottom w:val="single" w:sz="8" w:color="333333"/>
            </w:tcBorders>
          </w:tcPr>
          <w:p>
            <w:pPr>
              <w:spacing w:after="0"/>
              <w:rPr>
                <w:sz w:val="2"/>
                <w:szCs w:val="2"/>
                <w:color w:val="auto"/>
              </w:rPr>
            </w:pPr>
          </w:p>
        </w:tc>
        <w:tc>
          <w:tcPr>
            <w:tcW w:w="1580" w:type="dxa"/>
            <w:vAlign w:val="bottom"/>
            <w:tcBorders>
              <w:bottom w:val="single" w:sz="8" w:color="333333"/>
            </w:tcBorders>
          </w:tcPr>
          <w:p>
            <w:pPr>
              <w:spacing w:after="0"/>
              <w:rPr>
                <w:sz w:val="2"/>
                <w:szCs w:val="2"/>
                <w:color w:val="auto"/>
              </w:rPr>
            </w:pPr>
          </w:p>
        </w:tc>
        <w:tc>
          <w:tcPr>
            <w:tcW w:w="1260" w:type="dxa"/>
            <w:vAlign w:val="bottom"/>
            <w:tcBorders>
              <w:bottom w:val="single" w:sz="8" w:color="333333"/>
            </w:tcBorders>
          </w:tcPr>
          <w:p>
            <w:pPr>
              <w:spacing w:after="0"/>
              <w:rPr>
                <w:sz w:val="2"/>
                <w:szCs w:val="2"/>
                <w:color w:val="auto"/>
              </w:rPr>
            </w:pPr>
          </w:p>
        </w:tc>
      </w:tr>
      <w:tr>
        <w:trPr>
          <w:trHeight w:val="250"/>
        </w:trPr>
        <w:tc>
          <w:tcPr>
            <w:tcW w:w="44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b w:val="1"/>
                <w:bCs w:val="1"/>
                <w:color w:val="auto"/>
              </w:rPr>
              <w:t>Diluted earnings per share</w:t>
            </w:r>
          </w:p>
        </w:tc>
        <w:tc>
          <w:tcPr>
            <w:tcW w:w="2520" w:type="dxa"/>
            <w:vAlign w:val="bottom"/>
            <w:tcBorders>
              <w:bottom w:val="single" w:sz="8" w:color="CCEEFF"/>
            </w:tcBorders>
            <w:shd w:val="clear" w:color="auto" w:fill="CCEEFF"/>
          </w:tcPr>
          <w:p>
            <w:pPr>
              <w:jc w:val="right"/>
              <w:ind w:right="351"/>
              <w:spacing w:after="0"/>
              <w:rPr>
                <w:sz w:val="20"/>
                <w:szCs w:val="20"/>
                <w:color w:val="auto"/>
              </w:rPr>
            </w:pPr>
            <w:r>
              <w:rPr>
                <w:rFonts w:ascii="Arial" w:cs="Arial" w:eastAsia="Arial" w:hAnsi="Arial"/>
                <w:sz w:val="18"/>
                <w:szCs w:val="18"/>
                <w:b w:val="1"/>
                <w:bCs w:val="1"/>
                <w:color w:val="auto"/>
              </w:rPr>
              <w:t>$0.62</w:t>
            </w:r>
          </w:p>
        </w:tc>
        <w:tc>
          <w:tcPr>
            <w:tcW w:w="1600" w:type="dxa"/>
            <w:vAlign w:val="bottom"/>
            <w:tcBorders>
              <w:bottom w:val="single" w:sz="8" w:color="CCEEFF"/>
            </w:tcBorders>
            <w:shd w:val="clear" w:color="auto" w:fill="CCEEFF"/>
          </w:tcPr>
          <w:p>
            <w:pPr>
              <w:jc w:val="right"/>
              <w:ind w:right="331"/>
              <w:spacing w:after="0"/>
              <w:rPr>
                <w:sz w:val="20"/>
                <w:szCs w:val="20"/>
                <w:color w:val="auto"/>
              </w:rPr>
            </w:pPr>
            <w:r>
              <w:rPr>
                <w:rFonts w:ascii="Arial" w:cs="Arial" w:eastAsia="Arial" w:hAnsi="Arial"/>
                <w:sz w:val="18"/>
                <w:szCs w:val="18"/>
                <w:color w:val="auto"/>
              </w:rPr>
              <w:t>$0.55</w:t>
            </w:r>
          </w:p>
        </w:tc>
        <w:tc>
          <w:tcPr>
            <w:tcW w:w="1580" w:type="dxa"/>
            <w:vAlign w:val="bottom"/>
            <w:tcBorders>
              <w:bottom w:val="single" w:sz="8" w:color="CCEEFF"/>
            </w:tcBorders>
            <w:shd w:val="clear" w:color="auto" w:fill="CCEEFF"/>
          </w:tcPr>
          <w:p>
            <w:pPr>
              <w:jc w:val="right"/>
              <w:ind w:right="331"/>
              <w:spacing w:after="0"/>
              <w:rPr>
                <w:sz w:val="20"/>
                <w:szCs w:val="20"/>
                <w:color w:val="auto"/>
              </w:rPr>
            </w:pPr>
            <w:r>
              <w:rPr>
                <w:rFonts w:ascii="Arial" w:cs="Arial" w:eastAsia="Arial" w:hAnsi="Arial"/>
                <w:sz w:val="18"/>
                <w:szCs w:val="18"/>
                <w:b w:val="1"/>
                <w:bCs w:val="1"/>
                <w:color w:val="auto"/>
              </w:rPr>
              <w:t>$1.35</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$1.00</w:t>
            </w:r>
          </w:p>
        </w:tc>
      </w:tr>
      <w:tr>
        <w:trPr>
          <w:trHeight w:val="27"/>
        </w:trPr>
        <w:tc>
          <w:tcPr>
            <w:tcW w:w="4460" w:type="dxa"/>
            <w:vAlign w:val="bottom"/>
            <w:shd w:val="clear" w:color="auto" w:fill="333333"/>
          </w:tcPr>
          <w:p>
            <w:pPr>
              <w:spacing w:after="0"/>
              <w:rPr>
                <w:sz w:val="2"/>
                <w:szCs w:val="2"/>
                <w:color w:val="auto"/>
              </w:rPr>
            </w:pPr>
          </w:p>
        </w:tc>
        <w:tc>
          <w:tcPr>
            <w:tcW w:w="2520" w:type="dxa"/>
            <w:vAlign w:val="bottom"/>
            <w:shd w:val="clear" w:color="auto" w:fill="333333"/>
          </w:tcPr>
          <w:p>
            <w:pPr>
              <w:spacing w:after="0"/>
              <w:rPr>
                <w:sz w:val="2"/>
                <w:szCs w:val="2"/>
                <w:color w:val="auto"/>
              </w:rPr>
            </w:pPr>
          </w:p>
        </w:tc>
        <w:tc>
          <w:tcPr>
            <w:tcW w:w="1600" w:type="dxa"/>
            <w:vAlign w:val="bottom"/>
            <w:shd w:val="clear" w:color="auto" w:fill="333333"/>
          </w:tcPr>
          <w:p>
            <w:pPr>
              <w:spacing w:after="0"/>
              <w:rPr>
                <w:sz w:val="2"/>
                <w:szCs w:val="2"/>
                <w:color w:val="auto"/>
              </w:rPr>
            </w:pPr>
          </w:p>
        </w:tc>
        <w:tc>
          <w:tcPr>
            <w:tcW w:w="1580" w:type="dxa"/>
            <w:vAlign w:val="bottom"/>
            <w:shd w:val="clear" w:color="auto" w:fill="333333"/>
          </w:tcPr>
          <w:p>
            <w:pPr>
              <w:spacing w:after="0"/>
              <w:rPr>
                <w:sz w:val="2"/>
                <w:szCs w:val="2"/>
                <w:color w:val="auto"/>
              </w:rPr>
            </w:pPr>
          </w:p>
        </w:tc>
        <w:tc>
          <w:tcPr>
            <w:tcW w:w="1260" w:type="dxa"/>
            <w:vAlign w:val="bottom"/>
            <w:shd w:val="clear" w:color="auto" w:fill="333333"/>
          </w:tcPr>
          <w:p>
            <w:pPr>
              <w:spacing w:after="0"/>
              <w:rPr>
                <w:sz w:val="2"/>
                <w:szCs w:val="2"/>
                <w:color w:val="auto"/>
              </w:rPr>
            </w:pPr>
          </w:p>
        </w:tc>
      </w:tr>
    </w:tbl>
    <w:p>
      <w:pPr>
        <w:spacing w:after="0" w:line="8" w:lineRule="exact"/>
        <w:rPr>
          <w:sz w:val="20"/>
          <w:szCs w:val="20"/>
          <w:color w:val="auto"/>
        </w:rPr>
      </w:pPr>
    </w:p>
    <w:p>
      <w:pPr>
        <w:spacing w:after="0"/>
        <w:rPr>
          <w:sz w:val="20"/>
          <w:szCs w:val="20"/>
          <w:color w:val="auto"/>
        </w:rPr>
      </w:pPr>
      <w:r>
        <w:rPr>
          <w:rFonts w:ascii="Arial" w:cs="Arial" w:eastAsia="Arial" w:hAnsi="Arial"/>
          <w:sz w:val="14"/>
          <w:szCs w:val="14"/>
          <w:color w:val="auto"/>
        </w:rPr>
        <w:t>See accompanying Notes to the Unaudited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20"/>
          </w:cols>
          <w:pgMar w:left="240" w:top="580" w:right="239" w:bottom="1440" w:gutter="0" w:footer="0" w:header="0"/>
        </w:sectPr>
      </w:pPr>
    </w:p>
    <w:bookmarkStart w:id="3" w:name="page4"/>
    <w:bookmarkEnd w:id="3"/>
    <w:p>
      <w:pPr>
        <w:jc w:val="center"/>
        <w:spacing w:after="0"/>
        <w:rPr>
          <w:sz w:val="20"/>
          <w:szCs w:val="20"/>
          <w:color w:val="auto"/>
        </w:rPr>
      </w:pPr>
      <w:r>
        <w:rPr>
          <w:rFonts w:ascii="Arial" w:cs="Arial" w:eastAsia="Arial" w:hAnsi="Arial"/>
          <w:sz w:val="25"/>
          <w:szCs w:val="25"/>
          <w:b w:val="1"/>
          <w:bCs w:val="1"/>
          <w:color w:val="auto"/>
        </w:rPr>
        <w:t>Consolidated Statements of Comprehensive Income (Unaudited)</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8580" w:type="dxa"/>
            <w:vAlign w:val="bottom"/>
            <w:gridSpan w:val="3"/>
          </w:tcPr>
          <w:p>
            <w:pPr>
              <w:ind w:left="5680"/>
              <w:spacing w:after="0"/>
              <w:rPr>
                <w:sz w:val="20"/>
                <w:szCs w:val="20"/>
                <w:color w:val="auto"/>
              </w:rPr>
            </w:pPr>
            <w:r>
              <w:rPr>
                <w:rFonts w:ascii="Arial" w:cs="Arial" w:eastAsia="Arial" w:hAnsi="Arial"/>
                <w:sz w:val="16"/>
                <w:szCs w:val="16"/>
                <w:b w:val="1"/>
                <w:bCs w:val="1"/>
                <w:color w:val="auto"/>
              </w:rPr>
              <w:t>Three Months Ended June 30,</w:t>
            </w:r>
          </w:p>
        </w:tc>
        <w:tc>
          <w:tcPr>
            <w:tcW w:w="2840" w:type="dxa"/>
            <w:vAlign w:val="bottom"/>
            <w:gridSpan w:val="2"/>
          </w:tcPr>
          <w:p>
            <w:pPr>
              <w:jc w:val="right"/>
              <w:ind w:right="471"/>
              <w:spacing w:after="0"/>
              <w:rPr>
                <w:sz w:val="20"/>
                <w:szCs w:val="20"/>
                <w:color w:val="auto"/>
              </w:rPr>
            </w:pPr>
            <w:r>
              <w:rPr>
                <w:rFonts w:ascii="Arial" w:cs="Arial" w:eastAsia="Arial" w:hAnsi="Arial"/>
                <w:sz w:val="16"/>
                <w:szCs w:val="16"/>
                <w:b w:val="1"/>
                <w:bCs w:val="1"/>
                <w:color w:val="auto"/>
              </w:rPr>
              <w:t>Six Months Ended June 30,</w:t>
            </w:r>
          </w:p>
        </w:tc>
      </w:tr>
      <w:tr>
        <w:trPr>
          <w:trHeight w:val="33"/>
        </w:trPr>
        <w:tc>
          <w:tcPr>
            <w:tcW w:w="6100" w:type="dxa"/>
            <w:vAlign w:val="bottom"/>
            <w:tcBorders>
              <w:bottom w:val="single" w:sz="8" w:color="333333"/>
            </w:tcBorders>
          </w:tcPr>
          <w:p>
            <w:pPr>
              <w:spacing w:after="0"/>
              <w:rPr>
                <w:sz w:val="2"/>
                <w:szCs w:val="2"/>
                <w:color w:val="auto"/>
              </w:rPr>
            </w:pPr>
          </w:p>
        </w:tc>
        <w:tc>
          <w:tcPr>
            <w:tcW w:w="840" w:type="dxa"/>
            <w:vAlign w:val="bottom"/>
            <w:tcBorders>
              <w:bottom w:val="single" w:sz="8" w:color="333333"/>
            </w:tcBorders>
          </w:tcPr>
          <w:p>
            <w:pPr>
              <w:spacing w:after="0"/>
              <w:rPr>
                <w:sz w:val="2"/>
                <w:szCs w:val="2"/>
                <w:color w:val="auto"/>
              </w:rPr>
            </w:pPr>
          </w:p>
        </w:tc>
        <w:tc>
          <w:tcPr>
            <w:tcW w:w="1640" w:type="dxa"/>
            <w:vAlign w:val="bottom"/>
            <w:tcBorders>
              <w:bottom w:val="single" w:sz="8" w:color="333333"/>
            </w:tcBorders>
          </w:tcPr>
          <w:p>
            <w:pPr>
              <w:spacing w:after="0"/>
              <w:rPr>
                <w:sz w:val="2"/>
                <w:szCs w:val="2"/>
                <w:color w:val="auto"/>
              </w:rPr>
            </w:pPr>
          </w:p>
        </w:tc>
        <w:tc>
          <w:tcPr>
            <w:tcW w:w="1560" w:type="dxa"/>
            <w:vAlign w:val="bottom"/>
            <w:tcBorders>
              <w:bottom w:val="single" w:sz="8" w:color="333333"/>
            </w:tcBorders>
          </w:tcPr>
          <w:p>
            <w:pPr>
              <w:spacing w:after="0"/>
              <w:rPr>
                <w:sz w:val="2"/>
                <w:szCs w:val="2"/>
                <w:color w:val="auto"/>
              </w:rPr>
            </w:pPr>
          </w:p>
        </w:tc>
        <w:tc>
          <w:tcPr>
            <w:tcW w:w="1280" w:type="dxa"/>
            <w:vAlign w:val="bottom"/>
            <w:tcBorders>
              <w:bottom w:val="single" w:sz="8" w:color="333333"/>
            </w:tcBorders>
          </w:tcPr>
          <w:p>
            <w:pPr>
              <w:spacing w:after="0"/>
              <w:rPr>
                <w:sz w:val="2"/>
                <w:szCs w:val="2"/>
                <w:color w:val="auto"/>
              </w:rPr>
            </w:pPr>
          </w:p>
        </w:tc>
      </w:tr>
      <w:tr>
        <w:trPr>
          <w:trHeight w:val="231"/>
        </w:trPr>
        <w:tc>
          <w:tcPr>
            <w:tcW w:w="6100" w:type="dxa"/>
            <w:vAlign w:val="bottom"/>
          </w:tcPr>
          <w:p>
            <w:pPr>
              <w:ind w:left="5740"/>
              <w:spacing w:after="0"/>
              <w:rPr>
                <w:sz w:val="20"/>
                <w:szCs w:val="20"/>
                <w:color w:val="auto"/>
              </w:rPr>
            </w:pPr>
            <w:r>
              <w:rPr>
                <w:rFonts w:ascii="Arial" w:cs="Arial" w:eastAsia="Arial" w:hAnsi="Arial"/>
                <w:sz w:val="16"/>
                <w:szCs w:val="16"/>
                <w:b w:val="1"/>
                <w:bCs w:val="1"/>
                <w:color w:val="auto"/>
                <w:w w:val="95"/>
              </w:rPr>
              <w:t>2014</w:t>
            </w:r>
          </w:p>
        </w:tc>
        <w:tc>
          <w:tcPr>
            <w:tcW w:w="840" w:type="dxa"/>
            <w:vAlign w:val="bottom"/>
          </w:tcPr>
          <w:p>
            <w:pPr>
              <w:spacing w:after="0"/>
              <w:rPr>
                <w:sz w:val="20"/>
                <w:szCs w:val="20"/>
                <w:color w:val="auto"/>
              </w:rPr>
            </w:pPr>
          </w:p>
        </w:tc>
        <w:tc>
          <w:tcPr>
            <w:tcW w:w="1640" w:type="dxa"/>
            <w:vAlign w:val="bottom"/>
          </w:tcPr>
          <w:p>
            <w:pPr>
              <w:jc w:val="right"/>
              <w:ind w:right="811"/>
              <w:spacing w:after="0"/>
              <w:rPr>
                <w:sz w:val="20"/>
                <w:szCs w:val="20"/>
                <w:color w:val="auto"/>
              </w:rPr>
            </w:pPr>
            <w:r>
              <w:rPr>
                <w:rFonts w:ascii="Arial" w:cs="Arial" w:eastAsia="Arial" w:hAnsi="Arial"/>
                <w:sz w:val="16"/>
                <w:szCs w:val="16"/>
                <w:b w:val="1"/>
                <w:bCs w:val="1"/>
                <w:color w:val="auto"/>
              </w:rPr>
              <w:t>2013</w:t>
            </w:r>
          </w:p>
        </w:tc>
        <w:tc>
          <w:tcPr>
            <w:tcW w:w="1560" w:type="dxa"/>
            <w:vAlign w:val="bottom"/>
          </w:tcPr>
          <w:p>
            <w:pPr>
              <w:jc w:val="right"/>
              <w:ind w:right="773"/>
              <w:spacing w:after="0"/>
              <w:rPr>
                <w:sz w:val="20"/>
                <w:szCs w:val="20"/>
                <w:color w:val="auto"/>
              </w:rPr>
            </w:pPr>
            <w:r>
              <w:rPr>
                <w:rFonts w:ascii="Arial" w:cs="Arial" w:eastAsia="Arial" w:hAnsi="Arial"/>
                <w:sz w:val="16"/>
                <w:szCs w:val="16"/>
                <w:b w:val="1"/>
                <w:bCs w:val="1"/>
                <w:color w:val="auto"/>
              </w:rPr>
              <w:t>2014</w:t>
            </w:r>
          </w:p>
        </w:tc>
        <w:tc>
          <w:tcPr>
            <w:tcW w:w="1280" w:type="dxa"/>
            <w:vAlign w:val="bottom"/>
          </w:tcPr>
          <w:p>
            <w:pPr>
              <w:jc w:val="right"/>
              <w:ind w:right="471"/>
              <w:spacing w:after="0"/>
              <w:rPr>
                <w:sz w:val="20"/>
                <w:szCs w:val="20"/>
                <w:color w:val="auto"/>
              </w:rPr>
            </w:pPr>
            <w:r>
              <w:rPr>
                <w:rFonts w:ascii="Arial" w:cs="Arial" w:eastAsia="Arial" w:hAnsi="Arial"/>
                <w:sz w:val="16"/>
                <w:szCs w:val="16"/>
                <w:b w:val="1"/>
                <w:bCs w:val="1"/>
                <w:color w:val="auto"/>
              </w:rPr>
              <w:t>2013</w:t>
            </w:r>
          </w:p>
        </w:tc>
      </w:tr>
      <w:tr>
        <w:trPr>
          <w:trHeight w:val="40"/>
        </w:trPr>
        <w:tc>
          <w:tcPr>
            <w:tcW w:w="6100" w:type="dxa"/>
            <w:vAlign w:val="bottom"/>
            <w:tcBorders>
              <w:bottom w:val="single" w:sz="8" w:color="333333"/>
            </w:tcBorders>
          </w:tcPr>
          <w:p>
            <w:pPr>
              <w:spacing w:after="0"/>
              <w:rPr>
                <w:sz w:val="3"/>
                <w:szCs w:val="3"/>
                <w:color w:val="auto"/>
              </w:rPr>
            </w:pPr>
          </w:p>
        </w:tc>
        <w:tc>
          <w:tcPr>
            <w:tcW w:w="840" w:type="dxa"/>
            <w:vAlign w:val="bottom"/>
            <w:tcBorders>
              <w:bottom w:val="single" w:sz="8" w:color="333333"/>
            </w:tcBorders>
          </w:tcPr>
          <w:p>
            <w:pPr>
              <w:spacing w:after="0"/>
              <w:rPr>
                <w:sz w:val="3"/>
                <w:szCs w:val="3"/>
                <w:color w:val="auto"/>
              </w:rPr>
            </w:pPr>
          </w:p>
        </w:tc>
        <w:tc>
          <w:tcPr>
            <w:tcW w:w="1640" w:type="dxa"/>
            <w:vAlign w:val="bottom"/>
            <w:tcBorders>
              <w:bottom w:val="single" w:sz="8" w:color="333333"/>
            </w:tcBorders>
          </w:tcPr>
          <w:p>
            <w:pPr>
              <w:spacing w:after="0"/>
              <w:rPr>
                <w:sz w:val="3"/>
                <w:szCs w:val="3"/>
                <w:color w:val="auto"/>
              </w:rPr>
            </w:pPr>
          </w:p>
        </w:tc>
        <w:tc>
          <w:tcPr>
            <w:tcW w:w="1560" w:type="dxa"/>
            <w:vAlign w:val="bottom"/>
            <w:tcBorders>
              <w:bottom w:val="single" w:sz="8" w:color="333333"/>
            </w:tcBorders>
          </w:tcPr>
          <w:p>
            <w:pPr>
              <w:spacing w:after="0"/>
              <w:rPr>
                <w:sz w:val="3"/>
                <w:szCs w:val="3"/>
                <w:color w:val="auto"/>
              </w:rPr>
            </w:pPr>
          </w:p>
        </w:tc>
        <w:tc>
          <w:tcPr>
            <w:tcW w:w="1280" w:type="dxa"/>
            <w:vAlign w:val="bottom"/>
            <w:tcBorders>
              <w:bottom w:val="single" w:sz="8" w:color="333333"/>
            </w:tcBorders>
          </w:tcPr>
          <w:p>
            <w:pPr>
              <w:spacing w:after="0"/>
              <w:rPr>
                <w:sz w:val="3"/>
                <w:szCs w:val="3"/>
                <w:color w:val="auto"/>
              </w:rPr>
            </w:pPr>
          </w:p>
        </w:tc>
      </w:tr>
      <w:tr>
        <w:trPr>
          <w:trHeight w:val="250"/>
        </w:trPr>
        <w:tc>
          <w:tcPr>
            <w:tcW w:w="61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(Dollars in millions)</w:t>
            </w:r>
          </w:p>
        </w:tc>
        <w:tc>
          <w:tcPr>
            <w:tcW w:w="840" w:type="dxa"/>
            <w:vAlign w:val="bottom"/>
            <w:tcBorders>
              <w:bottom w:val="single" w:sz="8" w:color="CCEEFF"/>
            </w:tcBorders>
            <w:shd w:val="clear" w:color="auto" w:fill="CCEEFF"/>
          </w:tcPr>
          <w:p>
            <w:pPr>
              <w:spacing w:after="0"/>
              <w:rPr>
                <w:sz w:val="21"/>
                <w:szCs w:val="21"/>
                <w:color w:val="auto"/>
              </w:rPr>
            </w:pPr>
          </w:p>
        </w:tc>
        <w:tc>
          <w:tcPr>
            <w:tcW w:w="164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r>
      <w:tr>
        <w:trPr>
          <w:trHeight w:val="243"/>
        </w:trPr>
        <w:tc>
          <w:tcPr>
            <w:tcW w:w="6100" w:type="dxa"/>
            <w:vAlign w:val="bottom"/>
          </w:tcPr>
          <w:p>
            <w:pPr>
              <w:ind w:left="40"/>
              <w:spacing w:after="0"/>
              <w:rPr>
                <w:sz w:val="20"/>
                <w:szCs w:val="20"/>
                <w:color w:val="auto"/>
              </w:rPr>
            </w:pPr>
            <w:r>
              <w:rPr>
                <w:rFonts w:ascii="Arial" w:cs="Arial" w:eastAsia="Arial" w:hAnsi="Arial"/>
                <w:sz w:val="18"/>
                <w:szCs w:val="18"/>
                <w:color w:val="auto"/>
              </w:rPr>
              <w:t>Net Income</w:t>
            </w:r>
          </w:p>
        </w:tc>
        <w:tc>
          <w:tcPr>
            <w:tcW w:w="840" w:type="dxa"/>
            <w:vAlign w:val="bottom"/>
          </w:tcPr>
          <w:p>
            <w:pPr>
              <w:jc w:val="right"/>
              <w:ind w:right="310"/>
              <w:spacing w:after="0"/>
              <w:rPr>
                <w:sz w:val="20"/>
                <w:szCs w:val="20"/>
                <w:color w:val="auto"/>
              </w:rPr>
            </w:pPr>
            <w:r>
              <w:rPr>
                <w:rFonts w:ascii="Arial" w:cs="Arial" w:eastAsia="Arial" w:hAnsi="Arial"/>
                <w:sz w:val="18"/>
                <w:szCs w:val="18"/>
                <w:b w:val="1"/>
                <w:bCs w:val="1"/>
                <w:color w:val="auto"/>
                <w:w w:val="93"/>
              </w:rPr>
              <w:t>$28.6</w:t>
            </w:r>
          </w:p>
        </w:tc>
        <w:tc>
          <w:tcPr>
            <w:tcW w:w="1640" w:type="dxa"/>
            <w:vAlign w:val="bottom"/>
          </w:tcPr>
          <w:p>
            <w:pPr>
              <w:jc w:val="right"/>
              <w:ind w:right="331"/>
              <w:spacing w:after="0"/>
              <w:rPr>
                <w:sz w:val="20"/>
                <w:szCs w:val="20"/>
                <w:color w:val="auto"/>
              </w:rPr>
            </w:pPr>
            <w:r>
              <w:rPr>
                <w:rFonts w:ascii="Arial" w:cs="Arial" w:eastAsia="Arial" w:hAnsi="Arial"/>
                <w:sz w:val="18"/>
                <w:szCs w:val="18"/>
                <w:color w:val="auto"/>
              </w:rPr>
              <w:t>$25.3</w:t>
            </w:r>
          </w:p>
        </w:tc>
        <w:tc>
          <w:tcPr>
            <w:tcW w:w="1560" w:type="dxa"/>
            <w:vAlign w:val="bottom"/>
          </w:tcPr>
          <w:p>
            <w:pPr>
              <w:jc w:val="right"/>
              <w:ind w:right="313"/>
              <w:spacing w:after="0"/>
              <w:rPr>
                <w:sz w:val="20"/>
                <w:szCs w:val="20"/>
                <w:color w:val="auto"/>
              </w:rPr>
            </w:pPr>
            <w:r>
              <w:rPr>
                <w:rFonts w:ascii="Arial" w:cs="Arial" w:eastAsia="Arial" w:hAnsi="Arial"/>
                <w:sz w:val="18"/>
                <w:szCs w:val="18"/>
                <w:b w:val="1"/>
                <w:bCs w:val="1"/>
                <w:color w:val="auto"/>
              </w:rPr>
              <w:t>$62.3</w:t>
            </w:r>
          </w:p>
        </w:tc>
        <w:tc>
          <w:tcPr>
            <w:tcW w:w="1280" w:type="dxa"/>
            <w:vAlign w:val="bottom"/>
          </w:tcPr>
          <w:p>
            <w:pPr>
              <w:jc w:val="right"/>
              <w:ind w:right="11"/>
              <w:spacing w:after="0"/>
              <w:rPr>
                <w:sz w:val="20"/>
                <w:szCs w:val="20"/>
                <w:color w:val="auto"/>
              </w:rPr>
            </w:pPr>
            <w:r>
              <w:rPr>
                <w:rFonts w:ascii="Arial" w:cs="Arial" w:eastAsia="Arial" w:hAnsi="Arial"/>
                <w:sz w:val="18"/>
                <w:szCs w:val="18"/>
                <w:color w:val="auto"/>
              </w:rPr>
              <w:t>$46.3</w:t>
            </w:r>
          </w:p>
        </w:tc>
      </w:tr>
      <w:tr>
        <w:trPr>
          <w:trHeight w:val="27"/>
        </w:trPr>
        <w:tc>
          <w:tcPr>
            <w:tcW w:w="61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61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comprehensive income, net of tax:</w:t>
            </w:r>
          </w:p>
        </w:tc>
        <w:tc>
          <w:tcPr>
            <w:tcW w:w="840" w:type="dxa"/>
            <w:vAlign w:val="bottom"/>
            <w:tcBorders>
              <w:bottom w:val="single" w:sz="8" w:color="CCEEFF"/>
            </w:tcBorders>
            <w:shd w:val="clear" w:color="auto" w:fill="CCEEFF"/>
          </w:tcPr>
          <w:p>
            <w:pPr>
              <w:spacing w:after="0"/>
              <w:rPr>
                <w:sz w:val="21"/>
                <w:szCs w:val="21"/>
                <w:color w:val="auto"/>
              </w:rPr>
            </w:pPr>
          </w:p>
        </w:tc>
        <w:tc>
          <w:tcPr>
            <w:tcW w:w="164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r>
      <w:tr>
        <w:trPr>
          <w:trHeight w:val="243"/>
        </w:trPr>
        <w:tc>
          <w:tcPr>
            <w:tcW w:w="6100" w:type="dxa"/>
            <w:vAlign w:val="bottom"/>
          </w:tcPr>
          <w:p>
            <w:pPr>
              <w:ind w:left="360"/>
              <w:spacing w:after="0"/>
              <w:rPr>
                <w:sz w:val="20"/>
                <w:szCs w:val="20"/>
                <w:color w:val="auto"/>
              </w:rPr>
            </w:pPr>
            <w:r>
              <w:rPr>
                <w:rFonts w:ascii="Arial" w:cs="Arial" w:eastAsia="Arial" w:hAnsi="Arial"/>
                <w:sz w:val="18"/>
                <w:szCs w:val="18"/>
                <w:color w:val="auto"/>
              </w:rPr>
              <w:t>Foreign currency translation adjustments</w:t>
            </w:r>
          </w:p>
        </w:tc>
        <w:tc>
          <w:tcPr>
            <w:tcW w:w="840" w:type="dxa"/>
            <w:vAlign w:val="bottom"/>
          </w:tcPr>
          <w:p>
            <w:pPr>
              <w:jc w:val="right"/>
              <w:ind w:right="310"/>
              <w:spacing w:after="0"/>
              <w:rPr>
                <w:sz w:val="20"/>
                <w:szCs w:val="20"/>
                <w:color w:val="auto"/>
              </w:rPr>
            </w:pPr>
            <w:r>
              <w:rPr>
                <w:rFonts w:ascii="Arial" w:cs="Arial" w:eastAsia="Arial" w:hAnsi="Arial"/>
                <w:sz w:val="18"/>
                <w:szCs w:val="18"/>
                <w:b w:val="1"/>
                <w:bCs w:val="1"/>
                <w:color w:val="auto"/>
              </w:rPr>
              <w:t>0.6</w:t>
            </w:r>
          </w:p>
        </w:tc>
        <w:tc>
          <w:tcPr>
            <w:tcW w:w="1640" w:type="dxa"/>
            <w:vAlign w:val="bottom"/>
          </w:tcPr>
          <w:p>
            <w:pPr>
              <w:jc w:val="right"/>
              <w:ind w:right="271"/>
              <w:spacing w:after="0"/>
              <w:rPr>
                <w:sz w:val="20"/>
                <w:szCs w:val="20"/>
                <w:color w:val="auto"/>
              </w:rPr>
            </w:pPr>
            <w:r>
              <w:rPr>
                <w:rFonts w:ascii="Arial" w:cs="Arial" w:eastAsia="Arial" w:hAnsi="Arial"/>
                <w:sz w:val="18"/>
                <w:szCs w:val="18"/>
                <w:color w:val="auto"/>
              </w:rPr>
              <w:t>(0.3)</w:t>
            </w:r>
          </w:p>
        </w:tc>
        <w:tc>
          <w:tcPr>
            <w:tcW w:w="1560" w:type="dxa"/>
            <w:vAlign w:val="bottom"/>
          </w:tcPr>
          <w:p>
            <w:pPr>
              <w:jc w:val="right"/>
              <w:ind w:right="313"/>
              <w:spacing w:after="0"/>
              <w:rPr>
                <w:sz w:val="20"/>
                <w:szCs w:val="20"/>
                <w:color w:val="auto"/>
              </w:rPr>
            </w:pPr>
            <w:r>
              <w:rPr>
                <w:rFonts w:ascii="Arial" w:cs="Arial" w:eastAsia="Arial" w:hAnsi="Arial"/>
                <w:sz w:val="18"/>
                <w:szCs w:val="18"/>
                <w:b w:val="1"/>
                <w:bCs w:val="1"/>
                <w:color w:val="auto"/>
              </w:rPr>
              <w:t>0.4</w:t>
            </w:r>
          </w:p>
        </w:tc>
        <w:tc>
          <w:tcPr>
            <w:tcW w:w="1280" w:type="dxa"/>
            <w:vAlign w:val="bottom"/>
          </w:tcPr>
          <w:p>
            <w:pPr>
              <w:jc w:val="right"/>
              <w:ind w:right="11"/>
              <w:spacing w:after="0"/>
              <w:rPr>
                <w:sz w:val="20"/>
                <w:szCs w:val="20"/>
                <w:color w:val="auto"/>
              </w:rPr>
            </w:pPr>
            <w:r>
              <w:rPr>
                <w:rFonts w:ascii="Arial" w:cs="Arial" w:eastAsia="Arial" w:hAnsi="Arial"/>
                <w:sz w:val="18"/>
                <w:szCs w:val="18"/>
                <w:color w:val="auto"/>
              </w:rPr>
              <w:t>0.2</w:t>
            </w:r>
          </w:p>
        </w:tc>
      </w:tr>
      <w:tr>
        <w:trPr>
          <w:trHeight w:val="27"/>
        </w:trPr>
        <w:tc>
          <w:tcPr>
            <w:tcW w:w="61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75"/>
        </w:trPr>
        <w:tc>
          <w:tcPr>
            <w:tcW w:w="610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Pension and postretirement liability adjustment</w:t>
            </w:r>
          </w:p>
        </w:tc>
        <w:tc>
          <w:tcPr>
            <w:tcW w:w="84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b w:val="1"/>
                <w:bCs w:val="1"/>
                <w:color w:val="auto"/>
              </w:rPr>
              <w:t>2.9</w:t>
            </w:r>
          </w:p>
        </w:tc>
        <w:tc>
          <w:tcPr>
            <w:tcW w:w="1640" w:type="dxa"/>
            <w:vAlign w:val="bottom"/>
            <w:tcBorders>
              <w:bottom w:val="single" w:sz="8" w:color="CCEEFF"/>
            </w:tcBorders>
            <w:shd w:val="clear" w:color="auto" w:fill="CCEEFF"/>
          </w:tcPr>
          <w:p>
            <w:pPr>
              <w:jc w:val="right"/>
              <w:ind w:right="331"/>
              <w:spacing w:after="0"/>
              <w:rPr>
                <w:sz w:val="20"/>
                <w:szCs w:val="20"/>
                <w:color w:val="auto"/>
              </w:rPr>
            </w:pPr>
            <w:r>
              <w:rPr>
                <w:rFonts w:ascii="Arial" w:cs="Arial" w:eastAsia="Arial" w:hAnsi="Arial"/>
                <w:sz w:val="18"/>
                <w:szCs w:val="18"/>
                <w:color w:val="auto"/>
              </w:rPr>
              <w:t>—</w:t>
            </w:r>
          </w:p>
        </w:tc>
        <w:tc>
          <w:tcPr>
            <w:tcW w:w="1560" w:type="dxa"/>
            <w:vAlign w:val="bottom"/>
            <w:tcBorders>
              <w:bottom w:val="single" w:sz="8" w:color="CCEEFF"/>
            </w:tcBorders>
            <w:shd w:val="clear" w:color="auto" w:fill="CCEEFF"/>
          </w:tcPr>
          <w:p>
            <w:pPr>
              <w:jc w:val="right"/>
              <w:ind w:right="313"/>
              <w:spacing w:after="0"/>
              <w:rPr>
                <w:sz w:val="20"/>
                <w:szCs w:val="20"/>
                <w:color w:val="auto"/>
              </w:rPr>
            </w:pPr>
            <w:r>
              <w:rPr>
                <w:rFonts w:ascii="Arial" w:cs="Arial" w:eastAsia="Arial" w:hAnsi="Arial"/>
                <w:sz w:val="18"/>
                <w:szCs w:val="18"/>
                <w:b w:val="1"/>
                <w:bCs w:val="1"/>
                <w:color w:val="auto"/>
              </w:rPr>
              <w:t>2.9</w:t>
            </w:r>
          </w:p>
        </w:tc>
        <w:tc>
          <w:tcPr>
            <w:tcW w:w="12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37"/>
        </w:trPr>
        <w:tc>
          <w:tcPr>
            <w:tcW w:w="6100" w:type="dxa"/>
            <w:vAlign w:val="bottom"/>
            <w:tcBorders>
              <w:top w:val="single" w:sz="8" w:color="auto"/>
            </w:tcBorders>
          </w:tcPr>
          <w:p>
            <w:pPr>
              <w:ind w:left="360"/>
              <w:spacing w:after="0"/>
              <w:rPr>
                <w:sz w:val="20"/>
                <w:szCs w:val="20"/>
                <w:color w:val="auto"/>
              </w:rPr>
            </w:pPr>
            <w:r>
              <w:rPr>
                <w:rFonts w:ascii="Arial" w:cs="Arial" w:eastAsia="Arial" w:hAnsi="Arial"/>
                <w:sz w:val="18"/>
                <w:szCs w:val="18"/>
                <w:color w:val="auto"/>
              </w:rPr>
              <w:t>Other comprehensive income (loss), net of tax</w:t>
            </w:r>
          </w:p>
        </w:tc>
        <w:tc>
          <w:tcPr>
            <w:tcW w:w="840" w:type="dxa"/>
            <w:vAlign w:val="bottom"/>
            <w:tcBorders>
              <w:top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3.5</w:t>
            </w:r>
          </w:p>
        </w:tc>
        <w:tc>
          <w:tcPr>
            <w:tcW w:w="1640" w:type="dxa"/>
            <w:vAlign w:val="bottom"/>
            <w:tcBorders>
              <w:top w:val="single" w:sz="8" w:color="auto"/>
            </w:tcBorders>
          </w:tcPr>
          <w:p>
            <w:pPr>
              <w:jc w:val="right"/>
              <w:ind w:right="271"/>
              <w:spacing w:after="0"/>
              <w:rPr>
                <w:sz w:val="20"/>
                <w:szCs w:val="20"/>
                <w:color w:val="auto"/>
              </w:rPr>
            </w:pPr>
            <w:r>
              <w:rPr>
                <w:rFonts w:ascii="Arial" w:cs="Arial" w:eastAsia="Arial" w:hAnsi="Arial"/>
                <w:sz w:val="18"/>
                <w:szCs w:val="18"/>
                <w:color w:val="auto"/>
              </w:rPr>
              <w:t>(0.3)</w:t>
            </w:r>
          </w:p>
        </w:tc>
        <w:tc>
          <w:tcPr>
            <w:tcW w:w="1560" w:type="dxa"/>
            <w:vAlign w:val="bottom"/>
            <w:tcBorders>
              <w:top w:val="single" w:sz="8" w:color="auto"/>
            </w:tcBorders>
          </w:tcPr>
          <w:p>
            <w:pPr>
              <w:jc w:val="right"/>
              <w:ind w:right="313"/>
              <w:spacing w:after="0"/>
              <w:rPr>
                <w:sz w:val="20"/>
                <w:szCs w:val="20"/>
                <w:color w:val="auto"/>
              </w:rPr>
            </w:pPr>
            <w:r>
              <w:rPr>
                <w:rFonts w:ascii="Arial" w:cs="Arial" w:eastAsia="Arial" w:hAnsi="Arial"/>
                <w:sz w:val="18"/>
                <w:szCs w:val="18"/>
                <w:b w:val="1"/>
                <w:bCs w:val="1"/>
                <w:color w:val="auto"/>
              </w:rPr>
              <w:t>3.3</w:t>
            </w:r>
          </w:p>
        </w:tc>
        <w:tc>
          <w:tcPr>
            <w:tcW w:w="12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0.2</w:t>
            </w:r>
          </w:p>
        </w:tc>
      </w:tr>
      <w:tr>
        <w:trPr>
          <w:trHeight w:val="27"/>
        </w:trPr>
        <w:tc>
          <w:tcPr>
            <w:tcW w:w="6100" w:type="dxa"/>
            <w:vAlign w:val="bottom"/>
            <w:tcBorders>
              <w:bottom w:val="single" w:sz="8" w:color="333333"/>
            </w:tcBorders>
          </w:tcPr>
          <w:p>
            <w:pPr>
              <w:spacing w:after="0"/>
              <w:rPr>
                <w:sz w:val="2"/>
                <w:szCs w:val="2"/>
                <w:color w:val="auto"/>
              </w:rPr>
            </w:pPr>
          </w:p>
        </w:tc>
        <w:tc>
          <w:tcPr>
            <w:tcW w:w="840" w:type="dxa"/>
            <w:vAlign w:val="bottom"/>
            <w:tcBorders>
              <w:bottom w:val="single" w:sz="8" w:color="333333"/>
            </w:tcBorders>
          </w:tcPr>
          <w:p>
            <w:pPr>
              <w:spacing w:after="0"/>
              <w:rPr>
                <w:sz w:val="2"/>
                <w:szCs w:val="2"/>
                <w:color w:val="auto"/>
              </w:rPr>
            </w:pPr>
          </w:p>
        </w:tc>
        <w:tc>
          <w:tcPr>
            <w:tcW w:w="1640" w:type="dxa"/>
            <w:vAlign w:val="bottom"/>
            <w:tcBorders>
              <w:bottom w:val="single" w:sz="8" w:color="333333"/>
            </w:tcBorders>
          </w:tcPr>
          <w:p>
            <w:pPr>
              <w:spacing w:after="0"/>
              <w:rPr>
                <w:sz w:val="2"/>
                <w:szCs w:val="2"/>
                <w:color w:val="auto"/>
              </w:rPr>
            </w:pPr>
          </w:p>
        </w:tc>
        <w:tc>
          <w:tcPr>
            <w:tcW w:w="1560" w:type="dxa"/>
            <w:vAlign w:val="bottom"/>
            <w:tcBorders>
              <w:bottom w:val="single" w:sz="8" w:color="333333"/>
            </w:tcBorders>
          </w:tcPr>
          <w:p>
            <w:pPr>
              <w:spacing w:after="0"/>
              <w:rPr>
                <w:sz w:val="2"/>
                <w:szCs w:val="2"/>
                <w:color w:val="auto"/>
              </w:rPr>
            </w:pPr>
          </w:p>
        </w:tc>
        <w:tc>
          <w:tcPr>
            <w:tcW w:w="1280" w:type="dxa"/>
            <w:vAlign w:val="bottom"/>
            <w:tcBorders>
              <w:bottom w:val="single" w:sz="8" w:color="333333"/>
            </w:tcBorders>
          </w:tcPr>
          <w:p>
            <w:pPr>
              <w:spacing w:after="0"/>
              <w:rPr>
                <w:sz w:val="2"/>
                <w:szCs w:val="2"/>
                <w:color w:val="auto"/>
              </w:rPr>
            </w:pPr>
          </w:p>
        </w:tc>
      </w:tr>
      <w:tr>
        <w:trPr>
          <w:trHeight w:val="244"/>
        </w:trPr>
        <w:tc>
          <w:tcPr>
            <w:tcW w:w="61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Comprehensive Income, net of tax</w:t>
            </w:r>
          </w:p>
        </w:tc>
        <w:tc>
          <w:tcPr>
            <w:tcW w:w="84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b w:val="1"/>
                <w:bCs w:val="1"/>
                <w:color w:val="auto"/>
                <w:w w:val="93"/>
              </w:rPr>
              <w:t>$32.1</w:t>
            </w:r>
          </w:p>
        </w:tc>
        <w:tc>
          <w:tcPr>
            <w:tcW w:w="1640" w:type="dxa"/>
            <w:vAlign w:val="bottom"/>
            <w:tcBorders>
              <w:bottom w:val="single" w:sz="8" w:color="CCEEFF"/>
            </w:tcBorders>
            <w:shd w:val="clear" w:color="auto" w:fill="CCEEFF"/>
          </w:tcPr>
          <w:p>
            <w:pPr>
              <w:jc w:val="right"/>
              <w:ind w:right="331"/>
              <w:spacing w:after="0"/>
              <w:rPr>
                <w:sz w:val="20"/>
                <w:szCs w:val="20"/>
                <w:color w:val="auto"/>
              </w:rPr>
            </w:pPr>
            <w:r>
              <w:rPr>
                <w:rFonts w:ascii="Arial" w:cs="Arial" w:eastAsia="Arial" w:hAnsi="Arial"/>
                <w:sz w:val="18"/>
                <w:szCs w:val="18"/>
                <w:color w:val="auto"/>
              </w:rPr>
              <w:t>$25.0</w:t>
            </w:r>
          </w:p>
        </w:tc>
        <w:tc>
          <w:tcPr>
            <w:tcW w:w="1560" w:type="dxa"/>
            <w:vAlign w:val="bottom"/>
            <w:tcBorders>
              <w:bottom w:val="single" w:sz="8" w:color="CCEEFF"/>
            </w:tcBorders>
            <w:shd w:val="clear" w:color="auto" w:fill="CCEEFF"/>
          </w:tcPr>
          <w:p>
            <w:pPr>
              <w:jc w:val="right"/>
              <w:ind w:right="313"/>
              <w:spacing w:after="0"/>
              <w:rPr>
                <w:sz w:val="20"/>
                <w:szCs w:val="20"/>
                <w:color w:val="auto"/>
              </w:rPr>
            </w:pPr>
            <w:r>
              <w:rPr>
                <w:rFonts w:ascii="Arial" w:cs="Arial" w:eastAsia="Arial" w:hAnsi="Arial"/>
                <w:sz w:val="18"/>
                <w:szCs w:val="18"/>
                <w:b w:val="1"/>
                <w:bCs w:val="1"/>
                <w:color w:val="auto"/>
              </w:rPr>
              <w:t>$65.6</w:t>
            </w:r>
          </w:p>
        </w:tc>
        <w:tc>
          <w:tcPr>
            <w:tcW w:w="12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$46.5</w:t>
            </w:r>
          </w:p>
        </w:tc>
      </w:tr>
      <w:tr>
        <w:trPr>
          <w:trHeight w:val="27"/>
        </w:trPr>
        <w:tc>
          <w:tcPr>
            <w:tcW w:w="6100" w:type="dxa"/>
            <w:vAlign w:val="bottom"/>
            <w:shd w:val="clear" w:color="auto" w:fill="333333"/>
          </w:tcPr>
          <w:p>
            <w:pPr>
              <w:spacing w:after="0"/>
              <w:rPr>
                <w:sz w:val="2"/>
                <w:szCs w:val="2"/>
                <w:color w:val="auto"/>
              </w:rPr>
            </w:pPr>
          </w:p>
        </w:tc>
        <w:tc>
          <w:tcPr>
            <w:tcW w:w="840" w:type="dxa"/>
            <w:vAlign w:val="bottom"/>
            <w:shd w:val="clear" w:color="auto" w:fill="333333"/>
          </w:tcPr>
          <w:p>
            <w:pPr>
              <w:spacing w:after="0"/>
              <w:rPr>
                <w:sz w:val="2"/>
                <w:szCs w:val="2"/>
                <w:color w:val="auto"/>
              </w:rPr>
            </w:pPr>
          </w:p>
        </w:tc>
        <w:tc>
          <w:tcPr>
            <w:tcW w:w="1640" w:type="dxa"/>
            <w:vAlign w:val="bottom"/>
            <w:shd w:val="clear" w:color="auto" w:fill="333333"/>
          </w:tcPr>
          <w:p>
            <w:pPr>
              <w:spacing w:after="0"/>
              <w:rPr>
                <w:sz w:val="2"/>
                <w:szCs w:val="2"/>
                <w:color w:val="auto"/>
              </w:rPr>
            </w:pPr>
          </w:p>
        </w:tc>
        <w:tc>
          <w:tcPr>
            <w:tcW w:w="1560" w:type="dxa"/>
            <w:vAlign w:val="bottom"/>
            <w:shd w:val="clear" w:color="auto" w:fill="333333"/>
          </w:tcPr>
          <w:p>
            <w:pPr>
              <w:spacing w:after="0"/>
              <w:rPr>
                <w:sz w:val="2"/>
                <w:szCs w:val="2"/>
                <w:color w:val="auto"/>
              </w:rPr>
            </w:pPr>
          </w:p>
        </w:tc>
        <w:tc>
          <w:tcPr>
            <w:tcW w:w="1280" w:type="dxa"/>
            <w:vAlign w:val="bottom"/>
            <w:shd w:val="clear" w:color="auto" w:fill="333333"/>
          </w:tcPr>
          <w:p>
            <w:pPr>
              <w:spacing w:after="0"/>
              <w:rPr>
                <w:sz w:val="2"/>
                <w:szCs w:val="2"/>
                <w:color w:val="auto"/>
              </w:rPr>
            </w:pPr>
          </w:p>
        </w:tc>
      </w:tr>
    </w:tbl>
    <w:p>
      <w:pPr>
        <w:spacing w:after="0" w:line="8" w:lineRule="exact"/>
        <w:rPr>
          <w:sz w:val="20"/>
          <w:szCs w:val="20"/>
          <w:color w:val="auto"/>
        </w:rPr>
      </w:pPr>
    </w:p>
    <w:p>
      <w:pPr>
        <w:spacing w:after="0"/>
        <w:rPr>
          <w:sz w:val="20"/>
          <w:szCs w:val="20"/>
          <w:color w:val="auto"/>
        </w:rPr>
      </w:pPr>
      <w:r>
        <w:rPr>
          <w:rFonts w:ascii="Arial" w:cs="Arial" w:eastAsia="Arial" w:hAnsi="Arial"/>
          <w:sz w:val="14"/>
          <w:szCs w:val="14"/>
          <w:color w:val="auto"/>
        </w:rPr>
        <w:t>See accompanying Notes to the Unaudited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576" w:right="239" w:bottom="1440" w:gutter="0" w:footer="0" w:header="0"/>
        </w:sectPr>
      </w:pPr>
    </w:p>
    <w:bookmarkStart w:id="4" w:name="page5"/>
    <w:bookmarkEnd w:id="4"/>
    <w:p>
      <w:pPr>
        <w:jc w:val="center"/>
        <w:spacing w:after="0"/>
        <w:rPr>
          <w:sz w:val="20"/>
          <w:szCs w:val="20"/>
          <w:color w:val="auto"/>
        </w:rPr>
      </w:pPr>
      <w:r>
        <w:rPr>
          <w:rFonts w:ascii="Arial" w:cs="Arial" w:eastAsia="Arial" w:hAnsi="Arial"/>
          <w:sz w:val="25"/>
          <w:szCs w:val="25"/>
          <w:b w:val="1"/>
          <w:bCs w:val="1"/>
          <w:color w:val="auto"/>
        </w:rPr>
        <w:t>Consolidated Balance Sheets (Unaudited)</w:t>
      </w:r>
    </w:p>
    <w:p>
      <w:pPr>
        <w:spacing w:after="0" w:line="181"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7840" w:type="dxa"/>
            <w:vAlign w:val="bottom"/>
          </w:tcPr>
          <w:p>
            <w:pPr>
              <w:spacing w:after="0"/>
              <w:rPr>
                <w:sz w:val="17"/>
                <w:szCs w:val="17"/>
                <w:color w:val="auto"/>
              </w:rPr>
            </w:pPr>
          </w:p>
        </w:tc>
        <w:tc>
          <w:tcPr>
            <w:tcW w:w="1900" w:type="dxa"/>
            <w:vAlign w:val="bottom"/>
          </w:tcPr>
          <w:p>
            <w:pPr>
              <w:jc w:val="right"/>
              <w:ind w:right="799"/>
              <w:spacing w:after="0"/>
              <w:rPr>
                <w:sz w:val="20"/>
                <w:szCs w:val="20"/>
                <w:color w:val="auto"/>
              </w:rPr>
            </w:pPr>
            <w:r>
              <w:rPr>
                <w:rFonts w:ascii="Arial" w:cs="Arial" w:eastAsia="Arial" w:hAnsi="Arial"/>
                <w:sz w:val="16"/>
                <w:szCs w:val="16"/>
                <w:b w:val="1"/>
                <w:bCs w:val="1"/>
                <w:color w:val="auto"/>
              </w:rPr>
              <w:t>June 30,</w:t>
            </w:r>
          </w:p>
        </w:tc>
        <w:tc>
          <w:tcPr>
            <w:tcW w:w="1680" w:type="dxa"/>
            <w:vAlign w:val="bottom"/>
          </w:tcPr>
          <w:p>
            <w:pPr>
              <w:jc w:val="right"/>
              <w:ind w:right="379"/>
              <w:spacing w:after="0"/>
              <w:rPr>
                <w:sz w:val="20"/>
                <w:szCs w:val="20"/>
                <w:color w:val="auto"/>
              </w:rPr>
            </w:pPr>
            <w:r>
              <w:rPr>
                <w:rFonts w:ascii="Arial" w:cs="Arial" w:eastAsia="Arial" w:hAnsi="Arial"/>
                <w:sz w:val="16"/>
                <w:szCs w:val="16"/>
                <w:b w:val="1"/>
                <w:bCs w:val="1"/>
                <w:color w:val="auto"/>
              </w:rPr>
              <w:t>December 31,</w:t>
            </w:r>
          </w:p>
        </w:tc>
        <w:tc>
          <w:tcPr>
            <w:tcW w:w="0" w:type="dxa"/>
            <w:vAlign w:val="bottom"/>
          </w:tcPr>
          <w:p>
            <w:pPr>
              <w:spacing w:after="0"/>
              <w:rPr>
                <w:sz w:val="1"/>
                <w:szCs w:val="1"/>
                <w:color w:val="auto"/>
              </w:rPr>
            </w:pPr>
          </w:p>
        </w:tc>
      </w:tr>
      <w:tr>
        <w:trPr>
          <w:trHeight w:val="210"/>
        </w:trPr>
        <w:tc>
          <w:tcPr>
            <w:tcW w:w="7840" w:type="dxa"/>
            <w:vAlign w:val="bottom"/>
          </w:tcPr>
          <w:p>
            <w:pPr>
              <w:spacing w:after="0"/>
              <w:rPr>
                <w:sz w:val="18"/>
                <w:szCs w:val="18"/>
                <w:color w:val="auto"/>
              </w:rPr>
            </w:pPr>
          </w:p>
        </w:tc>
        <w:tc>
          <w:tcPr>
            <w:tcW w:w="1900" w:type="dxa"/>
            <w:vAlign w:val="bottom"/>
          </w:tcPr>
          <w:p>
            <w:pPr>
              <w:jc w:val="right"/>
              <w:ind w:right="919"/>
              <w:spacing w:after="0"/>
              <w:rPr>
                <w:sz w:val="20"/>
                <w:szCs w:val="20"/>
                <w:color w:val="auto"/>
              </w:rPr>
            </w:pPr>
            <w:r>
              <w:rPr>
                <w:rFonts w:ascii="Arial" w:cs="Arial" w:eastAsia="Arial" w:hAnsi="Arial"/>
                <w:sz w:val="16"/>
                <w:szCs w:val="16"/>
                <w:b w:val="1"/>
                <w:bCs w:val="1"/>
                <w:color w:val="auto"/>
              </w:rPr>
              <w:t>2014</w:t>
            </w:r>
          </w:p>
        </w:tc>
        <w:tc>
          <w:tcPr>
            <w:tcW w:w="1680" w:type="dxa"/>
            <w:vAlign w:val="bottom"/>
          </w:tcPr>
          <w:p>
            <w:pPr>
              <w:jc w:val="right"/>
              <w:ind w:right="659"/>
              <w:spacing w:after="0"/>
              <w:rPr>
                <w:sz w:val="20"/>
                <w:szCs w:val="20"/>
                <w:color w:val="auto"/>
              </w:rPr>
            </w:pPr>
            <w:r>
              <w:rPr>
                <w:rFonts w:ascii="Arial" w:cs="Arial" w:eastAsia="Arial" w:hAnsi="Arial"/>
                <w:sz w:val="16"/>
                <w:szCs w:val="16"/>
                <w:b w:val="1"/>
                <w:bCs w:val="1"/>
                <w:color w:val="auto"/>
              </w:rPr>
              <w:t>2013</w:t>
            </w:r>
          </w:p>
        </w:tc>
        <w:tc>
          <w:tcPr>
            <w:tcW w:w="0" w:type="dxa"/>
            <w:vAlign w:val="bottom"/>
          </w:tcPr>
          <w:p>
            <w:pPr>
              <w:spacing w:after="0"/>
              <w:rPr>
                <w:sz w:val="1"/>
                <w:szCs w:val="1"/>
                <w:color w:val="auto"/>
              </w:rPr>
            </w:pPr>
          </w:p>
        </w:tc>
      </w:tr>
      <w:tr>
        <w:trPr>
          <w:trHeight w:val="33"/>
        </w:trPr>
        <w:tc>
          <w:tcPr>
            <w:tcW w:w="7840" w:type="dxa"/>
            <w:vAlign w:val="bottom"/>
            <w:tcBorders>
              <w:bottom w:val="single" w:sz="8" w:color="auto"/>
            </w:tcBorders>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8"/>
        </w:trPr>
        <w:tc>
          <w:tcPr>
            <w:tcW w:w="7840" w:type="dxa"/>
            <w:vAlign w:val="bottom"/>
          </w:tcPr>
          <w:p>
            <w:pPr>
              <w:ind w:left="40"/>
              <w:spacing w:after="0"/>
              <w:rPr>
                <w:sz w:val="20"/>
                <w:szCs w:val="20"/>
                <w:color w:val="auto"/>
              </w:rPr>
            </w:pPr>
            <w:r>
              <w:rPr>
                <w:rFonts w:ascii="Arial" w:cs="Arial" w:eastAsia="Arial" w:hAnsi="Arial"/>
                <w:sz w:val="14"/>
                <w:szCs w:val="14"/>
                <w:color w:val="auto"/>
              </w:rPr>
              <w:t>(Dollars in millions)</w:t>
            </w:r>
          </w:p>
        </w:tc>
        <w:tc>
          <w:tcPr>
            <w:tcW w:w="1900" w:type="dxa"/>
            <w:vAlign w:val="bottom"/>
          </w:tcPr>
          <w:p>
            <w:pPr>
              <w:spacing w:after="0"/>
              <w:rPr>
                <w:sz w:val="22"/>
                <w:szCs w:val="22"/>
                <w:color w:val="auto"/>
              </w:rPr>
            </w:pPr>
          </w:p>
        </w:tc>
        <w:tc>
          <w:tcPr>
            <w:tcW w:w="16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6"/>
        </w:trPr>
        <w:tc>
          <w:tcPr>
            <w:tcW w:w="7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ASSETS</w:t>
            </w:r>
          </w:p>
        </w:tc>
        <w:tc>
          <w:tcPr>
            <w:tcW w:w="1900" w:type="dxa"/>
            <w:vAlign w:val="bottom"/>
            <w:tcBorders>
              <w:bottom w:val="single" w:sz="8" w:color="CCEEFF"/>
            </w:tcBorders>
            <w:shd w:val="clear" w:color="auto" w:fill="CCEEFF"/>
          </w:tcPr>
          <w:p>
            <w:pPr>
              <w:spacing w:after="0"/>
              <w:rPr>
                <w:sz w:val="22"/>
                <w:szCs w:val="22"/>
                <w:color w:val="auto"/>
              </w:rPr>
            </w:pPr>
          </w:p>
        </w:tc>
        <w:tc>
          <w:tcPr>
            <w:tcW w:w="168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7840" w:type="dxa"/>
            <w:vAlign w:val="bottom"/>
          </w:tcPr>
          <w:p>
            <w:pPr>
              <w:ind w:left="40"/>
              <w:spacing w:after="0"/>
              <w:rPr>
                <w:sz w:val="20"/>
                <w:szCs w:val="20"/>
                <w:color w:val="auto"/>
              </w:rPr>
            </w:pPr>
            <w:r>
              <w:rPr>
                <w:rFonts w:ascii="Arial" w:cs="Arial" w:eastAsia="Arial" w:hAnsi="Arial"/>
                <w:sz w:val="16"/>
                <w:szCs w:val="16"/>
                <w:b w:val="1"/>
                <w:bCs w:val="1"/>
                <w:color w:val="auto"/>
              </w:rPr>
              <w:t>Current Assets</w:t>
            </w:r>
          </w:p>
        </w:tc>
        <w:tc>
          <w:tcPr>
            <w:tcW w:w="190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784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4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6"/>
                <w:szCs w:val="16"/>
                <w:color w:val="auto"/>
              </w:rPr>
              <w:t>Cash and cash equivalents</w:t>
            </w:r>
          </w:p>
        </w:tc>
        <w:tc>
          <w:tcPr>
            <w:tcW w:w="1900" w:type="dxa"/>
            <w:vAlign w:val="bottom"/>
            <w:tcBorders>
              <w:bottom w:val="single" w:sz="8" w:color="CCEEFF"/>
            </w:tcBorders>
            <w:shd w:val="clear" w:color="auto" w:fill="CCEEFF"/>
          </w:tcPr>
          <w:p>
            <w:pPr>
              <w:jc w:val="right"/>
              <w:ind w:right="259"/>
              <w:spacing w:after="0"/>
              <w:rPr>
                <w:sz w:val="20"/>
                <w:szCs w:val="20"/>
                <w:color w:val="auto"/>
              </w:rPr>
            </w:pPr>
            <w:r>
              <w:rPr>
                <w:rFonts w:ascii="Arial" w:cs="Arial" w:eastAsia="Arial" w:hAnsi="Arial"/>
                <w:sz w:val="16"/>
                <w:szCs w:val="16"/>
                <w:b w:val="1"/>
                <w:bCs w:val="1"/>
                <w:color w:val="auto"/>
              </w:rPr>
              <w:t>$43.7</w:t>
            </w:r>
          </w:p>
        </w:tc>
        <w:tc>
          <w:tcPr>
            <w:tcW w:w="16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7840" w:type="dxa"/>
            <w:vAlign w:val="bottom"/>
          </w:tcPr>
          <w:p>
            <w:pPr>
              <w:ind w:left="360"/>
              <w:spacing w:after="0"/>
              <w:rPr>
                <w:sz w:val="20"/>
                <w:szCs w:val="20"/>
                <w:color w:val="auto"/>
              </w:rPr>
            </w:pPr>
            <w:r>
              <w:rPr>
                <w:rFonts w:ascii="Arial" w:cs="Arial" w:eastAsia="Arial" w:hAnsi="Arial"/>
                <w:sz w:val="16"/>
                <w:szCs w:val="16"/>
                <w:color w:val="auto"/>
              </w:rPr>
              <w:t>Accounts receivable, net of allowances</w:t>
            </w:r>
          </w:p>
        </w:tc>
        <w:tc>
          <w:tcPr>
            <w:tcW w:w="1900" w:type="dxa"/>
            <w:vAlign w:val="bottom"/>
          </w:tcPr>
          <w:p>
            <w:pPr>
              <w:jc w:val="right"/>
              <w:ind w:right="259"/>
              <w:spacing w:after="0"/>
              <w:rPr>
                <w:sz w:val="20"/>
                <w:szCs w:val="20"/>
                <w:color w:val="auto"/>
              </w:rPr>
            </w:pPr>
            <w:r>
              <w:rPr>
                <w:rFonts w:ascii="Arial" w:cs="Arial" w:eastAsia="Arial" w:hAnsi="Arial"/>
                <w:sz w:val="16"/>
                <w:szCs w:val="16"/>
                <w:b w:val="1"/>
                <w:bCs w:val="1"/>
                <w:color w:val="auto"/>
              </w:rPr>
              <w:t>178.4</w:t>
            </w:r>
          </w:p>
        </w:tc>
        <w:tc>
          <w:tcPr>
            <w:tcW w:w="1680" w:type="dxa"/>
            <w:vAlign w:val="bottom"/>
          </w:tcPr>
          <w:p>
            <w:pPr>
              <w:jc w:val="right"/>
              <w:ind w:right="19"/>
              <w:spacing w:after="0"/>
              <w:rPr>
                <w:sz w:val="20"/>
                <w:szCs w:val="20"/>
                <w:color w:val="auto"/>
              </w:rPr>
            </w:pPr>
            <w:r>
              <w:rPr>
                <w:rFonts w:ascii="Arial" w:cs="Arial" w:eastAsia="Arial" w:hAnsi="Arial"/>
                <w:sz w:val="16"/>
                <w:szCs w:val="16"/>
                <w:color w:val="auto"/>
              </w:rPr>
              <w:t>122.7</w:t>
            </w:r>
          </w:p>
        </w:tc>
        <w:tc>
          <w:tcPr>
            <w:tcW w:w="0" w:type="dxa"/>
            <w:vAlign w:val="bottom"/>
          </w:tcPr>
          <w:p>
            <w:pPr>
              <w:spacing w:after="0"/>
              <w:rPr>
                <w:sz w:val="1"/>
                <w:szCs w:val="1"/>
                <w:color w:val="auto"/>
              </w:rPr>
            </w:pPr>
          </w:p>
        </w:tc>
      </w:tr>
      <w:tr>
        <w:trPr>
          <w:trHeight w:val="33"/>
        </w:trPr>
        <w:tc>
          <w:tcPr>
            <w:tcW w:w="784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40" w:type="dxa"/>
            <w:vAlign w:val="bottom"/>
            <w:tcBorders>
              <w:bottom w:val="single" w:sz="8" w:color="CCEEFF"/>
            </w:tcBorders>
            <w:shd w:val="clear" w:color="auto" w:fill="CCEEFF"/>
          </w:tcPr>
          <w:p>
            <w:pPr>
              <w:ind w:left="680"/>
              <w:spacing w:after="0"/>
              <w:rPr>
                <w:sz w:val="20"/>
                <w:szCs w:val="20"/>
                <w:color w:val="auto"/>
              </w:rPr>
            </w:pPr>
            <w:r>
              <w:rPr>
                <w:rFonts w:ascii="Arial" w:cs="Arial" w:eastAsia="Arial" w:hAnsi="Arial"/>
                <w:sz w:val="16"/>
                <w:szCs w:val="16"/>
                <w:color w:val="auto"/>
              </w:rPr>
              <w:t>2014 - $0.3 million; 2013 - $0.2 million</w:t>
            </w:r>
          </w:p>
        </w:tc>
        <w:tc>
          <w:tcPr>
            <w:tcW w:w="190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7840" w:type="dxa"/>
            <w:vAlign w:val="bottom"/>
          </w:tcPr>
          <w:p>
            <w:pPr>
              <w:ind w:left="360"/>
              <w:spacing w:after="0"/>
              <w:rPr>
                <w:sz w:val="20"/>
                <w:szCs w:val="20"/>
                <w:color w:val="auto"/>
              </w:rPr>
            </w:pPr>
            <w:r>
              <w:rPr>
                <w:rFonts w:ascii="Arial" w:cs="Arial" w:eastAsia="Arial" w:hAnsi="Arial"/>
                <w:sz w:val="16"/>
                <w:szCs w:val="16"/>
                <w:color w:val="auto"/>
              </w:rPr>
              <w:t>Accounts receivable due from related party</w:t>
            </w:r>
          </w:p>
        </w:tc>
        <w:tc>
          <w:tcPr>
            <w:tcW w:w="1900" w:type="dxa"/>
            <w:vAlign w:val="bottom"/>
          </w:tcPr>
          <w:p>
            <w:pPr>
              <w:jc w:val="right"/>
              <w:ind w:right="259"/>
              <w:spacing w:after="0"/>
              <w:rPr>
                <w:sz w:val="20"/>
                <w:szCs w:val="20"/>
                <w:color w:val="auto"/>
              </w:rPr>
            </w:pPr>
            <w:r>
              <w:rPr>
                <w:rFonts w:ascii="Arial" w:cs="Arial" w:eastAsia="Arial" w:hAnsi="Arial"/>
                <w:sz w:val="16"/>
                <w:szCs w:val="16"/>
                <w:b w:val="1"/>
                <w:bCs w:val="1"/>
                <w:color w:val="auto"/>
              </w:rPr>
              <w:t>—</w:t>
            </w:r>
          </w:p>
        </w:tc>
        <w:tc>
          <w:tcPr>
            <w:tcW w:w="1680" w:type="dxa"/>
            <w:vAlign w:val="bottom"/>
          </w:tcPr>
          <w:p>
            <w:pPr>
              <w:jc w:val="right"/>
              <w:ind w:right="19"/>
              <w:spacing w:after="0"/>
              <w:rPr>
                <w:sz w:val="20"/>
                <w:szCs w:val="20"/>
                <w:color w:val="auto"/>
              </w:rPr>
            </w:pPr>
            <w:r>
              <w:rPr>
                <w:rFonts w:ascii="Arial" w:cs="Arial" w:eastAsia="Arial" w:hAnsi="Arial"/>
                <w:sz w:val="16"/>
                <w:szCs w:val="16"/>
                <w:color w:val="auto"/>
              </w:rPr>
              <w:t>26.7</w:t>
            </w:r>
          </w:p>
        </w:tc>
        <w:tc>
          <w:tcPr>
            <w:tcW w:w="0" w:type="dxa"/>
            <w:vAlign w:val="bottom"/>
          </w:tcPr>
          <w:p>
            <w:pPr>
              <w:spacing w:after="0"/>
              <w:rPr>
                <w:sz w:val="1"/>
                <w:szCs w:val="1"/>
                <w:color w:val="auto"/>
              </w:rPr>
            </w:pPr>
          </w:p>
        </w:tc>
      </w:tr>
      <w:tr>
        <w:trPr>
          <w:trHeight w:val="33"/>
        </w:trPr>
        <w:tc>
          <w:tcPr>
            <w:tcW w:w="784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4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6"/>
                <w:szCs w:val="16"/>
                <w:color w:val="auto"/>
              </w:rPr>
              <w:t>Inventories, net</w:t>
            </w:r>
          </w:p>
        </w:tc>
        <w:tc>
          <w:tcPr>
            <w:tcW w:w="1900" w:type="dxa"/>
            <w:vAlign w:val="bottom"/>
            <w:tcBorders>
              <w:bottom w:val="single" w:sz="8" w:color="CCEEFF"/>
            </w:tcBorders>
            <w:shd w:val="clear" w:color="auto" w:fill="CCEEFF"/>
          </w:tcPr>
          <w:p>
            <w:pPr>
              <w:jc w:val="right"/>
              <w:ind w:right="259"/>
              <w:spacing w:after="0"/>
              <w:rPr>
                <w:sz w:val="20"/>
                <w:szCs w:val="20"/>
                <w:color w:val="auto"/>
              </w:rPr>
            </w:pPr>
            <w:r>
              <w:rPr>
                <w:rFonts w:ascii="Arial" w:cs="Arial" w:eastAsia="Arial" w:hAnsi="Arial"/>
                <w:sz w:val="16"/>
                <w:szCs w:val="16"/>
                <w:b w:val="1"/>
                <w:bCs w:val="1"/>
                <w:color w:val="auto"/>
              </w:rPr>
              <w:t>238.8</w:t>
            </w:r>
          </w:p>
        </w:tc>
        <w:tc>
          <w:tcPr>
            <w:tcW w:w="16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227.0</w:t>
            </w:r>
          </w:p>
        </w:tc>
        <w:tc>
          <w:tcPr>
            <w:tcW w:w="0" w:type="dxa"/>
            <w:vAlign w:val="bottom"/>
          </w:tcPr>
          <w:p>
            <w:pPr>
              <w:spacing w:after="0"/>
              <w:rPr>
                <w:sz w:val="1"/>
                <w:szCs w:val="1"/>
                <w:color w:val="auto"/>
              </w:rPr>
            </w:pPr>
          </w:p>
        </w:tc>
      </w:tr>
      <w:tr>
        <w:trPr>
          <w:trHeight w:val="237"/>
        </w:trPr>
        <w:tc>
          <w:tcPr>
            <w:tcW w:w="7840" w:type="dxa"/>
            <w:vAlign w:val="bottom"/>
          </w:tcPr>
          <w:p>
            <w:pPr>
              <w:ind w:left="360"/>
              <w:spacing w:after="0"/>
              <w:rPr>
                <w:sz w:val="20"/>
                <w:szCs w:val="20"/>
                <w:color w:val="auto"/>
              </w:rPr>
            </w:pPr>
            <w:r>
              <w:rPr>
                <w:rFonts w:ascii="Arial" w:cs="Arial" w:eastAsia="Arial" w:hAnsi="Arial"/>
                <w:sz w:val="16"/>
                <w:szCs w:val="16"/>
                <w:color w:val="auto"/>
              </w:rPr>
              <w:t>Deferred income taxes</w:t>
            </w:r>
          </w:p>
        </w:tc>
        <w:tc>
          <w:tcPr>
            <w:tcW w:w="1900" w:type="dxa"/>
            <w:vAlign w:val="bottom"/>
          </w:tcPr>
          <w:p>
            <w:pPr>
              <w:jc w:val="right"/>
              <w:ind w:right="259"/>
              <w:spacing w:after="0"/>
              <w:rPr>
                <w:sz w:val="20"/>
                <w:szCs w:val="20"/>
                <w:color w:val="auto"/>
              </w:rPr>
            </w:pPr>
            <w:r>
              <w:rPr>
                <w:rFonts w:ascii="Arial" w:cs="Arial" w:eastAsia="Arial" w:hAnsi="Arial"/>
                <w:sz w:val="16"/>
                <w:szCs w:val="16"/>
                <w:b w:val="1"/>
                <w:bCs w:val="1"/>
                <w:color w:val="auto"/>
              </w:rPr>
              <w:t>13.6</w:t>
            </w:r>
          </w:p>
        </w:tc>
        <w:tc>
          <w:tcPr>
            <w:tcW w:w="1680" w:type="dxa"/>
            <w:vAlign w:val="bottom"/>
          </w:tcPr>
          <w:p>
            <w:pPr>
              <w:jc w:val="right"/>
              <w:ind w:right="19"/>
              <w:spacing w:after="0"/>
              <w:rPr>
                <w:sz w:val="20"/>
                <w:szCs w:val="20"/>
                <w:color w:val="auto"/>
              </w:rPr>
            </w:pPr>
            <w:r>
              <w:rPr>
                <w:rFonts w:ascii="Arial" w:cs="Arial" w:eastAsia="Arial" w:hAnsi="Arial"/>
                <w:sz w:val="16"/>
                <w:szCs w:val="16"/>
                <w:color w:val="auto"/>
              </w:rPr>
              <w:t>1.7</w:t>
            </w:r>
          </w:p>
        </w:tc>
        <w:tc>
          <w:tcPr>
            <w:tcW w:w="0" w:type="dxa"/>
            <w:vAlign w:val="bottom"/>
          </w:tcPr>
          <w:p>
            <w:pPr>
              <w:spacing w:after="0"/>
              <w:rPr>
                <w:sz w:val="1"/>
                <w:szCs w:val="1"/>
                <w:color w:val="auto"/>
              </w:rPr>
            </w:pPr>
          </w:p>
        </w:tc>
      </w:tr>
      <w:tr>
        <w:trPr>
          <w:trHeight w:val="33"/>
        </w:trPr>
        <w:tc>
          <w:tcPr>
            <w:tcW w:w="784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4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6"/>
                <w:szCs w:val="16"/>
                <w:color w:val="auto"/>
              </w:rPr>
              <w:t>Deferred charges and prepaid expenses</w:t>
            </w:r>
          </w:p>
        </w:tc>
        <w:tc>
          <w:tcPr>
            <w:tcW w:w="1900" w:type="dxa"/>
            <w:vAlign w:val="bottom"/>
            <w:tcBorders>
              <w:bottom w:val="single" w:sz="8" w:color="CCEEFF"/>
            </w:tcBorders>
            <w:shd w:val="clear" w:color="auto" w:fill="CCEEFF"/>
          </w:tcPr>
          <w:p>
            <w:pPr>
              <w:jc w:val="right"/>
              <w:ind w:right="259"/>
              <w:spacing w:after="0"/>
              <w:rPr>
                <w:sz w:val="20"/>
                <w:szCs w:val="20"/>
                <w:color w:val="auto"/>
              </w:rPr>
            </w:pPr>
            <w:r>
              <w:rPr>
                <w:rFonts w:ascii="Arial" w:cs="Arial" w:eastAsia="Arial" w:hAnsi="Arial"/>
                <w:sz w:val="16"/>
                <w:szCs w:val="16"/>
                <w:b w:val="1"/>
                <w:bCs w:val="1"/>
                <w:color w:val="auto"/>
              </w:rPr>
              <w:t>0.4</w:t>
            </w:r>
          </w:p>
        </w:tc>
        <w:tc>
          <w:tcPr>
            <w:tcW w:w="16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0.8</w:t>
            </w:r>
          </w:p>
        </w:tc>
        <w:tc>
          <w:tcPr>
            <w:tcW w:w="0" w:type="dxa"/>
            <w:vAlign w:val="bottom"/>
          </w:tcPr>
          <w:p>
            <w:pPr>
              <w:spacing w:after="0"/>
              <w:rPr>
                <w:sz w:val="1"/>
                <w:szCs w:val="1"/>
                <w:color w:val="auto"/>
              </w:rPr>
            </w:pPr>
          </w:p>
        </w:tc>
      </w:tr>
      <w:tr>
        <w:trPr>
          <w:trHeight w:val="237"/>
        </w:trPr>
        <w:tc>
          <w:tcPr>
            <w:tcW w:w="7840" w:type="dxa"/>
            <w:vAlign w:val="bottom"/>
          </w:tcPr>
          <w:p>
            <w:pPr>
              <w:ind w:left="360"/>
              <w:spacing w:after="0"/>
              <w:rPr>
                <w:sz w:val="20"/>
                <w:szCs w:val="20"/>
                <w:color w:val="auto"/>
              </w:rPr>
            </w:pPr>
            <w:r>
              <w:rPr>
                <w:rFonts w:ascii="Arial" w:cs="Arial" w:eastAsia="Arial" w:hAnsi="Arial"/>
                <w:sz w:val="16"/>
                <w:szCs w:val="16"/>
                <w:color w:val="auto"/>
              </w:rPr>
              <w:t>Other current assets</w:t>
            </w:r>
          </w:p>
        </w:tc>
        <w:tc>
          <w:tcPr>
            <w:tcW w:w="1900" w:type="dxa"/>
            <w:vAlign w:val="bottom"/>
          </w:tcPr>
          <w:p>
            <w:pPr>
              <w:jc w:val="right"/>
              <w:ind w:right="259"/>
              <w:spacing w:after="0"/>
              <w:rPr>
                <w:sz w:val="20"/>
                <w:szCs w:val="20"/>
                <w:color w:val="auto"/>
              </w:rPr>
            </w:pPr>
            <w:r>
              <w:rPr>
                <w:rFonts w:ascii="Arial" w:cs="Arial" w:eastAsia="Arial" w:hAnsi="Arial"/>
                <w:sz w:val="16"/>
                <w:szCs w:val="16"/>
                <w:b w:val="1"/>
                <w:bCs w:val="1"/>
                <w:color w:val="auto"/>
              </w:rPr>
              <w:t>3.4</w:t>
            </w:r>
          </w:p>
        </w:tc>
        <w:tc>
          <w:tcPr>
            <w:tcW w:w="1680" w:type="dxa"/>
            <w:vAlign w:val="bottom"/>
          </w:tcPr>
          <w:p>
            <w:pPr>
              <w:jc w:val="right"/>
              <w:ind w:right="19"/>
              <w:spacing w:after="0"/>
              <w:rPr>
                <w:sz w:val="20"/>
                <w:szCs w:val="20"/>
                <w:color w:val="auto"/>
              </w:rPr>
            </w:pPr>
            <w:r>
              <w:rPr>
                <w:rFonts w:ascii="Arial" w:cs="Arial" w:eastAsia="Arial" w:hAnsi="Arial"/>
                <w:sz w:val="16"/>
                <w:szCs w:val="16"/>
                <w:color w:val="auto"/>
              </w:rPr>
              <w:t>4.2</w:t>
            </w:r>
          </w:p>
        </w:tc>
        <w:tc>
          <w:tcPr>
            <w:tcW w:w="0" w:type="dxa"/>
            <w:vAlign w:val="bottom"/>
          </w:tcPr>
          <w:p>
            <w:pPr>
              <w:spacing w:after="0"/>
              <w:rPr>
                <w:sz w:val="1"/>
                <w:szCs w:val="1"/>
                <w:color w:val="auto"/>
              </w:rPr>
            </w:pPr>
          </w:p>
        </w:tc>
      </w:tr>
      <w:tr>
        <w:trPr>
          <w:trHeight w:val="33"/>
        </w:trPr>
        <w:tc>
          <w:tcPr>
            <w:tcW w:w="7840" w:type="dxa"/>
            <w:vAlign w:val="bottom"/>
            <w:tcBorders>
              <w:bottom w:val="single" w:sz="8" w:color="333333"/>
            </w:tcBorders>
          </w:tcPr>
          <w:p>
            <w:pPr>
              <w:spacing w:after="0"/>
              <w:rPr>
                <w:sz w:val="2"/>
                <w:szCs w:val="2"/>
                <w:color w:val="auto"/>
              </w:rPr>
            </w:pPr>
          </w:p>
        </w:tc>
        <w:tc>
          <w:tcPr>
            <w:tcW w:w="1900" w:type="dxa"/>
            <w:vAlign w:val="bottom"/>
            <w:tcBorders>
              <w:bottom w:val="single" w:sz="8" w:color="333333"/>
            </w:tcBorders>
          </w:tcPr>
          <w:p>
            <w:pPr>
              <w:spacing w:after="0"/>
              <w:rPr>
                <w:sz w:val="2"/>
                <w:szCs w:val="2"/>
                <w:color w:val="auto"/>
              </w:rPr>
            </w:pPr>
          </w:p>
        </w:tc>
        <w:tc>
          <w:tcPr>
            <w:tcW w:w="1680" w:type="dxa"/>
            <w:vAlign w:val="bottom"/>
            <w:tcBorders>
              <w:bottom w:val="single" w:sz="8" w:color="333333"/>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Total Current Assets</w:t>
            </w:r>
          </w:p>
        </w:tc>
        <w:tc>
          <w:tcPr>
            <w:tcW w:w="1900" w:type="dxa"/>
            <w:vAlign w:val="bottom"/>
            <w:tcBorders>
              <w:bottom w:val="single" w:sz="8" w:color="CCEEFF"/>
            </w:tcBorders>
            <w:shd w:val="clear" w:color="auto" w:fill="CCEEFF"/>
          </w:tcPr>
          <w:p>
            <w:pPr>
              <w:jc w:val="right"/>
              <w:ind w:right="259"/>
              <w:spacing w:after="0"/>
              <w:rPr>
                <w:sz w:val="20"/>
                <w:szCs w:val="20"/>
                <w:color w:val="auto"/>
              </w:rPr>
            </w:pPr>
            <w:r>
              <w:rPr>
                <w:rFonts w:ascii="Arial" w:cs="Arial" w:eastAsia="Arial" w:hAnsi="Arial"/>
                <w:sz w:val="16"/>
                <w:szCs w:val="16"/>
                <w:b w:val="1"/>
                <w:bCs w:val="1"/>
                <w:color w:val="auto"/>
              </w:rPr>
              <w:t>478.3</w:t>
            </w:r>
          </w:p>
        </w:tc>
        <w:tc>
          <w:tcPr>
            <w:tcW w:w="16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383.1</w:t>
            </w:r>
          </w:p>
        </w:tc>
        <w:tc>
          <w:tcPr>
            <w:tcW w:w="0" w:type="dxa"/>
            <w:vAlign w:val="bottom"/>
          </w:tcPr>
          <w:p>
            <w:pPr>
              <w:spacing w:after="0"/>
              <w:rPr>
                <w:sz w:val="1"/>
                <w:szCs w:val="1"/>
                <w:color w:val="auto"/>
              </w:rPr>
            </w:pPr>
          </w:p>
        </w:tc>
      </w:tr>
      <w:tr>
        <w:trPr>
          <w:trHeight w:val="189"/>
        </w:trPr>
        <w:tc>
          <w:tcPr>
            <w:tcW w:w="7840" w:type="dxa"/>
            <w:vAlign w:val="bottom"/>
          </w:tcPr>
          <w:p>
            <w:pPr>
              <w:spacing w:after="0"/>
              <w:rPr>
                <w:sz w:val="16"/>
                <w:szCs w:val="16"/>
                <w:color w:val="auto"/>
              </w:rPr>
            </w:pPr>
          </w:p>
        </w:tc>
        <w:tc>
          <w:tcPr>
            <w:tcW w:w="1900" w:type="dxa"/>
            <w:vAlign w:val="bottom"/>
          </w:tcPr>
          <w:p>
            <w:pPr>
              <w:spacing w:after="0"/>
              <w:rPr>
                <w:sz w:val="16"/>
                <w:szCs w:val="16"/>
                <w:color w:val="auto"/>
              </w:rPr>
            </w:pPr>
          </w:p>
        </w:tc>
        <w:tc>
          <w:tcPr>
            <w:tcW w:w="16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7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Property, Plant and Equipment, Net</w:t>
            </w:r>
          </w:p>
        </w:tc>
        <w:tc>
          <w:tcPr>
            <w:tcW w:w="1900" w:type="dxa"/>
            <w:vAlign w:val="bottom"/>
            <w:tcBorders>
              <w:bottom w:val="single" w:sz="8" w:color="CCEEFF"/>
            </w:tcBorders>
            <w:shd w:val="clear" w:color="auto" w:fill="CCEEFF"/>
          </w:tcPr>
          <w:p>
            <w:pPr>
              <w:jc w:val="right"/>
              <w:ind w:right="259"/>
              <w:spacing w:after="0"/>
              <w:rPr>
                <w:sz w:val="20"/>
                <w:szCs w:val="20"/>
                <w:color w:val="auto"/>
              </w:rPr>
            </w:pPr>
            <w:r>
              <w:rPr>
                <w:rFonts w:ascii="Arial" w:cs="Arial" w:eastAsia="Arial" w:hAnsi="Arial"/>
                <w:sz w:val="16"/>
                <w:szCs w:val="16"/>
                <w:b w:val="1"/>
                <w:bCs w:val="1"/>
                <w:color w:val="auto"/>
              </w:rPr>
              <w:t>750.4</w:t>
            </w:r>
          </w:p>
        </w:tc>
        <w:tc>
          <w:tcPr>
            <w:tcW w:w="16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682.6</w:t>
            </w:r>
          </w:p>
        </w:tc>
        <w:tc>
          <w:tcPr>
            <w:tcW w:w="0" w:type="dxa"/>
            <w:vAlign w:val="bottom"/>
          </w:tcPr>
          <w:p>
            <w:pPr>
              <w:spacing w:after="0"/>
              <w:rPr>
                <w:sz w:val="1"/>
                <w:szCs w:val="1"/>
                <w:color w:val="auto"/>
              </w:rPr>
            </w:pPr>
          </w:p>
        </w:tc>
      </w:tr>
      <w:tr>
        <w:trPr>
          <w:trHeight w:val="189"/>
        </w:trPr>
        <w:tc>
          <w:tcPr>
            <w:tcW w:w="7840" w:type="dxa"/>
            <w:vAlign w:val="bottom"/>
          </w:tcPr>
          <w:p>
            <w:pPr>
              <w:spacing w:after="0"/>
              <w:rPr>
                <w:sz w:val="16"/>
                <w:szCs w:val="16"/>
                <w:color w:val="auto"/>
              </w:rPr>
            </w:pPr>
          </w:p>
        </w:tc>
        <w:tc>
          <w:tcPr>
            <w:tcW w:w="1900" w:type="dxa"/>
            <w:vAlign w:val="bottom"/>
          </w:tcPr>
          <w:p>
            <w:pPr>
              <w:spacing w:after="0"/>
              <w:rPr>
                <w:sz w:val="16"/>
                <w:szCs w:val="16"/>
                <w:color w:val="auto"/>
              </w:rPr>
            </w:pPr>
          </w:p>
        </w:tc>
        <w:tc>
          <w:tcPr>
            <w:tcW w:w="16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7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Other Assets</w:t>
            </w:r>
          </w:p>
        </w:tc>
        <w:tc>
          <w:tcPr>
            <w:tcW w:w="190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7840" w:type="dxa"/>
            <w:vAlign w:val="bottom"/>
          </w:tcPr>
          <w:p>
            <w:pPr>
              <w:ind w:left="360"/>
              <w:spacing w:after="0"/>
              <w:rPr>
                <w:sz w:val="20"/>
                <w:szCs w:val="20"/>
                <w:color w:val="auto"/>
              </w:rPr>
            </w:pPr>
            <w:r>
              <w:rPr>
                <w:rFonts w:ascii="Arial" w:cs="Arial" w:eastAsia="Arial" w:hAnsi="Arial"/>
                <w:sz w:val="16"/>
                <w:szCs w:val="16"/>
                <w:color w:val="auto"/>
              </w:rPr>
              <w:t>Pension assets</w:t>
            </w:r>
          </w:p>
        </w:tc>
        <w:tc>
          <w:tcPr>
            <w:tcW w:w="1900" w:type="dxa"/>
            <w:vAlign w:val="bottom"/>
          </w:tcPr>
          <w:p>
            <w:pPr>
              <w:jc w:val="right"/>
              <w:ind w:right="259"/>
              <w:spacing w:after="0"/>
              <w:rPr>
                <w:sz w:val="20"/>
                <w:szCs w:val="20"/>
                <w:color w:val="auto"/>
              </w:rPr>
            </w:pPr>
            <w:r>
              <w:rPr>
                <w:rFonts w:ascii="Arial" w:cs="Arial" w:eastAsia="Arial" w:hAnsi="Arial"/>
                <w:sz w:val="16"/>
                <w:szCs w:val="16"/>
                <w:b w:val="1"/>
                <w:bCs w:val="1"/>
                <w:color w:val="auto"/>
              </w:rPr>
              <w:t>77.1</w:t>
            </w:r>
          </w:p>
        </w:tc>
        <w:tc>
          <w:tcPr>
            <w:tcW w:w="16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784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4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6"/>
                <w:szCs w:val="16"/>
                <w:color w:val="auto"/>
              </w:rPr>
              <w:t>Intangible assets</w:t>
            </w:r>
          </w:p>
        </w:tc>
        <w:tc>
          <w:tcPr>
            <w:tcW w:w="1900" w:type="dxa"/>
            <w:vAlign w:val="bottom"/>
            <w:tcBorders>
              <w:bottom w:val="single" w:sz="8" w:color="CCEEFF"/>
            </w:tcBorders>
            <w:shd w:val="clear" w:color="auto" w:fill="CCEEFF"/>
          </w:tcPr>
          <w:p>
            <w:pPr>
              <w:jc w:val="right"/>
              <w:ind w:right="259"/>
              <w:spacing w:after="0"/>
              <w:rPr>
                <w:sz w:val="20"/>
                <w:szCs w:val="20"/>
                <w:color w:val="auto"/>
              </w:rPr>
            </w:pPr>
            <w:r>
              <w:rPr>
                <w:rFonts w:ascii="Arial" w:cs="Arial" w:eastAsia="Arial" w:hAnsi="Arial"/>
                <w:sz w:val="16"/>
                <w:szCs w:val="16"/>
                <w:b w:val="1"/>
                <w:bCs w:val="1"/>
                <w:color w:val="auto"/>
              </w:rPr>
              <w:t>10.7</w:t>
            </w:r>
          </w:p>
        </w:tc>
        <w:tc>
          <w:tcPr>
            <w:tcW w:w="16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11.2</w:t>
            </w:r>
          </w:p>
        </w:tc>
        <w:tc>
          <w:tcPr>
            <w:tcW w:w="0" w:type="dxa"/>
            <w:vAlign w:val="bottom"/>
          </w:tcPr>
          <w:p>
            <w:pPr>
              <w:spacing w:after="0"/>
              <w:rPr>
                <w:sz w:val="1"/>
                <w:szCs w:val="1"/>
                <w:color w:val="auto"/>
              </w:rPr>
            </w:pPr>
          </w:p>
        </w:tc>
      </w:tr>
      <w:tr>
        <w:trPr>
          <w:trHeight w:val="237"/>
        </w:trPr>
        <w:tc>
          <w:tcPr>
            <w:tcW w:w="7840" w:type="dxa"/>
            <w:vAlign w:val="bottom"/>
          </w:tcPr>
          <w:p>
            <w:pPr>
              <w:ind w:left="360"/>
              <w:spacing w:after="0"/>
              <w:rPr>
                <w:sz w:val="20"/>
                <w:szCs w:val="20"/>
                <w:color w:val="auto"/>
              </w:rPr>
            </w:pPr>
            <w:r>
              <w:rPr>
                <w:rFonts w:ascii="Arial" w:cs="Arial" w:eastAsia="Arial" w:hAnsi="Arial"/>
                <w:sz w:val="16"/>
                <w:szCs w:val="16"/>
                <w:color w:val="auto"/>
              </w:rPr>
              <w:t>Other non-current assets</w:t>
            </w:r>
          </w:p>
        </w:tc>
        <w:tc>
          <w:tcPr>
            <w:tcW w:w="1900" w:type="dxa"/>
            <w:vAlign w:val="bottom"/>
          </w:tcPr>
          <w:p>
            <w:pPr>
              <w:jc w:val="right"/>
              <w:ind w:right="259"/>
              <w:spacing w:after="0"/>
              <w:rPr>
                <w:sz w:val="20"/>
                <w:szCs w:val="20"/>
                <w:color w:val="auto"/>
              </w:rPr>
            </w:pPr>
            <w:r>
              <w:rPr>
                <w:rFonts w:ascii="Arial" w:cs="Arial" w:eastAsia="Arial" w:hAnsi="Arial"/>
                <w:sz w:val="16"/>
                <w:szCs w:val="16"/>
                <w:b w:val="1"/>
                <w:bCs w:val="1"/>
                <w:color w:val="auto"/>
              </w:rPr>
              <w:t>2.6</w:t>
            </w:r>
          </w:p>
        </w:tc>
        <w:tc>
          <w:tcPr>
            <w:tcW w:w="1680" w:type="dxa"/>
            <w:vAlign w:val="bottom"/>
          </w:tcPr>
          <w:p>
            <w:pPr>
              <w:jc w:val="right"/>
              <w:ind w:right="19"/>
              <w:spacing w:after="0"/>
              <w:rPr>
                <w:sz w:val="20"/>
                <w:szCs w:val="20"/>
                <w:color w:val="auto"/>
              </w:rPr>
            </w:pPr>
            <w:r>
              <w:rPr>
                <w:rFonts w:ascii="Arial" w:cs="Arial" w:eastAsia="Arial" w:hAnsi="Arial"/>
                <w:sz w:val="16"/>
                <w:szCs w:val="16"/>
                <w:color w:val="auto"/>
              </w:rPr>
              <w:t>1.9</w:t>
            </w:r>
          </w:p>
        </w:tc>
        <w:tc>
          <w:tcPr>
            <w:tcW w:w="0" w:type="dxa"/>
            <w:vAlign w:val="bottom"/>
          </w:tcPr>
          <w:p>
            <w:pPr>
              <w:spacing w:after="0"/>
              <w:rPr>
                <w:sz w:val="1"/>
                <w:szCs w:val="1"/>
                <w:color w:val="auto"/>
              </w:rPr>
            </w:pPr>
          </w:p>
        </w:tc>
      </w:tr>
      <w:tr>
        <w:trPr>
          <w:trHeight w:val="33"/>
        </w:trPr>
        <w:tc>
          <w:tcPr>
            <w:tcW w:w="7840" w:type="dxa"/>
            <w:vAlign w:val="bottom"/>
            <w:tcBorders>
              <w:bottom w:val="single" w:sz="8" w:color="333333"/>
            </w:tcBorders>
          </w:tcPr>
          <w:p>
            <w:pPr>
              <w:spacing w:after="0"/>
              <w:rPr>
                <w:sz w:val="2"/>
                <w:szCs w:val="2"/>
                <w:color w:val="auto"/>
              </w:rPr>
            </w:pPr>
          </w:p>
        </w:tc>
        <w:tc>
          <w:tcPr>
            <w:tcW w:w="1900" w:type="dxa"/>
            <w:vAlign w:val="bottom"/>
            <w:tcBorders>
              <w:bottom w:val="single" w:sz="8" w:color="333333"/>
            </w:tcBorders>
          </w:tcPr>
          <w:p>
            <w:pPr>
              <w:spacing w:after="0"/>
              <w:rPr>
                <w:sz w:val="2"/>
                <w:szCs w:val="2"/>
                <w:color w:val="auto"/>
              </w:rPr>
            </w:pPr>
          </w:p>
        </w:tc>
        <w:tc>
          <w:tcPr>
            <w:tcW w:w="1680" w:type="dxa"/>
            <w:vAlign w:val="bottom"/>
            <w:tcBorders>
              <w:bottom w:val="single" w:sz="8" w:color="333333"/>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7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Total Other Assets</w:t>
            </w:r>
          </w:p>
        </w:tc>
        <w:tc>
          <w:tcPr>
            <w:tcW w:w="1900" w:type="dxa"/>
            <w:vAlign w:val="bottom"/>
            <w:tcBorders>
              <w:bottom w:val="single" w:sz="8" w:color="CCEEFF"/>
            </w:tcBorders>
            <w:shd w:val="clear" w:color="auto" w:fill="CCEEFF"/>
          </w:tcPr>
          <w:p>
            <w:pPr>
              <w:jc w:val="right"/>
              <w:ind w:right="259"/>
              <w:spacing w:after="0"/>
              <w:rPr>
                <w:sz w:val="20"/>
                <w:szCs w:val="20"/>
                <w:color w:val="auto"/>
              </w:rPr>
            </w:pPr>
            <w:r>
              <w:rPr>
                <w:rFonts w:ascii="Arial" w:cs="Arial" w:eastAsia="Arial" w:hAnsi="Arial"/>
                <w:sz w:val="16"/>
                <w:szCs w:val="16"/>
                <w:b w:val="1"/>
                <w:bCs w:val="1"/>
                <w:color w:val="auto"/>
              </w:rPr>
              <w:t>90.4</w:t>
            </w:r>
          </w:p>
        </w:tc>
        <w:tc>
          <w:tcPr>
            <w:tcW w:w="16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13.1</w:t>
            </w:r>
          </w:p>
        </w:tc>
        <w:tc>
          <w:tcPr>
            <w:tcW w:w="0" w:type="dxa"/>
            <w:vAlign w:val="bottom"/>
          </w:tcPr>
          <w:p>
            <w:pPr>
              <w:spacing w:after="0"/>
              <w:rPr>
                <w:sz w:val="1"/>
                <w:szCs w:val="1"/>
                <w:color w:val="auto"/>
              </w:rPr>
            </w:pPr>
          </w:p>
        </w:tc>
      </w:tr>
      <w:tr>
        <w:trPr>
          <w:trHeight w:val="231"/>
        </w:trPr>
        <w:tc>
          <w:tcPr>
            <w:tcW w:w="7840" w:type="dxa"/>
            <w:vAlign w:val="bottom"/>
            <w:tcBorders>
              <w:top w:val="single" w:sz="8" w:color="333333"/>
            </w:tcBorders>
          </w:tcPr>
          <w:p>
            <w:pPr>
              <w:ind w:left="40"/>
              <w:spacing w:after="0"/>
              <w:rPr>
                <w:sz w:val="20"/>
                <w:szCs w:val="20"/>
                <w:color w:val="auto"/>
              </w:rPr>
            </w:pPr>
            <w:r>
              <w:rPr>
                <w:rFonts w:ascii="Arial" w:cs="Arial" w:eastAsia="Arial" w:hAnsi="Arial"/>
                <w:sz w:val="16"/>
                <w:szCs w:val="16"/>
                <w:b w:val="1"/>
                <w:bCs w:val="1"/>
                <w:color w:val="auto"/>
              </w:rPr>
              <w:t>Total Assets</w:t>
            </w:r>
          </w:p>
        </w:tc>
        <w:tc>
          <w:tcPr>
            <w:tcW w:w="1900" w:type="dxa"/>
            <w:vAlign w:val="bottom"/>
            <w:tcBorders>
              <w:top w:val="single" w:sz="8" w:color="333333"/>
            </w:tcBorders>
          </w:tcPr>
          <w:p>
            <w:pPr>
              <w:jc w:val="right"/>
              <w:ind w:right="259"/>
              <w:spacing w:after="0"/>
              <w:rPr>
                <w:sz w:val="20"/>
                <w:szCs w:val="20"/>
                <w:color w:val="auto"/>
              </w:rPr>
            </w:pPr>
            <w:r>
              <w:rPr>
                <w:rFonts w:ascii="Arial" w:cs="Arial" w:eastAsia="Arial" w:hAnsi="Arial"/>
                <w:sz w:val="16"/>
                <w:szCs w:val="16"/>
                <w:b w:val="1"/>
                <w:bCs w:val="1"/>
                <w:color w:val="auto"/>
              </w:rPr>
              <w:t>$1,319.1</w:t>
            </w:r>
          </w:p>
        </w:tc>
        <w:tc>
          <w:tcPr>
            <w:tcW w:w="1680" w:type="dxa"/>
            <w:vAlign w:val="bottom"/>
            <w:tcBorders>
              <w:top w:val="single" w:sz="8" w:color="333333"/>
            </w:tcBorders>
          </w:tcPr>
          <w:p>
            <w:pPr>
              <w:jc w:val="right"/>
              <w:ind w:right="19"/>
              <w:spacing w:after="0"/>
              <w:rPr>
                <w:sz w:val="20"/>
                <w:szCs w:val="20"/>
                <w:color w:val="auto"/>
              </w:rPr>
            </w:pPr>
            <w:r>
              <w:rPr>
                <w:rFonts w:ascii="Arial" w:cs="Arial" w:eastAsia="Arial" w:hAnsi="Arial"/>
                <w:sz w:val="16"/>
                <w:szCs w:val="16"/>
                <w:color w:val="auto"/>
              </w:rPr>
              <w:t>$1,078.8</w:t>
            </w:r>
          </w:p>
        </w:tc>
        <w:tc>
          <w:tcPr>
            <w:tcW w:w="0" w:type="dxa"/>
            <w:vAlign w:val="bottom"/>
          </w:tcPr>
          <w:p>
            <w:pPr>
              <w:spacing w:after="0"/>
              <w:rPr>
                <w:sz w:val="1"/>
                <w:szCs w:val="1"/>
                <w:color w:val="auto"/>
              </w:rPr>
            </w:pPr>
          </w:p>
        </w:tc>
      </w:tr>
      <w:tr>
        <w:trPr>
          <w:trHeight w:val="40"/>
        </w:trPr>
        <w:tc>
          <w:tcPr>
            <w:tcW w:w="7840" w:type="dxa"/>
            <w:vAlign w:val="bottom"/>
            <w:tcBorders>
              <w:bottom w:val="single" w:sz="8" w:color="333333"/>
            </w:tcBorders>
          </w:tcPr>
          <w:p>
            <w:pPr>
              <w:spacing w:after="0"/>
              <w:rPr>
                <w:sz w:val="3"/>
                <w:szCs w:val="3"/>
                <w:color w:val="auto"/>
              </w:rPr>
            </w:pPr>
          </w:p>
        </w:tc>
        <w:tc>
          <w:tcPr>
            <w:tcW w:w="1900" w:type="dxa"/>
            <w:vAlign w:val="bottom"/>
            <w:tcBorders>
              <w:bottom w:val="single" w:sz="8" w:color="333333"/>
            </w:tcBorders>
          </w:tcPr>
          <w:p>
            <w:pPr>
              <w:spacing w:after="0"/>
              <w:rPr>
                <w:sz w:val="3"/>
                <w:szCs w:val="3"/>
                <w:color w:val="auto"/>
              </w:rPr>
            </w:pPr>
          </w:p>
        </w:tc>
        <w:tc>
          <w:tcPr>
            <w:tcW w:w="1680" w:type="dxa"/>
            <w:vAlign w:val="bottom"/>
            <w:tcBorders>
              <w:bottom w:val="single" w:sz="8" w:color="333333"/>
            </w:tcBorders>
          </w:tcPr>
          <w:p>
            <w:pPr>
              <w:spacing w:after="0"/>
              <w:rPr>
                <w:sz w:val="3"/>
                <w:szCs w:val="3"/>
                <w:color w:val="auto"/>
              </w:rPr>
            </w:pPr>
          </w:p>
        </w:tc>
        <w:tc>
          <w:tcPr>
            <w:tcW w:w="0" w:type="dxa"/>
            <w:vAlign w:val="bottom"/>
          </w:tcPr>
          <w:p>
            <w:pPr>
              <w:spacing w:after="0"/>
              <w:rPr>
                <w:sz w:val="1"/>
                <w:szCs w:val="1"/>
                <w:color w:val="auto"/>
              </w:rPr>
            </w:pPr>
          </w:p>
        </w:tc>
      </w:tr>
      <w:tr>
        <w:trPr>
          <w:trHeight w:val="189"/>
        </w:trPr>
        <w:tc>
          <w:tcPr>
            <w:tcW w:w="7840" w:type="dxa"/>
            <w:vAlign w:val="bottom"/>
            <w:shd w:val="clear" w:color="auto" w:fill="CCEEFF"/>
          </w:tcPr>
          <w:p>
            <w:pPr>
              <w:spacing w:after="0"/>
              <w:rPr>
                <w:sz w:val="16"/>
                <w:szCs w:val="16"/>
                <w:color w:val="auto"/>
              </w:rPr>
            </w:pPr>
          </w:p>
        </w:tc>
        <w:tc>
          <w:tcPr>
            <w:tcW w:w="1900" w:type="dxa"/>
            <w:vAlign w:val="bottom"/>
            <w:shd w:val="clear" w:color="auto" w:fill="CCEEFF"/>
          </w:tcPr>
          <w:p>
            <w:pPr>
              <w:spacing w:after="0"/>
              <w:rPr>
                <w:sz w:val="16"/>
                <w:szCs w:val="16"/>
                <w:color w:val="auto"/>
              </w:rPr>
            </w:pPr>
          </w:p>
        </w:tc>
        <w:tc>
          <w:tcPr>
            <w:tcW w:w="16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37"/>
        </w:trPr>
        <w:tc>
          <w:tcPr>
            <w:tcW w:w="7840" w:type="dxa"/>
            <w:vAlign w:val="bottom"/>
          </w:tcPr>
          <w:p>
            <w:pPr>
              <w:ind w:left="40"/>
              <w:spacing w:after="0"/>
              <w:rPr>
                <w:sz w:val="20"/>
                <w:szCs w:val="20"/>
                <w:color w:val="auto"/>
              </w:rPr>
            </w:pPr>
            <w:r>
              <w:rPr>
                <w:rFonts w:ascii="Arial" w:cs="Arial" w:eastAsia="Arial" w:hAnsi="Arial"/>
                <w:sz w:val="16"/>
                <w:szCs w:val="16"/>
                <w:b w:val="1"/>
                <w:bCs w:val="1"/>
                <w:color w:val="auto"/>
              </w:rPr>
              <w:t>LIABILITIES AND EQUITY</w:t>
            </w:r>
          </w:p>
        </w:tc>
        <w:tc>
          <w:tcPr>
            <w:tcW w:w="190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784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Current Liabilities</w:t>
            </w:r>
          </w:p>
        </w:tc>
        <w:tc>
          <w:tcPr>
            <w:tcW w:w="190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7840" w:type="dxa"/>
            <w:vAlign w:val="bottom"/>
          </w:tcPr>
          <w:p>
            <w:pPr>
              <w:ind w:left="360"/>
              <w:spacing w:after="0"/>
              <w:rPr>
                <w:sz w:val="20"/>
                <w:szCs w:val="20"/>
                <w:color w:val="auto"/>
              </w:rPr>
            </w:pPr>
            <w:r>
              <w:rPr>
                <w:rFonts w:ascii="Arial" w:cs="Arial" w:eastAsia="Arial" w:hAnsi="Arial"/>
                <w:sz w:val="16"/>
                <w:szCs w:val="16"/>
                <w:color w:val="auto"/>
              </w:rPr>
              <w:t>Accounts payable, trade</w:t>
            </w:r>
          </w:p>
        </w:tc>
        <w:tc>
          <w:tcPr>
            <w:tcW w:w="1900" w:type="dxa"/>
            <w:vAlign w:val="bottom"/>
          </w:tcPr>
          <w:p>
            <w:pPr>
              <w:jc w:val="right"/>
              <w:ind w:right="259"/>
              <w:spacing w:after="0"/>
              <w:rPr>
                <w:sz w:val="20"/>
                <w:szCs w:val="20"/>
                <w:color w:val="auto"/>
              </w:rPr>
            </w:pPr>
            <w:r>
              <w:rPr>
                <w:rFonts w:ascii="Arial" w:cs="Arial" w:eastAsia="Arial" w:hAnsi="Arial"/>
                <w:sz w:val="16"/>
                <w:szCs w:val="16"/>
                <w:b w:val="1"/>
                <w:bCs w:val="1"/>
                <w:color w:val="auto"/>
              </w:rPr>
              <w:t>$132.6</w:t>
            </w:r>
          </w:p>
        </w:tc>
        <w:tc>
          <w:tcPr>
            <w:tcW w:w="1680" w:type="dxa"/>
            <w:vAlign w:val="bottom"/>
          </w:tcPr>
          <w:p>
            <w:pPr>
              <w:jc w:val="right"/>
              <w:ind w:right="19"/>
              <w:spacing w:after="0"/>
              <w:rPr>
                <w:sz w:val="20"/>
                <w:szCs w:val="20"/>
                <w:color w:val="auto"/>
              </w:rPr>
            </w:pPr>
            <w:r>
              <w:rPr>
                <w:rFonts w:ascii="Arial" w:cs="Arial" w:eastAsia="Arial" w:hAnsi="Arial"/>
                <w:sz w:val="16"/>
                <w:szCs w:val="16"/>
                <w:color w:val="auto"/>
              </w:rPr>
              <w:t>$86.4</w:t>
            </w:r>
          </w:p>
        </w:tc>
        <w:tc>
          <w:tcPr>
            <w:tcW w:w="0" w:type="dxa"/>
            <w:vAlign w:val="bottom"/>
          </w:tcPr>
          <w:p>
            <w:pPr>
              <w:spacing w:after="0"/>
              <w:rPr>
                <w:sz w:val="1"/>
                <w:szCs w:val="1"/>
                <w:color w:val="auto"/>
              </w:rPr>
            </w:pPr>
          </w:p>
        </w:tc>
      </w:tr>
      <w:tr>
        <w:trPr>
          <w:trHeight w:val="33"/>
        </w:trPr>
        <w:tc>
          <w:tcPr>
            <w:tcW w:w="784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4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6"/>
                <w:szCs w:val="16"/>
                <w:color w:val="auto"/>
              </w:rPr>
              <w:t>Accounts payable due to related party</w:t>
            </w:r>
          </w:p>
        </w:tc>
        <w:tc>
          <w:tcPr>
            <w:tcW w:w="1900" w:type="dxa"/>
            <w:vAlign w:val="bottom"/>
            <w:tcBorders>
              <w:bottom w:val="single" w:sz="8" w:color="CCEEFF"/>
            </w:tcBorders>
            <w:shd w:val="clear" w:color="auto" w:fill="CCEEFF"/>
          </w:tcPr>
          <w:p>
            <w:pPr>
              <w:jc w:val="right"/>
              <w:ind w:right="259"/>
              <w:spacing w:after="0"/>
              <w:rPr>
                <w:sz w:val="20"/>
                <w:szCs w:val="20"/>
                <w:color w:val="auto"/>
              </w:rPr>
            </w:pPr>
            <w:r>
              <w:rPr>
                <w:rFonts w:ascii="Arial" w:cs="Arial" w:eastAsia="Arial" w:hAnsi="Arial"/>
                <w:sz w:val="16"/>
                <w:szCs w:val="16"/>
                <w:b w:val="1"/>
                <w:bCs w:val="1"/>
                <w:color w:val="auto"/>
              </w:rPr>
              <w:t>—</w:t>
            </w:r>
          </w:p>
        </w:tc>
        <w:tc>
          <w:tcPr>
            <w:tcW w:w="16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17.7</w:t>
            </w:r>
          </w:p>
        </w:tc>
        <w:tc>
          <w:tcPr>
            <w:tcW w:w="0" w:type="dxa"/>
            <w:vAlign w:val="bottom"/>
          </w:tcPr>
          <w:p>
            <w:pPr>
              <w:spacing w:after="0"/>
              <w:rPr>
                <w:sz w:val="1"/>
                <w:szCs w:val="1"/>
                <w:color w:val="auto"/>
              </w:rPr>
            </w:pPr>
          </w:p>
        </w:tc>
      </w:tr>
      <w:tr>
        <w:trPr>
          <w:trHeight w:val="237"/>
        </w:trPr>
        <w:tc>
          <w:tcPr>
            <w:tcW w:w="7840" w:type="dxa"/>
            <w:vAlign w:val="bottom"/>
          </w:tcPr>
          <w:p>
            <w:pPr>
              <w:ind w:left="360"/>
              <w:spacing w:after="0"/>
              <w:rPr>
                <w:sz w:val="20"/>
                <w:szCs w:val="20"/>
                <w:color w:val="auto"/>
              </w:rPr>
            </w:pPr>
            <w:r>
              <w:rPr>
                <w:rFonts w:ascii="Arial" w:cs="Arial" w:eastAsia="Arial" w:hAnsi="Arial"/>
                <w:sz w:val="16"/>
                <w:szCs w:val="16"/>
                <w:color w:val="auto"/>
              </w:rPr>
              <w:t>Salaries, wages and benefits</w:t>
            </w:r>
          </w:p>
        </w:tc>
        <w:tc>
          <w:tcPr>
            <w:tcW w:w="1900" w:type="dxa"/>
            <w:vAlign w:val="bottom"/>
          </w:tcPr>
          <w:p>
            <w:pPr>
              <w:jc w:val="right"/>
              <w:ind w:right="259"/>
              <w:spacing w:after="0"/>
              <w:rPr>
                <w:sz w:val="20"/>
                <w:szCs w:val="20"/>
                <w:color w:val="auto"/>
              </w:rPr>
            </w:pPr>
            <w:r>
              <w:rPr>
                <w:rFonts w:ascii="Arial" w:cs="Arial" w:eastAsia="Arial" w:hAnsi="Arial"/>
                <w:sz w:val="16"/>
                <w:szCs w:val="16"/>
                <w:b w:val="1"/>
                <w:bCs w:val="1"/>
                <w:color w:val="auto"/>
              </w:rPr>
              <w:t>34.5</w:t>
            </w:r>
          </w:p>
        </w:tc>
        <w:tc>
          <w:tcPr>
            <w:tcW w:w="1680" w:type="dxa"/>
            <w:vAlign w:val="bottom"/>
          </w:tcPr>
          <w:p>
            <w:pPr>
              <w:jc w:val="right"/>
              <w:ind w:right="19"/>
              <w:spacing w:after="0"/>
              <w:rPr>
                <w:sz w:val="20"/>
                <w:szCs w:val="20"/>
                <w:color w:val="auto"/>
              </w:rPr>
            </w:pPr>
            <w:r>
              <w:rPr>
                <w:rFonts w:ascii="Arial" w:cs="Arial" w:eastAsia="Arial" w:hAnsi="Arial"/>
                <w:sz w:val="16"/>
                <w:szCs w:val="16"/>
                <w:color w:val="auto"/>
              </w:rPr>
              <w:t>37.6</w:t>
            </w:r>
          </w:p>
        </w:tc>
        <w:tc>
          <w:tcPr>
            <w:tcW w:w="0" w:type="dxa"/>
            <w:vAlign w:val="bottom"/>
          </w:tcPr>
          <w:p>
            <w:pPr>
              <w:spacing w:after="0"/>
              <w:rPr>
                <w:sz w:val="1"/>
                <w:szCs w:val="1"/>
                <w:color w:val="auto"/>
              </w:rPr>
            </w:pPr>
          </w:p>
        </w:tc>
      </w:tr>
      <w:tr>
        <w:trPr>
          <w:trHeight w:val="33"/>
        </w:trPr>
        <w:tc>
          <w:tcPr>
            <w:tcW w:w="784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4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6"/>
                <w:szCs w:val="16"/>
                <w:color w:val="auto"/>
              </w:rPr>
              <w:t>Accrued pension and postretirement</w:t>
            </w:r>
          </w:p>
        </w:tc>
        <w:tc>
          <w:tcPr>
            <w:tcW w:w="1900" w:type="dxa"/>
            <w:vAlign w:val="bottom"/>
            <w:tcBorders>
              <w:bottom w:val="single" w:sz="8" w:color="CCEEFF"/>
            </w:tcBorders>
            <w:shd w:val="clear" w:color="auto" w:fill="CCEEFF"/>
          </w:tcPr>
          <w:p>
            <w:pPr>
              <w:jc w:val="right"/>
              <w:ind w:right="259"/>
              <w:spacing w:after="0"/>
              <w:rPr>
                <w:sz w:val="20"/>
                <w:szCs w:val="20"/>
                <w:color w:val="auto"/>
              </w:rPr>
            </w:pPr>
            <w:r>
              <w:rPr>
                <w:rFonts w:ascii="Arial" w:cs="Arial" w:eastAsia="Arial" w:hAnsi="Arial"/>
                <w:sz w:val="16"/>
                <w:szCs w:val="16"/>
                <w:b w:val="1"/>
                <w:bCs w:val="1"/>
                <w:color w:val="auto"/>
              </w:rPr>
              <w:t>18.1</w:t>
            </w:r>
          </w:p>
        </w:tc>
        <w:tc>
          <w:tcPr>
            <w:tcW w:w="16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7840" w:type="dxa"/>
            <w:vAlign w:val="bottom"/>
          </w:tcPr>
          <w:p>
            <w:pPr>
              <w:ind w:left="360"/>
              <w:spacing w:after="0"/>
              <w:rPr>
                <w:sz w:val="20"/>
                <w:szCs w:val="20"/>
                <w:color w:val="auto"/>
              </w:rPr>
            </w:pPr>
            <w:r>
              <w:rPr>
                <w:rFonts w:ascii="Arial" w:cs="Arial" w:eastAsia="Arial" w:hAnsi="Arial"/>
                <w:sz w:val="16"/>
                <w:szCs w:val="16"/>
                <w:color w:val="auto"/>
              </w:rPr>
              <w:t>Other current liabilities</w:t>
            </w:r>
          </w:p>
        </w:tc>
        <w:tc>
          <w:tcPr>
            <w:tcW w:w="1900" w:type="dxa"/>
            <w:vAlign w:val="bottom"/>
          </w:tcPr>
          <w:p>
            <w:pPr>
              <w:jc w:val="right"/>
              <w:ind w:right="259"/>
              <w:spacing w:after="0"/>
              <w:rPr>
                <w:sz w:val="20"/>
                <w:szCs w:val="20"/>
                <w:color w:val="auto"/>
              </w:rPr>
            </w:pPr>
            <w:r>
              <w:rPr>
                <w:rFonts w:ascii="Arial" w:cs="Arial" w:eastAsia="Arial" w:hAnsi="Arial"/>
                <w:sz w:val="16"/>
                <w:szCs w:val="16"/>
                <w:b w:val="1"/>
                <w:bCs w:val="1"/>
                <w:color w:val="auto"/>
              </w:rPr>
              <w:t>16.2</w:t>
            </w:r>
          </w:p>
        </w:tc>
        <w:tc>
          <w:tcPr>
            <w:tcW w:w="1680" w:type="dxa"/>
            <w:vAlign w:val="bottom"/>
          </w:tcPr>
          <w:p>
            <w:pPr>
              <w:jc w:val="right"/>
              <w:ind w:right="19"/>
              <w:spacing w:after="0"/>
              <w:rPr>
                <w:sz w:val="20"/>
                <w:szCs w:val="20"/>
                <w:color w:val="auto"/>
              </w:rPr>
            </w:pPr>
            <w:r>
              <w:rPr>
                <w:rFonts w:ascii="Arial" w:cs="Arial" w:eastAsia="Arial" w:hAnsi="Arial"/>
                <w:sz w:val="16"/>
                <w:szCs w:val="16"/>
                <w:color w:val="auto"/>
              </w:rPr>
              <w:t>13.2</w:t>
            </w:r>
          </w:p>
        </w:tc>
        <w:tc>
          <w:tcPr>
            <w:tcW w:w="0" w:type="dxa"/>
            <w:vAlign w:val="bottom"/>
          </w:tcPr>
          <w:p>
            <w:pPr>
              <w:spacing w:after="0"/>
              <w:rPr>
                <w:sz w:val="1"/>
                <w:szCs w:val="1"/>
                <w:color w:val="auto"/>
              </w:rPr>
            </w:pPr>
          </w:p>
        </w:tc>
      </w:tr>
      <w:tr>
        <w:trPr>
          <w:trHeight w:val="33"/>
        </w:trPr>
        <w:tc>
          <w:tcPr>
            <w:tcW w:w="7840" w:type="dxa"/>
            <w:vAlign w:val="bottom"/>
            <w:tcBorders>
              <w:bottom w:val="single" w:sz="8" w:color="333333"/>
            </w:tcBorders>
          </w:tcPr>
          <w:p>
            <w:pPr>
              <w:spacing w:after="0"/>
              <w:rPr>
                <w:sz w:val="2"/>
                <w:szCs w:val="2"/>
                <w:color w:val="auto"/>
              </w:rPr>
            </w:pPr>
          </w:p>
        </w:tc>
        <w:tc>
          <w:tcPr>
            <w:tcW w:w="1900" w:type="dxa"/>
            <w:vAlign w:val="bottom"/>
            <w:tcBorders>
              <w:bottom w:val="single" w:sz="8" w:color="333333"/>
            </w:tcBorders>
          </w:tcPr>
          <w:p>
            <w:pPr>
              <w:spacing w:after="0"/>
              <w:rPr>
                <w:sz w:val="2"/>
                <w:szCs w:val="2"/>
                <w:color w:val="auto"/>
              </w:rPr>
            </w:pPr>
          </w:p>
        </w:tc>
        <w:tc>
          <w:tcPr>
            <w:tcW w:w="1680" w:type="dxa"/>
            <w:vAlign w:val="bottom"/>
            <w:tcBorders>
              <w:bottom w:val="single" w:sz="8" w:color="333333"/>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Total Current Liabilities</w:t>
            </w:r>
          </w:p>
        </w:tc>
        <w:tc>
          <w:tcPr>
            <w:tcW w:w="1900" w:type="dxa"/>
            <w:vAlign w:val="bottom"/>
            <w:tcBorders>
              <w:bottom w:val="single" w:sz="8" w:color="CCEEFF"/>
            </w:tcBorders>
            <w:shd w:val="clear" w:color="auto" w:fill="CCEEFF"/>
          </w:tcPr>
          <w:p>
            <w:pPr>
              <w:jc w:val="right"/>
              <w:ind w:right="259"/>
              <w:spacing w:after="0"/>
              <w:rPr>
                <w:sz w:val="20"/>
                <w:szCs w:val="20"/>
                <w:color w:val="auto"/>
              </w:rPr>
            </w:pPr>
            <w:r>
              <w:rPr>
                <w:rFonts w:ascii="Arial" w:cs="Arial" w:eastAsia="Arial" w:hAnsi="Arial"/>
                <w:sz w:val="16"/>
                <w:szCs w:val="16"/>
                <w:b w:val="1"/>
                <w:bCs w:val="1"/>
                <w:color w:val="auto"/>
              </w:rPr>
              <w:t>201.4</w:t>
            </w:r>
          </w:p>
        </w:tc>
        <w:tc>
          <w:tcPr>
            <w:tcW w:w="16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154.9</w:t>
            </w:r>
          </w:p>
        </w:tc>
        <w:tc>
          <w:tcPr>
            <w:tcW w:w="0" w:type="dxa"/>
            <w:vAlign w:val="bottom"/>
          </w:tcPr>
          <w:p>
            <w:pPr>
              <w:spacing w:after="0"/>
              <w:rPr>
                <w:sz w:val="1"/>
                <w:szCs w:val="1"/>
                <w:color w:val="auto"/>
              </w:rPr>
            </w:pPr>
          </w:p>
        </w:tc>
      </w:tr>
      <w:tr>
        <w:trPr>
          <w:trHeight w:val="189"/>
        </w:trPr>
        <w:tc>
          <w:tcPr>
            <w:tcW w:w="7840" w:type="dxa"/>
            <w:vAlign w:val="bottom"/>
          </w:tcPr>
          <w:p>
            <w:pPr>
              <w:spacing w:after="0"/>
              <w:rPr>
                <w:sz w:val="16"/>
                <w:szCs w:val="16"/>
                <w:color w:val="auto"/>
              </w:rPr>
            </w:pPr>
          </w:p>
        </w:tc>
        <w:tc>
          <w:tcPr>
            <w:tcW w:w="1900" w:type="dxa"/>
            <w:vAlign w:val="bottom"/>
          </w:tcPr>
          <w:p>
            <w:pPr>
              <w:spacing w:after="0"/>
              <w:rPr>
                <w:sz w:val="16"/>
                <w:szCs w:val="16"/>
                <w:color w:val="auto"/>
              </w:rPr>
            </w:pPr>
          </w:p>
        </w:tc>
        <w:tc>
          <w:tcPr>
            <w:tcW w:w="16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7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Non-Current Liabilities</w:t>
            </w:r>
          </w:p>
        </w:tc>
        <w:tc>
          <w:tcPr>
            <w:tcW w:w="190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7840" w:type="dxa"/>
            <w:vAlign w:val="bottom"/>
          </w:tcPr>
          <w:p>
            <w:pPr>
              <w:ind w:left="360"/>
              <w:spacing w:after="0"/>
              <w:rPr>
                <w:sz w:val="20"/>
                <w:szCs w:val="20"/>
                <w:color w:val="auto"/>
              </w:rPr>
            </w:pPr>
            <w:r>
              <w:rPr>
                <w:rFonts w:ascii="Arial" w:cs="Arial" w:eastAsia="Arial" w:hAnsi="Arial"/>
                <w:sz w:val="16"/>
                <w:szCs w:val="16"/>
                <w:color w:val="auto"/>
              </w:rPr>
              <w:t>Long-term debt</w:t>
            </w:r>
          </w:p>
        </w:tc>
        <w:tc>
          <w:tcPr>
            <w:tcW w:w="1900" w:type="dxa"/>
            <w:vAlign w:val="bottom"/>
          </w:tcPr>
          <w:p>
            <w:pPr>
              <w:jc w:val="right"/>
              <w:ind w:right="259"/>
              <w:spacing w:after="0"/>
              <w:rPr>
                <w:sz w:val="20"/>
                <w:szCs w:val="20"/>
                <w:color w:val="auto"/>
              </w:rPr>
            </w:pPr>
            <w:r>
              <w:rPr>
                <w:rFonts w:ascii="Arial" w:cs="Arial" w:eastAsia="Arial" w:hAnsi="Arial"/>
                <w:sz w:val="16"/>
                <w:szCs w:val="16"/>
                <w:b w:val="1"/>
                <w:bCs w:val="1"/>
                <w:color w:val="auto"/>
              </w:rPr>
              <w:t>130.2</w:t>
            </w:r>
          </w:p>
        </w:tc>
        <w:tc>
          <w:tcPr>
            <w:tcW w:w="1680" w:type="dxa"/>
            <w:vAlign w:val="bottom"/>
          </w:tcPr>
          <w:p>
            <w:pPr>
              <w:jc w:val="right"/>
              <w:ind w:right="19"/>
              <w:spacing w:after="0"/>
              <w:rPr>
                <w:sz w:val="20"/>
                <w:szCs w:val="20"/>
                <w:color w:val="auto"/>
              </w:rPr>
            </w:pPr>
            <w:r>
              <w:rPr>
                <w:rFonts w:ascii="Arial" w:cs="Arial" w:eastAsia="Arial" w:hAnsi="Arial"/>
                <w:sz w:val="16"/>
                <w:szCs w:val="16"/>
                <w:color w:val="auto"/>
              </w:rPr>
              <w:t>30.2</w:t>
            </w:r>
          </w:p>
        </w:tc>
        <w:tc>
          <w:tcPr>
            <w:tcW w:w="0" w:type="dxa"/>
            <w:vAlign w:val="bottom"/>
          </w:tcPr>
          <w:p>
            <w:pPr>
              <w:spacing w:after="0"/>
              <w:rPr>
                <w:sz w:val="1"/>
                <w:szCs w:val="1"/>
                <w:color w:val="auto"/>
              </w:rPr>
            </w:pPr>
          </w:p>
        </w:tc>
      </w:tr>
      <w:tr>
        <w:trPr>
          <w:trHeight w:val="33"/>
        </w:trPr>
        <w:tc>
          <w:tcPr>
            <w:tcW w:w="784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4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6"/>
                <w:szCs w:val="16"/>
                <w:color w:val="auto"/>
              </w:rPr>
              <w:t>Accrued pension and postretirement</w:t>
            </w:r>
          </w:p>
        </w:tc>
        <w:tc>
          <w:tcPr>
            <w:tcW w:w="1900" w:type="dxa"/>
            <w:vAlign w:val="bottom"/>
            <w:tcBorders>
              <w:bottom w:val="single" w:sz="8" w:color="CCEEFF"/>
            </w:tcBorders>
            <w:shd w:val="clear" w:color="auto" w:fill="CCEEFF"/>
          </w:tcPr>
          <w:p>
            <w:pPr>
              <w:jc w:val="right"/>
              <w:ind w:right="259"/>
              <w:spacing w:after="0"/>
              <w:rPr>
                <w:sz w:val="20"/>
                <w:szCs w:val="20"/>
                <w:color w:val="auto"/>
              </w:rPr>
            </w:pPr>
            <w:r>
              <w:rPr>
                <w:rFonts w:ascii="Arial" w:cs="Arial" w:eastAsia="Arial" w:hAnsi="Arial"/>
                <w:sz w:val="16"/>
                <w:szCs w:val="16"/>
                <w:b w:val="1"/>
                <w:bCs w:val="1"/>
                <w:color w:val="auto"/>
              </w:rPr>
              <w:t>95.5</w:t>
            </w:r>
          </w:p>
        </w:tc>
        <w:tc>
          <w:tcPr>
            <w:tcW w:w="16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7840" w:type="dxa"/>
            <w:vAlign w:val="bottom"/>
          </w:tcPr>
          <w:p>
            <w:pPr>
              <w:ind w:left="360"/>
              <w:spacing w:after="0"/>
              <w:rPr>
                <w:sz w:val="20"/>
                <w:szCs w:val="20"/>
                <w:color w:val="auto"/>
              </w:rPr>
            </w:pPr>
            <w:r>
              <w:rPr>
                <w:rFonts w:ascii="Arial" w:cs="Arial" w:eastAsia="Arial" w:hAnsi="Arial"/>
                <w:sz w:val="16"/>
                <w:szCs w:val="16"/>
                <w:color w:val="auto"/>
              </w:rPr>
              <w:t>Deferred income taxes</w:t>
            </w:r>
          </w:p>
        </w:tc>
        <w:tc>
          <w:tcPr>
            <w:tcW w:w="1900" w:type="dxa"/>
            <w:vAlign w:val="bottom"/>
          </w:tcPr>
          <w:p>
            <w:pPr>
              <w:jc w:val="right"/>
              <w:ind w:right="259"/>
              <w:spacing w:after="0"/>
              <w:rPr>
                <w:sz w:val="20"/>
                <w:szCs w:val="20"/>
                <w:color w:val="auto"/>
              </w:rPr>
            </w:pPr>
            <w:r>
              <w:rPr>
                <w:rFonts w:ascii="Arial" w:cs="Arial" w:eastAsia="Arial" w:hAnsi="Arial"/>
                <w:sz w:val="16"/>
                <w:szCs w:val="16"/>
                <w:b w:val="1"/>
                <w:bCs w:val="1"/>
                <w:color w:val="auto"/>
              </w:rPr>
              <w:t>84.2</w:t>
            </w:r>
          </w:p>
        </w:tc>
        <w:tc>
          <w:tcPr>
            <w:tcW w:w="1680" w:type="dxa"/>
            <w:vAlign w:val="bottom"/>
          </w:tcPr>
          <w:p>
            <w:pPr>
              <w:jc w:val="right"/>
              <w:ind w:right="19"/>
              <w:spacing w:after="0"/>
              <w:rPr>
                <w:sz w:val="20"/>
                <w:szCs w:val="20"/>
                <w:color w:val="auto"/>
              </w:rPr>
            </w:pPr>
            <w:r>
              <w:rPr>
                <w:rFonts w:ascii="Arial" w:cs="Arial" w:eastAsia="Arial" w:hAnsi="Arial"/>
                <w:sz w:val="16"/>
                <w:szCs w:val="16"/>
                <w:color w:val="auto"/>
              </w:rPr>
              <w:t>86.1</w:t>
            </w:r>
          </w:p>
        </w:tc>
        <w:tc>
          <w:tcPr>
            <w:tcW w:w="0" w:type="dxa"/>
            <w:vAlign w:val="bottom"/>
          </w:tcPr>
          <w:p>
            <w:pPr>
              <w:spacing w:after="0"/>
              <w:rPr>
                <w:sz w:val="1"/>
                <w:szCs w:val="1"/>
                <w:color w:val="auto"/>
              </w:rPr>
            </w:pPr>
          </w:p>
        </w:tc>
      </w:tr>
      <w:tr>
        <w:trPr>
          <w:trHeight w:val="33"/>
        </w:trPr>
        <w:tc>
          <w:tcPr>
            <w:tcW w:w="784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5"/>
        </w:trPr>
        <w:tc>
          <w:tcPr>
            <w:tcW w:w="784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6"/>
                <w:szCs w:val="16"/>
                <w:color w:val="auto"/>
              </w:rPr>
              <w:t>Other non-current liabilities</w:t>
            </w:r>
          </w:p>
        </w:tc>
        <w:tc>
          <w:tcPr>
            <w:tcW w:w="1900" w:type="dxa"/>
            <w:vAlign w:val="bottom"/>
            <w:tcBorders>
              <w:bottom w:val="single" w:sz="8" w:color="CCEEFF"/>
            </w:tcBorders>
            <w:shd w:val="clear" w:color="auto" w:fill="CCEEFF"/>
          </w:tcPr>
          <w:p>
            <w:pPr>
              <w:jc w:val="right"/>
              <w:ind w:right="259"/>
              <w:spacing w:after="0"/>
              <w:rPr>
                <w:sz w:val="20"/>
                <w:szCs w:val="20"/>
                <w:color w:val="auto"/>
              </w:rPr>
            </w:pPr>
            <w:r>
              <w:rPr>
                <w:rFonts w:ascii="Arial" w:cs="Arial" w:eastAsia="Arial" w:hAnsi="Arial"/>
                <w:sz w:val="16"/>
                <w:szCs w:val="16"/>
                <w:b w:val="1"/>
                <w:bCs w:val="1"/>
                <w:color w:val="auto"/>
              </w:rPr>
              <w:t>10.6</w:t>
            </w:r>
          </w:p>
        </w:tc>
        <w:tc>
          <w:tcPr>
            <w:tcW w:w="16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6.8</w:t>
            </w:r>
          </w:p>
        </w:tc>
        <w:tc>
          <w:tcPr>
            <w:tcW w:w="0" w:type="dxa"/>
            <w:vAlign w:val="bottom"/>
          </w:tcPr>
          <w:p>
            <w:pPr>
              <w:spacing w:after="0"/>
              <w:rPr>
                <w:sz w:val="1"/>
                <w:szCs w:val="1"/>
                <w:color w:val="auto"/>
              </w:rPr>
            </w:pPr>
          </w:p>
        </w:tc>
      </w:tr>
      <w:tr>
        <w:trPr>
          <w:trHeight w:val="231"/>
        </w:trPr>
        <w:tc>
          <w:tcPr>
            <w:tcW w:w="7840" w:type="dxa"/>
            <w:vAlign w:val="bottom"/>
            <w:tcBorders>
              <w:top w:val="single" w:sz="8" w:color="333333"/>
            </w:tcBorders>
          </w:tcPr>
          <w:p>
            <w:pPr>
              <w:ind w:left="40"/>
              <w:spacing w:after="0"/>
              <w:rPr>
                <w:sz w:val="20"/>
                <w:szCs w:val="20"/>
                <w:color w:val="auto"/>
              </w:rPr>
            </w:pPr>
            <w:r>
              <w:rPr>
                <w:rFonts w:ascii="Arial" w:cs="Arial" w:eastAsia="Arial" w:hAnsi="Arial"/>
                <w:sz w:val="16"/>
                <w:szCs w:val="16"/>
                <w:b w:val="1"/>
                <w:bCs w:val="1"/>
                <w:color w:val="auto"/>
              </w:rPr>
              <w:t>Total Non-Current Liabilities</w:t>
            </w:r>
          </w:p>
        </w:tc>
        <w:tc>
          <w:tcPr>
            <w:tcW w:w="1900" w:type="dxa"/>
            <w:vAlign w:val="bottom"/>
            <w:tcBorders>
              <w:top w:val="single" w:sz="8" w:color="333333"/>
            </w:tcBorders>
          </w:tcPr>
          <w:p>
            <w:pPr>
              <w:jc w:val="right"/>
              <w:ind w:right="259"/>
              <w:spacing w:after="0"/>
              <w:rPr>
                <w:sz w:val="20"/>
                <w:szCs w:val="20"/>
                <w:color w:val="auto"/>
              </w:rPr>
            </w:pPr>
            <w:r>
              <w:rPr>
                <w:rFonts w:ascii="Arial" w:cs="Arial" w:eastAsia="Arial" w:hAnsi="Arial"/>
                <w:sz w:val="16"/>
                <w:szCs w:val="16"/>
                <w:b w:val="1"/>
                <w:bCs w:val="1"/>
                <w:color w:val="auto"/>
              </w:rPr>
              <w:t>320.5</w:t>
            </w:r>
          </w:p>
        </w:tc>
        <w:tc>
          <w:tcPr>
            <w:tcW w:w="1680" w:type="dxa"/>
            <w:vAlign w:val="bottom"/>
            <w:tcBorders>
              <w:top w:val="single" w:sz="8" w:color="333333"/>
            </w:tcBorders>
          </w:tcPr>
          <w:p>
            <w:pPr>
              <w:jc w:val="right"/>
              <w:ind w:right="19"/>
              <w:spacing w:after="0"/>
              <w:rPr>
                <w:sz w:val="20"/>
                <w:szCs w:val="20"/>
                <w:color w:val="auto"/>
              </w:rPr>
            </w:pPr>
            <w:r>
              <w:rPr>
                <w:rFonts w:ascii="Arial" w:cs="Arial" w:eastAsia="Arial" w:hAnsi="Arial"/>
                <w:sz w:val="16"/>
                <w:szCs w:val="16"/>
                <w:color w:val="auto"/>
              </w:rPr>
              <w:t>123.1</w:t>
            </w:r>
          </w:p>
        </w:tc>
        <w:tc>
          <w:tcPr>
            <w:tcW w:w="0" w:type="dxa"/>
            <w:vAlign w:val="bottom"/>
          </w:tcPr>
          <w:p>
            <w:pPr>
              <w:spacing w:after="0"/>
              <w:rPr>
                <w:sz w:val="1"/>
                <w:szCs w:val="1"/>
                <w:color w:val="auto"/>
              </w:rPr>
            </w:pPr>
          </w:p>
        </w:tc>
      </w:tr>
      <w:tr>
        <w:trPr>
          <w:trHeight w:val="33"/>
        </w:trPr>
        <w:tc>
          <w:tcPr>
            <w:tcW w:w="784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9"/>
        </w:trPr>
        <w:tc>
          <w:tcPr>
            <w:tcW w:w="7840" w:type="dxa"/>
            <w:vAlign w:val="bottom"/>
            <w:shd w:val="clear" w:color="auto" w:fill="CCEEFF"/>
          </w:tcPr>
          <w:p>
            <w:pPr>
              <w:spacing w:after="0"/>
              <w:rPr>
                <w:sz w:val="16"/>
                <w:szCs w:val="16"/>
                <w:color w:val="auto"/>
              </w:rPr>
            </w:pPr>
          </w:p>
        </w:tc>
        <w:tc>
          <w:tcPr>
            <w:tcW w:w="1900" w:type="dxa"/>
            <w:vAlign w:val="bottom"/>
            <w:shd w:val="clear" w:color="auto" w:fill="CCEEFF"/>
          </w:tcPr>
          <w:p>
            <w:pPr>
              <w:spacing w:after="0"/>
              <w:rPr>
                <w:sz w:val="16"/>
                <w:szCs w:val="16"/>
                <w:color w:val="auto"/>
              </w:rPr>
            </w:pPr>
          </w:p>
        </w:tc>
        <w:tc>
          <w:tcPr>
            <w:tcW w:w="16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37"/>
        </w:trPr>
        <w:tc>
          <w:tcPr>
            <w:tcW w:w="7840" w:type="dxa"/>
            <w:vAlign w:val="bottom"/>
          </w:tcPr>
          <w:p>
            <w:pPr>
              <w:ind w:left="40"/>
              <w:spacing w:after="0"/>
              <w:rPr>
                <w:sz w:val="20"/>
                <w:szCs w:val="20"/>
                <w:color w:val="auto"/>
              </w:rPr>
            </w:pPr>
            <w:r>
              <w:rPr>
                <w:rFonts w:ascii="Arial" w:cs="Arial" w:eastAsia="Arial" w:hAnsi="Arial"/>
                <w:sz w:val="16"/>
                <w:szCs w:val="16"/>
                <w:color w:val="auto"/>
              </w:rPr>
              <w:t>Commitments and contingencies</w:t>
            </w:r>
          </w:p>
        </w:tc>
        <w:tc>
          <w:tcPr>
            <w:tcW w:w="1900" w:type="dxa"/>
            <w:vAlign w:val="bottom"/>
          </w:tcPr>
          <w:p>
            <w:pPr>
              <w:jc w:val="right"/>
              <w:ind w:right="259"/>
              <w:spacing w:after="0"/>
              <w:rPr>
                <w:sz w:val="20"/>
                <w:szCs w:val="20"/>
                <w:color w:val="auto"/>
              </w:rPr>
            </w:pPr>
            <w:r>
              <w:rPr>
                <w:rFonts w:ascii="Arial" w:cs="Arial" w:eastAsia="Arial" w:hAnsi="Arial"/>
                <w:sz w:val="16"/>
                <w:szCs w:val="16"/>
                <w:b w:val="1"/>
                <w:bCs w:val="1"/>
                <w:color w:val="auto"/>
              </w:rPr>
              <w:t>—</w:t>
            </w:r>
          </w:p>
        </w:tc>
        <w:tc>
          <w:tcPr>
            <w:tcW w:w="16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784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9"/>
        </w:trPr>
        <w:tc>
          <w:tcPr>
            <w:tcW w:w="7840" w:type="dxa"/>
            <w:vAlign w:val="bottom"/>
            <w:shd w:val="clear" w:color="auto" w:fill="CCEEFF"/>
          </w:tcPr>
          <w:p>
            <w:pPr>
              <w:spacing w:after="0"/>
              <w:rPr>
                <w:sz w:val="16"/>
                <w:szCs w:val="16"/>
                <w:color w:val="auto"/>
              </w:rPr>
            </w:pPr>
          </w:p>
        </w:tc>
        <w:tc>
          <w:tcPr>
            <w:tcW w:w="1900" w:type="dxa"/>
            <w:vAlign w:val="bottom"/>
            <w:shd w:val="clear" w:color="auto" w:fill="CCEEFF"/>
          </w:tcPr>
          <w:p>
            <w:pPr>
              <w:spacing w:after="0"/>
              <w:rPr>
                <w:sz w:val="16"/>
                <w:szCs w:val="16"/>
                <w:color w:val="auto"/>
              </w:rPr>
            </w:pPr>
          </w:p>
        </w:tc>
        <w:tc>
          <w:tcPr>
            <w:tcW w:w="16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37"/>
        </w:trPr>
        <w:tc>
          <w:tcPr>
            <w:tcW w:w="7840" w:type="dxa"/>
            <w:vAlign w:val="bottom"/>
          </w:tcPr>
          <w:p>
            <w:pPr>
              <w:ind w:left="40"/>
              <w:spacing w:after="0"/>
              <w:rPr>
                <w:sz w:val="20"/>
                <w:szCs w:val="20"/>
                <w:color w:val="auto"/>
              </w:rPr>
            </w:pPr>
            <w:r>
              <w:rPr>
                <w:rFonts w:ascii="Arial" w:cs="Arial" w:eastAsia="Arial" w:hAnsi="Arial"/>
                <w:sz w:val="16"/>
                <w:szCs w:val="16"/>
                <w:b w:val="1"/>
                <w:bCs w:val="1"/>
                <w:color w:val="auto"/>
              </w:rPr>
              <w:t>Equity</w:t>
            </w:r>
          </w:p>
        </w:tc>
        <w:tc>
          <w:tcPr>
            <w:tcW w:w="190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784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4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6"/>
                <w:szCs w:val="16"/>
                <w:color w:val="auto"/>
              </w:rPr>
              <w:t>Preferred shares, no par value; authorized 10.0 million shares, none issued</w:t>
            </w:r>
          </w:p>
        </w:tc>
        <w:tc>
          <w:tcPr>
            <w:tcW w:w="1900" w:type="dxa"/>
            <w:vAlign w:val="bottom"/>
            <w:tcBorders>
              <w:bottom w:val="single" w:sz="8" w:color="CCEEFF"/>
            </w:tcBorders>
            <w:shd w:val="clear" w:color="auto" w:fill="CCEEFF"/>
          </w:tcPr>
          <w:p>
            <w:pPr>
              <w:jc w:val="right"/>
              <w:ind w:right="259"/>
              <w:spacing w:after="0"/>
              <w:rPr>
                <w:sz w:val="20"/>
                <w:szCs w:val="20"/>
                <w:color w:val="auto"/>
              </w:rPr>
            </w:pPr>
            <w:r>
              <w:rPr>
                <w:rFonts w:ascii="Arial" w:cs="Arial" w:eastAsia="Arial" w:hAnsi="Arial"/>
                <w:sz w:val="16"/>
                <w:szCs w:val="16"/>
                <w:b w:val="1"/>
                <w:bCs w:val="1"/>
                <w:color w:val="auto"/>
              </w:rPr>
              <w:t>—</w:t>
            </w:r>
          </w:p>
        </w:tc>
        <w:tc>
          <w:tcPr>
            <w:tcW w:w="16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20"/>
        </w:trPr>
        <w:tc>
          <w:tcPr>
            <w:tcW w:w="7840" w:type="dxa"/>
            <w:vAlign w:val="bottom"/>
          </w:tcPr>
          <w:p>
            <w:pPr>
              <w:ind w:left="360"/>
              <w:spacing w:after="0"/>
              <w:rPr>
                <w:sz w:val="20"/>
                <w:szCs w:val="20"/>
                <w:color w:val="auto"/>
              </w:rPr>
            </w:pPr>
            <w:r>
              <w:rPr>
                <w:rFonts w:ascii="Arial" w:cs="Arial" w:eastAsia="Arial" w:hAnsi="Arial"/>
                <w:sz w:val="16"/>
                <w:szCs w:val="16"/>
                <w:color w:val="auto"/>
                <w:w w:val="97"/>
              </w:rPr>
              <w:t>Common shares, no par value; authorized 200.0 million shares; issued 2014 - 45.4 million shares; 2013 - 0.0</w:t>
            </w:r>
          </w:p>
        </w:tc>
        <w:tc>
          <w:tcPr>
            <w:tcW w:w="1900" w:type="dxa"/>
            <w:vAlign w:val="bottom"/>
            <w:vMerge w:val="restart"/>
          </w:tcPr>
          <w:p>
            <w:pPr>
              <w:jc w:val="right"/>
              <w:ind w:right="259"/>
              <w:spacing w:after="0"/>
              <w:rPr>
                <w:sz w:val="20"/>
                <w:szCs w:val="20"/>
                <w:color w:val="auto"/>
              </w:rPr>
            </w:pPr>
            <w:r>
              <w:rPr>
                <w:rFonts w:ascii="Arial" w:cs="Arial" w:eastAsia="Arial" w:hAnsi="Arial"/>
                <w:sz w:val="16"/>
                <w:szCs w:val="16"/>
                <w:b w:val="1"/>
                <w:bCs w:val="1"/>
                <w:color w:val="auto"/>
              </w:rPr>
              <w:t>—</w:t>
            </w:r>
          </w:p>
        </w:tc>
        <w:tc>
          <w:tcPr>
            <w:tcW w:w="16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7840" w:type="dxa"/>
            <w:vAlign w:val="bottom"/>
          </w:tcPr>
          <w:p>
            <w:pPr>
              <w:ind w:left="680"/>
              <w:spacing w:after="0"/>
              <w:rPr>
                <w:sz w:val="20"/>
                <w:szCs w:val="20"/>
                <w:color w:val="auto"/>
              </w:rPr>
            </w:pPr>
            <w:r>
              <w:rPr>
                <w:rFonts w:ascii="Arial" w:cs="Arial" w:eastAsia="Arial" w:hAnsi="Arial"/>
                <w:sz w:val="16"/>
                <w:szCs w:val="16"/>
                <w:color w:val="auto"/>
              </w:rPr>
              <w:t>shares</w:t>
            </w:r>
          </w:p>
        </w:tc>
        <w:tc>
          <w:tcPr>
            <w:tcW w:w="1900" w:type="dxa"/>
            <w:vAlign w:val="bottom"/>
            <w:vMerge w:val="continue"/>
          </w:tcPr>
          <w:p>
            <w:pPr>
              <w:spacing w:after="0"/>
              <w:rPr>
                <w:sz w:val="17"/>
                <w:szCs w:val="17"/>
                <w:color w:val="auto"/>
              </w:rPr>
            </w:pPr>
          </w:p>
        </w:tc>
        <w:tc>
          <w:tcPr>
            <w:tcW w:w="16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784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4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6"/>
                <w:szCs w:val="16"/>
                <w:color w:val="auto"/>
              </w:rPr>
              <w:t>Additional paid-in capital</w:t>
            </w:r>
          </w:p>
        </w:tc>
        <w:tc>
          <w:tcPr>
            <w:tcW w:w="1900" w:type="dxa"/>
            <w:vAlign w:val="bottom"/>
            <w:tcBorders>
              <w:bottom w:val="single" w:sz="8" w:color="CCEEFF"/>
            </w:tcBorders>
            <w:shd w:val="clear" w:color="auto" w:fill="CCEEFF"/>
          </w:tcPr>
          <w:p>
            <w:pPr>
              <w:jc w:val="right"/>
              <w:ind w:right="259"/>
              <w:spacing w:after="0"/>
              <w:rPr>
                <w:sz w:val="20"/>
                <w:szCs w:val="20"/>
                <w:color w:val="auto"/>
              </w:rPr>
            </w:pPr>
            <w:r>
              <w:rPr>
                <w:rFonts w:ascii="Arial" w:cs="Arial" w:eastAsia="Arial" w:hAnsi="Arial"/>
                <w:sz w:val="16"/>
                <w:szCs w:val="16"/>
                <w:b w:val="1"/>
                <w:bCs w:val="1"/>
                <w:color w:val="auto"/>
              </w:rPr>
              <w:t>1,031.4</w:t>
            </w:r>
          </w:p>
        </w:tc>
        <w:tc>
          <w:tcPr>
            <w:tcW w:w="16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7840" w:type="dxa"/>
            <w:vAlign w:val="bottom"/>
          </w:tcPr>
          <w:p>
            <w:pPr>
              <w:ind w:left="360"/>
              <w:spacing w:after="0"/>
              <w:rPr>
                <w:sz w:val="20"/>
                <w:szCs w:val="20"/>
                <w:color w:val="auto"/>
              </w:rPr>
            </w:pPr>
            <w:r>
              <w:rPr>
                <w:rFonts w:ascii="Arial" w:cs="Arial" w:eastAsia="Arial" w:hAnsi="Arial"/>
                <w:sz w:val="16"/>
                <w:szCs w:val="16"/>
                <w:color w:val="auto"/>
              </w:rPr>
              <w:t>Net parent investment</w:t>
            </w:r>
          </w:p>
        </w:tc>
        <w:tc>
          <w:tcPr>
            <w:tcW w:w="1900" w:type="dxa"/>
            <w:vAlign w:val="bottom"/>
          </w:tcPr>
          <w:p>
            <w:pPr>
              <w:jc w:val="right"/>
              <w:ind w:right="259"/>
              <w:spacing w:after="0"/>
              <w:rPr>
                <w:sz w:val="20"/>
                <w:szCs w:val="20"/>
                <w:color w:val="auto"/>
              </w:rPr>
            </w:pPr>
            <w:r>
              <w:rPr>
                <w:rFonts w:ascii="Arial" w:cs="Arial" w:eastAsia="Arial" w:hAnsi="Arial"/>
                <w:sz w:val="16"/>
                <w:szCs w:val="16"/>
                <w:b w:val="1"/>
                <w:bCs w:val="1"/>
                <w:color w:val="auto"/>
              </w:rPr>
              <w:t>—</w:t>
            </w:r>
          </w:p>
        </w:tc>
        <w:tc>
          <w:tcPr>
            <w:tcW w:w="1680" w:type="dxa"/>
            <w:vAlign w:val="bottom"/>
          </w:tcPr>
          <w:p>
            <w:pPr>
              <w:jc w:val="right"/>
              <w:ind w:right="19"/>
              <w:spacing w:after="0"/>
              <w:rPr>
                <w:sz w:val="20"/>
                <w:szCs w:val="20"/>
                <w:color w:val="auto"/>
              </w:rPr>
            </w:pPr>
            <w:r>
              <w:rPr>
                <w:rFonts w:ascii="Arial" w:cs="Arial" w:eastAsia="Arial" w:hAnsi="Arial"/>
                <w:sz w:val="16"/>
                <w:szCs w:val="16"/>
                <w:color w:val="auto"/>
              </w:rPr>
              <w:t>801.2</w:t>
            </w:r>
          </w:p>
        </w:tc>
        <w:tc>
          <w:tcPr>
            <w:tcW w:w="0" w:type="dxa"/>
            <w:vAlign w:val="bottom"/>
          </w:tcPr>
          <w:p>
            <w:pPr>
              <w:spacing w:after="0"/>
              <w:rPr>
                <w:sz w:val="1"/>
                <w:szCs w:val="1"/>
                <w:color w:val="auto"/>
              </w:rPr>
            </w:pPr>
          </w:p>
        </w:tc>
      </w:tr>
      <w:tr>
        <w:trPr>
          <w:trHeight w:val="33"/>
        </w:trPr>
        <w:tc>
          <w:tcPr>
            <w:tcW w:w="784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5"/>
        </w:trPr>
        <w:tc>
          <w:tcPr>
            <w:tcW w:w="784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6"/>
                <w:szCs w:val="16"/>
                <w:color w:val="auto"/>
              </w:rPr>
              <w:t>Accumulated other comprehensive loss</w:t>
            </w:r>
          </w:p>
        </w:tc>
        <w:tc>
          <w:tcPr>
            <w:tcW w:w="1900" w:type="dxa"/>
            <w:vAlign w:val="bottom"/>
            <w:tcBorders>
              <w:bottom w:val="single" w:sz="8" w:color="CCEEFF"/>
            </w:tcBorders>
            <w:shd w:val="clear" w:color="auto" w:fill="CCEEFF"/>
          </w:tcPr>
          <w:p>
            <w:pPr>
              <w:jc w:val="right"/>
              <w:ind w:right="219"/>
              <w:spacing w:after="0"/>
              <w:rPr>
                <w:sz w:val="20"/>
                <w:szCs w:val="20"/>
                <w:color w:val="auto"/>
              </w:rPr>
            </w:pPr>
            <w:r>
              <w:rPr>
                <w:rFonts w:ascii="Arial" w:cs="Arial" w:eastAsia="Arial" w:hAnsi="Arial"/>
                <w:sz w:val="16"/>
                <w:szCs w:val="16"/>
                <w:b w:val="1"/>
                <w:bCs w:val="1"/>
                <w:color w:val="auto"/>
              </w:rPr>
              <w:t>(234.2)</w:t>
            </w: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(0.4)</w:t>
            </w:r>
          </w:p>
        </w:tc>
        <w:tc>
          <w:tcPr>
            <w:tcW w:w="0" w:type="dxa"/>
            <w:vAlign w:val="bottom"/>
          </w:tcPr>
          <w:p>
            <w:pPr>
              <w:spacing w:after="0"/>
              <w:rPr>
                <w:sz w:val="1"/>
                <w:szCs w:val="1"/>
                <w:color w:val="auto"/>
              </w:rPr>
            </w:pPr>
          </w:p>
        </w:tc>
      </w:tr>
      <w:tr>
        <w:trPr>
          <w:trHeight w:val="231"/>
        </w:trPr>
        <w:tc>
          <w:tcPr>
            <w:tcW w:w="7840" w:type="dxa"/>
            <w:vAlign w:val="bottom"/>
            <w:tcBorders>
              <w:top w:val="single" w:sz="8" w:color="333333"/>
            </w:tcBorders>
          </w:tcPr>
          <w:p>
            <w:pPr>
              <w:ind w:left="40"/>
              <w:spacing w:after="0"/>
              <w:rPr>
                <w:sz w:val="20"/>
                <w:szCs w:val="20"/>
                <w:color w:val="auto"/>
              </w:rPr>
            </w:pPr>
            <w:r>
              <w:rPr>
                <w:rFonts w:ascii="Arial" w:cs="Arial" w:eastAsia="Arial" w:hAnsi="Arial"/>
                <w:sz w:val="16"/>
                <w:szCs w:val="16"/>
                <w:b w:val="1"/>
                <w:bCs w:val="1"/>
                <w:color w:val="auto"/>
              </w:rPr>
              <w:t>Total Equity</w:t>
            </w:r>
          </w:p>
        </w:tc>
        <w:tc>
          <w:tcPr>
            <w:tcW w:w="1900" w:type="dxa"/>
            <w:vAlign w:val="bottom"/>
            <w:tcBorders>
              <w:top w:val="single" w:sz="8" w:color="333333"/>
            </w:tcBorders>
          </w:tcPr>
          <w:p>
            <w:pPr>
              <w:jc w:val="right"/>
              <w:ind w:right="259"/>
              <w:spacing w:after="0"/>
              <w:rPr>
                <w:sz w:val="20"/>
                <w:szCs w:val="20"/>
                <w:color w:val="auto"/>
              </w:rPr>
            </w:pPr>
            <w:r>
              <w:rPr>
                <w:rFonts w:ascii="Arial" w:cs="Arial" w:eastAsia="Arial" w:hAnsi="Arial"/>
                <w:sz w:val="16"/>
                <w:szCs w:val="16"/>
                <w:b w:val="1"/>
                <w:bCs w:val="1"/>
                <w:color w:val="auto"/>
              </w:rPr>
              <w:t>797.2</w:t>
            </w:r>
          </w:p>
        </w:tc>
        <w:tc>
          <w:tcPr>
            <w:tcW w:w="1680" w:type="dxa"/>
            <w:vAlign w:val="bottom"/>
            <w:tcBorders>
              <w:top w:val="single" w:sz="8" w:color="333333"/>
            </w:tcBorders>
          </w:tcPr>
          <w:p>
            <w:pPr>
              <w:jc w:val="right"/>
              <w:ind w:right="19"/>
              <w:spacing w:after="0"/>
              <w:rPr>
                <w:sz w:val="20"/>
                <w:szCs w:val="20"/>
                <w:color w:val="auto"/>
              </w:rPr>
            </w:pPr>
            <w:r>
              <w:rPr>
                <w:rFonts w:ascii="Arial" w:cs="Arial" w:eastAsia="Arial" w:hAnsi="Arial"/>
                <w:sz w:val="16"/>
                <w:szCs w:val="16"/>
                <w:color w:val="auto"/>
              </w:rPr>
              <w:t>800.8</w:t>
            </w:r>
          </w:p>
        </w:tc>
        <w:tc>
          <w:tcPr>
            <w:tcW w:w="0" w:type="dxa"/>
            <w:vAlign w:val="bottom"/>
          </w:tcPr>
          <w:p>
            <w:pPr>
              <w:spacing w:after="0"/>
              <w:rPr>
                <w:sz w:val="1"/>
                <w:szCs w:val="1"/>
                <w:color w:val="auto"/>
              </w:rPr>
            </w:pPr>
          </w:p>
        </w:tc>
      </w:tr>
      <w:tr>
        <w:trPr>
          <w:trHeight w:val="33"/>
        </w:trPr>
        <w:tc>
          <w:tcPr>
            <w:tcW w:w="7840" w:type="dxa"/>
            <w:vAlign w:val="bottom"/>
            <w:tcBorders>
              <w:bottom w:val="single" w:sz="8" w:color="333333"/>
            </w:tcBorders>
          </w:tcPr>
          <w:p>
            <w:pPr>
              <w:spacing w:after="0"/>
              <w:rPr>
                <w:sz w:val="2"/>
                <w:szCs w:val="2"/>
                <w:color w:val="auto"/>
              </w:rPr>
            </w:pPr>
          </w:p>
        </w:tc>
        <w:tc>
          <w:tcPr>
            <w:tcW w:w="1900" w:type="dxa"/>
            <w:vAlign w:val="bottom"/>
            <w:tcBorders>
              <w:bottom w:val="single" w:sz="8" w:color="333333"/>
            </w:tcBorders>
          </w:tcPr>
          <w:p>
            <w:pPr>
              <w:spacing w:after="0"/>
              <w:rPr>
                <w:sz w:val="2"/>
                <w:szCs w:val="2"/>
                <w:color w:val="auto"/>
              </w:rPr>
            </w:pPr>
          </w:p>
        </w:tc>
        <w:tc>
          <w:tcPr>
            <w:tcW w:w="1680" w:type="dxa"/>
            <w:vAlign w:val="bottom"/>
            <w:tcBorders>
              <w:bottom w:val="single" w:sz="8" w:color="333333"/>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Total Liabilities and Equity</w:t>
            </w:r>
          </w:p>
        </w:tc>
        <w:tc>
          <w:tcPr>
            <w:tcW w:w="1900" w:type="dxa"/>
            <w:vAlign w:val="bottom"/>
            <w:tcBorders>
              <w:bottom w:val="single" w:sz="8" w:color="CCEEFF"/>
            </w:tcBorders>
            <w:shd w:val="clear" w:color="auto" w:fill="CCEEFF"/>
          </w:tcPr>
          <w:p>
            <w:pPr>
              <w:jc w:val="right"/>
              <w:ind w:right="259"/>
              <w:spacing w:after="0"/>
              <w:rPr>
                <w:sz w:val="20"/>
                <w:szCs w:val="20"/>
                <w:color w:val="auto"/>
              </w:rPr>
            </w:pPr>
            <w:r>
              <w:rPr>
                <w:rFonts w:ascii="Arial" w:cs="Arial" w:eastAsia="Arial" w:hAnsi="Arial"/>
                <w:sz w:val="16"/>
                <w:szCs w:val="16"/>
                <w:b w:val="1"/>
                <w:bCs w:val="1"/>
                <w:color w:val="auto"/>
              </w:rPr>
              <w:t>$1,319.1</w:t>
            </w:r>
          </w:p>
        </w:tc>
        <w:tc>
          <w:tcPr>
            <w:tcW w:w="16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$1,078.8</w:t>
            </w:r>
          </w:p>
        </w:tc>
        <w:tc>
          <w:tcPr>
            <w:tcW w:w="0" w:type="dxa"/>
            <w:vAlign w:val="bottom"/>
          </w:tcPr>
          <w:p>
            <w:pPr>
              <w:spacing w:after="0"/>
              <w:rPr>
                <w:sz w:val="1"/>
                <w:szCs w:val="1"/>
                <w:color w:val="auto"/>
              </w:rPr>
            </w:pPr>
          </w:p>
        </w:tc>
      </w:tr>
      <w:tr>
        <w:trPr>
          <w:trHeight w:val="27"/>
        </w:trPr>
        <w:tc>
          <w:tcPr>
            <w:tcW w:w="7840" w:type="dxa"/>
            <w:vAlign w:val="bottom"/>
            <w:shd w:val="clear" w:color="auto" w:fill="333333"/>
          </w:tcPr>
          <w:p>
            <w:pPr>
              <w:spacing w:after="0"/>
              <w:rPr>
                <w:sz w:val="2"/>
                <w:szCs w:val="2"/>
                <w:color w:val="auto"/>
              </w:rPr>
            </w:pPr>
          </w:p>
        </w:tc>
        <w:tc>
          <w:tcPr>
            <w:tcW w:w="1900" w:type="dxa"/>
            <w:vAlign w:val="bottom"/>
            <w:shd w:val="clear" w:color="auto" w:fill="333333"/>
          </w:tcPr>
          <w:p>
            <w:pPr>
              <w:spacing w:after="0"/>
              <w:rPr>
                <w:sz w:val="2"/>
                <w:szCs w:val="2"/>
                <w:color w:val="auto"/>
              </w:rPr>
            </w:pPr>
          </w:p>
        </w:tc>
        <w:tc>
          <w:tcPr>
            <w:tcW w:w="1680" w:type="dxa"/>
            <w:vAlign w:val="bottom"/>
            <w:shd w:val="clear" w:color="auto" w:fill="333333"/>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35" w:lineRule="exact"/>
        <w:rPr>
          <w:sz w:val="20"/>
          <w:szCs w:val="20"/>
          <w:color w:val="auto"/>
        </w:rPr>
      </w:pPr>
    </w:p>
    <w:p>
      <w:pPr>
        <w:spacing w:after="0"/>
        <w:rPr>
          <w:sz w:val="20"/>
          <w:szCs w:val="20"/>
          <w:color w:val="auto"/>
        </w:rPr>
      </w:pPr>
      <w:r>
        <w:rPr>
          <w:rFonts w:ascii="Arial" w:cs="Arial" w:eastAsia="Arial" w:hAnsi="Arial"/>
          <w:sz w:val="14"/>
          <w:szCs w:val="14"/>
          <w:color w:val="auto"/>
        </w:rPr>
        <w:t>See accompanying Notes to the Unaudited Consolidated Financial Statements.</w:t>
      </w:r>
    </w:p>
    <w:p>
      <w:pPr>
        <w:sectPr>
          <w:pgSz w:w="11900" w:h="16838" w:orient="portrait"/>
          <w:cols w:equalWidth="0" w:num="1">
            <w:col w:w="11420"/>
          </w:cols>
          <w:pgMar w:left="240" w:top="576" w:right="239" w:bottom="1440" w:gutter="0" w:footer="0" w:header="0"/>
        </w:sectPr>
      </w:pP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w:t>
      </w:r>
    </w:p>
    <w:p>
      <w:pPr>
        <w:sectPr>
          <w:pgSz w:w="11900" w:h="16838" w:orient="portrait"/>
          <w:cols w:equalWidth="0" w:num="1">
            <w:col w:w="11420"/>
          </w:cols>
          <w:pgMar w:left="240" w:top="576" w:right="239" w:bottom="1440" w:gutter="0" w:footer="0" w:header="0"/>
          <w:type w:val="continuous"/>
        </w:sectPr>
      </w:pPr>
    </w:p>
    <w:bookmarkStart w:id="5" w:name="page6"/>
    <w:bookmarkEnd w:id="5"/>
    <w:p>
      <w:pPr>
        <w:jc w:val="center"/>
        <w:spacing w:after="0"/>
        <w:rPr>
          <w:sz w:val="20"/>
          <w:szCs w:val="20"/>
          <w:color w:val="auto"/>
        </w:rPr>
      </w:pPr>
      <w:r>
        <w:rPr>
          <w:rFonts w:ascii="Arial" w:cs="Arial" w:eastAsia="Arial" w:hAnsi="Arial"/>
          <w:sz w:val="25"/>
          <w:szCs w:val="25"/>
          <w:b w:val="1"/>
          <w:bCs w:val="1"/>
          <w:color w:val="auto"/>
        </w:rPr>
        <w:t>Consolidated Statements of Cash Flows (Unaudited)</w:t>
      </w:r>
    </w:p>
    <w:p>
      <w:pPr>
        <w:spacing w:after="0" w:line="370" w:lineRule="exact"/>
        <w:rPr>
          <w:sz w:val="20"/>
          <w:szCs w:val="20"/>
          <w:color w:val="auto"/>
        </w:rPr>
      </w:pPr>
    </w:p>
    <w:p>
      <w:pPr>
        <w:ind w:left="8600"/>
        <w:spacing w:after="0"/>
        <w:rPr>
          <w:sz w:val="20"/>
          <w:szCs w:val="20"/>
          <w:color w:val="auto"/>
        </w:rPr>
      </w:pPr>
      <w:r>
        <w:rPr>
          <w:rFonts w:ascii="Arial" w:cs="Arial" w:eastAsia="Arial" w:hAnsi="Arial"/>
          <w:sz w:val="16"/>
          <w:szCs w:val="16"/>
          <w:b w:val="1"/>
          <w:bCs w:val="1"/>
          <w:color w:val="auto"/>
        </w:rPr>
        <w:t>Six Months Ended June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37465</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8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8860" w:type="dxa"/>
            <w:vAlign w:val="bottom"/>
          </w:tcPr>
          <w:p>
            <w:pPr>
              <w:ind w:left="8420"/>
              <w:spacing w:after="0"/>
              <w:rPr>
                <w:sz w:val="20"/>
                <w:szCs w:val="20"/>
                <w:color w:val="auto"/>
              </w:rPr>
            </w:pPr>
            <w:r>
              <w:rPr>
                <w:rFonts w:ascii="Arial" w:cs="Arial" w:eastAsia="Arial" w:hAnsi="Arial"/>
                <w:sz w:val="16"/>
                <w:szCs w:val="16"/>
                <w:b w:val="1"/>
                <w:bCs w:val="1"/>
                <w:color w:val="auto"/>
              </w:rPr>
              <w:t>2014</w:t>
            </w:r>
          </w:p>
        </w:tc>
        <w:tc>
          <w:tcPr>
            <w:tcW w:w="1040" w:type="dxa"/>
            <w:vAlign w:val="bottom"/>
          </w:tcPr>
          <w:p>
            <w:pPr>
              <w:spacing w:after="0"/>
              <w:rPr>
                <w:sz w:val="18"/>
                <w:szCs w:val="18"/>
                <w:color w:val="auto"/>
              </w:rPr>
            </w:pPr>
          </w:p>
        </w:tc>
        <w:tc>
          <w:tcPr>
            <w:tcW w:w="1520" w:type="dxa"/>
            <w:vAlign w:val="bottom"/>
          </w:tcPr>
          <w:p>
            <w:pPr>
              <w:jc w:val="right"/>
              <w:ind w:right="650"/>
              <w:spacing w:after="0"/>
              <w:rPr>
                <w:sz w:val="20"/>
                <w:szCs w:val="20"/>
                <w:color w:val="auto"/>
              </w:rPr>
            </w:pPr>
            <w:r>
              <w:rPr>
                <w:rFonts w:ascii="Arial" w:cs="Arial" w:eastAsia="Arial" w:hAnsi="Arial"/>
                <w:sz w:val="16"/>
                <w:szCs w:val="16"/>
                <w:b w:val="1"/>
                <w:bCs w:val="1"/>
                <w:color w:val="auto"/>
              </w:rPr>
              <w:t>2013</w:t>
            </w:r>
          </w:p>
        </w:tc>
      </w:tr>
      <w:tr>
        <w:trPr>
          <w:trHeight w:val="33"/>
        </w:trPr>
        <w:tc>
          <w:tcPr>
            <w:tcW w:w="88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244"/>
        </w:trPr>
        <w:tc>
          <w:tcPr>
            <w:tcW w:w="8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(Dollars in millions)</w:t>
            </w:r>
          </w:p>
        </w:tc>
        <w:tc>
          <w:tcPr>
            <w:tcW w:w="104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spacing w:after="0"/>
              <w:rPr>
                <w:sz w:val="21"/>
                <w:szCs w:val="21"/>
                <w:color w:val="auto"/>
              </w:rPr>
            </w:pPr>
          </w:p>
        </w:tc>
      </w:tr>
      <w:tr>
        <w:trPr>
          <w:trHeight w:val="243"/>
        </w:trPr>
        <w:tc>
          <w:tcPr>
            <w:tcW w:w="8860" w:type="dxa"/>
            <w:vAlign w:val="bottom"/>
          </w:tcPr>
          <w:p>
            <w:pPr>
              <w:ind w:left="40"/>
              <w:spacing w:after="0"/>
              <w:rPr>
                <w:sz w:val="20"/>
                <w:szCs w:val="20"/>
                <w:color w:val="auto"/>
              </w:rPr>
            </w:pPr>
            <w:r>
              <w:rPr>
                <w:rFonts w:ascii="Arial" w:cs="Arial" w:eastAsia="Arial" w:hAnsi="Arial"/>
                <w:sz w:val="18"/>
                <w:szCs w:val="18"/>
                <w:b w:val="1"/>
                <w:bCs w:val="1"/>
                <w:color w:val="auto"/>
              </w:rPr>
              <w:t>CASH PROVIDED (USED)</w:t>
            </w:r>
          </w:p>
        </w:tc>
        <w:tc>
          <w:tcPr>
            <w:tcW w:w="1040" w:type="dxa"/>
            <w:vAlign w:val="bottom"/>
          </w:tcPr>
          <w:p>
            <w:pPr>
              <w:spacing w:after="0"/>
              <w:rPr>
                <w:sz w:val="21"/>
                <w:szCs w:val="21"/>
                <w:color w:val="auto"/>
              </w:rPr>
            </w:pPr>
          </w:p>
        </w:tc>
        <w:tc>
          <w:tcPr>
            <w:tcW w:w="1520" w:type="dxa"/>
            <w:vAlign w:val="bottom"/>
          </w:tcPr>
          <w:p>
            <w:pPr>
              <w:spacing w:after="0"/>
              <w:rPr>
                <w:sz w:val="21"/>
                <w:szCs w:val="21"/>
                <w:color w:val="auto"/>
              </w:rPr>
            </w:pPr>
          </w:p>
        </w:tc>
      </w:tr>
      <w:tr>
        <w:trPr>
          <w:trHeight w:val="27"/>
        </w:trPr>
        <w:tc>
          <w:tcPr>
            <w:tcW w:w="88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Operating Activities</w:t>
            </w:r>
          </w:p>
        </w:tc>
        <w:tc>
          <w:tcPr>
            <w:tcW w:w="104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spacing w:after="0"/>
              <w:rPr>
                <w:sz w:val="21"/>
                <w:szCs w:val="21"/>
                <w:color w:val="auto"/>
              </w:rPr>
            </w:pPr>
          </w:p>
        </w:tc>
      </w:tr>
      <w:tr>
        <w:trPr>
          <w:trHeight w:val="243"/>
        </w:trPr>
        <w:tc>
          <w:tcPr>
            <w:tcW w:w="8860" w:type="dxa"/>
            <w:vAlign w:val="bottom"/>
          </w:tcPr>
          <w:p>
            <w:pPr>
              <w:ind w:left="40"/>
              <w:spacing w:after="0"/>
              <w:rPr>
                <w:sz w:val="20"/>
                <w:szCs w:val="20"/>
                <w:color w:val="auto"/>
              </w:rPr>
            </w:pPr>
            <w:r>
              <w:rPr>
                <w:rFonts w:ascii="Arial" w:cs="Arial" w:eastAsia="Arial" w:hAnsi="Arial"/>
                <w:sz w:val="18"/>
                <w:szCs w:val="18"/>
                <w:color w:val="auto"/>
              </w:rPr>
              <w:t>Net income</w:t>
            </w:r>
          </w:p>
        </w:tc>
        <w:tc>
          <w:tcPr>
            <w:tcW w:w="1040" w:type="dxa"/>
            <w:vAlign w:val="bottom"/>
          </w:tcPr>
          <w:p>
            <w:pPr>
              <w:jc w:val="right"/>
              <w:ind w:right="410"/>
              <w:spacing w:after="0"/>
              <w:rPr>
                <w:sz w:val="20"/>
                <w:szCs w:val="20"/>
                <w:color w:val="auto"/>
              </w:rPr>
            </w:pPr>
            <w:r>
              <w:rPr>
                <w:rFonts w:ascii="Arial" w:cs="Arial" w:eastAsia="Arial" w:hAnsi="Arial"/>
                <w:sz w:val="18"/>
                <w:szCs w:val="18"/>
                <w:b w:val="1"/>
                <w:bCs w:val="1"/>
                <w:color w:val="auto"/>
              </w:rPr>
              <w:t>$62.3</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$46.3</w:t>
            </w:r>
          </w:p>
        </w:tc>
      </w:tr>
      <w:tr>
        <w:trPr>
          <w:trHeight w:val="27"/>
        </w:trPr>
        <w:tc>
          <w:tcPr>
            <w:tcW w:w="88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Adjustments to reconcile net income to net cash provided by operating activities:</w:t>
            </w:r>
          </w:p>
        </w:tc>
        <w:tc>
          <w:tcPr>
            <w:tcW w:w="104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spacing w:after="0"/>
              <w:rPr>
                <w:sz w:val="21"/>
                <w:szCs w:val="21"/>
                <w:color w:val="auto"/>
              </w:rPr>
            </w:pPr>
          </w:p>
        </w:tc>
      </w:tr>
      <w:tr>
        <w:trPr>
          <w:trHeight w:val="243"/>
        </w:trPr>
        <w:tc>
          <w:tcPr>
            <w:tcW w:w="8860" w:type="dxa"/>
            <w:vAlign w:val="bottom"/>
          </w:tcPr>
          <w:p>
            <w:pPr>
              <w:ind w:left="40"/>
              <w:spacing w:after="0"/>
              <w:rPr>
                <w:sz w:val="20"/>
                <w:szCs w:val="20"/>
                <w:color w:val="auto"/>
              </w:rPr>
            </w:pPr>
            <w:r>
              <w:rPr>
                <w:rFonts w:ascii="Arial" w:cs="Arial" w:eastAsia="Arial" w:hAnsi="Arial"/>
                <w:sz w:val="18"/>
                <w:szCs w:val="18"/>
                <w:color w:val="auto"/>
              </w:rPr>
              <w:t>Depreciation and amortization</w:t>
            </w:r>
          </w:p>
        </w:tc>
        <w:tc>
          <w:tcPr>
            <w:tcW w:w="1040" w:type="dxa"/>
            <w:vAlign w:val="bottom"/>
          </w:tcPr>
          <w:p>
            <w:pPr>
              <w:jc w:val="right"/>
              <w:ind w:right="410"/>
              <w:spacing w:after="0"/>
              <w:rPr>
                <w:sz w:val="20"/>
                <w:szCs w:val="20"/>
                <w:color w:val="auto"/>
              </w:rPr>
            </w:pPr>
            <w:r>
              <w:rPr>
                <w:rFonts w:ascii="Arial" w:cs="Arial" w:eastAsia="Arial" w:hAnsi="Arial"/>
                <w:sz w:val="18"/>
                <w:szCs w:val="18"/>
                <w:b w:val="1"/>
                <w:bCs w:val="1"/>
                <w:color w:val="auto"/>
              </w:rPr>
              <w:t>27.6</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24.4</w:t>
            </w:r>
          </w:p>
        </w:tc>
      </w:tr>
      <w:tr>
        <w:trPr>
          <w:trHeight w:val="27"/>
        </w:trPr>
        <w:tc>
          <w:tcPr>
            <w:tcW w:w="88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Loss on sale or disposal of assets</w:t>
            </w:r>
          </w:p>
        </w:tc>
        <w:tc>
          <w:tcPr>
            <w:tcW w:w="104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1.3</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0.5</w:t>
            </w:r>
          </w:p>
        </w:tc>
      </w:tr>
      <w:tr>
        <w:trPr>
          <w:trHeight w:val="243"/>
        </w:trPr>
        <w:tc>
          <w:tcPr>
            <w:tcW w:w="8860" w:type="dxa"/>
            <w:vAlign w:val="bottom"/>
          </w:tcPr>
          <w:p>
            <w:pPr>
              <w:ind w:left="40"/>
              <w:spacing w:after="0"/>
              <w:rPr>
                <w:sz w:val="20"/>
                <w:szCs w:val="20"/>
                <w:color w:val="auto"/>
              </w:rPr>
            </w:pPr>
            <w:r>
              <w:rPr>
                <w:rFonts w:ascii="Arial" w:cs="Arial" w:eastAsia="Arial" w:hAnsi="Arial"/>
                <w:sz w:val="18"/>
                <w:szCs w:val="18"/>
                <w:color w:val="auto"/>
              </w:rPr>
              <w:t>Deferred income taxes</w:t>
            </w:r>
          </w:p>
        </w:tc>
        <w:tc>
          <w:tcPr>
            <w:tcW w:w="1040" w:type="dxa"/>
            <w:vAlign w:val="bottom"/>
          </w:tcPr>
          <w:p>
            <w:pPr>
              <w:jc w:val="right"/>
              <w:ind w:right="350"/>
              <w:spacing w:after="0"/>
              <w:rPr>
                <w:sz w:val="20"/>
                <w:szCs w:val="20"/>
                <w:color w:val="auto"/>
              </w:rPr>
            </w:pPr>
            <w:r>
              <w:rPr>
                <w:rFonts w:ascii="Arial" w:cs="Arial" w:eastAsia="Arial" w:hAnsi="Arial"/>
                <w:sz w:val="18"/>
                <w:szCs w:val="18"/>
                <w:b w:val="1"/>
                <w:bCs w:val="1"/>
                <w:color w:val="auto"/>
              </w:rPr>
              <w:t>(15.5)</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88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Stock-based compensation expense</w:t>
            </w:r>
          </w:p>
        </w:tc>
        <w:tc>
          <w:tcPr>
            <w:tcW w:w="104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2.0</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w:t>
            </w:r>
          </w:p>
        </w:tc>
      </w:tr>
      <w:tr>
        <w:trPr>
          <w:trHeight w:val="243"/>
        </w:trPr>
        <w:tc>
          <w:tcPr>
            <w:tcW w:w="8860" w:type="dxa"/>
            <w:vAlign w:val="bottom"/>
          </w:tcPr>
          <w:p>
            <w:pPr>
              <w:ind w:left="40"/>
              <w:spacing w:after="0"/>
              <w:rPr>
                <w:sz w:val="20"/>
                <w:szCs w:val="20"/>
                <w:color w:val="auto"/>
              </w:rPr>
            </w:pPr>
            <w:r>
              <w:rPr>
                <w:rFonts w:ascii="Arial" w:cs="Arial" w:eastAsia="Arial" w:hAnsi="Arial"/>
                <w:sz w:val="18"/>
                <w:szCs w:val="18"/>
                <w:color w:val="auto"/>
              </w:rPr>
              <w:t>Pension and postretirement expense</w:t>
            </w:r>
          </w:p>
        </w:tc>
        <w:tc>
          <w:tcPr>
            <w:tcW w:w="1040" w:type="dxa"/>
            <w:vAlign w:val="bottom"/>
          </w:tcPr>
          <w:p>
            <w:pPr>
              <w:jc w:val="right"/>
              <w:ind w:right="410"/>
              <w:spacing w:after="0"/>
              <w:rPr>
                <w:sz w:val="20"/>
                <w:szCs w:val="20"/>
                <w:color w:val="auto"/>
              </w:rPr>
            </w:pPr>
            <w:r>
              <w:rPr>
                <w:rFonts w:ascii="Arial" w:cs="Arial" w:eastAsia="Arial" w:hAnsi="Arial"/>
                <w:sz w:val="18"/>
                <w:szCs w:val="18"/>
                <w:b w:val="1"/>
                <w:bCs w:val="1"/>
                <w:color w:val="auto"/>
              </w:rPr>
              <w:t>3.7</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88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Pension and postretirement contributions and payments</w:t>
            </w:r>
          </w:p>
        </w:tc>
        <w:tc>
          <w:tcPr>
            <w:tcW w:w="104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(14.8)</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8860" w:type="dxa"/>
            <w:vAlign w:val="bottom"/>
          </w:tcPr>
          <w:p>
            <w:pPr>
              <w:ind w:left="40"/>
              <w:spacing w:after="0"/>
              <w:rPr>
                <w:sz w:val="20"/>
                <w:szCs w:val="20"/>
                <w:color w:val="auto"/>
              </w:rPr>
            </w:pPr>
            <w:r>
              <w:rPr>
                <w:rFonts w:ascii="Arial" w:cs="Arial" w:eastAsia="Arial" w:hAnsi="Arial"/>
                <w:sz w:val="18"/>
                <w:szCs w:val="18"/>
                <w:color w:val="auto"/>
              </w:rPr>
              <w:t>Changes in operating assets and liabilities:</w:t>
            </w:r>
          </w:p>
        </w:tc>
        <w:tc>
          <w:tcPr>
            <w:tcW w:w="1040" w:type="dxa"/>
            <w:vAlign w:val="bottom"/>
          </w:tcPr>
          <w:p>
            <w:pPr>
              <w:spacing w:after="0"/>
              <w:rPr>
                <w:sz w:val="21"/>
                <w:szCs w:val="21"/>
                <w:color w:val="auto"/>
              </w:rPr>
            </w:pPr>
          </w:p>
        </w:tc>
        <w:tc>
          <w:tcPr>
            <w:tcW w:w="1520" w:type="dxa"/>
            <w:vAlign w:val="bottom"/>
          </w:tcPr>
          <w:p>
            <w:pPr>
              <w:spacing w:after="0"/>
              <w:rPr>
                <w:sz w:val="21"/>
                <w:szCs w:val="21"/>
                <w:color w:val="auto"/>
              </w:rPr>
            </w:pPr>
          </w:p>
        </w:tc>
      </w:tr>
      <w:tr>
        <w:trPr>
          <w:trHeight w:val="27"/>
        </w:trPr>
        <w:tc>
          <w:tcPr>
            <w:tcW w:w="88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Accounts receivable, including due from related party</w:t>
            </w:r>
          </w:p>
        </w:tc>
        <w:tc>
          <w:tcPr>
            <w:tcW w:w="104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(29.0)</w:t>
            </w:r>
          </w:p>
        </w:tc>
        <w:tc>
          <w:tcPr>
            <w:tcW w:w="1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(35.5)</w:t>
            </w:r>
          </w:p>
        </w:tc>
      </w:tr>
      <w:tr>
        <w:trPr>
          <w:trHeight w:val="243"/>
        </w:trPr>
        <w:tc>
          <w:tcPr>
            <w:tcW w:w="8860" w:type="dxa"/>
            <w:vAlign w:val="bottom"/>
          </w:tcPr>
          <w:p>
            <w:pPr>
              <w:ind w:left="360"/>
              <w:spacing w:after="0"/>
              <w:rPr>
                <w:sz w:val="20"/>
                <w:szCs w:val="20"/>
                <w:color w:val="auto"/>
              </w:rPr>
            </w:pPr>
            <w:r>
              <w:rPr>
                <w:rFonts w:ascii="Arial" w:cs="Arial" w:eastAsia="Arial" w:hAnsi="Arial"/>
                <w:sz w:val="18"/>
                <w:szCs w:val="18"/>
                <w:color w:val="auto"/>
              </w:rPr>
              <w:t>Inventories</w:t>
            </w:r>
          </w:p>
        </w:tc>
        <w:tc>
          <w:tcPr>
            <w:tcW w:w="1040" w:type="dxa"/>
            <w:vAlign w:val="bottom"/>
          </w:tcPr>
          <w:p>
            <w:pPr>
              <w:jc w:val="right"/>
              <w:ind w:right="350"/>
              <w:spacing w:after="0"/>
              <w:rPr>
                <w:sz w:val="20"/>
                <w:szCs w:val="20"/>
                <w:color w:val="auto"/>
              </w:rPr>
            </w:pPr>
            <w:r>
              <w:rPr>
                <w:rFonts w:ascii="Arial" w:cs="Arial" w:eastAsia="Arial" w:hAnsi="Arial"/>
                <w:sz w:val="18"/>
                <w:szCs w:val="18"/>
                <w:b w:val="1"/>
                <w:bCs w:val="1"/>
                <w:color w:val="auto"/>
              </w:rPr>
              <w:t>(11.8)</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44.9</w:t>
            </w:r>
          </w:p>
        </w:tc>
      </w:tr>
      <w:tr>
        <w:trPr>
          <w:trHeight w:val="27"/>
        </w:trPr>
        <w:tc>
          <w:tcPr>
            <w:tcW w:w="88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Accounts payable, including due to related party</w:t>
            </w:r>
          </w:p>
        </w:tc>
        <w:tc>
          <w:tcPr>
            <w:tcW w:w="104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28.5</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7.5</w:t>
            </w:r>
          </w:p>
        </w:tc>
      </w:tr>
      <w:tr>
        <w:trPr>
          <w:trHeight w:val="243"/>
        </w:trPr>
        <w:tc>
          <w:tcPr>
            <w:tcW w:w="8860" w:type="dxa"/>
            <w:vAlign w:val="bottom"/>
          </w:tcPr>
          <w:p>
            <w:pPr>
              <w:ind w:left="360"/>
              <w:spacing w:after="0"/>
              <w:rPr>
                <w:sz w:val="20"/>
                <w:szCs w:val="20"/>
                <w:color w:val="auto"/>
              </w:rPr>
            </w:pPr>
            <w:r>
              <w:rPr>
                <w:rFonts w:ascii="Arial" w:cs="Arial" w:eastAsia="Arial" w:hAnsi="Arial"/>
                <w:sz w:val="18"/>
                <w:szCs w:val="18"/>
                <w:color w:val="auto"/>
              </w:rPr>
              <w:t>Other accrued expenses</w:t>
            </w:r>
          </w:p>
        </w:tc>
        <w:tc>
          <w:tcPr>
            <w:tcW w:w="1040" w:type="dxa"/>
            <w:vAlign w:val="bottom"/>
          </w:tcPr>
          <w:p>
            <w:pPr>
              <w:jc w:val="right"/>
              <w:ind w:right="350"/>
              <w:spacing w:after="0"/>
              <w:rPr>
                <w:sz w:val="20"/>
                <w:szCs w:val="20"/>
                <w:color w:val="auto"/>
              </w:rPr>
            </w:pPr>
            <w:r>
              <w:rPr>
                <w:rFonts w:ascii="Arial" w:cs="Arial" w:eastAsia="Arial" w:hAnsi="Arial"/>
                <w:sz w:val="18"/>
                <w:szCs w:val="18"/>
                <w:b w:val="1"/>
                <w:bCs w:val="1"/>
                <w:color w:val="auto"/>
              </w:rPr>
              <w:t>(1.6)</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0.5</w:t>
            </w:r>
          </w:p>
        </w:tc>
      </w:tr>
      <w:tr>
        <w:trPr>
          <w:trHeight w:val="27"/>
        </w:trPr>
        <w:tc>
          <w:tcPr>
            <w:tcW w:w="88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75"/>
        </w:trPr>
        <w:tc>
          <w:tcPr>
            <w:tcW w:w="88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Other, net</w:t>
            </w:r>
          </w:p>
        </w:tc>
        <w:tc>
          <w:tcPr>
            <w:tcW w:w="104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2.8</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w:t>
            </w:r>
          </w:p>
        </w:tc>
      </w:tr>
      <w:tr>
        <w:trPr>
          <w:trHeight w:val="237"/>
        </w:trPr>
        <w:tc>
          <w:tcPr>
            <w:tcW w:w="8860" w:type="dxa"/>
            <w:vAlign w:val="bottom"/>
            <w:tcBorders>
              <w:top w:val="single" w:sz="8" w:color="333333"/>
            </w:tcBorders>
          </w:tcPr>
          <w:p>
            <w:pPr>
              <w:ind w:left="360"/>
              <w:spacing w:after="0"/>
              <w:rPr>
                <w:sz w:val="20"/>
                <w:szCs w:val="20"/>
                <w:color w:val="auto"/>
              </w:rPr>
            </w:pPr>
            <w:r>
              <w:rPr>
                <w:rFonts w:ascii="Arial" w:cs="Arial" w:eastAsia="Arial" w:hAnsi="Arial"/>
                <w:sz w:val="18"/>
                <w:szCs w:val="18"/>
                <w:b w:val="1"/>
                <w:bCs w:val="1"/>
                <w:color w:val="auto"/>
              </w:rPr>
              <w:t>Net Cash Provided by Operating Activities</w:t>
            </w:r>
          </w:p>
        </w:tc>
        <w:tc>
          <w:tcPr>
            <w:tcW w:w="1040" w:type="dxa"/>
            <w:vAlign w:val="bottom"/>
            <w:tcBorders>
              <w:top w:val="single" w:sz="8" w:color="333333"/>
            </w:tcBorders>
          </w:tcPr>
          <w:p>
            <w:pPr>
              <w:jc w:val="right"/>
              <w:ind w:right="410"/>
              <w:spacing w:after="0"/>
              <w:rPr>
                <w:sz w:val="20"/>
                <w:szCs w:val="20"/>
                <w:color w:val="auto"/>
              </w:rPr>
            </w:pPr>
            <w:r>
              <w:rPr>
                <w:rFonts w:ascii="Arial" w:cs="Arial" w:eastAsia="Arial" w:hAnsi="Arial"/>
                <w:sz w:val="18"/>
                <w:szCs w:val="18"/>
                <w:b w:val="1"/>
                <w:bCs w:val="1"/>
                <w:color w:val="auto"/>
              </w:rPr>
              <w:t>55.5</w:t>
            </w:r>
          </w:p>
        </w:tc>
        <w:tc>
          <w:tcPr>
            <w:tcW w:w="1520" w:type="dxa"/>
            <w:vAlign w:val="bottom"/>
            <w:tcBorders>
              <w:top w:val="single" w:sz="8" w:color="333333"/>
            </w:tcBorders>
          </w:tcPr>
          <w:p>
            <w:pPr>
              <w:jc w:val="right"/>
              <w:ind w:right="10"/>
              <w:spacing w:after="0"/>
              <w:rPr>
                <w:sz w:val="20"/>
                <w:szCs w:val="20"/>
                <w:color w:val="auto"/>
              </w:rPr>
            </w:pPr>
            <w:r>
              <w:rPr>
                <w:rFonts w:ascii="Arial" w:cs="Arial" w:eastAsia="Arial" w:hAnsi="Arial"/>
                <w:sz w:val="18"/>
                <w:szCs w:val="18"/>
                <w:color w:val="auto"/>
              </w:rPr>
              <w:t>91.6</w:t>
            </w:r>
          </w:p>
        </w:tc>
      </w:tr>
      <w:tr>
        <w:trPr>
          <w:trHeight w:val="27"/>
        </w:trPr>
        <w:tc>
          <w:tcPr>
            <w:tcW w:w="88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324"/>
        </w:trPr>
        <w:tc>
          <w:tcPr>
            <w:tcW w:w="886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520" w:type="dxa"/>
            <w:vAlign w:val="bottom"/>
            <w:shd w:val="clear" w:color="auto" w:fill="CCEEFF"/>
          </w:tcPr>
          <w:p>
            <w:pPr>
              <w:spacing w:after="0"/>
              <w:rPr>
                <w:sz w:val="24"/>
                <w:szCs w:val="24"/>
                <w:color w:val="auto"/>
              </w:rPr>
            </w:pPr>
          </w:p>
        </w:tc>
      </w:tr>
      <w:tr>
        <w:trPr>
          <w:trHeight w:val="243"/>
        </w:trPr>
        <w:tc>
          <w:tcPr>
            <w:tcW w:w="8860" w:type="dxa"/>
            <w:vAlign w:val="bottom"/>
          </w:tcPr>
          <w:p>
            <w:pPr>
              <w:ind w:left="40"/>
              <w:spacing w:after="0"/>
              <w:rPr>
                <w:sz w:val="20"/>
                <w:szCs w:val="20"/>
                <w:color w:val="auto"/>
              </w:rPr>
            </w:pPr>
            <w:r>
              <w:rPr>
                <w:rFonts w:ascii="Arial" w:cs="Arial" w:eastAsia="Arial" w:hAnsi="Arial"/>
                <w:sz w:val="18"/>
                <w:szCs w:val="18"/>
                <w:b w:val="1"/>
                <w:bCs w:val="1"/>
                <w:color w:val="auto"/>
              </w:rPr>
              <w:t>Investing Activities</w:t>
            </w:r>
          </w:p>
        </w:tc>
        <w:tc>
          <w:tcPr>
            <w:tcW w:w="1040" w:type="dxa"/>
            <w:vAlign w:val="bottom"/>
          </w:tcPr>
          <w:p>
            <w:pPr>
              <w:spacing w:after="0"/>
              <w:rPr>
                <w:sz w:val="21"/>
                <w:szCs w:val="21"/>
                <w:color w:val="auto"/>
              </w:rPr>
            </w:pPr>
          </w:p>
        </w:tc>
        <w:tc>
          <w:tcPr>
            <w:tcW w:w="1520" w:type="dxa"/>
            <w:vAlign w:val="bottom"/>
          </w:tcPr>
          <w:p>
            <w:pPr>
              <w:spacing w:after="0"/>
              <w:rPr>
                <w:sz w:val="21"/>
                <w:szCs w:val="21"/>
                <w:color w:val="auto"/>
              </w:rPr>
            </w:pPr>
          </w:p>
        </w:tc>
      </w:tr>
      <w:tr>
        <w:trPr>
          <w:trHeight w:val="27"/>
        </w:trPr>
        <w:tc>
          <w:tcPr>
            <w:tcW w:w="88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Capital expenditures</w:t>
            </w:r>
          </w:p>
        </w:tc>
        <w:tc>
          <w:tcPr>
            <w:tcW w:w="104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(65.6)</w:t>
            </w:r>
          </w:p>
        </w:tc>
        <w:tc>
          <w:tcPr>
            <w:tcW w:w="1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(80.1)</w:t>
            </w:r>
          </w:p>
        </w:tc>
      </w:tr>
      <w:tr>
        <w:trPr>
          <w:trHeight w:val="243"/>
        </w:trPr>
        <w:tc>
          <w:tcPr>
            <w:tcW w:w="8860" w:type="dxa"/>
            <w:vAlign w:val="bottom"/>
          </w:tcPr>
          <w:p>
            <w:pPr>
              <w:ind w:left="40"/>
              <w:spacing w:after="0"/>
              <w:rPr>
                <w:sz w:val="20"/>
                <w:szCs w:val="20"/>
                <w:color w:val="auto"/>
              </w:rPr>
            </w:pPr>
            <w:r>
              <w:rPr>
                <w:rFonts w:ascii="Arial" w:cs="Arial" w:eastAsia="Arial" w:hAnsi="Arial"/>
                <w:sz w:val="18"/>
                <w:szCs w:val="18"/>
                <w:color w:val="auto"/>
              </w:rPr>
              <w:t>Proceeds from disposals of property, plant and equipment</w:t>
            </w:r>
          </w:p>
        </w:tc>
        <w:tc>
          <w:tcPr>
            <w:tcW w:w="1040" w:type="dxa"/>
            <w:vAlign w:val="bottom"/>
          </w:tcPr>
          <w:p>
            <w:pPr>
              <w:jc w:val="right"/>
              <w:ind w:right="410"/>
              <w:spacing w:after="0"/>
              <w:rPr>
                <w:sz w:val="20"/>
                <w:szCs w:val="20"/>
                <w:color w:val="auto"/>
              </w:rPr>
            </w:pPr>
            <w:r>
              <w:rPr>
                <w:rFonts w:ascii="Arial" w:cs="Arial" w:eastAsia="Arial" w:hAnsi="Arial"/>
                <w:sz w:val="18"/>
                <w:szCs w:val="18"/>
                <w:b w:val="1"/>
                <w:bCs w:val="1"/>
                <w:color w:val="auto"/>
              </w:rPr>
              <w:t>—</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0.1</w:t>
            </w:r>
          </w:p>
        </w:tc>
      </w:tr>
      <w:tr>
        <w:trPr>
          <w:trHeight w:val="27"/>
        </w:trPr>
        <w:tc>
          <w:tcPr>
            <w:tcW w:w="88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244"/>
        </w:trPr>
        <w:tc>
          <w:tcPr>
            <w:tcW w:w="88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b w:val="1"/>
                <w:bCs w:val="1"/>
                <w:color w:val="auto"/>
              </w:rPr>
              <w:t>Net Cash Used by Investing Activities</w:t>
            </w:r>
          </w:p>
        </w:tc>
        <w:tc>
          <w:tcPr>
            <w:tcW w:w="104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(65.6)</w:t>
            </w:r>
          </w:p>
        </w:tc>
        <w:tc>
          <w:tcPr>
            <w:tcW w:w="1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(80.0)</w:t>
            </w:r>
          </w:p>
        </w:tc>
      </w:tr>
      <w:tr>
        <w:trPr>
          <w:trHeight w:val="324"/>
        </w:trPr>
        <w:tc>
          <w:tcPr>
            <w:tcW w:w="88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520" w:type="dxa"/>
            <w:vAlign w:val="bottom"/>
          </w:tcPr>
          <w:p>
            <w:pPr>
              <w:spacing w:after="0"/>
              <w:rPr>
                <w:sz w:val="24"/>
                <w:szCs w:val="24"/>
                <w:color w:val="auto"/>
              </w:rPr>
            </w:pPr>
          </w:p>
        </w:tc>
      </w:tr>
      <w:tr>
        <w:trPr>
          <w:trHeight w:val="250"/>
        </w:trPr>
        <w:tc>
          <w:tcPr>
            <w:tcW w:w="8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Financing Activities</w:t>
            </w:r>
          </w:p>
        </w:tc>
        <w:tc>
          <w:tcPr>
            <w:tcW w:w="104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spacing w:after="0"/>
              <w:rPr>
                <w:sz w:val="21"/>
                <w:szCs w:val="21"/>
                <w:color w:val="auto"/>
              </w:rPr>
            </w:pPr>
          </w:p>
        </w:tc>
      </w:tr>
      <w:tr>
        <w:trPr>
          <w:trHeight w:val="243"/>
        </w:trPr>
        <w:tc>
          <w:tcPr>
            <w:tcW w:w="8860" w:type="dxa"/>
            <w:vAlign w:val="bottom"/>
          </w:tcPr>
          <w:p>
            <w:pPr>
              <w:ind w:left="40"/>
              <w:spacing w:after="0"/>
              <w:rPr>
                <w:sz w:val="20"/>
                <w:szCs w:val="20"/>
                <w:color w:val="auto"/>
              </w:rPr>
            </w:pPr>
            <w:r>
              <w:rPr>
                <w:rFonts w:ascii="Arial" w:cs="Arial" w:eastAsia="Arial" w:hAnsi="Arial"/>
                <w:sz w:val="18"/>
                <w:szCs w:val="18"/>
                <w:color w:val="auto"/>
              </w:rPr>
              <w:t>Payment on long-term debt</w:t>
            </w:r>
          </w:p>
        </w:tc>
        <w:tc>
          <w:tcPr>
            <w:tcW w:w="1040" w:type="dxa"/>
            <w:vAlign w:val="bottom"/>
          </w:tcPr>
          <w:p>
            <w:pPr>
              <w:jc w:val="right"/>
              <w:ind w:right="350"/>
              <w:spacing w:after="0"/>
              <w:rPr>
                <w:sz w:val="20"/>
                <w:szCs w:val="20"/>
                <w:color w:val="auto"/>
              </w:rPr>
            </w:pPr>
            <w:r>
              <w:rPr>
                <w:rFonts w:ascii="Arial" w:cs="Arial" w:eastAsia="Arial" w:hAnsi="Arial"/>
                <w:sz w:val="18"/>
                <w:szCs w:val="18"/>
                <w:b w:val="1"/>
                <w:bCs w:val="1"/>
                <w:color w:val="auto"/>
              </w:rPr>
              <w:t>(30.2)</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88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Proceeds from issuance of debt</w:t>
            </w:r>
          </w:p>
        </w:tc>
        <w:tc>
          <w:tcPr>
            <w:tcW w:w="104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130.2</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8860" w:type="dxa"/>
            <w:vAlign w:val="bottom"/>
          </w:tcPr>
          <w:p>
            <w:pPr>
              <w:ind w:left="40"/>
              <w:spacing w:after="0"/>
              <w:rPr>
                <w:sz w:val="20"/>
                <w:szCs w:val="20"/>
                <w:color w:val="auto"/>
              </w:rPr>
            </w:pPr>
            <w:r>
              <w:rPr>
                <w:rFonts w:ascii="Arial" w:cs="Arial" w:eastAsia="Arial" w:hAnsi="Arial"/>
                <w:sz w:val="18"/>
                <w:szCs w:val="18"/>
                <w:color w:val="auto"/>
              </w:rPr>
              <w:t>Dividend paid to The Timken Company</w:t>
            </w:r>
          </w:p>
        </w:tc>
        <w:tc>
          <w:tcPr>
            <w:tcW w:w="1040" w:type="dxa"/>
            <w:vAlign w:val="bottom"/>
          </w:tcPr>
          <w:p>
            <w:pPr>
              <w:jc w:val="right"/>
              <w:ind w:right="350"/>
              <w:spacing w:after="0"/>
              <w:rPr>
                <w:sz w:val="20"/>
                <w:szCs w:val="20"/>
                <w:color w:val="auto"/>
              </w:rPr>
            </w:pPr>
            <w:r>
              <w:rPr>
                <w:rFonts w:ascii="Arial" w:cs="Arial" w:eastAsia="Arial" w:hAnsi="Arial"/>
                <w:sz w:val="18"/>
                <w:szCs w:val="18"/>
                <w:b w:val="1"/>
                <w:bCs w:val="1"/>
                <w:color w:val="auto"/>
              </w:rPr>
              <w:t>(50.0)</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88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75"/>
        </w:trPr>
        <w:tc>
          <w:tcPr>
            <w:tcW w:w="8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transfers from/(to) Parent and affiliates</w:t>
            </w:r>
          </w:p>
        </w:tc>
        <w:tc>
          <w:tcPr>
            <w:tcW w:w="104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3.8</w:t>
            </w:r>
          </w:p>
        </w:tc>
        <w:tc>
          <w:tcPr>
            <w:tcW w:w="1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(11.6)</w:t>
            </w:r>
          </w:p>
        </w:tc>
      </w:tr>
      <w:tr>
        <w:trPr>
          <w:trHeight w:val="237"/>
        </w:trPr>
        <w:tc>
          <w:tcPr>
            <w:tcW w:w="8860" w:type="dxa"/>
            <w:vAlign w:val="bottom"/>
            <w:tcBorders>
              <w:top w:val="single" w:sz="8" w:color="333333"/>
            </w:tcBorders>
          </w:tcPr>
          <w:p>
            <w:pPr>
              <w:ind w:left="360"/>
              <w:spacing w:after="0"/>
              <w:rPr>
                <w:sz w:val="20"/>
                <w:szCs w:val="20"/>
                <w:color w:val="auto"/>
              </w:rPr>
            </w:pPr>
            <w:r>
              <w:rPr>
                <w:rFonts w:ascii="Arial" w:cs="Arial" w:eastAsia="Arial" w:hAnsi="Arial"/>
                <w:sz w:val="18"/>
                <w:szCs w:val="18"/>
                <w:b w:val="1"/>
                <w:bCs w:val="1"/>
                <w:color w:val="auto"/>
              </w:rPr>
              <w:t>Net Cash Provided (Used) by Financing Activities</w:t>
            </w:r>
          </w:p>
        </w:tc>
        <w:tc>
          <w:tcPr>
            <w:tcW w:w="1040" w:type="dxa"/>
            <w:vAlign w:val="bottom"/>
            <w:tcBorders>
              <w:top w:val="single" w:sz="8" w:color="333333"/>
            </w:tcBorders>
          </w:tcPr>
          <w:p>
            <w:pPr>
              <w:jc w:val="right"/>
              <w:ind w:right="410"/>
              <w:spacing w:after="0"/>
              <w:rPr>
                <w:sz w:val="20"/>
                <w:szCs w:val="20"/>
                <w:color w:val="auto"/>
              </w:rPr>
            </w:pPr>
            <w:r>
              <w:rPr>
                <w:rFonts w:ascii="Arial" w:cs="Arial" w:eastAsia="Arial" w:hAnsi="Arial"/>
                <w:sz w:val="18"/>
                <w:szCs w:val="18"/>
                <w:b w:val="1"/>
                <w:bCs w:val="1"/>
                <w:color w:val="auto"/>
              </w:rPr>
              <w:t>53.8</w:t>
            </w:r>
          </w:p>
        </w:tc>
        <w:tc>
          <w:tcPr>
            <w:tcW w:w="1520" w:type="dxa"/>
            <w:vAlign w:val="bottom"/>
            <w:tcBorders>
              <w:top w:val="single" w:sz="8" w:color="333333"/>
            </w:tcBorders>
          </w:tcPr>
          <w:p>
            <w:pPr>
              <w:jc w:val="right"/>
              <w:spacing w:after="0"/>
              <w:rPr>
                <w:sz w:val="20"/>
                <w:szCs w:val="20"/>
                <w:color w:val="auto"/>
              </w:rPr>
            </w:pPr>
            <w:r>
              <w:rPr>
                <w:rFonts w:ascii="Arial" w:cs="Arial" w:eastAsia="Arial" w:hAnsi="Arial"/>
                <w:sz w:val="18"/>
                <w:szCs w:val="18"/>
                <w:color w:val="auto"/>
              </w:rPr>
              <w:t>(11.6)</w:t>
            </w:r>
          </w:p>
        </w:tc>
      </w:tr>
      <w:tr>
        <w:trPr>
          <w:trHeight w:val="27"/>
        </w:trPr>
        <w:tc>
          <w:tcPr>
            <w:tcW w:w="8860" w:type="dxa"/>
            <w:vAlign w:val="bottom"/>
            <w:tcBorders>
              <w:bottom w:val="single" w:sz="8" w:color="333333"/>
            </w:tcBorders>
          </w:tcPr>
          <w:p>
            <w:pPr>
              <w:spacing w:after="0"/>
              <w:rPr>
                <w:sz w:val="2"/>
                <w:szCs w:val="2"/>
                <w:color w:val="auto"/>
              </w:rPr>
            </w:pPr>
          </w:p>
        </w:tc>
        <w:tc>
          <w:tcPr>
            <w:tcW w:w="1040" w:type="dxa"/>
            <w:vAlign w:val="bottom"/>
            <w:tcBorders>
              <w:bottom w:val="single" w:sz="8" w:color="333333"/>
            </w:tcBorders>
          </w:tcPr>
          <w:p>
            <w:pPr>
              <w:spacing w:after="0"/>
              <w:rPr>
                <w:sz w:val="2"/>
                <w:szCs w:val="2"/>
                <w:color w:val="auto"/>
              </w:rPr>
            </w:pPr>
          </w:p>
        </w:tc>
        <w:tc>
          <w:tcPr>
            <w:tcW w:w="1520" w:type="dxa"/>
            <w:vAlign w:val="bottom"/>
            <w:tcBorders>
              <w:bottom w:val="single" w:sz="8" w:color="333333"/>
            </w:tcBorders>
          </w:tcPr>
          <w:p>
            <w:pPr>
              <w:spacing w:after="0"/>
              <w:rPr>
                <w:sz w:val="2"/>
                <w:szCs w:val="2"/>
                <w:color w:val="auto"/>
              </w:rPr>
            </w:pPr>
          </w:p>
        </w:tc>
      </w:tr>
      <w:tr>
        <w:trPr>
          <w:trHeight w:val="269"/>
        </w:trPr>
        <w:tc>
          <w:tcPr>
            <w:tcW w:w="8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Effect of exchange rate changes on cash</w:t>
            </w:r>
          </w:p>
        </w:tc>
        <w:tc>
          <w:tcPr>
            <w:tcW w:w="104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37"/>
        </w:trPr>
        <w:tc>
          <w:tcPr>
            <w:tcW w:w="8860" w:type="dxa"/>
            <w:vAlign w:val="bottom"/>
            <w:tcBorders>
              <w:top w:val="single" w:sz="8" w:color="333333"/>
            </w:tcBorders>
          </w:tcPr>
          <w:p>
            <w:pPr>
              <w:ind w:left="360"/>
              <w:spacing w:after="0"/>
              <w:rPr>
                <w:sz w:val="20"/>
                <w:szCs w:val="20"/>
                <w:color w:val="auto"/>
              </w:rPr>
            </w:pPr>
            <w:r>
              <w:rPr>
                <w:rFonts w:ascii="Arial" w:cs="Arial" w:eastAsia="Arial" w:hAnsi="Arial"/>
                <w:sz w:val="18"/>
                <w:szCs w:val="18"/>
                <w:b w:val="1"/>
                <w:bCs w:val="1"/>
                <w:color w:val="auto"/>
              </w:rPr>
              <w:t>Increase (Decrease) In Cash and Cash Equivalents</w:t>
            </w:r>
          </w:p>
        </w:tc>
        <w:tc>
          <w:tcPr>
            <w:tcW w:w="1040" w:type="dxa"/>
            <w:vAlign w:val="bottom"/>
            <w:tcBorders>
              <w:top w:val="single" w:sz="8" w:color="333333"/>
            </w:tcBorders>
          </w:tcPr>
          <w:p>
            <w:pPr>
              <w:jc w:val="right"/>
              <w:ind w:right="410"/>
              <w:spacing w:after="0"/>
              <w:rPr>
                <w:sz w:val="20"/>
                <w:szCs w:val="20"/>
                <w:color w:val="auto"/>
              </w:rPr>
            </w:pPr>
            <w:r>
              <w:rPr>
                <w:rFonts w:ascii="Arial" w:cs="Arial" w:eastAsia="Arial" w:hAnsi="Arial"/>
                <w:sz w:val="18"/>
                <w:szCs w:val="18"/>
                <w:b w:val="1"/>
                <w:bCs w:val="1"/>
                <w:color w:val="auto"/>
              </w:rPr>
              <w:t>43.7</w:t>
            </w:r>
          </w:p>
        </w:tc>
        <w:tc>
          <w:tcPr>
            <w:tcW w:w="1520" w:type="dxa"/>
            <w:vAlign w:val="bottom"/>
            <w:tcBorders>
              <w:top w:val="single" w:sz="8" w:color="333333"/>
            </w:tcBorders>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88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75"/>
        </w:trPr>
        <w:tc>
          <w:tcPr>
            <w:tcW w:w="8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and cash equivalents at beginning of period</w:t>
            </w:r>
          </w:p>
        </w:tc>
        <w:tc>
          <w:tcPr>
            <w:tcW w:w="104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37"/>
        </w:trPr>
        <w:tc>
          <w:tcPr>
            <w:tcW w:w="8860" w:type="dxa"/>
            <w:vAlign w:val="bottom"/>
            <w:tcBorders>
              <w:top w:val="single" w:sz="8" w:color="333333"/>
            </w:tcBorders>
          </w:tcPr>
          <w:p>
            <w:pPr>
              <w:ind w:left="360"/>
              <w:spacing w:after="0"/>
              <w:rPr>
                <w:sz w:val="20"/>
                <w:szCs w:val="20"/>
                <w:color w:val="auto"/>
              </w:rPr>
            </w:pPr>
            <w:r>
              <w:rPr>
                <w:rFonts w:ascii="Arial" w:cs="Arial" w:eastAsia="Arial" w:hAnsi="Arial"/>
                <w:sz w:val="18"/>
                <w:szCs w:val="18"/>
                <w:b w:val="1"/>
                <w:bCs w:val="1"/>
                <w:color w:val="auto"/>
              </w:rPr>
              <w:t>Cash and Cash Equivalents at End of Period</w:t>
            </w:r>
          </w:p>
        </w:tc>
        <w:tc>
          <w:tcPr>
            <w:tcW w:w="1040" w:type="dxa"/>
            <w:vAlign w:val="bottom"/>
            <w:tcBorders>
              <w:top w:val="single" w:sz="8" w:color="333333"/>
            </w:tcBorders>
          </w:tcPr>
          <w:p>
            <w:pPr>
              <w:jc w:val="right"/>
              <w:ind w:right="410"/>
              <w:spacing w:after="0"/>
              <w:rPr>
                <w:sz w:val="20"/>
                <w:szCs w:val="20"/>
                <w:color w:val="auto"/>
              </w:rPr>
            </w:pPr>
            <w:r>
              <w:rPr>
                <w:rFonts w:ascii="Arial" w:cs="Arial" w:eastAsia="Arial" w:hAnsi="Arial"/>
                <w:sz w:val="18"/>
                <w:szCs w:val="18"/>
                <w:b w:val="1"/>
                <w:bCs w:val="1"/>
                <w:color w:val="auto"/>
              </w:rPr>
              <w:t>$43.7</w:t>
            </w:r>
          </w:p>
        </w:tc>
        <w:tc>
          <w:tcPr>
            <w:tcW w:w="1520" w:type="dxa"/>
            <w:vAlign w:val="bottom"/>
            <w:tcBorders>
              <w:top w:val="single" w:sz="8" w:color="333333"/>
            </w:tcBorders>
          </w:tcPr>
          <w:p>
            <w:pPr>
              <w:jc w:val="right"/>
              <w:ind w:right="10"/>
              <w:spacing w:after="0"/>
              <w:rPr>
                <w:sz w:val="20"/>
                <w:szCs w:val="20"/>
                <w:color w:val="auto"/>
              </w:rPr>
            </w:pPr>
            <w:r>
              <w:rPr>
                <w:rFonts w:ascii="Arial" w:cs="Arial" w:eastAsia="Arial" w:hAnsi="Arial"/>
                <w:sz w:val="18"/>
                <w:szCs w:val="18"/>
                <w:color w:val="auto"/>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246620" cy="260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26035"/>
                    </a:xfrm>
                    <a:prstGeom prst="rect">
                      <a:avLst/>
                    </a:prstGeom>
                    <a:noFill/>
                  </pic:spPr>
                </pic:pic>
              </a:graphicData>
            </a:graphic>
          </wp:anchor>
        </w:drawing>
      </w:r>
    </w:p>
    <w:p>
      <w:pPr>
        <w:spacing w:after="0" w:line="29" w:lineRule="exact"/>
        <w:rPr>
          <w:sz w:val="20"/>
          <w:szCs w:val="20"/>
          <w:color w:val="auto"/>
        </w:rPr>
      </w:pPr>
    </w:p>
    <w:p>
      <w:pPr>
        <w:spacing w:after="0"/>
        <w:rPr>
          <w:sz w:val="20"/>
          <w:szCs w:val="20"/>
          <w:color w:val="auto"/>
        </w:rPr>
      </w:pPr>
      <w:r>
        <w:rPr>
          <w:rFonts w:ascii="Arial" w:cs="Arial" w:eastAsia="Arial" w:hAnsi="Arial"/>
          <w:sz w:val="14"/>
          <w:szCs w:val="14"/>
          <w:color w:val="auto"/>
        </w:rPr>
        <w:t>See accompanying Notes to the Unaudited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576" w:right="239" w:bottom="1440" w:gutter="0" w:footer="0" w:header="0"/>
        </w:sectPr>
      </w:pPr>
    </w:p>
    <w:bookmarkStart w:id="6" w:name="page7"/>
    <w:bookmarkEnd w:id="6"/>
    <w:p>
      <w:pPr>
        <w:jc w:val="center"/>
        <w:spacing w:after="0"/>
        <w:rPr>
          <w:sz w:val="20"/>
          <w:szCs w:val="20"/>
          <w:color w:val="auto"/>
        </w:rPr>
      </w:pPr>
      <w:r>
        <w:rPr>
          <w:rFonts w:ascii="Arial" w:cs="Arial" w:eastAsia="Arial" w:hAnsi="Arial"/>
          <w:sz w:val="25"/>
          <w:szCs w:val="25"/>
          <w:b w:val="1"/>
          <w:bCs w:val="1"/>
          <w:color w:val="auto"/>
        </w:rPr>
        <w:t>Notes to Unaudited Consolidated Financial Statements</w:t>
      </w:r>
    </w:p>
    <w:p>
      <w:pPr>
        <w:spacing w:after="0" w:line="32" w:lineRule="exact"/>
        <w:rPr>
          <w:sz w:val="20"/>
          <w:szCs w:val="20"/>
          <w:color w:val="auto"/>
        </w:rPr>
      </w:pPr>
    </w:p>
    <w:p>
      <w:pPr>
        <w:jc w:val="center"/>
        <w:spacing w:after="0"/>
        <w:rPr>
          <w:sz w:val="20"/>
          <w:szCs w:val="20"/>
          <w:color w:val="auto"/>
        </w:rPr>
      </w:pPr>
      <w:r>
        <w:rPr>
          <w:rFonts w:ascii="Arial" w:cs="Arial" w:eastAsia="Arial" w:hAnsi="Arial"/>
          <w:sz w:val="20"/>
          <w:szCs w:val="20"/>
          <w:i w:val="1"/>
          <w:iCs w:val="1"/>
          <w:color w:val="auto"/>
        </w:rPr>
        <w:t>(dollars in millions, except per share data)</w:t>
      </w:r>
    </w:p>
    <w:p>
      <w:pPr>
        <w:spacing w:after="0" w:line="320"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1 - Basis of Presentation</w:t>
      </w:r>
    </w:p>
    <w:p>
      <w:pPr>
        <w:spacing w:after="0" w:line="199"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On June 30, 2014, TimkenSteel Corporation (TimkenSteel) became an independent company as a result of the distribution by The Timken Company (Timken) of 100 percent of the outstanding common shares of TimkenSteel to Timken shareholders (the spinoff). Each Timken shareholder of record as of the close of business on June 23, 2014 (the Record Date) received one TimkenSteel common share for every two Timken common shares held as of the Record Date. The spinoff was completed on June 30, 2014 and was structured to be tax-free to both Timken and TimkenSteel shareholders. Settlement of the transfer of assets and liabilities between Timken and TimkenSteel is expected to be finalized in the second half of 2014.</w:t>
      </w:r>
    </w:p>
    <w:p>
      <w:pPr>
        <w:spacing w:after="0" w:line="132" w:lineRule="exact"/>
        <w:rPr>
          <w:sz w:val="20"/>
          <w:szCs w:val="20"/>
          <w:color w:val="auto"/>
        </w:rPr>
      </w:pPr>
    </w:p>
    <w:p>
      <w:pPr>
        <w:jc w:val="both"/>
        <w:ind w:firstLine="648"/>
        <w:spacing w:after="0" w:line="342" w:lineRule="auto"/>
        <w:rPr>
          <w:sz w:val="20"/>
          <w:szCs w:val="20"/>
          <w:color w:val="auto"/>
        </w:rPr>
      </w:pPr>
      <w:r>
        <w:rPr>
          <w:rFonts w:ascii="Arial" w:cs="Arial" w:eastAsia="Arial" w:hAnsi="Arial"/>
          <w:sz w:val="16"/>
          <w:szCs w:val="16"/>
          <w:color w:val="auto"/>
        </w:rPr>
        <w:t>On July 1, 2014, TimkenSteel common shares began regular trading on the New York Stock Exchange under the ticker symbol “TMST”. Pursuant to the separation and distribution agreement with Timken, on June 30, 2014, TimkenSteel made a special cash dividend to Timken of $50.0 million.</w:t>
      </w:r>
    </w:p>
    <w:p>
      <w:pPr>
        <w:spacing w:after="0" w:line="83"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TimkenSteel manufactures alloy steel, as well as carbon and micro-alloy steel, with an annual melt capacity of approximately 2 million tons. TimkenSteel’s portfolio includes special bar quality (SBQ) bars, seamless mechanical tubing and precision steel components. In addition, TimkenSteel supplies machining and thermal treatment services and manages raw material recycling programs, which is done as a feeder system for TimkenSteel’s operations.</w:t>
      </w:r>
    </w:p>
    <w:p>
      <w:pPr>
        <w:spacing w:after="0" w:line="146"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Prior to the spinoff on June 30, 2014, TimkenSteel operated as a reportable segment within Timken. The accompanying Unaudited Consolidated Financial Statements have been prepared from Timken’s historical accounting records and are presented on a stand-alone basis as if the operations had been conducted independently from Timken. Accordingly, Timken and its subsidiaries net investment in these operations (Parent Equity) is shown in lieu of stockholder’s equity in the Unaudited Consolidated Financial Statements. The Unaudited Consolidated Financial Statements include the historical results of operations, assets and liabilities of the legal entities that are considered to comprise TimkenSteel. The historical results of operations, financial position, and cash flows of TimkenSteel presented in the Unaudited Consolidated Financial Statements may not be indicative of what they would have been had TimkenSteel actually been a separate stand-alone entity during such periods, nor are they necessarily indicative of TimkenSteel’s future results of operations, financial position and cash flows.</w:t>
      </w:r>
    </w:p>
    <w:p>
      <w:pPr>
        <w:spacing w:after="0" w:line="152"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The accompanying Unaudited Consolidated Financial Statements for TimkenSteel have been prepared for the six months ended June 30, 2014 and do not include all of the information and notes required by the accounting principles generally accepted in the United States for complete financial statements. In the opinion of management, all adjustments (consisting of normal recurring accruals) and disclosures considered necessary for a fair presentation have been included. For further information, refer to TimkenSteel’s Audited Consolidated Financial Statements for the year ended December 31, 2013 and related included in its registration statement on Form 10, which the SEC declared effective on June 10, 2014.</w:t>
      </w:r>
    </w:p>
    <w:p>
      <w:pPr>
        <w:spacing w:after="0" w:line="290"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2 - Recent Accounting Pronouncements</w:t>
      </w:r>
    </w:p>
    <w:p>
      <w:pPr>
        <w:spacing w:after="0" w:line="199"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7"/>
          <w:szCs w:val="17"/>
          <w:color w:val="auto"/>
        </w:rPr>
        <w:t>In May 2014, the Financial Accounting Standards Board (FASB) issued Accounting Standards Update (ASU) No. 2014-09, “Revenue from Contracts with Customers (Topic 606)”, which provides guidance for revenue recognition. This ASU affects any entity that either enters into contracts with customers to transfer goods or services or enters into contracts for the transfer of nonfinancial assets. This ASU will supersede the revenue recognition requirements in Topic 605, “Revenue Recognition”, and most industry-specific guidance. This ASU also supersedes some cost guidance included in Subtopic 605-35, “Revenue Recognition-Construction-Type and Production-Type Contracts.” The standard’s core principle is that a company will recognize revenue when it transfers promised goods or services to customers in an amount that reflects the consideration to which the company expects to be entitled in exchange for those goods or services. In doing so, companies will need to use more judgment and make more estimates than under today’s guidance. These may include identifying performance obligations in the contract, estimating the amount of variable consideration to include in the transaction price and allocating the transaction price to each separate performance obligation. The standard will be effective for TimkenSteel in the first quarter of fiscal year 2017. Early adoption is not permitted. TimkenSteel is currently evaluating the impact of the adoption of this accounting standard update on its results of operations and financial condition.</w:t>
      </w:r>
    </w:p>
    <w:p>
      <w:pPr>
        <w:spacing w:after="0" w:line="142"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In April 2014, the FASB issued ASU 2014-08, “Presentation of Financial Statements (Topic 205) and Property, Plant and Equipment (Topic 360).” ASU 2014-08 amends the requirements for reporting discontinued operations and requires additional disclosures about discontinued operations. Under the new guidance, only disposals representing a strategic shift in operations or that have a major effect on TimkenSteel’s operations and financial results should be presented as discontinued operations. ASU</w:t>
      </w:r>
    </w:p>
    <w:p>
      <w:pPr>
        <w:spacing w:after="0" w:line="3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792" w:right="239" w:bottom="1440" w:gutter="0" w:footer="0" w:header="0"/>
        </w:sectPr>
      </w:pPr>
    </w:p>
    <w:bookmarkStart w:id="7" w:name="page8"/>
    <w:bookmarkEnd w:id="7"/>
    <w:p>
      <w:pPr>
        <w:jc w:val="both"/>
        <w:spacing w:after="0" w:line="286" w:lineRule="auto"/>
        <w:rPr>
          <w:sz w:val="20"/>
          <w:szCs w:val="20"/>
          <w:color w:val="auto"/>
        </w:rPr>
      </w:pPr>
      <w:r>
        <w:rPr>
          <w:rFonts w:ascii="Arial" w:cs="Arial" w:eastAsia="Arial" w:hAnsi="Arial"/>
          <w:sz w:val="17"/>
          <w:szCs w:val="17"/>
          <w:color w:val="auto"/>
        </w:rPr>
        <w:t>2014-08 also requires expanded disclosures about discontinued operations, including information about the assets, liabilities, income, and expenses of discontinued operations. This new accounting guidance is effective for annual periods beginning after December 15, 2014. The adoption of ASU 2014-08 did not affect TimkenSteel’s Unaudited Consolidated Financial Statements because TimkenSteel did not have any discontinued operations.</w:t>
      </w:r>
    </w:p>
    <w:p>
      <w:pPr>
        <w:spacing w:after="0" w:line="125"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6"/>
          <w:szCs w:val="16"/>
          <w:color w:val="auto"/>
        </w:rPr>
        <w:t>In July 2013, the FASB issued ASU 2013-11, Income Taxes (Topic 740): “Presentation of an Unrecognized Tax Benefit When a Net Operating Loss Carryforward, a Similar Tax Loss, or a Tax Credit Carryforward Exists.” ASU 2013-11 clarifies guidance and eliminates diversity in practice on the presentation of unrecognized tax benefits when a net operating loss carryforward, a similar tax loss, or a tax credit carryforward exists at the reporting date. The new accounting rules were effective for annual and interim reporting periods beginning after December 15, 2013. Effective January 1, 2014, TimkenSteel adopted ASU 2013-11. The new accounting rules had no material impact on the results of operations and financial condition of TimkenSteel.</w:t>
      </w:r>
    </w:p>
    <w:p>
      <w:pPr>
        <w:spacing w:after="0" w:line="276"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3 - Inventories</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inventories, net as of June 30, 2014 and December 31, 2013 were as follows:</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8880" w:type="dxa"/>
            <w:vAlign w:val="bottom"/>
          </w:tcPr>
          <w:p>
            <w:pPr>
              <w:ind w:left="8280"/>
              <w:spacing w:after="0"/>
              <w:rPr>
                <w:sz w:val="20"/>
                <w:szCs w:val="20"/>
                <w:color w:val="auto"/>
              </w:rPr>
            </w:pPr>
            <w:r>
              <w:rPr>
                <w:rFonts w:ascii="Arial" w:cs="Arial" w:eastAsia="Arial" w:hAnsi="Arial"/>
                <w:sz w:val="16"/>
                <w:szCs w:val="16"/>
                <w:b w:val="1"/>
                <w:bCs w:val="1"/>
                <w:color w:val="auto"/>
                <w:w w:val="90"/>
              </w:rPr>
              <w:t>June 30,</w:t>
            </w:r>
          </w:p>
        </w:tc>
        <w:tc>
          <w:tcPr>
            <w:tcW w:w="860" w:type="dxa"/>
            <w:vAlign w:val="bottom"/>
          </w:tcPr>
          <w:p>
            <w:pPr>
              <w:spacing w:after="0"/>
              <w:rPr>
                <w:sz w:val="17"/>
                <w:szCs w:val="17"/>
                <w:color w:val="auto"/>
              </w:rPr>
            </w:pPr>
          </w:p>
        </w:tc>
        <w:tc>
          <w:tcPr>
            <w:tcW w:w="1680" w:type="dxa"/>
            <w:vAlign w:val="bottom"/>
          </w:tcPr>
          <w:p>
            <w:pPr>
              <w:jc w:val="right"/>
              <w:ind w:right="372"/>
              <w:spacing w:after="0"/>
              <w:rPr>
                <w:sz w:val="20"/>
                <w:szCs w:val="20"/>
                <w:color w:val="auto"/>
              </w:rPr>
            </w:pPr>
            <w:r>
              <w:rPr>
                <w:rFonts w:ascii="Arial" w:cs="Arial" w:eastAsia="Arial" w:hAnsi="Arial"/>
                <w:sz w:val="16"/>
                <w:szCs w:val="16"/>
                <w:b w:val="1"/>
                <w:bCs w:val="1"/>
                <w:color w:val="auto"/>
              </w:rPr>
              <w:t>December 31,</w:t>
            </w:r>
          </w:p>
        </w:tc>
      </w:tr>
      <w:tr>
        <w:trPr>
          <w:trHeight w:val="210"/>
        </w:trPr>
        <w:tc>
          <w:tcPr>
            <w:tcW w:w="8880" w:type="dxa"/>
            <w:vAlign w:val="bottom"/>
          </w:tcPr>
          <w:p>
            <w:pPr>
              <w:ind w:left="8420"/>
              <w:spacing w:after="0"/>
              <w:rPr>
                <w:sz w:val="20"/>
                <w:szCs w:val="20"/>
                <w:color w:val="auto"/>
              </w:rPr>
            </w:pPr>
            <w:r>
              <w:rPr>
                <w:rFonts w:ascii="Arial" w:cs="Arial" w:eastAsia="Arial" w:hAnsi="Arial"/>
                <w:sz w:val="16"/>
                <w:szCs w:val="16"/>
                <w:b w:val="1"/>
                <w:bCs w:val="1"/>
                <w:color w:val="auto"/>
              </w:rPr>
              <w:t>2014</w:t>
            </w:r>
          </w:p>
        </w:tc>
        <w:tc>
          <w:tcPr>
            <w:tcW w:w="860" w:type="dxa"/>
            <w:vAlign w:val="bottom"/>
          </w:tcPr>
          <w:p>
            <w:pPr>
              <w:spacing w:after="0"/>
              <w:rPr>
                <w:sz w:val="18"/>
                <w:szCs w:val="18"/>
                <w:color w:val="auto"/>
              </w:rPr>
            </w:pPr>
          </w:p>
        </w:tc>
        <w:tc>
          <w:tcPr>
            <w:tcW w:w="1680" w:type="dxa"/>
            <w:vAlign w:val="bottom"/>
          </w:tcPr>
          <w:p>
            <w:pPr>
              <w:jc w:val="right"/>
              <w:ind w:right="652"/>
              <w:spacing w:after="0"/>
              <w:rPr>
                <w:sz w:val="20"/>
                <w:szCs w:val="20"/>
                <w:color w:val="auto"/>
              </w:rPr>
            </w:pPr>
            <w:r>
              <w:rPr>
                <w:rFonts w:ascii="Arial" w:cs="Arial" w:eastAsia="Arial" w:hAnsi="Arial"/>
                <w:sz w:val="16"/>
                <w:szCs w:val="16"/>
                <w:b w:val="1"/>
                <w:bCs w:val="1"/>
                <w:color w:val="auto"/>
              </w:rPr>
              <w:t>2013</w:t>
            </w:r>
          </w:p>
        </w:tc>
      </w:tr>
      <w:tr>
        <w:trPr>
          <w:trHeight w:val="33"/>
        </w:trPr>
        <w:tc>
          <w:tcPr>
            <w:tcW w:w="88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44"/>
        </w:trPr>
        <w:tc>
          <w:tcPr>
            <w:tcW w:w="88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Inventories, net:</w:t>
            </w:r>
          </w:p>
        </w:tc>
        <w:tc>
          <w:tcPr>
            <w:tcW w:w="86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spacing w:after="0"/>
              <w:rPr>
                <w:sz w:val="21"/>
                <w:szCs w:val="21"/>
                <w:color w:val="auto"/>
              </w:rPr>
            </w:pPr>
          </w:p>
        </w:tc>
      </w:tr>
      <w:tr>
        <w:trPr>
          <w:trHeight w:val="243"/>
        </w:trPr>
        <w:tc>
          <w:tcPr>
            <w:tcW w:w="8880" w:type="dxa"/>
            <w:vAlign w:val="bottom"/>
          </w:tcPr>
          <w:p>
            <w:pPr>
              <w:ind w:left="40"/>
              <w:spacing w:after="0"/>
              <w:rPr>
                <w:sz w:val="20"/>
                <w:szCs w:val="20"/>
                <w:color w:val="auto"/>
              </w:rPr>
            </w:pPr>
            <w:r>
              <w:rPr>
                <w:rFonts w:ascii="Arial" w:cs="Arial" w:eastAsia="Arial" w:hAnsi="Arial"/>
                <w:sz w:val="18"/>
                <w:szCs w:val="18"/>
                <w:color w:val="auto"/>
              </w:rPr>
              <w:t>Manufacturing supplies</w:t>
            </w:r>
          </w:p>
        </w:tc>
        <w:tc>
          <w:tcPr>
            <w:tcW w:w="860" w:type="dxa"/>
            <w:vAlign w:val="bottom"/>
          </w:tcPr>
          <w:p>
            <w:pPr>
              <w:jc w:val="right"/>
              <w:ind w:right="250"/>
              <w:spacing w:after="0"/>
              <w:rPr>
                <w:sz w:val="20"/>
                <w:szCs w:val="20"/>
                <w:color w:val="auto"/>
              </w:rPr>
            </w:pPr>
            <w:r>
              <w:rPr>
                <w:rFonts w:ascii="Arial" w:cs="Arial" w:eastAsia="Arial" w:hAnsi="Arial"/>
                <w:sz w:val="18"/>
                <w:szCs w:val="18"/>
                <w:b w:val="1"/>
                <w:bCs w:val="1"/>
                <w:color w:val="auto"/>
              </w:rPr>
              <w:t>$34.1</w:t>
            </w:r>
          </w:p>
        </w:tc>
        <w:tc>
          <w:tcPr>
            <w:tcW w:w="1680" w:type="dxa"/>
            <w:vAlign w:val="bottom"/>
          </w:tcPr>
          <w:p>
            <w:pPr>
              <w:jc w:val="right"/>
              <w:ind w:right="12"/>
              <w:spacing w:after="0"/>
              <w:rPr>
                <w:sz w:val="20"/>
                <w:szCs w:val="20"/>
                <w:color w:val="auto"/>
              </w:rPr>
            </w:pPr>
            <w:r>
              <w:rPr>
                <w:rFonts w:ascii="Arial" w:cs="Arial" w:eastAsia="Arial" w:hAnsi="Arial"/>
                <w:sz w:val="18"/>
                <w:szCs w:val="18"/>
                <w:color w:val="auto"/>
              </w:rPr>
              <w:t>$32.8</w:t>
            </w:r>
          </w:p>
        </w:tc>
      </w:tr>
      <w:tr>
        <w:trPr>
          <w:trHeight w:val="27"/>
        </w:trPr>
        <w:tc>
          <w:tcPr>
            <w:tcW w:w="88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50"/>
        </w:trPr>
        <w:tc>
          <w:tcPr>
            <w:tcW w:w="88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Raw materials</w:t>
            </w:r>
          </w:p>
        </w:tc>
        <w:tc>
          <w:tcPr>
            <w:tcW w:w="8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45.8</w:t>
            </w:r>
          </w:p>
        </w:tc>
        <w:tc>
          <w:tcPr>
            <w:tcW w:w="16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42.9</w:t>
            </w:r>
          </w:p>
        </w:tc>
      </w:tr>
      <w:tr>
        <w:trPr>
          <w:trHeight w:val="243"/>
        </w:trPr>
        <w:tc>
          <w:tcPr>
            <w:tcW w:w="8880" w:type="dxa"/>
            <w:vAlign w:val="bottom"/>
          </w:tcPr>
          <w:p>
            <w:pPr>
              <w:ind w:left="40"/>
              <w:spacing w:after="0"/>
              <w:rPr>
                <w:sz w:val="20"/>
                <w:szCs w:val="20"/>
                <w:color w:val="auto"/>
              </w:rPr>
            </w:pPr>
            <w:r>
              <w:rPr>
                <w:rFonts w:ascii="Arial" w:cs="Arial" w:eastAsia="Arial" w:hAnsi="Arial"/>
                <w:sz w:val="18"/>
                <w:szCs w:val="18"/>
                <w:color w:val="auto"/>
              </w:rPr>
              <w:t>Work in process</w:t>
            </w:r>
          </w:p>
        </w:tc>
        <w:tc>
          <w:tcPr>
            <w:tcW w:w="860" w:type="dxa"/>
            <w:vAlign w:val="bottom"/>
          </w:tcPr>
          <w:p>
            <w:pPr>
              <w:jc w:val="right"/>
              <w:ind w:right="250"/>
              <w:spacing w:after="0"/>
              <w:rPr>
                <w:sz w:val="20"/>
                <w:szCs w:val="20"/>
                <w:color w:val="auto"/>
              </w:rPr>
            </w:pPr>
            <w:r>
              <w:rPr>
                <w:rFonts w:ascii="Arial" w:cs="Arial" w:eastAsia="Arial" w:hAnsi="Arial"/>
                <w:sz w:val="18"/>
                <w:szCs w:val="18"/>
                <w:b w:val="1"/>
                <w:bCs w:val="1"/>
                <w:color w:val="auto"/>
              </w:rPr>
              <w:t>89.0</w:t>
            </w:r>
          </w:p>
        </w:tc>
        <w:tc>
          <w:tcPr>
            <w:tcW w:w="1680" w:type="dxa"/>
            <w:vAlign w:val="bottom"/>
          </w:tcPr>
          <w:p>
            <w:pPr>
              <w:jc w:val="right"/>
              <w:ind w:right="12"/>
              <w:spacing w:after="0"/>
              <w:rPr>
                <w:sz w:val="20"/>
                <w:szCs w:val="20"/>
                <w:color w:val="auto"/>
              </w:rPr>
            </w:pPr>
            <w:r>
              <w:rPr>
                <w:rFonts w:ascii="Arial" w:cs="Arial" w:eastAsia="Arial" w:hAnsi="Arial"/>
                <w:sz w:val="18"/>
                <w:szCs w:val="18"/>
                <w:color w:val="auto"/>
              </w:rPr>
              <w:t>81.6</w:t>
            </w:r>
          </w:p>
        </w:tc>
      </w:tr>
      <w:tr>
        <w:trPr>
          <w:trHeight w:val="27"/>
        </w:trPr>
        <w:tc>
          <w:tcPr>
            <w:tcW w:w="88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75"/>
        </w:trPr>
        <w:tc>
          <w:tcPr>
            <w:tcW w:w="88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Finished products</w:t>
            </w:r>
          </w:p>
        </w:tc>
        <w:tc>
          <w:tcPr>
            <w:tcW w:w="8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72.6</w:t>
            </w:r>
          </w:p>
        </w:tc>
        <w:tc>
          <w:tcPr>
            <w:tcW w:w="16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71.6</w:t>
            </w:r>
          </w:p>
        </w:tc>
      </w:tr>
      <w:tr>
        <w:trPr>
          <w:trHeight w:val="237"/>
        </w:trPr>
        <w:tc>
          <w:tcPr>
            <w:tcW w:w="8880" w:type="dxa"/>
            <w:vAlign w:val="bottom"/>
            <w:tcBorders>
              <w:top w:val="single" w:sz="8" w:color="auto"/>
            </w:tcBorders>
          </w:tcPr>
          <w:p>
            <w:pPr>
              <w:ind w:left="200"/>
              <w:spacing w:after="0"/>
              <w:rPr>
                <w:sz w:val="20"/>
                <w:szCs w:val="20"/>
                <w:color w:val="auto"/>
              </w:rPr>
            </w:pPr>
            <w:r>
              <w:rPr>
                <w:rFonts w:ascii="Arial" w:cs="Arial" w:eastAsia="Arial" w:hAnsi="Arial"/>
                <w:sz w:val="18"/>
                <w:szCs w:val="18"/>
                <w:color w:val="auto"/>
              </w:rPr>
              <w:t>Subtotal</w:t>
            </w:r>
          </w:p>
        </w:tc>
        <w:tc>
          <w:tcPr>
            <w:tcW w:w="860" w:type="dxa"/>
            <w:vAlign w:val="bottom"/>
            <w:tcBorders>
              <w:top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241.5</w:t>
            </w:r>
          </w:p>
        </w:tc>
        <w:tc>
          <w:tcPr>
            <w:tcW w:w="16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228.9</w:t>
            </w:r>
          </w:p>
        </w:tc>
      </w:tr>
      <w:tr>
        <w:trPr>
          <w:trHeight w:val="27"/>
        </w:trPr>
        <w:tc>
          <w:tcPr>
            <w:tcW w:w="88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75"/>
        </w:trPr>
        <w:tc>
          <w:tcPr>
            <w:tcW w:w="88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Allowance for surplus and obsolete inventory</w:t>
            </w:r>
          </w:p>
        </w:tc>
        <w:tc>
          <w:tcPr>
            <w:tcW w:w="86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(2.7)</w:t>
            </w: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w:t>
            </w:r>
          </w:p>
        </w:tc>
      </w:tr>
      <w:tr>
        <w:trPr>
          <w:trHeight w:val="237"/>
        </w:trPr>
        <w:tc>
          <w:tcPr>
            <w:tcW w:w="8880" w:type="dxa"/>
            <w:vAlign w:val="bottom"/>
            <w:tcBorders>
              <w:top w:val="single" w:sz="8" w:color="auto"/>
            </w:tcBorders>
          </w:tcPr>
          <w:p>
            <w:pPr>
              <w:ind w:left="200"/>
              <w:spacing w:after="0"/>
              <w:rPr>
                <w:sz w:val="20"/>
                <w:szCs w:val="20"/>
                <w:color w:val="auto"/>
              </w:rPr>
            </w:pPr>
            <w:r>
              <w:rPr>
                <w:rFonts w:ascii="Arial" w:cs="Arial" w:eastAsia="Arial" w:hAnsi="Arial"/>
                <w:sz w:val="18"/>
                <w:szCs w:val="18"/>
                <w:color w:val="auto"/>
              </w:rPr>
              <w:t>Total Inventories, net</w:t>
            </w:r>
          </w:p>
        </w:tc>
        <w:tc>
          <w:tcPr>
            <w:tcW w:w="860" w:type="dxa"/>
            <w:vAlign w:val="bottom"/>
            <w:tcBorders>
              <w:top w:val="single" w:sz="8" w:color="auto"/>
            </w:tcBorders>
          </w:tcPr>
          <w:p>
            <w:pPr>
              <w:jc w:val="right"/>
              <w:ind w:right="250"/>
              <w:spacing w:after="0"/>
              <w:rPr>
                <w:sz w:val="20"/>
                <w:szCs w:val="20"/>
                <w:color w:val="auto"/>
              </w:rPr>
            </w:pPr>
            <w:r>
              <w:rPr>
                <w:rFonts w:ascii="Arial" w:cs="Arial" w:eastAsia="Arial" w:hAnsi="Arial"/>
                <w:sz w:val="18"/>
                <w:szCs w:val="18"/>
                <w:b w:val="1"/>
                <w:bCs w:val="1"/>
                <w:color w:val="auto"/>
                <w:w w:val="90"/>
              </w:rPr>
              <w:t>$238.8</w:t>
            </w:r>
          </w:p>
        </w:tc>
        <w:tc>
          <w:tcPr>
            <w:tcW w:w="16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$227.0</w:t>
            </w:r>
          </w:p>
        </w:tc>
      </w:tr>
      <w:tr>
        <w:trPr>
          <w:trHeight w:val="34"/>
        </w:trPr>
        <w:tc>
          <w:tcPr>
            <w:tcW w:w="88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Inventories are valued at the lower of cost or market, with approximately 65% valued by the last-in, first-out (LIFO) method and the remaining 35% valued by the first-in, first-out (FIFO) method. The majority of TimkenSteel’s domestic inventories are valued by the LIFO method. All of TimkenSteel’s manufacturing supplies inventory as well as its international (outside the United States) inventories are valued by the FIFO method.</w:t>
      </w:r>
    </w:p>
    <w:p>
      <w:pPr>
        <w:spacing w:after="0" w:line="12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An actual valuation of the inventory under the LIFO method can be made only at the end of each year based on the inventory levels and costs at that time. Accordingly, interim LIFO calculations must be based on management’s estimates of expected year-end inventory levels and costs. Because these calculations are subject to many factors beyond management’s control, annual results may differ from interim results as they are subject to the final year-end LIFO inventory valuation.</w:t>
      </w:r>
    </w:p>
    <w:p>
      <w:pPr>
        <w:spacing w:after="0" w:line="146"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The LIFO reserve, excluding the impact of full-cost inventory adjustments, at June 30, 2014 and December 31, 2013 was $82.6 million and $75.5 million, respectively. TimkenSteel expects to recognize additional LIFO expense of approximately $7 million in the second half of 2014. The expected increase in the LIFO reserve for the year ended December 31, 2014 reflects higher anticipated costs, particularly scrap steel costs. A 1.0% increase in costs would increase the current LIFO expense estimate for the year ended December 31, 2014 by approximately $2 million. A 1.0% increase in inventory quantities would have no effect on the current LIFO expense estimate for 2014.</w:t>
      </w:r>
    </w:p>
    <w:p>
      <w:pPr>
        <w:spacing w:after="0" w:line="39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584" w:right="239" w:bottom="1440" w:gutter="0" w:footer="0" w:header="0"/>
        </w:sectPr>
      </w:pPr>
    </w:p>
    <w:bookmarkStart w:id="8" w:name="page9"/>
    <w:bookmarkEnd w:id="8"/>
    <w:p>
      <w:pPr>
        <w:spacing w:after="0"/>
        <w:rPr>
          <w:sz w:val="20"/>
          <w:szCs w:val="20"/>
          <w:color w:val="auto"/>
        </w:rPr>
      </w:pPr>
      <w:r>
        <w:rPr>
          <w:rFonts w:ascii="Arial" w:cs="Arial" w:eastAsia="Arial" w:hAnsi="Arial"/>
          <w:sz w:val="23"/>
          <w:szCs w:val="23"/>
          <w:b w:val="1"/>
          <w:bCs w:val="1"/>
          <w:color w:val="auto"/>
        </w:rPr>
        <w:t>Note 4 - Property, Plant and Equipment</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property, plant and equipment, net as of June 30, 2014 and December 31, 2013 were as follows:</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8860" w:type="dxa"/>
            <w:vAlign w:val="bottom"/>
          </w:tcPr>
          <w:p>
            <w:pPr>
              <w:ind w:left="8280"/>
              <w:spacing w:after="0"/>
              <w:rPr>
                <w:sz w:val="20"/>
                <w:szCs w:val="20"/>
                <w:color w:val="auto"/>
              </w:rPr>
            </w:pPr>
            <w:r>
              <w:rPr>
                <w:rFonts w:ascii="Arial" w:cs="Arial" w:eastAsia="Arial" w:hAnsi="Arial"/>
                <w:sz w:val="16"/>
                <w:szCs w:val="16"/>
                <w:b w:val="1"/>
                <w:bCs w:val="1"/>
                <w:color w:val="auto"/>
                <w:w w:val="87"/>
              </w:rPr>
              <w:t>June 30,</w:t>
            </w:r>
          </w:p>
        </w:tc>
        <w:tc>
          <w:tcPr>
            <w:tcW w:w="880" w:type="dxa"/>
            <w:vAlign w:val="bottom"/>
          </w:tcPr>
          <w:p>
            <w:pPr>
              <w:spacing w:after="0"/>
              <w:rPr>
                <w:sz w:val="17"/>
                <w:szCs w:val="17"/>
                <w:color w:val="auto"/>
              </w:rPr>
            </w:pPr>
          </w:p>
        </w:tc>
        <w:tc>
          <w:tcPr>
            <w:tcW w:w="1680" w:type="dxa"/>
            <w:vAlign w:val="bottom"/>
          </w:tcPr>
          <w:p>
            <w:pPr>
              <w:jc w:val="right"/>
              <w:ind w:right="372"/>
              <w:spacing w:after="0"/>
              <w:rPr>
                <w:sz w:val="20"/>
                <w:szCs w:val="20"/>
                <w:color w:val="auto"/>
              </w:rPr>
            </w:pPr>
            <w:r>
              <w:rPr>
                <w:rFonts w:ascii="Arial" w:cs="Arial" w:eastAsia="Arial" w:hAnsi="Arial"/>
                <w:sz w:val="16"/>
                <w:szCs w:val="16"/>
                <w:b w:val="1"/>
                <w:bCs w:val="1"/>
                <w:color w:val="auto"/>
              </w:rPr>
              <w:t>December 31,</w:t>
            </w:r>
          </w:p>
        </w:tc>
      </w:tr>
      <w:tr>
        <w:trPr>
          <w:trHeight w:val="210"/>
        </w:trPr>
        <w:tc>
          <w:tcPr>
            <w:tcW w:w="8860" w:type="dxa"/>
            <w:vAlign w:val="bottom"/>
          </w:tcPr>
          <w:p>
            <w:pPr>
              <w:ind w:left="8420"/>
              <w:spacing w:after="0"/>
              <w:rPr>
                <w:sz w:val="20"/>
                <w:szCs w:val="20"/>
                <w:color w:val="auto"/>
              </w:rPr>
            </w:pPr>
            <w:r>
              <w:rPr>
                <w:rFonts w:ascii="Arial" w:cs="Arial" w:eastAsia="Arial" w:hAnsi="Arial"/>
                <w:sz w:val="16"/>
                <w:szCs w:val="16"/>
                <w:b w:val="1"/>
                <w:bCs w:val="1"/>
                <w:color w:val="auto"/>
              </w:rPr>
              <w:t>2014</w:t>
            </w:r>
          </w:p>
        </w:tc>
        <w:tc>
          <w:tcPr>
            <w:tcW w:w="880" w:type="dxa"/>
            <w:vAlign w:val="bottom"/>
          </w:tcPr>
          <w:p>
            <w:pPr>
              <w:spacing w:after="0"/>
              <w:rPr>
                <w:sz w:val="18"/>
                <w:szCs w:val="18"/>
                <w:color w:val="auto"/>
              </w:rPr>
            </w:pPr>
          </w:p>
        </w:tc>
        <w:tc>
          <w:tcPr>
            <w:tcW w:w="1680" w:type="dxa"/>
            <w:vAlign w:val="bottom"/>
          </w:tcPr>
          <w:p>
            <w:pPr>
              <w:jc w:val="right"/>
              <w:ind w:right="652"/>
              <w:spacing w:after="0"/>
              <w:rPr>
                <w:sz w:val="20"/>
                <w:szCs w:val="20"/>
                <w:color w:val="auto"/>
              </w:rPr>
            </w:pPr>
            <w:r>
              <w:rPr>
                <w:rFonts w:ascii="Arial" w:cs="Arial" w:eastAsia="Arial" w:hAnsi="Arial"/>
                <w:sz w:val="16"/>
                <w:szCs w:val="16"/>
                <w:b w:val="1"/>
                <w:bCs w:val="1"/>
                <w:color w:val="auto"/>
              </w:rPr>
              <w:t>2013</w:t>
            </w:r>
          </w:p>
        </w:tc>
      </w:tr>
      <w:tr>
        <w:trPr>
          <w:trHeight w:val="33"/>
        </w:trPr>
        <w:tc>
          <w:tcPr>
            <w:tcW w:w="88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44"/>
        </w:trPr>
        <w:tc>
          <w:tcPr>
            <w:tcW w:w="8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Property, Plant and Equipment, net:</w:t>
            </w:r>
          </w:p>
        </w:tc>
        <w:tc>
          <w:tcPr>
            <w:tcW w:w="88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spacing w:after="0"/>
              <w:rPr>
                <w:sz w:val="21"/>
                <w:szCs w:val="21"/>
                <w:color w:val="auto"/>
              </w:rPr>
            </w:pPr>
          </w:p>
        </w:tc>
      </w:tr>
      <w:tr>
        <w:trPr>
          <w:trHeight w:val="243"/>
        </w:trPr>
        <w:tc>
          <w:tcPr>
            <w:tcW w:w="8860" w:type="dxa"/>
            <w:vAlign w:val="bottom"/>
          </w:tcPr>
          <w:p>
            <w:pPr>
              <w:ind w:left="40"/>
              <w:spacing w:after="0"/>
              <w:rPr>
                <w:sz w:val="20"/>
                <w:szCs w:val="20"/>
                <w:color w:val="auto"/>
              </w:rPr>
            </w:pPr>
            <w:r>
              <w:rPr>
                <w:rFonts w:ascii="Arial" w:cs="Arial" w:eastAsia="Arial" w:hAnsi="Arial"/>
                <w:sz w:val="18"/>
                <w:szCs w:val="18"/>
                <w:color w:val="auto"/>
              </w:rPr>
              <w:t>Land and buildings</w:t>
            </w:r>
          </w:p>
        </w:tc>
        <w:tc>
          <w:tcPr>
            <w:tcW w:w="880" w:type="dxa"/>
            <w:vAlign w:val="bottom"/>
          </w:tcPr>
          <w:p>
            <w:pPr>
              <w:jc w:val="right"/>
              <w:ind w:right="250"/>
              <w:spacing w:after="0"/>
              <w:rPr>
                <w:sz w:val="20"/>
                <w:szCs w:val="20"/>
                <w:color w:val="auto"/>
              </w:rPr>
            </w:pPr>
            <w:r>
              <w:rPr>
                <w:rFonts w:ascii="Arial" w:cs="Arial" w:eastAsia="Arial" w:hAnsi="Arial"/>
                <w:sz w:val="18"/>
                <w:szCs w:val="18"/>
                <w:b w:val="1"/>
                <w:bCs w:val="1"/>
                <w:color w:val="auto"/>
                <w:w w:val="94"/>
              </w:rPr>
              <w:t>$288.9</w:t>
            </w:r>
          </w:p>
        </w:tc>
        <w:tc>
          <w:tcPr>
            <w:tcW w:w="1680" w:type="dxa"/>
            <w:vAlign w:val="bottom"/>
          </w:tcPr>
          <w:p>
            <w:pPr>
              <w:jc w:val="right"/>
              <w:ind w:right="12"/>
              <w:spacing w:after="0"/>
              <w:rPr>
                <w:sz w:val="20"/>
                <w:szCs w:val="20"/>
                <w:color w:val="auto"/>
              </w:rPr>
            </w:pPr>
            <w:r>
              <w:rPr>
                <w:rFonts w:ascii="Arial" w:cs="Arial" w:eastAsia="Arial" w:hAnsi="Arial"/>
                <w:sz w:val="18"/>
                <w:szCs w:val="18"/>
                <w:color w:val="auto"/>
              </w:rPr>
              <w:t>$250.3</w:t>
            </w:r>
          </w:p>
        </w:tc>
      </w:tr>
      <w:tr>
        <w:trPr>
          <w:trHeight w:val="27"/>
        </w:trPr>
        <w:tc>
          <w:tcPr>
            <w:tcW w:w="88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50"/>
        </w:trPr>
        <w:tc>
          <w:tcPr>
            <w:tcW w:w="8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Machinery and equipment</w:t>
            </w:r>
          </w:p>
        </w:tc>
        <w:tc>
          <w:tcPr>
            <w:tcW w:w="88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b w:val="1"/>
                <w:bCs w:val="1"/>
                <w:color w:val="auto"/>
                <w:w w:val="86"/>
              </w:rPr>
              <w:t>1,201.1</w:t>
            </w:r>
          </w:p>
        </w:tc>
        <w:tc>
          <w:tcPr>
            <w:tcW w:w="16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1,159.7</w:t>
            </w:r>
          </w:p>
        </w:tc>
      </w:tr>
      <w:tr>
        <w:trPr>
          <w:trHeight w:val="243"/>
        </w:trPr>
        <w:tc>
          <w:tcPr>
            <w:tcW w:w="8860" w:type="dxa"/>
            <w:vAlign w:val="bottom"/>
          </w:tcPr>
          <w:p>
            <w:pPr>
              <w:ind w:left="40"/>
              <w:spacing w:after="0"/>
              <w:rPr>
                <w:sz w:val="20"/>
                <w:szCs w:val="20"/>
                <w:color w:val="auto"/>
              </w:rPr>
            </w:pPr>
            <w:r>
              <w:rPr>
                <w:rFonts w:ascii="Arial" w:cs="Arial" w:eastAsia="Arial" w:hAnsi="Arial"/>
                <w:sz w:val="18"/>
                <w:szCs w:val="18"/>
                <w:color w:val="auto"/>
              </w:rPr>
              <w:t>Construction-in-progress</w:t>
            </w:r>
          </w:p>
        </w:tc>
        <w:tc>
          <w:tcPr>
            <w:tcW w:w="880" w:type="dxa"/>
            <w:vAlign w:val="bottom"/>
          </w:tcPr>
          <w:p>
            <w:pPr>
              <w:jc w:val="right"/>
              <w:ind w:right="250"/>
              <w:spacing w:after="0"/>
              <w:rPr>
                <w:sz w:val="20"/>
                <w:szCs w:val="20"/>
                <w:color w:val="auto"/>
              </w:rPr>
            </w:pPr>
            <w:r>
              <w:rPr>
                <w:rFonts w:ascii="Arial" w:cs="Arial" w:eastAsia="Arial" w:hAnsi="Arial"/>
                <w:sz w:val="18"/>
                <w:szCs w:val="18"/>
                <w:b w:val="1"/>
                <w:bCs w:val="1"/>
                <w:color w:val="auto"/>
              </w:rPr>
              <w:t>256.4</w:t>
            </w:r>
          </w:p>
        </w:tc>
        <w:tc>
          <w:tcPr>
            <w:tcW w:w="1680" w:type="dxa"/>
            <w:vAlign w:val="bottom"/>
          </w:tcPr>
          <w:p>
            <w:pPr>
              <w:jc w:val="right"/>
              <w:ind w:right="12"/>
              <w:spacing w:after="0"/>
              <w:rPr>
                <w:sz w:val="20"/>
                <w:szCs w:val="20"/>
                <w:color w:val="auto"/>
              </w:rPr>
            </w:pPr>
            <w:r>
              <w:rPr>
                <w:rFonts w:ascii="Arial" w:cs="Arial" w:eastAsia="Arial" w:hAnsi="Arial"/>
                <w:sz w:val="18"/>
                <w:szCs w:val="18"/>
                <w:color w:val="auto"/>
              </w:rPr>
              <w:t>220.0</w:t>
            </w:r>
          </w:p>
        </w:tc>
      </w:tr>
      <w:tr>
        <w:trPr>
          <w:trHeight w:val="27"/>
        </w:trPr>
        <w:tc>
          <w:tcPr>
            <w:tcW w:w="88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44"/>
        </w:trPr>
        <w:tc>
          <w:tcPr>
            <w:tcW w:w="886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Subtotal</w:t>
            </w:r>
          </w:p>
        </w:tc>
        <w:tc>
          <w:tcPr>
            <w:tcW w:w="88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b w:val="1"/>
                <w:bCs w:val="1"/>
                <w:color w:val="auto"/>
                <w:w w:val="86"/>
              </w:rPr>
              <w:t>1,746.4</w:t>
            </w:r>
          </w:p>
        </w:tc>
        <w:tc>
          <w:tcPr>
            <w:tcW w:w="16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1,630.0</w:t>
            </w:r>
          </w:p>
        </w:tc>
      </w:tr>
      <w:tr>
        <w:trPr>
          <w:trHeight w:val="243"/>
        </w:trPr>
        <w:tc>
          <w:tcPr>
            <w:tcW w:w="8860" w:type="dxa"/>
            <w:vAlign w:val="bottom"/>
          </w:tcPr>
          <w:p>
            <w:pPr>
              <w:ind w:left="40"/>
              <w:spacing w:after="0"/>
              <w:rPr>
                <w:sz w:val="20"/>
                <w:szCs w:val="20"/>
                <w:color w:val="auto"/>
              </w:rPr>
            </w:pPr>
            <w:r>
              <w:rPr>
                <w:rFonts w:ascii="Arial" w:cs="Arial" w:eastAsia="Arial" w:hAnsi="Arial"/>
                <w:sz w:val="18"/>
                <w:szCs w:val="18"/>
                <w:color w:val="auto"/>
              </w:rPr>
              <w:t>Less allowances for depreciation</w:t>
            </w:r>
          </w:p>
        </w:tc>
        <w:tc>
          <w:tcPr>
            <w:tcW w:w="880" w:type="dxa"/>
            <w:vAlign w:val="bottom"/>
          </w:tcPr>
          <w:p>
            <w:pPr>
              <w:jc w:val="right"/>
              <w:ind w:right="190"/>
              <w:spacing w:after="0"/>
              <w:rPr>
                <w:sz w:val="20"/>
                <w:szCs w:val="20"/>
                <w:color w:val="auto"/>
              </w:rPr>
            </w:pPr>
            <w:r>
              <w:rPr>
                <w:rFonts w:ascii="Arial" w:cs="Arial" w:eastAsia="Arial" w:hAnsi="Arial"/>
                <w:sz w:val="18"/>
                <w:szCs w:val="18"/>
                <w:b w:val="1"/>
                <w:bCs w:val="1"/>
                <w:color w:val="auto"/>
              </w:rPr>
              <w:t>(996.0)</w:t>
            </w:r>
          </w:p>
        </w:tc>
        <w:tc>
          <w:tcPr>
            <w:tcW w:w="1680" w:type="dxa"/>
            <w:vAlign w:val="bottom"/>
          </w:tcPr>
          <w:p>
            <w:pPr>
              <w:jc w:val="right"/>
              <w:spacing w:after="0"/>
              <w:rPr>
                <w:sz w:val="20"/>
                <w:szCs w:val="20"/>
                <w:color w:val="auto"/>
              </w:rPr>
            </w:pPr>
            <w:r>
              <w:rPr>
                <w:rFonts w:ascii="Arial" w:cs="Arial" w:eastAsia="Arial" w:hAnsi="Arial"/>
                <w:sz w:val="18"/>
                <w:szCs w:val="18"/>
                <w:color w:val="auto"/>
              </w:rPr>
              <w:t>(947.4)</w:t>
            </w:r>
          </w:p>
        </w:tc>
      </w:tr>
      <w:tr>
        <w:trPr>
          <w:trHeight w:val="27"/>
        </w:trPr>
        <w:tc>
          <w:tcPr>
            <w:tcW w:w="88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44"/>
        </w:trPr>
        <w:tc>
          <w:tcPr>
            <w:tcW w:w="886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Property, Plant and Equipment, net</w:t>
            </w:r>
          </w:p>
        </w:tc>
        <w:tc>
          <w:tcPr>
            <w:tcW w:w="88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b w:val="1"/>
                <w:bCs w:val="1"/>
                <w:color w:val="auto"/>
                <w:w w:val="94"/>
              </w:rPr>
              <w:t>$750.4</w:t>
            </w:r>
          </w:p>
        </w:tc>
        <w:tc>
          <w:tcPr>
            <w:tcW w:w="16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$682.6</w:t>
            </w:r>
          </w:p>
        </w:tc>
      </w:tr>
      <w:tr>
        <w:trPr>
          <w:trHeight w:val="27"/>
        </w:trPr>
        <w:tc>
          <w:tcPr>
            <w:tcW w:w="886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680" w:type="dxa"/>
            <w:vAlign w:val="bottom"/>
            <w:shd w:val="clear" w:color="auto" w:fill="000000"/>
          </w:tcPr>
          <w:p>
            <w:pPr>
              <w:spacing w:after="0"/>
              <w:rPr>
                <w:sz w:val="2"/>
                <w:szCs w:val="2"/>
                <w:color w:val="auto"/>
              </w:rPr>
            </w:pPr>
          </w:p>
        </w:tc>
      </w:tr>
    </w:tbl>
    <w:p>
      <w:pPr>
        <w:spacing w:after="0" w:line="202"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Total depreciation expense was $27.1 million and $23.9 million for the six months ended June 30, 2014 and 2013, respectively. At June 30, 2014 and December 31, 2013, property, plant and equipment, net included $18.8 million and $17.8 million, respectively, of capitalized software. Depreciation expense for capitalized software was approximately $1.4 million and $1.2 million for the six months ended June 30, 2014 and 2013, respectively. In conjunction with the spinoff, property plant and equipment, including its related allowance for deprecation, was transferred from Timken to TimkenSteel in the second quarter of 2014.</w:t>
      </w:r>
    </w:p>
    <w:p>
      <w:pPr>
        <w:spacing w:after="0" w:line="148"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TimkenSteel capitalized interest allocated from Timken related to construction projects of $5.7 million and $4.4 million for the six months ended June 30, 2014 and 2013, respectively.</w:t>
      </w:r>
    </w:p>
    <w:p>
      <w:pPr>
        <w:spacing w:after="0" w:line="288"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5 - Intangible Assets</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intangible assets as of June 30, 2014 and December 31, 2013 were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74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tcPr>
          <w:p>
            <w:pPr>
              <w:ind w:left="200"/>
              <w:spacing w:after="0"/>
              <w:rPr>
                <w:sz w:val="20"/>
                <w:szCs w:val="20"/>
                <w:color w:val="auto"/>
              </w:rPr>
            </w:pPr>
            <w:r>
              <w:rPr>
                <w:rFonts w:ascii="Arial" w:cs="Arial" w:eastAsia="Arial" w:hAnsi="Arial"/>
                <w:sz w:val="14"/>
                <w:szCs w:val="14"/>
                <w:b w:val="1"/>
                <w:bCs w:val="1"/>
                <w:color w:val="auto"/>
              </w:rPr>
              <w:t>June 30, 2014</w:t>
            </w:r>
          </w:p>
        </w:tc>
        <w:tc>
          <w:tcPr>
            <w:tcW w:w="122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December 31, 2013</w:t>
            </w:r>
          </w:p>
        </w:tc>
        <w:tc>
          <w:tcPr>
            <w:tcW w:w="1080" w:type="dxa"/>
            <w:vAlign w:val="bottom"/>
            <w:tcBorders>
              <w:bottom w:val="single" w:sz="8" w:color="auto"/>
            </w:tcBorders>
          </w:tcPr>
          <w:p>
            <w:pPr>
              <w:spacing w:after="0"/>
              <w:rPr>
                <w:sz w:val="16"/>
                <w:szCs w:val="16"/>
                <w:color w:val="auto"/>
              </w:rPr>
            </w:pPr>
          </w:p>
        </w:tc>
      </w:tr>
      <w:tr>
        <w:trPr>
          <w:trHeight w:val="152"/>
        </w:trPr>
        <w:tc>
          <w:tcPr>
            <w:tcW w:w="3740" w:type="dxa"/>
            <w:vAlign w:val="bottom"/>
          </w:tcPr>
          <w:p>
            <w:pPr>
              <w:spacing w:after="0"/>
              <w:rPr>
                <w:sz w:val="13"/>
                <w:szCs w:val="13"/>
                <w:color w:val="auto"/>
              </w:rPr>
            </w:pPr>
          </w:p>
        </w:tc>
        <w:tc>
          <w:tcPr>
            <w:tcW w:w="1520" w:type="dxa"/>
            <w:vAlign w:val="bottom"/>
          </w:tcPr>
          <w:p>
            <w:pPr>
              <w:jc w:val="right"/>
              <w:ind w:right="114"/>
              <w:spacing w:after="0" w:line="153" w:lineRule="exact"/>
              <w:rPr>
                <w:sz w:val="20"/>
                <w:szCs w:val="20"/>
                <w:color w:val="auto"/>
              </w:rPr>
            </w:pPr>
            <w:r>
              <w:rPr>
                <w:rFonts w:ascii="Arial" w:cs="Arial" w:eastAsia="Arial" w:hAnsi="Arial"/>
                <w:sz w:val="14"/>
                <w:szCs w:val="14"/>
                <w:b w:val="1"/>
                <w:bCs w:val="1"/>
                <w:color w:val="auto"/>
              </w:rPr>
              <w:t>Gross Carrying</w:t>
            </w:r>
          </w:p>
        </w:tc>
        <w:tc>
          <w:tcPr>
            <w:tcW w:w="1280" w:type="dxa"/>
            <w:vAlign w:val="bottom"/>
          </w:tcPr>
          <w:p>
            <w:pPr>
              <w:ind w:left="220"/>
              <w:spacing w:after="0" w:line="153" w:lineRule="exact"/>
              <w:rPr>
                <w:sz w:val="20"/>
                <w:szCs w:val="20"/>
                <w:color w:val="auto"/>
              </w:rPr>
            </w:pPr>
            <w:r>
              <w:rPr>
                <w:rFonts w:ascii="Arial" w:cs="Arial" w:eastAsia="Arial" w:hAnsi="Arial"/>
                <w:sz w:val="14"/>
                <w:szCs w:val="14"/>
                <w:b w:val="1"/>
                <w:bCs w:val="1"/>
                <w:color w:val="auto"/>
              </w:rPr>
              <w:t>Accumulated</w:t>
            </w:r>
          </w:p>
        </w:tc>
        <w:tc>
          <w:tcPr>
            <w:tcW w:w="1220" w:type="dxa"/>
            <w:vAlign w:val="bottom"/>
          </w:tcPr>
          <w:p>
            <w:pPr>
              <w:jc w:val="right"/>
              <w:ind w:right="114"/>
              <w:spacing w:after="0" w:line="153" w:lineRule="exact"/>
              <w:rPr>
                <w:sz w:val="20"/>
                <w:szCs w:val="20"/>
                <w:color w:val="auto"/>
              </w:rPr>
            </w:pPr>
            <w:r>
              <w:rPr>
                <w:rFonts w:ascii="Arial" w:cs="Arial" w:eastAsia="Arial" w:hAnsi="Arial"/>
                <w:sz w:val="14"/>
                <w:szCs w:val="14"/>
                <w:b w:val="1"/>
                <w:bCs w:val="1"/>
                <w:color w:val="auto"/>
              </w:rPr>
              <w:t>Net Carrying</w:t>
            </w:r>
          </w:p>
        </w:tc>
        <w:tc>
          <w:tcPr>
            <w:tcW w:w="1220" w:type="dxa"/>
            <w:vAlign w:val="bottom"/>
          </w:tcPr>
          <w:p>
            <w:pPr>
              <w:jc w:val="right"/>
              <w:ind w:right="14"/>
              <w:spacing w:after="0" w:line="153" w:lineRule="exact"/>
              <w:rPr>
                <w:sz w:val="20"/>
                <w:szCs w:val="20"/>
                <w:color w:val="auto"/>
              </w:rPr>
            </w:pPr>
            <w:r>
              <w:rPr>
                <w:rFonts w:ascii="Arial" w:cs="Arial" w:eastAsia="Arial" w:hAnsi="Arial"/>
                <w:sz w:val="14"/>
                <w:szCs w:val="14"/>
                <w:b w:val="1"/>
                <w:bCs w:val="1"/>
                <w:color w:val="auto"/>
              </w:rPr>
              <w:t>Gross Carrying</w:t>
            </w:r>
          </w:p>
        </w:tc>
        <w:tc>
          <w:tcPr>
            <w:tcW w:w="136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3"/>
              </w:rPr>
              <w:t>Accumulated</w:t>
            </w:r>
          </w:p>
        </w:tc>
        <w:tc>
          <w:tcPr>
            <w:tcW w:w="1080" w:type="dxa"/>
            <w:vAlign w:val="bottom"/>
          </w:tcPr>
          <w:p>
            <w:pPr>
              <w:jc w:val="right"/>
              <w:ind w:right="74"/>
              <w:spacing w:after="0" w:line="153" w:lineRule="exact"/>
              <w:rPr>
                <w:sz w:val="20"/>
                <w:szCs w:val="20"/>
                <w:color w:val="auto"/>
              </w:rPr>
            </w:pPr>
            <w:r>
              <w:rPr>
                <w:rFonts w:ascii="Arial" w:cs="Arial" w:eastAsia="Arial" w:hAnsi="Arial"/>
                <w:sz w:val="14"/>
                <w:szCs w:val="14"/>
                <w:b w:val="1"/>
                <w:bCs w:val="1"/>
                <w:color w:val="auto"/>
              </w:rPr>
              <w:t>Net Carrying</w:t>
            </w:r>
          </w:p>
        </w:tc>
      </w:tr>
      <w:tr>
        <w:trPr>
          <w:trHeight w:val="192"/>
        </w:trPr>
        <w:tc>
          <w:tcPr>
            <w:tcW w:w="374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tcPr>
          <w:p>
            <w:pPr>
              <w:jc w:val="right"/>
              <w:ind w:right="334"/>
              <w:spacing w:after="0"/>
              <w:rPr>
                <w:sz w:val="20"/>
                <w:szCs w:val="20"/>
                <w:color w:val="auto"/>
              </w:rPr>
            </w:pPr>
            <w:r>
              <w:rPr>
                <w:rFonts w:ascii="Arial" w:cs="Arial" w:eastAsia="Arial" w:hAnsi="Arial"/>
                <w:sz w:val="14"/>
                <w:szCs w:val="14"/>
                <w:b w:val="1"/>
                <w:bCs w:val="1"/>
                <w:color w:val="auto"/>
              </w:rPr>
              <w:t>Amount</w:t>
            </w:r>
          </w:p>
        </w:tc>
        <w:tc>
          <w:tcPr>
            <w:tcW w:w="1280" w:type="dxa"/>
            <w:vAlign w:val="bottom"/>
            <w:tcBorders>
              <w:bottom w:val="single" w:sz="8" w:color="auto"/>
            </w:tcBorders>
          </w:tcPr>
          <w:p>
            <w:pPr>
              <w:ind w:left="200"/>
              <w:spacing w:after="0"/>
              <w:rPr>
                <w:sz w:val="20"/>
                <w:szCs w:val="20"/>
                <w:color w:val="auto"/>
              </w:rPr>
            </w:pPr>
            <w:r>
              <w:rPr>
                <w:rFonts w:ascii="Arial" w:cs="Arial" w:eastAsia="Arial" w:hAnsi="Arial"/>
                <w:sz w:val="14"/>
                <w:szCs w:val="14"/>
                <w:b w:val="1"/>
                <w:bCs w:val="1"/>
                <w:color w:val="auto"/>
              </w:rPr>
              <w:t>Amortization</w:t>
            </w:r>
          </w:p>
        </w:tc>
        <w:tc>
          <w:tcPr>
            <w:tcW w:w="1220" w:type="dxa"/>
            <w:vAlign w:val="bottom"/>
            <w:tcBorders>
              <w:bottom w:val="single" w:sz="8" w:color="auto"/>
            </w:tcBorders>
          </w:tcPr>
          <w:p>
            <w:pPr>
              <w:jc w:val="right"/>
              <w:ind w:right="274"/>
              <w:spacing w:after="0"/>
              <w:rPr>
                <w:sz w:val="20"/>
                <w:szCs w:val="20"/>
                <w:color w:val="auto"/>
              </w:rPr>
            </w:pPr>
            <w:r>
              <w:rPr>
                <w:rFonts w:ascii="Arial" w:cs="Arial" w:eastAsia="Arial" w:hAnsi="Arial"/>
                <w:sz w:val="14"/>
                <w:szCs w:val="14"/>
                <w:b w:val="1"/>
                <w:bCs w:val="1"/>
                <w:color w:val="auto"/>
              </w:rPr>
              <w:t>Amount</w:t>
            </w:r>
          </w:p>
        </w:tc>
        <w:tc>
          <w:tcPr>
            <w:tcW w:w="1220" w:type="dxa"/>
            <w:vAlign w:val="bottom"/>
            <w:tcBorders>
              <w:bottom w:val="single" w:sz="8" w:color="auto"/>
            </w:tcBorders>
          </w:tcPr>
          <w:p>
            <w:pPr>
              <w:jc w:val="right"/>
              <w:ind w:right="234"/>
              <w:spacing w:after="0"/>
              <w:rPr>
                <w:sz w:val="20"/>
                <w:szCs w:val="20"/>
                <w:color w:val="auto"/>
              </w:rPr>
            </w:pPr>
            <w:r>
              <w:rPr>
                <w:rFonts w:ascii="Arial" w:cs="Arial" w:eastAsia="Arial" w:hAnsi="Arial"/>
                <w:sz w:val="14"/>
                <w:szCs w:val="14"/>
                <w:b w:val="1"/>
                <w:bCs w:val="1"/>
                <w:color w:val="auto"/>
              </w:rPr>
              <w:t>Amount</w:t>
            </w:r>
          </w:p>
        </w:tc>
        <w:tc>
          <w:tcPr>
            <w:tcW w:w="13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Amortization</w:t>
            </w:r>
          </w:p>
        </w:tc>
        <w:tc>
          <w:tcPr>
            <w:tcW w:w="1080" w:type="dxa"/>
            <w:vAlign w:val="bottom"/>
            <w:tcBorders>
              <w:bottom w:val="single" w:sz="8" w:color="auto"/>
            </w:tcBorders>
          </w:tcPr>
          <w:p>
            <w:pPr>
              <w:jc w:val="right"/>
              <w:ind w:right="214"/>
              <w:spacing w:after="0"/>
              <w:rPr>
                <w:sz w:val="20"/>
                <w:szCs w:val="20"/>
                <w:color w:val="auto"/>
              </w:rPr>
            </w:pPr>
            <w:r>
              <w:rPr>
                <w:rFonts w:ascii="Arial" w:cs="Arial" w:eastAsia="Arial" w:hAnsi="Arial"/>
                <w:sz w:val="14"/>
                <w:szCs w:val="14"/>
                <w:b w:val="1"/>
                <w:bCs w:val="1"/>
                <w:color w:val="auto"/>
              </w:rPr>
              <w:t>Amount</w:t>
            </w:r>
          </w:p>
        </w:tc>
      </w:tr>
      <w:tr>
        <w:trPr>
          <w:trHeight w:val="250"/>
        </w:trPr>
        <w:tc>
          <w:tcPr>
            <w:tcW w:w="3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Intangible Assets Subject to Amortization:</w:t>
            </w:r>
          </w:p>
        </w:tc>
        <w:tc>
          <w:tcPr>
            <w:tcW w:w="15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r>
      <w:tr>
        <w:trPr>
          <w:trHeight w:val="243"/>
        </w:trPr>
        <w:tc>
          <w:tcPr>
            <w:tcW w:w="3740" w:type="dxa"/>
            <w:vAlign w:val="bottom"/>
          </w:tcPr>
          <w:p>
            <w:pPr>
              <w:ind w:left="40"/>
              <w:spacing w:after="0"/>
              <w:rPr>
                <w:sz w:val="20"/>
                <w:szCs w:val="20"/>
                <w:color w:val="auto"/>
              </w:rPr>
            </w:pPr>
            <w:r>
              <w:rPr>
                <w:rFonts w:ascii="Arial" w:cs="Arial" w:eastAsia="Arial" w:hAnsi="Arial"/>
                <w:sz w:val="18"/>
                <w:szCs w:val="18"/>
                <w:color w:val="auto"/>
              </w:rPr>
              <w:t>Customer relationships</w:t>
            </w:r>
          </w:p>
        </w:tc>
        <w:tc>
          <w:tcPr>
            <w:tcW w:w="1520" w:type="dxa"/>
            <w:vAlign w:val="bottom"/>
          </w:tcPr>
          <w:p>
            <w:pPr>
              <w:jc w:val="right"/>
              <w:ind w:right="134"/>
              <w:spacing w:after="0"/>
              <w:rPr>
                <w:sz w:val="20"/>
                <w:szCs w:val="20"/>
                <w:color w:val="auto"/>
              </w:rPr>
            </w:pPr>
            <w:r>
              <w:rPr>
                <w:rFonts w:ascii="Arial" w:cs="Arial" w:eastAsia="Arial" w:hAnsi="Arial"/>
                <w:sz w:val="18"/>
                <w:szCs w:val="18"/>
                <w:b w:val="1"/>
                <w:bCs w:val="1"/>
                <w:color w:val="auto"/>
              </w:rPr>
              <w:t>$6.8</w:t>
            </w:r>
          </w:p>
        </w:tc>
        <w:tc>
          <w:tcPr>
            <w:tcW w:w="1280" w:type="dxa"/>
            <w:vAlign w:val="bottom"/>
          </w:tcPr>
          <w:p>
            <w:pPr>
              <w:jc w:val="right"/>
              <w:ind w:right="135"/>
              <w:spacing w:after="0"/>
              <w:rPr>
                <w:sz w:val="20"/>
                <w:szCs w:val="20"/>
                <w:color w:val="auto"/>
              </w:rPr>
            </w:pPr>
            <w:r>
              <w:rPr>
                <w:rFonts w:ascii="Arial" w:cs="Arial" w:eastAsia="Arial" w:hAnsi="Arial"/>
                <w:sz w:val="18"/>
                <w:szCs w:val="18"/>
                <w:b w:val="1"/>
                <w:bCs w:val="1"/>
                <w:color w:val="auto"/>
              </w:rPr>
              <w:t>$2.2</w:t>
            </w:r>
          </w:p>
        </w:tc>
        <w:tc>
          <w:tcPr>
            <w:tcW w:w="1220" w:type="dxa"/>
            <w:vAlign w:val="bottom"/>
          </w:tcPr>
          <w:p>
            <w:pPr>
              <w:jc w:val="right"/>
              <w:ind w:right="54"/>
              <w:spacing w:after="0"/>
              <w:rPr>
                <w:sz w:val="20"/>
                <w:szCs w:val="20"/>
                <w:color w:val="auto"/>
              </w:rPr>
            </w:pPr>
            <w:r>
              <w:rPr>
                <w:rFonts w:ascii="Arial" w:cs="Arial" w:eastAsia="Arial" w:hAnsi="Arial"/>
                <w:sz w:val="18"/>
                <w:szCs w:val="18"/>
                <w:b w:val="1"/>
                <w:bCs w:val="1"/>
                <w:color w:val="auto"/>
              </w:rPr>
              <w:t>$4.6</w:t>
            </w:r>
          </w:p>
        </w:tc>
        <w:tc>
          <w:tcPr>
            <w:tcW w:w="1220" w:type="dxa"/>
            <w:vAlign w:val="bottom"/>
          </w:tcPr>
          <w:p>
            <w:pPr>
              <w:jc w:val="right"/>
              <w:ind w:right="34"/>
              <w:spacing w:after="0"/>
              <w:rPr>
                <w:sz w:val="20"/>
                <w:szCs w:val="20"/>
                <w:color w:val="auto"/>
              </w:rPr>
            </w:pPr>
            <w:r>
              <w:rPr>
                <w:rFonts w:ascii="Arial" w:cs="Arial" w:eastAsia="Arial" w:hAnsi="Arial"/>
                <w:sz w:val="18"/>
                <w:szCs w:val="18"/>
                <w:color w:val="auto"/>
              </w:rPr>
              <w:t>$6.8</w:t>
            </w:r>
          </w:p>
        </w:tc>
        <w:tc>
          <w:tcPr>
            <w:tcW w:w="1360" w:type="dxa"/>
            <w:vAlign w:val="bottom"/>
          </w:tcPr>
          <w:p>
            <w:pPr>
              <w:jc w:val="right"/>
              <w:ind w:right="175"/>
              <w:spacing w:after="0"/>
              <w:rPr>
                <w:sz w:val="20"/>
                <w:szCs w:val="20"/>
                <w:color w:val="auto"/>
              </w:rPr>
            </w:pPr>
            <w:r>
              <w:rPr>
                <w:rFonts w:ascii="Arial" w:cs="Arial" w:eastAsia="Arial" w:hAnsi="Arial"/>
                <w:sz w:val="18"/>
                <w:szCs w:val="18"/>
                <w:color w:val="auto"/>
              </w:rPr>
              <w:t>$2.0</w:t>
            </w:r>
          </w:p>
        </w:tc>
        <w:tc>
          <w:tcPr>
            <w:tcW w:w="1080" w:type="dxa"/>
            <w:vAlign w:val="bottom"/>
          </w:tcPr>
          <w:p>
            <w:pPr>
              <w:jc w:val="right"/>
              <w:ind w:right="14"/>
              <w:spacing w:after="0"/>
              <w:rPr>
                <w:sz w:val="20"/>
                <w:szCs w:val="20"/>
                <w:color w:val="auto"/>
              </w:rPr>
            </w:pPr>
            <w:r>
              <w:rPr>
                <w:rFonts w:ascii="Arial" w:cs="Arial" w:eastAsia="Arial" w:hAnsi="Arial"/>
                <w:sz w:val="18"/>
                <w:szCs w:val="18"/>
                <w:color w:val="auto"/>
              </w:rPr>
              <w:t>$4.8</w:t>
            </w:r>
          </w:p>
        </w:tc>
      </w:tr>
      <w:tr>
        <w:trPr>
          <w:trHeight w:val="27"/>
        </w:trPr>
        <w:tc>
          <w:tcPr>
            <w:tcW w:w="374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3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Technology use</w:t>
            </w:r>
          </w:p>
        </w:tc>
        <w:tc>
          <w:tcPr>
            <w:tcW w:w="1520" w:type="dxa"/>
            <w:vAlign w:val="bottom"/>
            <w:tcBorders>
              <w:bottom w:val="single" w:sz="8" w:color="CCEEFF"/>
            </w:tcBorders>
            <w:shd w:val="clear" w:color="auto" w:fill="CCEEFF"/>
          </w:tcPr>
          <w:p>
            <w:pPr>
              <w:jc w:val="right"/>
              <w:ind w:right="134"/>
              <w:spacing w:after="0"/>
              <w:rPr>
                <w:sz w:val="20"/>
                <w:szCs w:val="20"/>
                <w:color w:val="auto"/>
              </w:rPr>
            </w:pPr>
            <w:r>
              <w:rPr>
                <w:rFonts w:ascii="Arial" w:cs="Arial" w:eastAsia="Arial" w:hAnsi="Arial"/>
                <w:sz w:val="18"/>
                <w:szCs w:val="18"/>
                <w:b w:val="1"/>
                <w:bCs w:val="1"/>
                <w:color w:val="auto"/>
              </w:rPr>
              <w:t>9.0</w:t>
            </w:r>
          </w:p>
        </w:tc>
        <w:tc>
          <w:tcPr>
            <w:tcW w:w="1280" w:type="dxa"/>
            <w:vAlign w:val="bottom"/>
            <w:tcBorders>
              <w:bottom w:val="single" w:sz="8" w:color="CCEEFF"/>
            </w:tcBorders>
            <w:shd w:val="clear" w:color="auto" w:fill="CCEEFF"/>
          </w:tcPr>
          <w:p>
            <w:pPr>
              <w:jc w:val="right"/>
              <w:ind w:right="135"/>
              <w:spacing w:after="0"/>
              <w:rPr>
                <w:sz w:val="20"/>
                <w:szCs w:val="20"/>
                <w:color w:val="auto"/>
              </w:rPr>
            </w:pPr>
            <w:r>
              <w:rPr>
                <w:rFonts w:ascii="Arial" w:cs="Arial" w:eastAsia="Arial" w:hAnsi="Arial"/>
                <w:sz w:val="18"/>
                <w:szCs w:val="18"/>
                <w:b w:val="1"/>
                <w:bCs w:val="1"/>
                <w:color w:val="auto"/>
              </w:rPr>
              <w:t>3.8</w:t>
            </w:r>
          </w:p>
        </w:tc>
        <w:tc>
          <w:tcPr>
            <w:tcW w:w="1220" w:type="dxa"/>
            <w:vAlign w:val="bottom"/>
            <w:tcBorders>
              <w:bottom w:val="single" w:sz="8" w:color="CCEEFF"/>
            </w:tcBorders>
            <w:shd w:val="clear" w:color="auto" w:fill="CCEEFF"/>
          </w:tcPr>
          <w:p>
            <w:pPr>
              <w:jc w:val="right"/>
              <w:ind w:right="54"/>
              <w:spacing w:after="0"/>
              <w:rPr>
                <w:sz w:val="20"/>
                <w:szCs w:val="20"/>
                <w:color w:val="auto"/>
              </w:rPr>
            </w:pPr>
            <w:r>
              <w:rPr>
                <w:rFonts w:ascii="Arial" w:cs="Arial" w:eastAsia="Arial" w:hAnsi="Arial"/>
                <w:sz w:val="18"/>
                <w:szCs w:val="18"/>
                <w:b w:val="1"/>
                <w:bCs w:val="1"/>
                <w:color w:val="auto"/>
              </w:rPr>
              <w:t>5.2</w:t>
            </w:r>
          </w:p>
        </w:tc>
        <w:tc>
          <w:tcPr>
            <w:tcW w:w="12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9.0</w:t>
            </w:r>
          </w:p>
        </w:tc>
        <w:tc>
          <w:tcPr>
            <w:tcW w:w="1360" w:type="dxa"/>
            <w:vAlign w:val="bottom"/>
            <w:tcBorders>
              <w:bottom w:val="single" w:sz="8" w:color="CCEEFF"/>
            </w:tcBorders>
            <w:shd w:val="clear" w:color="auto" w:fill="CCEEFF"/>
          </w:tcPr>
          <w:p>
            <w:pPr>
              <w:jc w:val="right"/>
              <w:ind w:right="175"/>
              <w:spacing w:after="0"/>
              <w:rPr>
                <w:sz w:val="20"/>
                <w:szCs w:val="20"/>
                <w:color w:val="auto"/>
              </w:rPr>
            </w:pPr>
            <w:r>
              <w:rPr>
                <w:rFonts w:ascii="Arial" w:cs="Arial" w:eastAsia="Arial" w:hAnsi="Arial"/>
                <w:sz w:val="18"/>
                <w:szCs w:val="18"/>
                <w:color w:val="auto"/>
              </w:rPr>
              <w:t>3.5</w:t>
            </w:r>
          </w:p>
        </w:tc>
        <w:tc>
          <w:tcPr>
            <w:tcW w:w="10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5.5</w:t>
            </w:r>
          </w:p>
        </w:tc>
      </w:tr>
      <w:tr>
        <w:trPr>
          <w:trHeight w:val="243"/>
        </w:trPr>
        <w:tc>
          <w:tcPr>
            <w:tcW w:w="3740" w:type="dxa"/>
            <w:vAlign w:val="bottom"/>
          </w:tcPr>
          <w:p>
            <w:pPr>
              <w:ind w:left="40"/>
              <w:spacing w:after="0"/>
              <w:rPr>
                <w:sz w:val="20"/>
                <w:szCs w:val="20"/>
                <w:color w:val="auto"/>
              </w:rPr>
            </w:pPr>
            <w:r>
              <w:rPr>
                <w:rFonts w:ascii="Arial" w:cs="Arial" w:eastAsia="Arial" w:hAnsi="Arial"/>
                <w:sz w:val="18"/>
                <w:szCs w:val="18"/>
                <w:color w:val="auto"/>
              </w:rPr>
              <w:t>Non-compete agreements</w:t>
            </w:r>
          </w:p>
        </w:tc>
        <w:tc>
          <w:tcPr>
            <w:tcW w:w="1520" w:type="dxa"/>
            <w:vAlign w:val="bottom"/>
          </w:tcPr>
          <w:p>
            <w:pPr>
              <w:jc w:val="right"/>
              <w:ind w:right="134"/>
              <w:spacing w:after="0"/>
              <w:rPr>
                <w:sz w:val="20"/>
                <w:szCs w:val="20"/>
                <w:color w:val="auto"/>
              </w:rPr>
            </w:pPr>
            <w:r>
              <w:rPr>
                <w:rFonts w:ascii="Arial" w:cs="Arial" w:eastAsia="Arial" w:hAnsi="Arial"/>
                <w:sz w:val="18"/>
                <w:szCs w:val="18"/>
                <w:b w:val="1"/>
                <w:bCs w:val="1"/>
                <w:color w:val="auto"/>
              </w:rPr>
              <w:t>1.0</w:t>
            </w:r>
          </w:p>
        </w:tc>
        <w:tc>
          <w:tcPr>
            <w:tcW w:w="1280" w:type="dxa"/>
            <w:vAlign w:val="bottom"/>
          </w:tcPr>
          <w:p>
            <w:pPr>
              <w:jc w:val="right"/>
              <w:ind w:right="135"/>
              <w:spacing w:after="0"/>
              <w:rPr>
                <w:sz w:val="20"/>
                <w:szCs w:val="20"/>
                <w:color w:val="auto"/>
              </w:rPr>
            </w:pPr>
            <w:r>
              <w:rPr>
                <w:rFonts w:ascii="Arial" w:cs="Arial" w:eastAsia="Arial" w:hAnsi="Arial"/>
                <w:sz w:val="18"/>
                <w:szCs w:val="18"/>
                <w:b w:val="1"/>
                <w:bCs w:val="1"/>
                <w:color w:val="auto"/>
              </w:rPr>
              <w:t>1.0</w:t>
            </w:r>
          </w:p>
        </w:tc>
        <w:tc>
          <w:tcPr>
            <w:tcW w:w="1220" w:type="dxa"/>
            <w:vAlign w:val="bottom"/>
          </w:tcPr>
          <w:p>
            <w:pPr>
              <w:jc w:val="right"/>
              <w:ind w:right="54"/>
              <w:spacing w:after="0"/>
              <w:rPr>
                <w:sz w:val="20"/>
                <w:szCs w:val="20"/>
                <w:color w:val="auto"/>
              </w:rPr>
            </w:pPr>
            <w:r>
              <w:rPr>
                <w:rFonts w:ascii="Arial" w:cs="Arial" w:eastAsia="Arial" w:hAnsi="Arial"/>
                <w:sz w:val="18"/>
                <w:szCs w:val="18"/>
                <w:b w:val="1"/>
                <w:bCs w:val="1"/>
                <w:color w:val="auto"/>
              </w:rPr>
              <w:t>—</w:t>
            </w:r>
          </w:p>
        </w:tc>
        <w:tc>
          <w:tcPr>
            <w:tcW w:w="1220" w:type="dxa"/>
            <w:vAlign w:val="bottom"/>
          </w:tcPr>
          <w:p>
            <w:pPr>
              <w:jc w:val="right"/>
              <w:ind w:right="34"/>
              <w:spacing w:after="0"/>
              <w:rPr>
                <w:sz w:val="20"/>
                <w:szCs w:val="20"/>
                <w:color w:val="auto"/>
              </w:rPr>
            </w:pPr>
            <w:r>
              <w:rPr>
                <w:rFonts w:ascii="Arial" w:cs="Arial" w:eastAsia="Arial" w:hAnsi="Arial"/>
                <w:sz w:val="18"/>
                <w:szCs w:val="18"/>
                <w:color w:val="auto"/>
              </w:rPr>
              <w:t>1.0</w:t>
            </w:r>
          </w:p>
        </w:tc>
        <w:tc>
          <w:tcPr>
            <w:tcW w:w="1360" w:type="dxa"/>
            <w:vAlign w:val="bottom"/>
          </w:tcPr>
          <w:p>
            <w:pPr>
              <w:jc w:val="right"/>
              <w:ind w:right="175"/>
              <w:spacing w:after="0"/>
              <w:rPr>
                <w:sz w:val="20"/>
                <w:szCs w:val="20"/>
                <w:color w:val="auto"/>
              </w:rPr>
            </w:pPr>
            <w:r>
              <w:rPr>
                <w:rFonts w:ascii="Arial" w:cs="Arial" w:eastAsia="Arial" w:hAnsi="Arial"/>
                <w:sz w:val="18"/>
                <w:szCs w:val="18"/>
                <w:color w:val="auto"/>
              </w:rPr>
              <w:t>1.0</w:t>
            </w:r>
          </w:p>
        </w:tc>
        <w:tc>
          <w:tcPr>
            <w:tcW w:w="1080" w:type="dxa"/>
            <w:vAlign w:val="bottom"/>
          </w:tcPr>
          <w:p>
            <w:pPr>
              <w:jc w:val="right"/>
              <w:ind w:right="14"/>
              <w:spacing w:after="0"/>
              <w:rPr>
                <w:sz w:val="20"/>
                <w:szCs w:val="20"/>
                <w:color w:val="auto"/>
              </w:rPr>
            </w:pPr>
            <w:r>
              <w:rPr>
                <w:rFonts w:ascii="Arial" w:cs="Arial" w:eastAsia="Arial" w:hAnsi="Arial"/>
                <w:sz w:val="18"/>
                <w:szCs w:val="18"/>
                <w:color w:val="auto"/>
              </w:rPr>
              <w:t>—</w:t>
            </w:r>
          </w:p>
        </w:tc>
      </w:tr>
      <w:tr>
        <w:trPr>
          <w:trHeight w:val="27"/>
        </w:trPr>
        <w:tc>
          <w:tcPr>
            <w:tcW w:w="374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44"/>
        </w:trPr>
        <w:tc>
          <w:tcPr>
            <w:tcW w:w="374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134"/>
              <w:spacing w:after="0"/>
              <w:rPr>
                <w:sz w:val="20"/>
                <w:szCs w:val="20"/>
                <w:color w:val="auto"/>
              </w:rPr>
            </w:pPr>
            <w:r>
              <w:rPr>
                <w:rFonts w:ascii="Arial" w:cs="Arial" w:eastAsia="Arial" w:hAnsi="Arial"/>
                <w:sz w:val="18"/>
                <w:szCs w:val="18"/>
                <w:b w:val="1"/>
                <w:bCs w:val="1"/>
                <w:color w:val="auto"/>
              </w:rPr>
              <w:t>16.8</w:t>
            </w:r>
          </w:p>
        </w:tc>
        <w:tc>
          <w:tcPr>
            <w:tcW w:w="1280" w:type="dxa"/>
            <w:vAlign w:val="bottom"/>
            <w:tcBorders>
              <w:bottom w:val="single" w:sz="8" w:color="CCEEFF"/>
            </w:tcBorders>
            <w:shd w:val="clear" w:color="auto" w:fill="CCEEFF"/>
          </w:tcPr>
          <w:p>
            <w:pPr>
              <w:jc w:val="right"/>
              <w:ind w:right="135"/>
              <w:spacing w:after="0"/>
              <w:rPr>
                <w:sz w:val="20"/>
                <w:szCs w:val="20"/>
                <w:color w:val="auto"/>
              </w:rPr>
            </w:pPr>
            <w:r>
              <w:rPr>
                <w:rFonts w:ascii="Arial" w:cs="Arial" w:eastAsia="Arial" w:hAnsi="Arial"/>
                <w:sz w:val="18"/>
                <w:szCs w:val="18"/>
                <w:b w:val="1"/>
                <w:bCs w:val="1"/>
                <w:color w:val="auto"/>
              </w:rPr>
              <w:t>7.0</w:t>
            </w:r>
          </w:p>
        </w:tc>
        <w:tc>
          <w:tcPr>
            <w:tcW w:w="1220" w:type="dxa"/>
            <w:vAlign w:val="bottom"/>
            <w:tcBorders>
              <w:bottom w:val="single" w:sz="8" w:color="CCEEFF"/>
            </w:tcBorders>
            <w:shd w:val="clear" w:color="auto" w:fill="CCEEFF"/>
          </w:tcPr>
          <w:p>
            <w:pPr>
              <w:jc w:val="right"/>
              <w:ind w:right="54"/>
              <w:spacing w:after="0"/>
              <w:rPr>
                <w:sz w:val="20"/>
                <w:szCs w:val="20"/>
                <w:color w:val="auto"/>
              </w:rPr>
            </w:pPr>
            <w:r>
              <w:rPr>
                <w:rFonts w:ascii="Arial" w:cs="Arial" w:eastAsia="Arial" w:hAnsi="Arial"/>
                <w:sz w:val="18"/>
                <w:szCs w:val="18"/>
                <w:b w:val="1"/>
                <w:bCs w:val="1"/>
                <w:color w:val="auto"/>
              </w:rPr>
              <w:t>9.8</w:t>
            </w:r>
          </w:p>
        </w:tc>
        <w:tc>
          <w:tcPr>
            <w:tcW w:w="12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16.8</w:t>
            </w:r>
          </w:p>
        </w:tc>
        <w:tc>
          <w:tcPr>
            <w:tcW w:w="1360" w:type="dxa"/>
            <w:vAlign w:val="bottom"/>
            <w:tcBorders>
              <w:bottom w:val="single" w:sz="8" w:color="CCEEFF"/>
            </w:tcBorders>
            <w:shd w:val="clear" w:color="auto" w:fill="CCEEFF"/>
          </w:tcPr>
          <w:p>
            <w:pPr>
              <w:jc w:val="right"/>
              <w:ind w:right="175"/>
              <w:spacing w:after="0"/>
              <w:rPr>
                <w:sz w:val="20"/>
                <w:szCs w:val="20"/>
                <w:color w:val="auto"/>
              </w:rPr>
            </w:pPr>
            <w:r>
              <w:rPr>
                <w:rFonts w:ascii="Arial" w:cs="Arial" w:eastAsia="Arial" w:hAnsi="Arial"/>
                <w:sz w:val="18"/>
                <w:szCs w:val="18"/>
                <w:color w:val="auto"/>
              </w:rPr>
              <w:t>6.5</w:t>
            </w:r>
          </w:p>
        </w:tc>
        <w:tc>
          <w:tcPr>
            <w:tcW w:w="10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10.3</w:t>
            </w:r>
          </w:p>
        </w:tc>
      </w:tr>
      <w:tr>
        <w:trPr>
          <w:trHeight w:val="243"/>
        </w:trPr>
        <w:tc>
          <w:tcPr>
            <w:tcW w:w="3740" w:type="dxa"/>
            <w:vAlign w:val="bottom"/>
          </w:tcPr>
          <w:p>
            <w:pPr>
              <w:ind w:left="40"/>
              <w:spacing w:after="0"/>
              <w:rPr>
                <w:sz w:val="20"/>
                <w:szCs w:val="20"/>
                <w:color w:val="auto"/>
              </w:rPr>
            </w:pPr>
            <w:r>
              <w:rPr>
                <w:rFonts w:ascii="Arial" w:cs="Arial" w:eastAsia="Arial" w:hAnsi="Arial"/>
                <w:sz w:val="18"/>
                <w:szCs w:val="18"/>
                <w:color w:val="auto"/>
              </w:rPr>
              <w:t>Intangible Assets not Subject to Amortization:</w:t>
            </w:r>
          </w:p>
        </w:tc>
        <w:tc>
          <w:tcPr>
            <w:tcW w:w="152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080" w:type="dxa"/>
            <w:vAlign w:val="bottom"/>
          </w:tcPr>
          <w:p>
            <w:pPr>
              <w:spacing w:after="0"/>
              <w:rPr>
                <w:sz w:val="21"/>
                <w:szCs w:val="21"/>
                <w:color w:val="auto"/>
              </w:rPr>
            </w:pPr>
          </w:p>
        </w:tc>
      </w:tr>
      <w:tr>
        <w:trPr>
          <w:trHeight w:val="27"/>
        </w:trPr>
        <w:tc>
          <w:tcPr>
            <w:tcW w:w="374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75"/>
        </w:trPr>
        <w:tc>
          <w:tcPr>
            <w:tcW w:w="3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Tradename</w:t>
            </w:r>
          </w:p>
        </w:tc>
        <w:tc>
          <w:tcPr>
            <w:tcW w:w="1520" w:type="dxa"/>
            <w:vAlign w:val="bottom"/>
            <w:tcBorders>
              <w:bottom w:val="single" w:sz="8" w:color="CCEEFF"/>
            </w:tcBorders>
            <w:shd w:val="clear" w:color="auto" w:fill="CCEEFF"/>
          </w:tcPr>
          <w:p>
            <w:pPr>
              <w:jc w:val="right"/>
              <w:ind w:right="134"/>
              <w:spacing w:after="0"/>
              <w:rPr>
                <w:sz w:val="20"/>
                <w:szCs w:val="20"/>
                <w:color w:val="auto"/>
              </w:rPr>
            </w:pPr>
            <w:r>
              <w:rPr>
                <w:rFonts w:ascii="Arial" w:cs="Arial" w:eastAsia="Arial" w:hAnsi="Arial"/>
                <w:sz w:val="18"/>
                <w:szCs w:val="18"/>
                <w:b w:val="1"/>
                <w:bCs w:val="1"/>
                <w:color w:val="auto"/>
              </w:rPr>
              <w:t>0.9</w:t>
            </w:r>
          </w:p>
        </w:tc>
        <w:tc>
          <w:tcPr>
            <w:tcW w:w="1280" w:type="dxa"/>
            <w:vAlign w:val="bottom"/>
            <w:tcBorders>
              <w:bottom w:val="single" w:sz="8" w:color="CCEEFF"/>
            </w:tcBorders>
            <w:shd w:val="clear" w:color="auto" w:fill="CCEEFF"/>
          </w:tcPr>
          <w:p>
            <w:pPr>
              <w:jc w:val="right"/>
              <w:ind w:right="135"/>
              <w:spacing w:after="0"/>
              <w:rPr>
                <w:sz w:val="20"/>
                <w:szCs w:val="20"/>
                <w:color w:val="auto"/>
              </w:rPr>
            </w:pPr>
            <w:r>
              <w:rPr>
                <w:rFonts w:ascii="Arial" w:cs="Arial" w:eastAsia="Arial" w:hAnsi="Arial"/>
                <w:sz w:val="18"/>
                <w:szCs w:val="18"/>
                <w:b w:val="1"/>
                <w:bCs w:val="1"/>
                <w:color w:val="auto"/>
              </w:rPr>
              <w:t>—</w:t>
            </w:r>
          </w:p>
        </w:tc>
        <w:tc>
          <w:tcPr>
            <w:tcW w:w="1220" w:type="dxa"/>
            <w:vAlign w:val="bottom"/>
            <w:tcBorders>
              <w:bottom w:val="single" w:sz="8" w:color="CCEEFF"/>
            </w:tcBorders>
            <w:shd w:val="clear" w:color="auto" w:fill="CCEEFF"/>
          </w:tcPr>
          <w:p>
            <w:pPr>
              <w:jc w:val="right"/>
              <w:ind w:right="54"/>
              <w:spacing w:after="0"/>
              <w:rPr>
                <w:sz w:val="20"/>
                <w:szCs w:val="20"/>
                <w:color w:val="auto"/>
              </w:rPr>
            </w:pPr>
            <w:r>
              <w:rPr>
                <w:rFonts w:ascii="Arial" w:cs="Arial" w:eastAsia="Arial" w:hAnsi="Arial"/>
                <w:sz w:val="18"/>
                <w:szCs w:val="18"/>
                <w:b w:val="1"/>
                <w:bCs w:val="1"/>
                <w:color w:val="auto"/>
              </w:rPr>
              <w:t>0.9</w:t>
            </w:r>
          </w:p>
        </w:tc>
        <w:tc>
          <w:tcPr>
            <w:tcW w:w="12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0.9</w:t>
            </w:r>
          </w:p>
        </w:tc>
        <w:tc>
          <w:tcPr>
            <w:tcW w:w="1360" w:type="dxa"/>
            <w:vAlign w:val="bottom"/>
            <w:tcBorders>
              <w:bottom w:val="single" w:sz="8" w:color="CCEEFF"/>
            </w:tcBorders>
            <w:shd w:val="clear" w:color="auto" w:fill="CCEEFF"/>
          </w:tcPr>
          <w:p>
            <w:pPr>
              <w:jc w:val="right"/>
              <w:ind w:right="175"/>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0.9</w:t>
            </w:r>
          </w:p>
        </w:tc>
      </w:tr>
      <w:tr>
        <w:trPr>
          <w:trHeight w:val="237"/>
        </w:trPr>
        <w:tc>
          <w:tcPr>
            <w:tcW w:w="3740" w:type="dxa"/>
            <w:vAlign w:val="bottom"/>
            <w:tcBorders>
              <w:top w:val="single" w:sz="8" w:color="auto"/>
            </w:tcBorders>
          </w:tcPr>
          <w:p>
            <w:pPr>
              <w:spacing w:after="0"/>
              <w:rPr>
                <w:sz w:val="20"/>
                <w:szCs w:val="20"/>
                <w:color w:val="auto"/>
              </w:rPr>
            </w:pPr>
          </w:p>
        </w:tc>
        <w:tc>
          <w:tcPr>
            <w:tcW w:w="1520" w:type="dxa"/>
            <w:vAlign w:val="bottom"/>
            <w:tcBorders>
              <w:top w:val="single" w:sz="8" w:color="auto"/>
            </w:tcBorders>
          </w:tcPr>
          <w:p>
            <w:pPr>
              <w:jc w:val="right"/>
              <w:ind w:right="134"/>
              <w:spacing w:after="0"/>
              <w:rPr>
                <w:sz w:val="20"/>
                <w:szCs w:val="20"/>
                <w:color w:val="auto"/>
              </w:rPr>
            </w:pPr>
            <w:r>
              <w:rPr>
                <w:rFonts w:ascii="Arial" w:cs="Arial" w:eastAsia="Arial" w:hAnsi="Arial"/>
                <w:sz w:val="18"/>
                <w:szCs w:val="18"/>
                <w:b w:val="1"/>
                <w:bCs w:val="1"/>
                <w:color w:val="auto"/>
              </w:rPr>
              <w:t>0.9</w:t>
            </w:r>
          </w:p>
        </w:tc>
        <w:tc>
          <w:tcPr>
            <w:tcW w:w="1280" w:type="dxa"/>
            <w:vAlign w:val="bottom"/>
            <w:tcBorders>
              <w:top w:val="single" w:sz="8" w:color="auto"/>
            </w:tcBorders>
          </w:tcPr>
          <w:p>
            <w:pPr>
              <w:jc w:val="right"/>
              <w:ind w:right="135"/>
              <w:spacing w:after="0"/>
              <w:rPr>
                <w:sz w:val="20"/>
                <w:szCs w:val="20"/>
                <w:color w:val="auto"/>
              </w:rPr>
            </w:pPr>
            <w:r>
              <w:rPr>
                <w:rFonts w:ascii="Arial" w:cs="Arial" w:eastAsia="Arial" w:hAnsi="Arial"/>
                <w:sz w:val="18"/>
                <w:szCs w:val="18"/>
                <w:b w:val="1"/>
                <w:bCs w:val="1"/>
                <w:color w:val="auto"/>
              </w:rPr>
              <w:t>—</w:t>
            </w:r>
          </w:p>
        </w:tc>
        <w:tc>
          <w:tcPr>
            <w:tcW w:w="1220" w:type="dxa"/>
            <w:vAlign w:val="bottom"/>
            <w:tcBorders>
              <w:top w:val="single" w:sz="8" w:color="auto"/>
            </w:tcBorders>
          </w:tcPr>
          <w:p>
            <w:pPr>
              <w:jc w:val="right"/>
              <w:ind w:right="54"/>
              <w:spacing w:after="0"/>
              <w:rPr>
                <w:sz w:val="20"/>
                <w:szCs w:val="20"/>
                <w:color w:val="auto"/>
              </w:rPr>
            </w:pPr>
            <w:r>
              <w:rPr>
                <w:rFonts w:ascii="Arial" w:cs="Arial" w:eastAsia="Arial" w:hAnsi="Arial"/>
                <w:sz w:val="18"/>
                <w:szCs w:val="18"/>
                <w:b w:val="1"/>
                <w:bCs w:val="1"/>
                <w:color w:val="auto"/>
              </w:rPr>
              <w:t>0.9</w:t>
            </w:r>
          </w:p>
        </w:tc>
        <w:tc>
          <w:tcPr>
            <w:tcW w:w="122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0.9</w:t>
            </w:r>
          </w:p>
        </w:tc>
        <w:tc>
          <w:tcPr>
            <w:tcW w:w="1360" w:type="dxa"/>
            <w:vAlign w:val="bottom"/>
            <w:tcBorders>
              <w:top w:val="single" w:sz="8" w:color="auto"/>
            </w:tcBorders>
          </w:tcPr>
          <w:p>
            <w:pPr>
              <w:jc w:val="right"/>
              <w:ind w:right="175"/>
              <w:spacing w:after="0"/>
              <w:rPr>
                <w:sz w:val="20"/>
                <w:szCs w:val="20"/>
                <w:color w:val="auto"/>
              </w:rPr>
            </w:pPr>
            <w:r>
              <w:rPr>
                <w:rFonts w:ascii="Arial" w:cs="Arial" w:eastAsia="Arial" w:hAnsi="Arial"/>
                <w:sz w:val="18"/>
                <w:szCs w:val="18"/>
                <w:color w:val="auto"/>
              </w:rPr>
              <w:t>—</w:t>
            </w:r>
          </w:p>
        </w:tc>
        <w:tc>
          <w:tcPr>
            <w:tcW w:w="108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0.9</w:t>
            </w:r>
          </w:p>
        </w:tc>
      </w:tr>
      <w:tr>
        <w:trPr>
          <w:trHeight w:val="27"/>
        </w:trPr>
        <w:tc>
          <w:tcPr>
            <w:tcW w:w="374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44"/>
        </w:trPr>
        <w:tc>
          <w:tcPr>
            <w:tcW w:w="3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Intangible Assets</w:t>
            </w:r>
          </w:p>
        </w:tc>
        <w:tc>
          <w:tcPr>
            <w:tcW w:w="1520" w:type="dxa"/>
            <w:vAlign w:val="bottom"/>
            <w:tcBorders>
              <w:bottom w:val="single" w:sz="8" w:color="CCEEFF"/>
            </w:tcBorders>
            <w:shd w:val="clear" w:color="auto" w:fill="CCEEFF"/>
          </w:tcPr>
          <w:p>
            <w:pPr>
              <w:jc w:val="right"/>
              <w:ind w:right="134"/>
              <w:spacing w:after="0"/>
              <w:rPr>
                <w:sz w:val="20"/>
                <w:szCs w:val="20"/>
                <w:color w:val="auto"/>
              </w:rPr>
            </w:pPr>
            <w:r>
              <w:rPr>
                <w:rFonts w:ascii="Arial" w:cs="Arial" w:eastAsia="Arial" w:hAnsi="Arial"/>
                <w:sz w:val="18"/>
                <w:szCs w:val="18"/>
                <w:b w:val="1"/>
                <w:bCs w:val="1"/>
                <w:color w:val="auto"/>
              </w:rPr>
              <w:t>$17.7</w:t>
            </w:r>
          </w:p>
        </w:tc>
        <w:tc>
          <w:tcPr>
            <w:tcW w:w="1280" w:type="dxa"/>
            <w:vAlign w:val="bottom"/>
            <w:tcBorders>
              <w:bottom w:val="single" w:sz="8" w:color="CCEEFF"/>
            </w:tcBorders>
            <w:shd w:val="clear" w:color="auto" w:fill="CCEEFF"/>
          </w:tcPr>
          <w:p>
            <w:pPr>
              <w:jc w:val="right"/>
              <w:ind w:right="135"/>
              <w:spacing w:after="0"/>
              <w:rPr>
                <w:sz w:val="20"/>
                <w:szCs w:val="20"/>
                <w:color w:val="auto"/>
              </w:rPr>
            </w:pPr>
            <w:r>
              <w:rPr>
                <w:rFonts w:ascii="Arial" w:cs="Arial" w:eastAsia="Arial" w:hAnsi="Arial"/>
                <w:sz w:val="18"/>
                <w:szCs w:val="18"/>
                <w:b w:val="1"/>
                <w:bCs w:val="1"/>
                <w:color w:val="auto"/>
              </w:rPr>
              <w:t>$7.0</w:t>
            </w:r>
          </w:p>
        </w:tc>
        <w:tc>
          <w:tcPr>
            <w:tcW w:w="1220" w:type="dxa"/>
            <w:vAlign w:val="bottom"/>
            <w:tcBorders>
              <w:bottom w:val="single" w:sz="8" w:color="CCEEFF"/>
            </w:tcBorders>
            <w:shd w:val="clear" w:color="auto" w:fill="CCEEFF"/>
          </w:tcPr>
          <w:p>
            <w:pPr>
              <w:jc w:val="right"/>
              <w:ind w:right="54"/>
              <w:spacing w:after="0"/>
              <w:rPr>
                <w:sz w:val="20"/>
                <w:szCs w:val="20"/>
                <w:color w:val="auto"/>
              </w:rPr>
            </w:pPr>
            <w:r>
              <w:rPr>
                <w:rFonts w:ascii="Arial" w:cs="Arial" w:eastAsia="Arial" w:hAnsi="Arial"/>
                <w:sz w:val="18"/>
                <w:szCs w:val="18"/>
                <w:b w:val="1"/>
                <w:bCs w:val="1"/>
                <w:color w:val="auto"/>
              </w:rPr>
              <w:t>$10.7</w:t>
            </w:r>
          </w:p>
        </w:tc>
        <w:tc>
          <w:tcPr>
            <w:tcW w:w="12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$17.7</w:t>
            </w:r>
          </w:p>
        </w:tc>
        <w:tc>
          <w:tcPr>
            <w:tcW w:w="1360" w:type="dxa"/>
            <w:vAlign w:val="bottom"/>
            <w:tcBorders>
              <w:bottom w:val="single" w:sz="8" w:color="CCEEFF"/>
            </w:tcBorders>
            <w:shd w:val="clear" w:color="auto" w:fill="CCEEFF"/>
          </w:tcPr>
          <w:p>
            <w:pPr>
              <w:jc w:val="right"/>
              <w:ind w:right="175"/>
              <w:spacing w:after="0"/>
              <w:rPr>
                <w:sz w:val="20"/>
                <w:szCs w:val="20"/>
                <w:color w:val="auto"/>
              </w:rPr>
            </w:pPr>
            <w:r>
              <w:rPr>
                <w:rFonts w:ascii="Arial" w:cs="Arial" w:eastAsia="Arial" w:hAnsi="Arial"/>
                <w:sz w:val="18"/>
                <w:szCs w:val="18"/>
                <w:color w:val="auto"/>
              </w:rPr>
              <w:t>$6.5</w:t>
            </w:r>
          </w:p>
        </w:tc>
        <w:tc>
          <w:tcPr>
            <w:tcW w:w="10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$11.2</w:t>
            </w:r>
          </w:p>
        </w:tc>
      </w:tr>
      <w:tr>
        <w:trPr>
          <w:trHeight w:val="27"/>
        </w:trPr>
        <w:tc>
          <w:tcPr>
            <w:tcW w:w="3740" w:type="dxa"/>
            <w:vAlign w:val="bottom"/>
            <w:shd w:val="clear" w:color="auto" w:fill="000000"/>
          </w:tcPr>
          <w:p>
            <w:pPr>
              <w:spacing w:after="0"/>
              <w:rPr>
                <w:sz w:val="2"/>
                <w:szCs w:val="2"/>
                <w:color w:val="auto"/>
              </w:rPr>
            </w:pPr>
          </w:p>
        </w:tc>
        <w:tc>
          <w:tcPr>
            <w:tcW w:w="1520" w:type="dxa"/>
            <w:vAlign w:val="bottom"/>
            <w:shd w:val="clear" w:color="auto" w:fill="000000"/>
          </w:tcPr>
          <w:p>
            <w:pPr>
              <w:spacing w:after="0"/>
              <w:rPr>
                <w:sz w:val="2"/>
                <w:szCs w:val="2"/>
                <w:color w:val="auto"/>
              </w:rPr>
            </w:pPr>
          </w:p>
        </w:tc>
        <w:tc>
          <w:tcPr>
            <w:tcW w:w="1280" w:type="dxa"/>
            <w:vAlign w:val="bottom"/>
            <w:shd w:val="clear" w:color="auto" w:fill="000000"/>
          </w:tcPr>
          <w:p>
            <w:pPr>
              <w:spacing w:after="0"/>
              <w:rPr>
                <w:sz w:val="2"/>
                <w:szCs w:val="2"/>
                <w:color w:val="auto"/>
              </w:rPr>
            </w:pPr>
          </w:p>
        </w:tc>
        <w:tc>
          <w:tcPr>
            <w:tcW w:w="1220" w:type="dxa"/>
            <w:vAlign w:val="bottom"/>
            <w:shd w:val="clear" w:color="auto" w:fill="000000"/>
          </w:tcPr>
          <w:p>
            <w:pPr>
              <w:spacing w:after="0"/>
              <w:rPr>
                <w:sz w:val="2"/>
                <w:szCs w:val="2"/>
                <w:color w:val="auto"/>
              </w:rPr>
            </w:pPr>
          </w:p>
        </w:tc>
        <w:tc>
          <w:tcPr>
            <w:tcW w:w="1220" w:type="dxa"/>
            <w:vAlign w:val="bottom"/>
            <w:shd w:val="clear" w:color="auto" w:fill="000000"/>
          </w:tcPr>
          <w:p>
            <w:pPr>
              <w:spacing w:after="0"/>
              <w:rPr>
                <w:sz w:val="2"/>
                <w:szCs w:val="2"/>
                <w:color w:val="auto"/>
              </w:rPr>
            </w:pPr>
          </w:p>
        </w:tc>
        <w:tc>
          <w:tcPr>
            <w:tcW w:w="1360" w:type="dxa"/>
            <w:vAlign w:val="bottom"/>
            <w:shd w:val="clear" w:color="auto" w:fill="000000"/>
          </w:tcPr>
          <w:p>
            <w:pPr>
              <w:spacing w:after="0"/>
              <w:rPr>
                <w:sz w:val="2"/>
                <w:szCs w:val="2"/>
                <w:color w:val="auto"/>
              </w:rPr>
            </w:pPr>
          </w:p>
        </w:tc>
        <w:tc>
          <w:tcPr>
            <w:tcW w:w="1080" w:type="dxa"/>
            <w:vAlign w:val="bottom"/>
            <w:shd w:val="clear" w:color="auto" w:fill="000000"/>
          </w:tcPr>
          <w:p>
            <w:pPr>
              <w:spacing w:after="0"/>
              <w:rPr>
                <w:sz w:val="2"/>
                <w:szCs w:val="2"/>
                <w:color w:val="auto"/>
              </w:rPr>
            </w:pPr>
          </w:p>
        </w:tc>
      </w:tr>
    </w:tbl>
    <w:p>
      <w:pPr>
        <w:spacing w:after="0" w:line="202" w:lineRule="exact"/>
        <w:rPr>
          <w:sz w:val="20"/>
          <w:szCs w:val="20"/>
          <w:color w:val="auto"/>
        </w:rPr>
      </w:pPr>
    </w:p>
    <w:p>
      <w:pPr>
        <w:jc w:val="both"/>
        <w:ind w:right="20" w:firstLine="648"/>
        <w:spacing w:after="0" w:line="342" w:lineRule="auto"/>
        <w:rPr>
          <w:sz w:val="20"/>
          <w:szCs w:val="20"/>
          <w:color w:val="auto"/>
        </w:rPr>
      </w:pPr>
      <w:r>
        <w:rPr>
          <w:rFonts w:ascii="Arial" w:cs="Arial" w:eastAsia="Arial" w:hAnsi="Arial"/>
          <w:sz w:val="16"/>
          <w:szCs w:val="16"/>
          <w:color w:val="auto"/>
        </w:rPr>
        <w:t>Intangible assets subject to amortization are amortized on a straight-line method over their legal or estimated useful lives, with useful lives ranging from five to 20 years. Amortization expense for intangible assets for the six months ended June 30, 2014 and 2013 was $0.5 million for each period.</w:t>
      </w:r>
    </w:p>
    <w:p>
      <w:pPr>
        <w:spacing w:after="0" w:line="3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742" w:right="239" w:bottom="1440" w:gutter="0" w:footer="0" w:header="0"/>
        </w:sectPr>
      </w:pPr>
    </w:p>
    <w:bookmarkStart w:id="9" w:name="page10"/>
    <w:bookmarkEnd w:id="9"/>
    <w:p>
      <w:pPr>
        <w:spacing w:after="0"/>
        <w:rPr>
          <w:sz w:val="20"/>
          <w:szCs w:val="20"/>
          <w:color w:val="auto"/>
        </w:rPr>
      </w:pPr>
      <w:r>
        <w:rPr>
          <w:rFonts w:ascii="Arial" w:cs="Arial" w:eastAsia="Arial" w:hAnsi="Arial"/>
          <w:sz w:val="23"/>
          <w:szCs w:val="23"/>
          <w:b w:val="1"/>
          <w:bCs w:val="1"/>
          <w:color w:val="auto"/>
        </w:rPr>
        <w:t>Note 6 - Financing Arrangements</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long-term debt as of June 30, 2014 and December 31, 2013 were as follows:</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8880" w:type="dxa"/>
            <w:vAlign w:val="bottom"/>
          </w:tcPr>
          <w:p>
            <w:pPr>
              <w:ind w:left="8280"/>
              <w:spacing w:after="0"/>
              <w:rPr>
                <w:sz w:val="20"/>
                <w:szCs w:val="20"/>
                <w:color w:val="auto"/>
              </w:rPr>
            </w:pPr>
            <w:r>
              <w:rPr>
                <w:rFonts w:ascii="Arial" w:cs="Arial" w:eastAsia="Arial" w:hAnsi="Arial"/>
                <w:sz w:val="16"/>
                <w:szCs w:val="16"/>
                <w:b w:val="1"/>
                <w:bCs w:val="1"/>
                <w:color w:val="auto"/>
                <w:w w:val="90"/>
              </w:rPr>
              <w:t>June 30,</w:t>
            </w:r>
          </w:p>
        </w:tc>
        <w:tc>
          <w:tcPr>
            <w:tcW w:w="820" w:type="dxa"/>
            <w:vAlign w:val="bottom"/>
          </w:tcPr>
          <w:p>
            <w:pPr>
              <w:spacing w:after="0"/>
              <w:rPr>
                <w:sz w:val="17"/>
                <w:szCs w:val="17"/>
                <w:color w:val="auto"/>
              </w:rPr>
            </w:pPr>
          </w:p>
        </w:tc>
        <w:tc>
          <w:tcPr>
            <w:tcW w:w="1720" w:type="dxa"/>
            <w:vAlign w:val="bottom"/>
          </w:tcPr>
          <w:p>
            <w:pPr>
              <w:jc w:val="right"/>
              <w:ind w:right="373"/>
              <w:spacing w:after="0"/>
              <w:rPr>
                <w:sz w:val="20"/>
                <w:szCs w:val="20"/>
                <w:color w:val="auto"/>
              </w:rPr>
            </w:pPr>
            <w:r>
              <w:rPr>
                <w:rFonts w:ascii="Arial" w:cs="Arial" w:eastAsia="Arial" w:hAnsi="Arial"/>
                <w:sz w:val="16"/>
                <w:szCs w:val="16"/>
                <w:b w:val="1"/>
                <w:bCs w:val="1"/>
                <w:color w:val="auto"/>
              </w:rPr>
              <w:t>December 31,</w:t>
            </w:r>
          </w:p>
        </w:tc>
        <w:tc>
          <w:tcPr>
            <w:tcW w:w="0" w:type="dxa"/>
            <w:vAlign w:val="bottom"/>
          </w:tcPr>
          <w:p>
            <w:pPr>
              <w:spacing w:after="0"/>
              <w:rPr>
                <w:sz w:val="1"/>
                <w:szCs w:val="1"/>
                <w:color w:val="auto"/>
              </w:rPr>
            </w:pPr>
          </w:p>
        </w:tc>
      </w:tr>
      <w:tr>
        <w:trPr>
          <w:trHeight w:val="210"/>
        </w:trPr>
        <w:tc>
          <w:tcPr>
            <w:tcW w:w="8880" w:type="dxa"/>
            <w:vAlign w:val="bottom"/>
          </w:tcPr>
          <w:p>
            <w:pPr>
              <w:ind w:left="8420"/>
              <w:spacing w:after="0"/>
              <w:rPr>
                <w:sz w:val="20"/>
                <w:szCs w:val="20"/>
                <w:color w:val="auto"/>
              </w:rPr>
            </w:pPr>
            <w:r>
              <w:rPr>
                <w:rFonts w:ascii="Arial" w:cs="Arial" w:eastAsia="Arial" w:hAnsi="Arial"/>
                <w:sz w:val="16"/>
                <w:szCs w:val="16"/>
                <w:b w:val="1"/>
                <w:bCs w:val="1"/>
                <w:color w:val="auto"/>
              </w:rPr>
              <w:t>2014</w:t>
            </w:r>
          </w:p>
        </w:tc>
        <w:tc>
          <w:tcPr>
            <w:tcW w:w="820" w:type="dxa"/>
            <w:vAlign w:val="bottom"/>
          </w:tcPr>
          <w:p>
            <w:pPr>
              <w:spacing w:after="0"/>
              <w:rPr>
                <w:sz w:val="18"/>
                <w:szCs w:val="18"/>
                <w:color w:val="auto"/>
              </w:rPr>
            </w:pPr>
          </w:p>
        </w:tc>
        <w:tc>
          <w:tcPr>
            <w:tcW w:w="1720" w:type="dxa"/>
            <w:vAlign w:val="bottom"/>
          </w:tcPr>
          <w:p>
            <w:pPr>
              <w:jc w:val="right"/>
              <w:ind w:right="653"/>
              <w:spacing w:after="0"/>
              <w:rPr>
                <w:sz w:val="20"/>
                <w:szCs w:val="20"/>
                <w:color w:val="auto"/>
              </w:rPr>
            </w:pPr>
            <w:r>
              <w:rPr>
                <w:rFonts w:ascii="Arial" w:cs="Arial" w:eastAsia="Arial" w:hAnsi="Arial"/>
                <w:sz w:val="16"/>
                <w:szCs w:val="16"/>
                <w:b w:val="1"/>
                <w:bCs w:val="1"/>
                <w:color w:val="auto"/>
              </w:rPr>
              <w:t>2013</w:t>
            </w:r>
          </w:p>
        </w:tc>
        <w:tc>
          <w:tcPr>
            <w:tcW w:w="0" w:type="dxa"/>
            <w:vAlign w:val="bottom"/>
          </w:tcPr>
          <w:p>
            <w:pPr>
              <w:spacing w:after="0"/>
              <w:rPr>
                <w:sz w:val="1"/>
                <w:szCs w:val="1"/>
                <w:color w:val="auto"/>
              </w:rPr>
            </w:pPr>
          </w:p>
        </w:tc>
      </w:tr>
      <w:tr>
        <w:trPr>
          <w:trHeight w:val="33"/>
        </w:trPr>
        <w:tc>
          <w:tcPr>
            <w:tcW w:w="888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8880" w:type="dxa"/>
            <w:vAlign w:val="bottom"/>
            <w:shd w:val="clear" w:color="auto" w:fill="CCEEFF"/>
          </w:tcPr>
          <w:p>
            <w:pPr>
              <w:ind w:left="40"/>
              <w:spacing w:after="0"/>
              <w:rPr>
                <w:sz w:val="20"/>
                <w:szCs w:val="20"/>
                <w:color w:val="auto"/>
              </w:rPr>
            </w:pPr>
            <w:r>
              <w:rPr>
                <w:rFonts w:ascii="Arial" w:cs="Arial" w:eastAsia="Arial" w:hAnsi="Arial"/>
                <w:sz w:val="18"/>
                <w:szCs w:val="18"/>
                <w:color w:val="auto"/>
              </w:rPr>
              <w:t>Variable-rate State of Ohio Water Development Revenue Refunding Bonds, maturing on November 1,</w:t>
            </w:r>
          </w:p>
        </w:tc>
        <w:tc>
          <w:tcPr>
            <w:tcW w:w="820" w:type="dxa"/>
            <w:vAlign w:val="bottom"/>
            <w:vMerge w:val="restart"/>
            <w:shd w:val="clear" w:color="auto" w:fill="CCEEFF"/>
          </w:tcPr>
          <w:p>
            <w:pPr>
              <w:jc w:val="right"/>
              <w:ind w:right="210"/>
              <w:spacing w:after="0"/>
              <w:rPr>
                <w:sz w:val="20"/>
                <w:szCs w:val="20"/>
                <w:color w:val="auto"/>
              </w:rPr>
            </w:pPr>
            <w:r>
              <w:rPr>
                <w:rFonts w:ascii="Arial" w:cs="Arial" w:eastAsia="Arial" w:hAnsi="Arial"/>
                <w:sz w:val="18"/>
                <w:szCs w:val="18"/>
                <w:b w:val="1"/>
                <w:bCs w:val="1"/>
                <w:color w:val="auto"/>
              </w:rPr>
              <w:t>$12.2</w:t>
            </w:r>
          </w:p>
        </w:tc>
        <w:tc>
          <w:tcPr>
            <w:tcW w:w="17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88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2025 (0.08% as of June 30, 2014)</w:t>
            </w:r>
          </w:p>
        </w:tc>
        <w:tc>
          <w:tcPr>
            <w:tcW w:w="820" w:type="dxa"/>
            <w:vAlign w:val="bottom"/>
            <w:tcBorders>
              <w:bottom w:val="single" w:sz="8" w:color="CCEEFF"/>
            </w:tcBorders>
            <w:vMerge w:val="continue"/>
            <w:shd w:val="clear" w:color="auto" w:fill="CCEEFF"/>
          </w:tcPr>
          <w:p>
            <w:pPr>
              <w:spacing w:after="0"/>
              <w:rPr>
                <w:sz w:val="20"/>
                <w:szCs w:val="20"/>
                <w:color w:val="auto"/>
              </w:rPr>
            </w:pPr>
          </w:p>
        </w:tc>
        <w:tc>
          <w:tcPr>
            <w:tcW w:w="17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$12.2</w:t>
            </w:r>
          </w:p>
        </w:tc>
        <w:tc>
          <w:tcPr>
            <w:tcW w:w="0" w:type="dxa"/>
            <w:vAlign w:val="bottom"/>
          </w:tcPr>
          <w:p>
            <w:pPr>
              <w:spacing w:after="0"/>
              <w:rPr>
                <w:sz w:val="1"/>
                <w:szCs w:val="1"/>
                <w:color w:val="auto"/>
              </w:rPr>
            </w:pPr>
          </w:p>
        </w:tc>
      </w:tr>
      <w:tr>
        <w:trPr>
          <w:trHeight w:val="229"/>
        </w:trPr>
        <w:tc>
          <w:tcPr>
            <w:tcW w:w="8880" w:type="dxa"/>
            <w:vAlign w:val="bottom"/>
          </w:tcPr>
          <w:p>
            <w:pPr>
              <w:ind w:left="40"/>
              <w:spacing w:after="0"/>
              <w:rPr>
                <w:sz w:val="20"/>
                <w:szCs w:val="20"/>
                <w:color w:val="auto"/>
              </w:rPr>
            </w:pPr>
            <w:r>
              <w:rPr>
                <w:rFonts w:ascii="Arial" w:cs="Arial" w:eastAsia="Arial" w:hAnsi="Arial"/>
                <w:sz w:val="18"/>
                <w:szCs w:val="18"/>
                <w:color w:val="auto"/>
              </w:rPr>
              <w:t>Variable-rate State of Ohio Air Quality Development Revenue Refunding Bonds, maturing on November</w:t>
            </w:r>
          </w:p>
        </w:tc>
        <w:tc>
          <w:tcPr>
            <w:tcW w:w="820" w:type="dxa"/>
            <w:vAlign w:val="bottom"/>
            <w:vMerge w:val="restart"/>
          </w:tcPr>
          <w:p>
            <w:pPr>
              <w:jc w:val="right"/>
              <w:ind w:right="210"/>
              <w:spacing w:after="0"/>
              <w:rPr>
                <w:sz w:val="20"/>
                <w:szCs w:val="20"/>
                <w:color w:val="auto"/>
              </w:rPr>
            </w:pPr>
            <w:r>
              <w:rPr>
                <w:rFonts w:ascii="Arial" w:cs="Arial" w:eastAsia="Arial" w:hAnsi="Arial"/>
                <w:sz w:val="18"/>
                <w:szCs w:val="18"/>
                <w:b w:val="1"/>
                <w:bCs w:val="1"/>
                <w:color w:val="auto"/>
              </w:rPr>
              <w:t>9.5</w:t>
            </w:r>
          </w:p>
        </w:tc>
        <w:tc>
          <w:tcPr>
            <w:tcW w:w="17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880" w:type="dxa"/>
            <w:vAlign w:val="bottom"/>
          </w:tcPr>
          <w:p>
            <w:pPr>
              <w:ind w:left="40"/>
              <w:spacing w:after="0"/>
              <w:rPr>
                <w:sz w:val="20"/>
                <w:szCs w:val="20"/>
                <w:color w:val="auto"/>
              </w:rPr>
            </w:pPr>
            <w:r>
              <w:rPr>
                <w:rFonts w:ascii="Arial" w:cs="Arial" w:eastAsia="Arial" w:hAnsi="Arial"/>
                <w:sz w:val="18"/>
                <w:szCs w:val="18"/>
                <w:color w:val="auto"/>
              </w:rPr>
              <w:t>1, 2025 (0.08% as of June 30, 2014)</w:t>
            </w:r>
          </w:p>
        </w:tc>
        <w:tc>
          <w:tcPr>
            <w:tcW w:w="820" w:type="dxa"/>
            <w:vAlign w:val="bottom"/>
            <w:vMerge w:val="continue"/>
          </w:tcPr>
          <w:p>
            <w:pPr>
              <w:spacing w:after="0"/>
              <w:rPr>
                <w:sz w:val="20"/>
                <w:szCs w:val="20"/>
                <w:color w:val="auto"/>
              </w:rPr>
            </w:pPr>
          </w:p>
        </w:tc>
        <w:tc>
          <w:tcPr>
            <w:tcW w:w="1720" w:type="dxa"/>
            <w:vAlign w:val="bottom"/>
          </w:tcPr>
          <w:p>
            <w:pPr>
              <w:jc w:val="right"/>
              <w:ind w:right="13"/>
              <w:spacing w:after="0"/>
              <w:rPr>
                <w:sz w:val="20"/>
                <w:szCs w:val="20"/>
                <w:color w:val="auto"/>
              </w:rPr>
            </w:pPr>
            <w:r>
              <w:rPr>
                <w:rFonts w:ascii="Arial" w:cs="Arial" w:eastAsia="Arial" w:hAnsi="Arial"/>
                <w:sz w:val="18"/>
                <w:szCs w:val="18"/>
                <w:color w:val="auto"/>
              </w:rPr>
              <w:t>9.5</w:t>
            </w:r>
          </w:p>
        </w:tc>
        <w:tc>
          <w:tcPr>
            <w:tcW w:w="0" w:type="dxa"/>
            <w:vAlign w:val="bottom"/>
          </w:tcPr>
          <w:p>
            <w:pPr>
              <w:spacing w:after="0"/>
              <w:rPr>
                <w:sz w:val="1"/>
                <w:szCs w:val="1"/>
                <w:color w:val="auto"/>
              </w:rPr>
            </w:pPr>
          </w:p>
        </w:tc>
      </w:tr>
      <w:tr>
        <w:trPr>
          <w:trHeight w:val="27"/>
        </w:trPr>
        <w:tc>
          <w:tcPr>
            <w:tcW w:w="8880" w:type="dxa"/>
            <w:vAlign w:val="bottom"/>
          </w:tcPr>
          <w:p>
            <w:pPr>
              <w:spacing w:after="0"/>
              <w:rPr>
                <w:sz w:val="2"/>
                <w:szCs w:val="2"/>
                <w:color w:val="auto"/>
              </w:rPr>
            </w:pPr>
          </w:p>
        </w:tc>
        <w:tc>
          <w:tcPr>
            <w:tcW w:w="820" w:type="dxa"/>
            <w:vAlign w:val="bottom"/>
          </w:tcPr>
          <w:p>
            <w:pPr>
              <w:spacing w:after="0"/>
              <w:rPr>
                <w:sz w:val="2"/>
                <w:szCs w:val="2"/>
                <w:color w:val="auto"/>
              </w:rPr>
            </w:pPr>
          </w:p>
        </w:tc>
        <w:tc>
          <w:tcPr>
            <w:tcW w:w="17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8880" w:type="dxa"/>
            <w:vAlign w:val="bottom"/>
            <w:shd w:val="clear" w:color="auto" w:fill="CCEEFF"/>
          </w:tcPr>
          <w:p>
            <w:pPr>
              <w:ind w:left="40"/>
              <w:spacing w:after="0"/>
              <w:rPr>
                <w:sz w:val="20"/>
                <w:szCs w:val="20"/>
                <w:color w:val="auto"/>
              </w:rPr>
            </w:pPr>
            <w:r>
              <w:rPr>
                <w:rFonts w:ascii="Arial" w:cs="Arial" w:eastAsia="Arial" w:hAnsi="Arial"/>
                <w:sz w:val="18"/>
                <w:szCs w:val="18"/>
                <w:color w:val="auto"/>
              </w:rPr>
              <w:t>Variable-rate State of Ohio Pollution Control Revenue Refunding Bonds, maturing on June 1, 2033</w:t>
            </w:r>
          </w:p>
        </w:tc>
        <w:tc>
          <w:tcPr>
            <w:tcW w:w="820" w:type="dxa"/>
            <w:vAlign w:val="bottom"/>
            <w:vMerge w:val="restart"/>
            <w:shd w:val="clear" w:color="auto" w:fill="CCEEFF"/>
          </w:tcPr>
          <w:p>
            <w:pPr>
              <w:jc w:val="right"/>
              <w:ind w:right="210"/>
              <w:spacing w:after="0"/>
              <w:rPr>
                <w:sz w:val="20"/>
                <w:szCs w:val="20"/>
                <w:color w:val="auto"/>
              </w:rPr>
            </w:pPr>
            <w:r>
              <w:rPr>
                <w:rFonts w:ascii="Arial" w:cs="Arial" w:eastAsia="Arial" w:hAnsi="Arial"/>
                <w:sz w:val="18"/>
                <w:szCs w:val="18"/>
                <w:b w:val="1"/>
                <w:bCs w:val="1"/>
                <w:color w:val="auto"/>
              </w:rPr>
              <w:t>8.5</w:t>
            </w:r>
          </w:p>
        </w:tc>
        <w:tc>
          <w:tcPr>
            <w:tcW w:w="17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88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(0.08% as of June 30, 2014)</w:t>
            </w:r>
          </w:p>
        </w:tc>
        <w:tc>
          <w:tcPr>
            <w:tcW w:w="820" w:type="dxa"/>
            <w:vAlign w:val="bottom"/>
            <w:tcBorders>
              <w:bottom w:val="single" w:sz="8" w:color="CCEEFF"/>
            </w:tcBorders>
            <w:vMerge w:val="continue"/>
            <w:shd w:val="clear" w:color="auto" w:fill="CCEEFF"/>
          </w:tcPr>
          <w:p>
            <w:pPr>
              <w:spacing w:after="0"/>
              <w:rPr>
                <w:sz w:val="20"/>
                <w:szCs w:val="20"/>
                <w:color w:val="auto"/>
              </w:rPr>
            </w:pPr>
          </w:p>
        </w:tc>
        <w:tc>
          <w:tcPr>
            <w:tcW w:w="17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8.5</w:t>
            </w:r>
          </w:p>
        </w:tc>
        <w:tc>
          <w:tcPr>
            <w:tcW w:w="0" w:type="dxa"/>
            <w:vAlign w:val="bottom"/>
          </w:tcPr>
          <w:p>
            <w:pPr>
              <w:spacing w:after="0"/>
              <w:rPr>
                <w:sz w:val="1"/>
                <w:szCs w:val="1"/>
                <w:color w:val="auto"/>
              </w:rPr>
            </w:pPr>
          </w:p>
        </w:tc>
      </w:tr>
      <w:tr>
        <w:trPr>
          <w:trHeight w:val="243"/>
        </w:trPr>
        <w:tc>
          <w:tcPr>
            <w:tcW w:w="8880" w:type="dxa"/>
            <w:vAlign w:val="bottom"/>
          </w:tcPr>
          <w:p>
            <w:pPr>
              <w:ind w:left="40"/>
              <w:spacing w:after="0"/>
              <w:rPr>
                <w:sz w:val="20"/>
                <w:szCs w:val="20"/>
                <w:color w:val="auto"/>
              </w:rPr>
            </w:pPr>
            <w:r>
              <w:rPr>
                <w:rFonts w:ascii="Arial" w:cs="Arial" w:eastAsia="Arial" w:hAnsi="Arial"/>
                <w:sz w:val="18"/>
                <w:szCs w:val="18"/>
                <w:color w:val="auto"/>
              </w:rPr>
              <w:t>Revolving credit facility, due 2019 (LIBOR plus applicable spread)</w:t>
            </w:r>
          </w:p>
        </w:tc>
        <w:tc>
          <w:tcPr>
            <w:tcW w:w="820" w:type="dxa"/>
            <w:vAlign w:val="bottom"/>
          </w:tcPr>
          <w:p>
            <w:pPr>
              <w:jc w:val="right"/>
              <w:ind w:right="210"/>
              <w:spacing w:after="0"/>
              <w:rPr>
                <w:sz w:val="20"/>
                <w:szCs w:val="20"/>
                <w:color w:val="auto"/>
              </w:rPr>
            </w:pPr>
            <w:r>
              <w:rPr>
                <w:rFonts w:ascii="Arial" w:cs="Arial" w:eastAsia="Arial" w:hAnsi="Arial"/>
                <w:sz w:val="18"/>
                <w:szCs w:val="18"/>
                <w:b w:val="1"/>
                <w:bCs w:val="1"/>
                <w:color w:val="auto"/>
              </w:rPr>
              <w:t>100.0</w:t>
            </w:r>
          </w:p>
        </w:tc>
        <w:tc>
          <w:tcPr>
            <w:tcW w:w="172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888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88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Total Long-Term Debt</w:t>
            </w:r>
          </w:p>
        </w:tc>
        <w:tc>
          <w:tcPr>
            <w:tcW w:w="8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b w:val="1"/>
                <w:bCs w:val="1"/>
                <w:color w:val="auto"/>
                <w:w w:val="90"/>
              </w:rPr>
              <w:t>$130.2</w:t>
            </w:r>
          </w:p>
        </w:tc>
        <w:tc>
          <w:tcPr>
            <w:tcW w:w="17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$30.2</w:t>
            </w:r>
          </w:p>
        </w:tc>
        <w:tc>
          <w:tcPr>
            <w:tcW w:w="0" w:type="dxa"/>
            <w:vAlign w:val="bottom"/>
          </w:tcPr>
          <w:p>
            <w:pPr>
              <w:spacing w:after="0"/>
              <w:rPr>
                <w:sz w:val="1"/>
                <w:szCs w:val="1"/>
                <w:color w:val="auto"/>
              </w:rPr>
            </w:pPr>
          </w:p>
        </w:tc>
      </w:tr>
      <w:tr>
        <w:trPr>
          <w:trHeight w:val="20"/>
        </w:trPr>
        <w:tc>
          <w:tcPr>
            <w:tcW w:w="888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7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Facility</w:t>
      </w:r>
    </w:p>
    <w:p>
      <w:pPr>
        <w:spacing w:after="0" w:line="185"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On June 30, 2014, TimkenSteel entered into a credit facility with JPMorgan Chase Bank, N.A., as administrative agent, PNC Bank, National Association, as Syndication Agent, Bank of America, N.A. and HSBC Bank USA, National Association as Co-Documentation Agents and the other lenders and arrangers party thereto. The credit facility has a term of five years through June 30, 2019 and provides for a committed revolving credit line of up to $300.0 million. The credit facility includes an expansion option allowing TimkenSteel to request additional commitments of up to $150.0 million, in term loans or revolving credit commitments, subject to certain conditions and approvals as set forth in the credit agreement. The credit agreement provides a $50.0 million sublimit for multicurrency loans, a $50.0 million sublimit for letters of credit and a $30.0 million sublimit for swing line loans.</w:t>
      </w:r>
    </w:p>
    <w:p>
      <w:pPr>
        <w:spacing w:after="0" w:line="138"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credit facility may be used for working capital and asset renewal and acquisition and is secured by a first priority lien on substantially all of the assets of TimkenSteel and its subsidiaries.</w:t>
      </w:r>
    </w:p>
    <w:p>
      <w:pPr>
        <w:spacing w:after="0" w:line="130" w:lineRule="exact"/>
        <w:rPr>
          <w:sz w:val="20"/>
          <w:szCs w:val="20"/>
          <w:color w:val="auto"/>
        </w:rPr>
      </w:pPr>
    </w:p>
    <w:p>
      <w:pPr>
        <w:jc w:val="both"/>
        <w:ind w:firstLine="648"/>
        <w:spacing w:after="0" w:line="290" w:lineRule="auto"/>
        <w:rPr>
          <w:sz w:val="20"/>
          <w:szCs w:val="20"/>
          <w:color w:val="auto"/>
        </w:rPr>
      </w:pPr>
      <w:r>
        <w:rPr>
          <w:rFonts w:ascii="Arial" w:cs="Arial" w:eastAsia="Arial" w:hAnsi="Arial"/>
          <w:sz w:val="16"/>
          <w:szCs w:val="16"/>
          <w:color w:val="auto"/>
        </w:rPr>
        <w:t>TimkenSteel is required to maintain a certain capitalization ratio and interest coverage ratio as well as minimum liquidity balances as set forth in the credit agreement. As of June 30, 2014, TimkenSteel was in compliance with these ratios and liquidity requirements, as well as the additional covenants contained in the credit agreement. The credit agreement also provides the lenders with the ability to reduce the credit line amount, even if TimkenSteel is in compliance with all conditions of the credit agreement, upon a material adverse change to the business, properties, assets, financial condition or results of operations of TimkenSteel. The credit agreement contains a number of restrictions that limit TimkenSteel’s ability, among other things, and subject to certain limited exceptions, to incur additional indebtedness, pledge its assets as security, guaranty obligations of third parties, make investments, undergo a merger or consolidation, dispose of assets, or materially change its line of business. In addition, the credit agreement includes a cross-default provision whereby an event of default under other debt obligations, as defined in the credit agreement, will be considered an event of default under the credit agreement.</w:t>
      </w:r>
    </w:p>
    <w:p>
      <w:pPr>
        <w:spacing w:after="0" w:line="126"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color w:val="auto"/>
        </w:rPr>
        <w:t>Borrowings under the credit facility bear interest based on the daily balance outstanding at LIBOR (with no rate floor), plus an applicable margin (varying from 1.25% to 2.25%) or, in certain cases, an alternate base rate (based on a certain lending institution’s Prime Rate or as otherwise specified in the credit agreement, with no rate floor), plus an applicable margin (varying from 0.25% to 1.25%). The credit facility also carries a commitment fee equal to the unused borrowings multiplied by an applicable margin (varying from 0.20% to 0.40%). The applicable margins are calculated quarterly and vary based on TimkenSteel’s consolidated capitalization ratio as set forth in the credit agreement. On June 30, 2014, TimkenSteel borrowed $100.0 million under the revolving credit facility to pay a $50.0 million dividend to Timken, with the remaining amounts available to fund TimkenSteel’s operations. The interest rate under the revolving credit facility was 1.75% as of June 30, 2014. The amount available under the credit facility as of June 30, 2014 was $200.0 million.</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Refunding Bonds</w:t>
      </w:r>
    </w:p>
    <w:p>
      <w:pPr>
        <w:spacing w:after="0" w:line="185"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On June 1, 2014, Timken purchased in lieu of redemption the State of Ohio Water Development Revenue Refunding Bonds (Water Bonds), State of Ohio Air Quality Development Revenue Refunding Bonds (Air Quality Bonds) and State of Ohio Pollution Control Revenue Refunding Bonds (Pollution Control Bonds) (collectively, the Bonds). Pursuant to an Assignment and Assumption Agreement dated June 24, 2014 (the Assignment) between Timken and TimkenSteel, Timken assigned all of its right, title and interest in and to the loan agreement and the note, and these obligations were assumed by TimkenSteel. Additionally, replacement letters of credit were issued for the Water Bonds and the Pollution Control Bonds. The Bonds were remarketed on June 24, 2014 (the Remarketing Date) in connection with the conversion of the interest rate mode for the Bonds to the weekly</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742" w:right="239" w:bottom="1440" w:gutter="0" w:footer="0" w:header="0"/>
        </w:sectPr>
      </w:pPr>
    </w:p>
    <w:bookmarkStart w:id="10" w:name="page11"/>
    <w:bookmarkEnd w:id="10"/>
    <w:p>
      <w:pPr>
        <w:jc w:val="both"/>
        <w:spacing w:after="0" w:line="259" w:lineRule="auto"/>
        <w:rPr>
          <w:sz w:val="20"/>
          <w:szCs w:val="20"/>
          <w:color w:val="auto"/>
        </w:rPr>
      </w:pPr>
      <w:r>
        <w:rPr>
          <w:rFonts w:ascii="Arial" w:cs="Arial" w:eastAsia="Arial" w:hAnsi="Arial"/>
          <w:sz w:val="18"/>
          <w:szCs w:val="18"/>
          <w:color w:val="auto"/>
        </w:rPr>
        <w:t>rate and the delivery of the replacement letters of credit, as applicable. TimkenSteel is responsible for payment of the interest and principal associated with the Bonds subsequent to the Remarketing Date. As a result of the purchase and remarketing of the Bonds, TimkenSteel recorded a loss on debt extinguishment of $0.7 million during the second quarter of 2014 related to the write-off of original deferred financing costs, which are reflected as interest expense in the Unaudited Consolidated Statements of Income.</w:t>
      </w:r>
    </w:p>
    <w:p>
      <w:pPr>
        <w:spacing w:after="0" w:line="146"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All of TimkenSteel’s long-term debt is variable-rate debt, and, as a result, the carrying value of this debt is a reasonable estimate of fair value as interest rates on these borrowings approximate current market rates, which is considered a Level 2 input.</w:t>
      </w:r>
    </w:p>
    <w:p>
      <w:pPr>
        <w:spacing w:after="0" w:line="288"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7 - Accumulated Other Comprehensive Loss</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Changes in accumulated other comprehensive loss for the six months ended June 30, 2014 by component are as follows:</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6120" w:type="dxa"/>
            <w:vAlign w:val="bottom"/>
          </w:tcPr>
          <w:p>
            <w:pPr>
              <w:spacing w:after="0"/>
              <w:rPr>
                <w:sz w:val="17"/>
                <w:szCs w:val="17"/>
                <w:color w:val="auto"/>
              </w:rPr>
            </w:pPr>
          </w:p>
        </w:tc>
        <w:tc>
          <w:tcPr>
            <w:tcW w:w="1740" w:type="dxa"/>
            <w:vAlign w:val="bottom"/>
          </w:tcPr>
          <w:p>
            <w:pPr>
              <w:jc w:val="center"/>
              <w:ind w:right="53"/>
              <w:spacing w:after="0"/>
              <w:rPr>
                <w:sz w:val="20"/>
                <w:szCs w:val="20"/>
                <w:color w:val="auto"/>
              </w:rPr>
            </w:pPr>
            <w:r>
              <w:rPr>
                <w:rFonts w:ascii="Arial" w:cs="Arial" w:eastAsia="Arial" w:hAnsi="Arial"/>
                <w:sz w:val="16"/>
                <w:szCs w:val="16"/>
                <w:b w:val="1"/>
                <w:bCs w:val="1"/>
                <w:color w:val="auto"/>
                <w:w w:val="92"/>
              </w:rPr>
              <w:t>Foreign Currency</w:t>
            </w:r>
          </w:p>
        </w:tc>
        <w:tc>
          <w:tcPr>
            <w:tcW w:w="2120" w:type="dxa"/>
            <w:vAlign w:val="bottom"/>
          </w:tcPr>
          <w:p>
            <w:pPr>
              <w:jc w:val="center"/>
              <w:ind w:right="233"/>
              <w:spacing w:after="0"/>
              <w:rPr>
                <w:sz w:val="20"/>
                <w:szCs w:val="20"/>
                <w:color w:val="auto"/>
              </w:rPr>
            </w:pPr>
            <w:r>
              <w:rPr>
                <w:rFonts w:ascii="Arial" w:cs="Arial" w:eastAsia="Arial" w:hAnsi="Arial"/>
                <w:sz w:val="16"/>
                <w:szCs w:val="16"/>
                <w:b w:val="1"/>
                <w:bCs w:val="1"/>
                <w:color w:val="auto"/>
                <w:w w:val="88"/>
              </w:rPr>
              <w:t>Pension and</w:t>
            </w:r>
          </w:p>
        </w:tc>
        <w:tc>
          <w:tcPr>
            <w:tcW w:w="1440" w:type="dxa"/>
            <w:vAlign w:val="bottom"/>
          </w:tcPr>
          <w:p>
            <w:pPr>
              <w:spacing w:after="0"/>
              <w:rPr>
                <w:sz w:val="17"/>
                <w:szCs w:val="17"/>
                <w:color w:val="auto"/>
              </w:rPr>
            </w:pPr>
          </w:p>
        </w:tc>
      </w:tr>
      <w:tr>
        <w:trPr>
          <w:trHeight w:val="203"/>
        </w:trPr>
        <w:tc>
          <w:tcPr>
            <w:tcW w:w="6120" w:type="dxa"/>
            <w:vAlign w:val="bottom"/>
          </w:tcPr>
          <w:p>
            <w:pPr>
              <w:spacing w:after="0"/>
              <w:rPr>
                <w:sz w:val="17"/>
                <w:szCs w:val="17"/>
                <w:color w:val="auto"/>
              </w:rPr>
            </w:pPr>
          </w:p>
        </w:tc>
        <w:tc>
          <w:tcPr>
            <w:tcW w:w="1740" w:type="dxa"/>
            <w:vAlign w:val="bottom"/>
          </w:tcPr>
          <w:p>
            <w:pPr>
              <w:jc w:val="center"/>
              <w:ind w:right="53"/>
              <w:spacing w:after="0"/>
              <w:rPr>
                <w:sz w:val="20"/>
                <w:szCs w:val="20"/>
                <w:color w:val="auto"/>
              </w:rPr>
            </w:pPr>
            <w:r>
              <w:rPr>
                <w:rFonts w:ascii="Arial" w:cs="Arial" w:eastAsia="Arial" w:hAnsi="Arial"/>
                <w:sz w:val="16"/>
                <w:szCs w:val="16"/>
                <w:b w:val="1"/>
                <w:bCs w:val="1"/>
                <w:color w:val="auto"/>
                <w:w w:val="92"/>
              </w:rPr>
              <w:t>Translation</w:t>
            </w:r>
          </w:p>
        </w:tc>
        <w:tc>
          <w:tcPr>
            <w:tcW w:w="2120" w:type="dxa"/>
            <w:vAlign w:val="bottom"/>
          </w:tcPr>
          <w:p>
            <w:pPr>
              <w:jc w:val="center"/>
              <w:ind w:right="213"/>
              <w:spacing w:after="0"/>
              <w:rPr>
                <w:sz w:val="20"/>
                <w:szCs w:val="20"/>
                <w:color w:val="auto"/>
              </w:rPr>
            </w:pPr>
            <w:r>
              <w:rPr>
                <w:rFonts w:ascii="Arial" w:cs="Arial" w:eastAsia="Arial" w:hAnsi="Arial"/>
                <w:sz w:val="16"/>
                <w:szCs w:val="16"/>
                <w:b w:val="1"/>
                <w:bCs w:val="1"/>
                <w:color w:val="auto"/>
                <w:w w:val="90"/>
              </w:rPr>
              <w:t>Postretirement</w:t>
            </w:r>
          </w:p>
        </w:tc>
        <w:tc>
          <w:tcPr>
            <w:tcW w:w="1440" w:type="dxa"/>
            <w:vAlign w:val="bottom"/>
          </w:tcPr>
          <w:p>
            <w:pPr>
              <w:spacing w:after="0"/>
              <w:rPr>
                <w:sz w:val="17"/>
                <w:szCs w:val="17"/>
                <w:color w:val="auto"/>
              </w:rPr>
            </w:pPr>
          </w:p>
        </w:tc>
      </w:tr>
      <w:tr>
        <w:trPr>
          <w:trHeight w:val="210"/>
        </w:trPr>
        <w:tc>
          <w:tcPr>
            <w:tcW w:w="6120" w:type="dxa"/>
            <w:vAlign w:val="bottom"/>
          </w:tcPr>
          <w:p>
            <w:pPr>
              <w:spacing w:after="0"/>
              <w:rPr>
                <w:sz w:val="18"/>
                <w:szCs w:val="18"/>
                <w:color w:val="auto"/>
              </w:rPr>
            </w:pPr>
          </w:p>
        </w:tc>
        <w:tc>
          <w:tcPr>
            <w:tcW w:w="1740" w:type="dxa"/>
            <w:vAlign w:val="bottom"/>
          </w:tcPr>
          <w:p>
            <w:pPr>
              <w:jc w:val="center"/>
              <w:ind w:right="53"/>
              <w:spacing w:after="0"/>
              <w:rPr>
                <w:sz w:val="20"/>
                <w:szCs w:val="20"/>
                <w:color w:val="auto"/>
              </w:rPr>
            </w:pPr>
            <w:r>
              <w:rPr>
                <w:rFonts w:ascii="Arial" w:cs="Arial" w:eastAsia="Arial" w:hAnsi="Arial"/>
                <w:sz w:val="16"/>
                <w:szCs w:val="16"/>
                <w:b w:val="1"/>
                <w:bCs w:val="1"/>
                <w:color w:val="auto"/>
                <w:w w:val="90"/>
              </w:rPr>
              <w:t>Adjustments</w:t>
            </w:r>
          </w:p>
        </w:tc>
        <w:tc>
          <w:tcPr>
            <w:tcW w:w="2120" w:type="dxa"/>
            <w:vAlign w:val="bottom"/>
          </w:tcPr>
          <w:p>
            <w:pPr>
              <w:jc w:val="center"/>
              <w:ind w:right="233"/>
              <w:spacing w:after="0"/>
              <w:rPr>
                <w:sz w:val="20"/>
                <w:szCs w:val="20"/>
                <w:color w:val="auto"/>
              </w:rPr>
            </w:pPr>
            <w:r>
              <w:rPr>
                <w:rFonts w:ascii="Arial" w:cs="Arial" w:eastAsia="Arial" w:hAnsi="Arial"/>
                <w:sz w:val="16"/>
                <w:szCs w:val="16"/>
                <w:b w:val="1"/>
                <w:bCs w:val="1"/>
                <w:color w:val="auto"/>
                <w:w w:val="93"/>
              </w:rPr>
              <w:t>Liability Adjustments</w:t>
            </w:r>
          </w:p>
        </w:tc>
        <w:tc>
          <w:tcPr>
            <w:tcW w:w="1440" w:type="dxa"/>
            <w:vAlign w:val="bottom"/>
          </w:tcPr>
          <w:p>
            <w:pPr>
              <w:jc w:val="right"/>
              <w:ind w:right="571"/>
              <w:spacing w:after="0"/>
              <w:rPr>
                <w:sz w:val="20"/>
                <w:szCs w:val="20"/>
                <w:color w:val="auto"/>
              </w:rPr>
            </w:pPr>
            <w:r>
              <w:rPr>
                <w:rFonts w:ascii="Arial" w:cs="Arial" w:eastAsia="Arial" w:hAnsi="Arial"/>
                <w:sz w:val="16"/>
                <w:szCs w:val="16"/>
                <w:b w:val="1"/>
                <w:bCs w:val="1"/>
                <w:color w:val="auto"/>
              </w:rPr>
              <w:t>Total</w:t>
            </w:r>
          </w:p>
        </w:tc>
      </w:tr>
      <w:tr>
        <w:trPr>
          <w:trHeight w:val="33"/>
        </w:trPr>
        <w:tc>
          <w:tcPr>
            <w:tcW w:w="612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212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r>
      <w:tr>
        <w:trPr>
          <w:trHeight w:val="244"/>
        </w:trPr>
        <w:tc>
          <w:tcPr>
            <w:tcW w:w="6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Balance at December 31, 2013</w:t>
            </w:r>
          </w:p>
        </w:tc>
        <w:tc>
          <w:tcPr>
            <w:tcW w:w="174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($0.4)</w:t>
            </w:r>
          </w:p>
        </w:tc>
        <w:tc>
          <w:tcPr>
            <w:tcW w:w="2120" w:type="dxa"/>
            <w:vAlign w:val="bottom"/>
            <w:tcBorders>
              <w:bottom w:val="single" w:sz="8" w:color="CCEEFF"/>
            </w:tcBorders>
            <w:shd w:val="clear" w:color="auto" w:fill="CCEEFF"/>
          </w:tcPr>
          <w:p>
            <w:pPr>
              <w:jc w:val="right"/>
              <w:ind w:right="373"/>
              <w:spacing w:after="0"/>
              <w:rPr>
                <w:sz w:val="20"/>
                <w:szCs w:val="20"/>
                <w:color w:val="auto"/>
              </w:rPr>
            </w:pPr>
            <w:r>
              <w:rPr>
                <w:rFonts w:ascii="Arial" w:cs="Arial" w:eastAsia="Arial" w:hAnsi="Arial"/>
                <w:sz w:val="18"/>
                <w:szCs w:val="18"/>
                <w:color w:val="auto"/>
              </w:rPr>
              <w:t>$—</w:t>
            </w: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($0.4)</w:t>
            </w:r>
          </w:p>
        </w:tc>
      </w:tr>
      <w:tr>
        <w:trPr>
          <w:trHeight w:val="243"/>
        </w:trPr>
        <w:tc>
          <w:tcPr>
            <w:tcW w:w="6120" w:type="dxa"/>
            <w:vAlign w:val="bottom"/>
          </w:tcPr>
          <w:p>
            <w:pPr>
              <w:ind w:left="200"/>
              <w:spacing w:after="0"/>
              <w:rPr>
                <w:sz w:val="20"/>
                <w:szCs w:val="20"/>
                <w:color w:val="auto"/>
              </w:rPr>
            </w:pPr>
            <w:r>
              <w:rPr>
                <w:rFonts w:ascii="Arial" w:cs="Arial" w:eastAsia="Arial" w:hAnsi="Arial"/>
                <w:sz w:val="16"/>
                <w:szCs w:val="16"/>
                <w:color w:val="auto"/>
              </w:rPr>
              <w:t>Net transfer from Timken</w:t>
            </w:r>
          </w:p>
        </w:tc>
        <w:tc>
          <w:tcPr>
            <w:tcW w:w="1740" w:type="dxa"/>
            <w:vAlign w:val="bottom"/>
          </w:tcPr>
          <w:p>
            <w:pPr>
              <w:jc w:val="right"/>
              <w:ind w:right="53"/>
              <w:spacing w:after="0"/>
              <w:rPr>
                <w:sz w:val="20"/>
                <w:szCs w:val="20"/>
                <w:color w:val="auto"/>
              </w:rPr>
            </w:pPr>
            <w:r>
              <w:rPr>
                <w:rFonts w:ascii="Arial" w:cs="Arial" w:eastAsia="Arial" w:hAnsi="Arial"/>
                <w:sz w:val="18"/>
                <w:szCs w:val="18"/>
                <w:color w:val="auto"/>
              </w:rPr>
              <w:t>(3.2)</w:t>
            </w:r>
          </w:p>
        </w:tc>
        <w:tc>
          <w:tcPr>
            <w:tcW w:w="2120" w:type="dxa"/>
            <w:vAlign w:val="bottom"/>
          </w:tcPr>
          <w:p>
            <w:pPr>
              <w:jc w:val="right"/>
              <w:ind w:right="313"/>
              <w:spacing w:after="0"/>
              <w:rPr>
                <w:sz w:val="20"/>
                <w:szCs w:val="20"/>
                <w:color w:val="auto"/>
              </w:rPr>
            </w:pPr>
            <w:r>
              <w:rPr>
                <w:rFonts w:ascii="Arial" w:cs="Arial" w:eastAsia="Arial" w:hAnsi="Arial"/>
                <w:sz w:val="18"/>
                <w:szCs w:val="18"/>
                <w:color w:val="auto"/>
              </w:rPr>
              <w:t>(233.9)</w:t>
            </w:r>
          </w:p>
        </w:tc>
        <w:tc>
          <w:tcPr>
            <w:tcW w:w="1440" w:type="dxa"/>
            <w:vAlign w:val="bottom"/>
          </w:tcPr>
          <w:p>
            <w:pPr>
              <w:jc w:val="right"/>
              <w:spacing w:after="0"/>
              <w:rPr>
                <w:sz w:val="20"/>
                <w:szCs w:val="20"/>
                <w:color w:val="auto"/>
              </w:rPr>
            </w:pPr>
            <w:r>
              <w:rPr>
                <w:rFonts w:ascii="Arial" w:cs="Arial" w:eastAsia="Arial" w:hAnsi="Arial"/>
                <w:sz w:val="18"/>
                <w:szCs w:val="18"/>
                <w:color w:val="auto"/>
              </w:rPr>
              <w:t>(237.1)</w:t>
            </w:r>
          </w:p>
        </w:tc>
      </w:tr>
      <w:tr>
        <w:trPr>
          <w:trHeight w:val="27"/>
        </w:trPr>
        <w:tc>
          <w:tcPr>
            <w:tcW w:w="6120" w:type="dxa"/>
            <w:vAlign w:val="bottom"/>
          </w:tcPr>
          <w:p>
            <w:pPr>
              <w:spacing w:after="0"/>
              <w:rPr>
                <w:sz w:val="2"/>
                <w:szCs w:val="2"/>
                <w:color w:val="auto"/>
              </w:rPr>
            </w:pPr>
          </w:p>
        </w:tc>
        <w:tc>
          <w:tcPr>
            <w:tcW w:w="1740" w:type="dxa"/>
            <w:vAlign w:val="bottom"/>
          </w:tcPr>
          <w:p>
            <w:pPr>
              <w:spacing w:after="0"/>
              <w:rPr>
                <w:sz w:val="2"/>
                <w:szCs w:val="2"/>
                <w:color w:val="auto"/>
              </w:rPr>
            </w:pPr>
          </w:p>
        </w:tc>
        <w:tc>
          <w:tcPr>
            <w:tcW w:w="2120" w:type="dxa"/>
            <w:vAlign w:val="bottom"/>
          </w:tcPr>
          <w:p>
            <w:pPr>
              <w:spacing w:after="0"/>
              <w:rPr>
                <w:sz w:val="2"/>
                <w:szCs w:val="2"/>
                <w:color w:val="auto"/>
              </w:rPr>
            </w:pPr>
          </w:p>
        </w:tc>
        <w:tc>
          <w:tcPr>
            <w:tcW w:w="1440" w:type="dxa"/>
            <w:vAlign w:val="bottom"/>
          </w:tcPr>
          <w:p>
            <w:pPr>
              <w:spacing w:after="0"/>
              <w:rPr>
                <w:sz w:val="2"/>
                <w:szCs w:val="2"/>
                <w:color w:val="auto"/>
              </w:rPr>
            </w:pPr>
          </w:p>
        </w:tc>
      </w:tr>
      <w:tr>
        <w:trPr>
          <w:trHeight w:val="250"/>
        </w:trPr>
        <w:tc>
          <w:tcPr>
            <w:tcW w:w="61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6"/>
                <w:szCs w:val="16"/>
                <w:color w:val="auto"/>
              </w:rPr>
              <w:t>Other comprehensive income before reclassifications, before income tax</w:t>
            </w:r>
          </w:p>
        </w:tc>
        <w:tc>
          <w:tcPr>
            <w:tcW w:w="174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rPr>
              <w:t>0.4</w:t>
            </w:r>
          </w:p>
        </w:tc>
        <w:tc>
          <w:tcPr>
            <w:tcW w:w="2120" w:type="dxa"/>
            <w:vAlign w:val="bottom"/>
            <w:tcBorders>
              <w:bottom w:val="single" w:sz="8" w:color="CCEEFF"/>
            </w:tcBorders>
            <w:shd w:val="clear" w:color="auto" w:fill="CCEEFF"/>
          </w:tcPr>
          <w:p>
            <w:pPr>
              <w:jc w:val="right"/>
              <w:ind w:right="373"/>
              <w:spacing w:after="0"/>
              <w:rPr>
                <w:sz w:val="20"/>
                <w:szCs w:val="20"/>
                <w:color w:val="auto"/>
              </w:rPr>
            </w:pPr>
            <w:r>
              <w:rPr>
                <w:rFonts w:ascii="Arial" w:cs="Arial" w:eastAsia="Arial" w:hAnsi="Arial"/>
                <w:sz w:val="18"/>
                <w:szCs w:val="18"/>
                <w:color w:val="auto"/>
              </w:rPr>
              <w:t>—</w:t>
            </w:r>
          </w:p>
        </w:tc>
        <w:tc>
          <w:tcPr>
            <w:tcW w:w="14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0.4</w:t>
            </w:r>
          </w:p>
        </w:tc>
      </w:tr>
      <w:tr>
        <w:trPr>
          <w:trHeight w:val="243"/>
        </w:trPr>
        <w:tc>
          <w:tcPr>
            <w:tcW w:w="6120" w:type="dxa"/>
            <w:vAlign w:val="bottom"/>
          </w:tcPr>
          <w:p>
            <w:pPr>
              <w:ind w:left="200"/>
              <w:spacing w:after="0"/>
              <w:rPr>
                <w:sz w:val="20"/>
                <w:szCs w:val="20"/>
                <w:color w:val="auto"/>
              </w:rPr>
            </w:pPr>
            <w:r>
              <w:rPr>
                <w:rFonts w:ascii="Arial" w:cs="Arial" w:eastAsia="Arial" w:hAnsi="Arial"/>
                <w:sz w:val="16"/>
                <w:szCs w:val="16"/>
                <w:color w:val="auto"/>
                <w:w w:val="94"/>
              </w:rPr>
              <w:t>Amounts reclassified from accumulated other comprehensive income, before income tax</w:t>
            </w:r>
          </w:p>
        </w:tc>
        <w:tc>
          <w:tcPr>
            <w:tcW w:w="1740" w:type="dxa"/>
            <w:vAlign w:val="bottom"/>
          </w:tcPr>
          <w:p>
            <w:pPr>
              <w:jc w:val="right"/>
              <w:ind w:right="113"/>
              <w:spacing w:after="0"/>
              <w:rPr>
                <w:sz w:val="20"/>
                <w:szCs w:val="20"/>
                <w:color w:val="auto"/>
              </w:rPr>
            </w:pPr>
            <w:r>
              <w:rPr>
                <w:rFonts w:ascii="Arial" w:cs="Arial" w:eastAsia="Arial" w:hAnsi="Arial"/>
                <w:sz w:val="18"/>
                <w:szCs w:val="18"/>
                <w:color w:val="auto"/>
              </w:rPr>
              <w:t>—</w:t>
            </w:r>
          </w:p>
        </w:tc>
        <w:tc>
          <w:tcPr>
            <w:tcW w:w="2120" w:type="dxa"/>
            <w:vAlign w:val="bottom"/>
          </w:tcPr>
          <w:p>
            <w:pPr>
              <w:jc w:val="right"/>
              <w:ind w:right="373"/>
              <w:spacing w:after="0"/>
              <w:rPr>
                <w:sz w:val="20"/>
                <w:szCs w:val="20"/>
                <w:color w:val="auto"/>
              </w:rPr>
            </w:pPr>
            <w:r>
              <w:rPr>
                <w:rFonts w:ascii="Arial" w:cs="Arial" w:eastAsia="Arial" w:hAnsi="Arial"/>
                <w:sz w:val="18"/>
                <w:szCs w:val="18"/>
                <w:color w:val="auto"/>
              </w:rPr>
              <w:t>4.6</w:t>
            </w:r>
          </w:p>
        </w:tc>
        <w:tc>
          <w:tcPr>
            <w:tcW w:w="1440" w:type="dxa"/>
            <w:vAlign w:val="bottom"/>
          </w:tcPr>
          <w:p>
            <w:pPr>
              <w:jc w:val="right"/>
              <w:ind w:right="11"/>
              <w:spacing w:after="0"/>
              <w:rPr>
                <w:sz w:val="20"/>
                <w:szCs w:val="20"/>
                <w:color w:val="auto"/>
              </w:rPr>
            </w:pPr>
            <w:r>
              <w:rPr>
                <w:rFonts w:ascii="Arial" w:cs="Arial" w:eastAsia="Arial" w:hAnsi="Arial"/>
                <w:sz w:val="18"/>
                <w:szCs w:val="18"/>
                <w:color w:val="auto"/>
              </w:rPr>
              <w:t>4.6</w:t>
            </w:r>
          </w:p>
        </w:tc>
      </w:tr>
      <w:tr>
        <w:trPr>
          <w:trHeight w:val="27"/>
        </w:trPr>
        <w:tc>
          <w:tcPr>
            <w:tcW w:w="6120" w:type="dxa"/>
            <w:vAlign w:val="bottom"/>
          </w:tcPr>
          <w:p>
            <w:pPr>
              <w:spacing w:after="0"/>
              <w:rPr>
                <w:sz w:val="2"/>
                <w:szCs w:val="2"/>
                <w:color w:val="auto"/>
              </w:rPr>
            </w:pPr>
          </w:p>
        </w:tc>
        <w:tc>
          <w:tcPr>
            <w:tcW w:w="1740" w:type="dxa"/>
            <w:vAlign w:val="bottom"/>
          </w:tcPr>
          <w:p>
            <w:pPr>
              <w:spacing w:after="0"/>
              <w:rPr>
                <w:sz w:val="2"/>
                <w:szCs w:val="2"/>
                <w:color w:val="auto"/>
              </w:rPr>
            </w:pPr>
          </w:p>
        </w:tc>
        <w:tc>
          <w:tcPr>
            <w:tcW w:w="2120" w:type="dxa"/>
            <w:vAlign w:val="bottom"/>
          </w:tcPr>
          <w:p>
            <w:pPr>
              <w:spacing w:after="0"/>
              <w:rPr>
                <w:sz w:val="2"/>
                <w:szCs w:val="2"/>
                <w:color w:val="auto"/>
              </w:rPr>
            </w:pPr>
          </w:p>
        </w:tc>
        <w:tc>
          <w:tcPr>
            <w:tcW w:w="1440" w:type="dxa"/>
            <w:vAlign w:val="bottom"/>
          </w:tcPr>
          <w:p>
            <w:pPr>
              <w:spacing w:after="0"/>
              <w:rPr>
                <w:sz w:val="2"/>
                <w:szCs w:val="2"/>
                <w:color w:val="auto"/>
              </w:rPr>
            </w:pPr>
          </w:p>
        </w:tc>
      </w:tr>
      <w:tr>
        <w:trPr>
          <w:trHeight w:val="275"/>
        </w:trPr>
        <w:tc>
          <w:tcPr>
            <w:tcW w:w="61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6"/>
                <w:szCs w:val="16"/>
                <w:color w:val="auto"/>
              </w:rPr>
              <w:t>Income tax benefit</w:t>
            </w:r>
          </w:p>
        </w:tc>
        <w:tc>
          <w:tcPr>
            <w:tcW w:w="174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rPr>
              <w:t>—</w:t>
            </w:r>
          </w:p>
        </w:tc>
        <w:tc>
          <w:tcPr>
            <w:tcW w:w="2120" w:type="dxa"/>
            <w:vAlign w:val="bottom"/>
            <w:tcBorders>
              <w:bottom w:val="single" w:sz="8" w:color="CCEEFF"/>
            </w:tcBorders>
            <w:shd w:val="clear" w:color="auto" w:fill="CCEEFF"/>
          </w:tcPr>
          <w:p>
            <w:pPr>
              <w:jc w:val="right"/>
              <w:ind w:right="313"/>
              <w:spacing w:after="0"/>
              <w:rPr>
                <w:sz w:val="20"/>
                <w:szCs w:val="20"/>
                <w:color w:val="auto"/>
              </w:rPr>
            </w:pPr>
            <w:r>
              <w:rPr>
                <w:rFonts w:ascii="Arial" w:cs="Arial" w:eastAsia="Arial" w:hAnsi="Arial"/>
                <w:sz w:val="18"/>
                <w:szCs w:val="18"/>
                <w:color w:val="auto"/>
              </w:rPr>
              <w:t>(1.7)</w:t>
            </w: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w:t>
            </w:r>
          </w:p>
        </w:tc>
      </w:tr>
      <w:tr>
        <w:trPr>
          <w:trHeight w:val="237"/>
        </w:trPr>
        <w:tc>
          <w:tcPr>
            <w:tcW w:w="6120" w:type="dxa"/>
            <w:vAlign w:val="bottom"/>
            <w:tcBorders>
              <w:top w:val="single" w:sz="8" w:color="auto"/>
            </w:tcBorders>
          </w:tcPr>
          <w:p>
            <w:pPr>
              <w:ind w:left="40"/>
              <w:spacing w:after="0"/>
              <w:rPr>
                <w:sz w:val="20"/>
                <w:szCs w:val="20"/>
                <w:color w:val="auto"/>
              </w:rPr>
            </w:pPr>
            <w:r>
              <w:rPr>
                <w:rFonts w:ascii="Arial" w:cs="Arial" w:eastAsia="Arial" w:hAnsi="Arial"/>
                <w:sz w:val="16"/>
                <w:szCs w:val="16"/>
                <w:color w:val="auto"/>
              </w:rPr>
              <w:t>Net current period other comprehensive income, net of income tax</w:t>
            </w:r>
          </w:p>
        </w:tc>
        <w:tc>
          <w:tcPr>
            <w:tcW w:w="1740" w:type="dxa"/>
            <w:vAlign w:val="bottom"/>
            <w:tcBorders>
              <w:top w:val="single" w:sz="8" w:color="auto"/>
            </w:tcBorders>
          </w:tcPr>
          <w:p>
            <w:pPr>
              <w:jc w:val="right"/>
              <w:ind w:right="113"/>
              <w:spacing w:after="0"/>
              <w:rPr>
                <w:sz w:val="20"/>
                <w:szCs w:val="20"/>
                <w:color w:val="auto"/>
              </w:rPr>
            </w:pPr>
            <w:r>
              <w:rPr>
                <w:rFonts w:ascii="Arial" w:cs="Arial" w:eastAsia="Arial" w:hAnsi="Arial"/>
                <w:sz w:val="18"/>
                <w:szCs w:val="18"/>
                <w:color w:val="auto"/>
              </w:rPr>
              <w:t>0.4</w:t>
            </w:r>
          </w:p>
        </w:tc>
        <w:tc>
          <w:tcPr>
            <w:tcW w:w="2120" w:type="dxa"/>
            <w:vAlign w:val="bottom"/>
            <w:tcBorders>
              <w:top w:val="single" w:sz="8" w:color="auto"/>
            </w:tcBorders>
          </w:tcPr>
          <w:p>
            <w:pPr>
              <w:jc w:val="right"/>
              <w:ind w:right="373"/>
              <w:spacing w:after="0"/>
              <w:rPr>
                <w:sz w:val="20"/>
                <w:szCs w:val="20"/>
                <w:color w:val="auto"/>
              </w:rPr>
            </w:pPr>
            <w:r>
              <w:rPr>
                <w:rFonts w:ascii="Arial" w:cs="Arial" w:eastAsia="Arial" w:hAnsi="Arial"/>
                <w:sz w:val="18"/>
                <w:szCs w:val="18"/>
                <w:color w:val="auto"/>
              </w:rPr>
              <w:t>2.9</w:t>
            </w:r>
          </w:p>
        </w:tc>
        <w:tc>
          <w:tcPr>
            <w:tcW w:w="14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3.3</w:t>
            </w:r>
          </w:p>
        </w:tc>
      </w:tr>
      <w:tr>
        <w:trPr>
          <w:trHeight w:val="27"/>
        </w:trPr>
        <w:tc>
          <w:tcPr>
            <w:tcW w:w="612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212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r>
      <w:tr>
        <w:trPr>
          <w:trHeight w:val="244"/>
        </w:trPr>
        <w:tc>
          <w:tcPr>
            <w:tcW w:w="6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Balance at June 30, 2014</w:t>
            </w:r>
          </w:p>
        </w:tc>
        <w:tc>
          <w:tcPr>
            <w:tcW w:w="174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b w:val="1"/>
                <w:bCs w:val="1"/>
                <w:color w:val="auto"/>
              </w:rPr>
              <w:t>($3.2)</w:t>
            </w:r>
          </w:p>
        </w:tc>
        <w:tc>
          <w:tcPr>
            <w:tcW w:w="2120" w:type="dxa"/>
            <w:vAlign w:val="bottom"/>
            <w:tcBorders>
              <w:bottom w:val="single" w:sz="8" w:color="CCEEFF"/>
            </w:tcBorders>
            <w:shd w:val="clear" w:color="auto" w:fill="CCEEFF"/>
          </w:tcPr>
          <w:p>
            <w:pPr>
              <w:jc w:val="right"/>
              <w:ind w:right="313"/>
              <w:spacing w:after="0"/>
              <w:rPr>
                <w:sz w:val="20"/>
                <w:szCs w:val="20"/>
                <w:color w:val="auto"/>
              </w:rPr>
            </w:pPr>
            <w:r>
              <w:rPr>
                <w:rFonts w:ascii="Arial" w:cs="Arial" w:eastAsia="Arial" w:hAnsi="Arial"/>
                <w:sz w:val="18"/>
                <w:szCs w:val="18"/>
                <w:b w:val="1"/>
                <w:bCs w:val="1"/>
                <w:color w:val="auto"/>
              </w:rPr>
              <w:t>($231.0)</w:t>
            </w: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($234.2)</w:t>
            </w:r>
          </w:p>
        </w:tc>
      </w:tr>
      <w:tr>
        <w:trPr>
          <w:trHeight w:val="27"/>
        </w:trPr>
        <w:tc>
          <w:tcPr>
            <w:tcW w:w="6120" w:type="dxa"/>
            <w:vAlign w:val="bottom"/>
            <w:shd w:val="clear" w:color="auto" w:fill="000000"/>
          </w:tcPr>
          <w:p>
            <w:pPr>
              <w:spacing w:after="0"/>
              <w:rPr>
                <w:sz w:val="2"/>
                <w:szCs w:val="2"/>
                <w:color w:val="auto"/>
              </w:rPr>
            </w:pPr>
          </w:p>
        </w:tc>
        <w:tc>
          <w:tcPr>
            <w:tcW w:w="1740" w:type="dxa"/>
            <w:vAlign w:val="bottom"/>
            <w:shd w:val="clear" w:color="auto" w:fill="000000"/>
          </w:tcPr>
          <w:p>
            <w:pPr>
              <w:spacing w:after="0"/>
              <w:rPr>
                <w:sz w:val="2"/>
                <w:szCs w:val="2"/>
                <w:color w:val="auto"/>
              </w:rPr>
            </w:pPr>
          </w:p>
        </w:tc>
        <w:tc>
          <w:tcPr>
            <w:tcW w:w="2120" w:type="dxa"/>
            <w:vAlign w:val="bottom"/>
            <w:shd w:val="clear" w:color="auto" w:fill="000000"/>
          </w:tcPr>
          <w:p>
            <w:pPr>
              <w:spacing w:after="0"/>
              <w:rPr>
                <w:sz w:val="2"/>
                <w:szCs w:val="2"/>
                <w:color w:val="auto"/>
              </w:rPr>
            </w:pPr>
          </w:p>
        </w:tc>
        <w:tc>
          <w:tcPr>
            <w:tcW w:w="1440" w:type="dxa"/>
            <w:vAlign w:val="bottom"/>
            <w:shd w:val="clear" w:color="auto" w:fill="000000"/>
          </w:tcPr>
          <w:p>
            <w:pPr>
              <w:spacing w:after="0"/>
              <w:rPr>
                <w:sz w:val="2"/>
                <w:szCs w:val="2"/>
                <w:color w:val="auto"/>
              </w:rPr>
            </w:pPr>
          </w:p>
        </w:tc>
      </w:tr>
    </w:tbl>
    <w:p>
      <w:pPr>
        <w:spacing w:after="0" w:line="202"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Accumulated other comprehensive loss of $0.4 million and $0.6 million as of June 30, 2013 and December 31, 2012, respectively, consists of accumulated foreign currency translation adjustments. For the six months ended June 30, 2013, there were no reclassifications out of accumulated other comprehensive loss.</w:t>
      </w:r>
    </w:p>
    <w:p>
      <w:pPr>
        <w:spacing w:after="0" w:line="141"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The reclassification of the pension and postretirement liability adjustment was included in costs of products sold and selling, general and administrative expenses in the Unaudited Consolidated Statements of Income.</w:t>
      </w:r>
    </w:p>
    <w:p>
      <w:pPr>
        <w:spacing w:after="0" w:line="288"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8 - Changes in Equity</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Changes in the components of equity for the six months ended June 30, 2014 were as follows:</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57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820" w:type="dxa"/>
            <w:vAlign w:val="bottom"/>
          </w:tcPr>
          <w:p>
            <w:pPr>
              <w:jc w:val="right"/>
              <w:ind w:right="272"/>
              <w:spacing w:after="0"/>
              <w:rPr>
                <w:sz w:val="20"/>
                <w:szCs w:val="20"/>
                <w:color w:val="auto"/>
              </w:rPr>
            </w:pPr>
            <w:r>
              <w:rPr>
                <w:rFonts w:ascii="Arial" w:cs="Arial" w:eastAsia="Arial" w:hAnsi="Arial"/>
                <w:sz w:val="16"/>
                <w:szCs w:val="16"/>
                <w:b w:val="1"/>
                <w:bCs w:val="1"/>
                <w:color w:val="auto"/>
              </w:rPr>
              <w:t>Additional Paid-in</w:t>
            </w:r>
          </w:p>
        </w:tc>
        <w:tc>
          <w:tcPr>
            <w:tcW w:w="1560" w:type="dxa"/>
            <w:vAlign w:val="bottom"/>
          </w:tcPr>
          <w:p>
            <w:pPr>
              <w:jc w:val="right"/>
              <w:ind w:right="392"/>
              <w:spacing w:after="0"/>
              <w:rPr>
                <w:sz w:val="20"/>
                <w:szCs w:val="20"/>
                <w:color w:val="auto"/>
              </w:rPr>
            </w:pPr>
            <w:r>
              <w:rPr>
                <w:rFonts w:ascii="Arial" w:cs="Arial" w:eastAsia="Arial" w:hAnsi="Arial"/>
                <w:sz w:val="16"/>
                <w:szCs w:val="16"/>
                <w:b w:val="1"/>
                <w:bCs w:val="1"/>
                <w:color w:val="auto"/>
              </w:rPr>
              <w:t>Net Parent</w:t>
            </w:r>
          </w:p>
        </w:tc>
        <w:tc>
          <w:tcPr>
            <w:tcW w:w="1620" w:type="dxa"/>
            <w:vAlign w:val="bottom"/>
          </w:tcPr>
          <w:p>
            <w:pPr>
              <w:jc w:val="right"/>
              <w:ind w:right="12"/>
              <w:spacing w:after="0"/>
              <w:rPr>
                <w:sz w:val="20"/>
                <w:szCs w:val="20"/>
                <w:color w:val="auto"/>
              </w:rPr>
            </w:pPr>
            <w:r>
              <w:rPr>
                <w:rFonts w:ascii="Arial" w:cs="Arial" w:eastAsia="Arial" w:hAnsi="Arial"/>
                <w:sz w:val="16"/>
                <w:szCs w:val="16"/>
                <w:b w:val="1"/>
                <w:bCs w:val="1"/>
                <w:color w:val="auto"/>
              </w:rPr>
              <w:t>Accumulated Other</w:t>
            </w:r>
          </w:p>
        </w:tc>
      </w:tr>
      <w:tr>
        <w:trPr>
          <w:trHeight w:val="210"/>
        </w:trPr>
        <w:tc>
          <w:tcPr>
            <w:tcW w:w="5700" w:type="dxa"/>
            <w:vAlign w:val="bottom"/>
          </w:tcPr>
          <w:p>
            <w:pPr>
              <w:ind w:left="5320"/>
              <w:spacing w:after="0"/>
              <w:rPr>
                <w:sz w:val="20"/>
                <w:szCs w:val="20"/>
                <w:color w:val="auto"/>
              </w:rPr>
            </w:pPr>
            <w:r>
              <w:rPr>
                <w:rFonts w:ascii="Arial" w:cs="Arial" w:eastAsia="Arial" w:hAnsi="Arial"/>
                <w:sz w:val="16"/>
                <w:szCs w:val="16"/>
                <w:b w:val="1"/>
                <w:bCs w:val="1"/>
                <w:color w:val="auto"/>
                <w:w w:val="94"/>
              </w:rPr>
              <w:t>Total</w:t>
            </w:r>
          </w:p>
        </w:tc>
        <w:tc>
          <w:tcPr>
            <w:tcW w:w="720" w:type="dxa"/>
            <w:vAlign w:val="bottom"/>
          </w:tcPr>
          <w:p>
            <w:pPr>
              <w:spacing w:after="0"/>
              <w:rPr>
                <w:sz w:val="18"/>
                <w:szCs w:val="18"/>
                <w:color w:val="auto"/>
              </w:rPr>
            </w:pPr>
          </w:p>
        </w:tc>
        <w:tc>
          <w:tcPr>
            <w:tcW w:w="1820" w:type="dxa"/>
            <w:vAlign w:val="bottom"/>
          </w:tcPr>
          <w:p>
            <w:pPr>
              <w:jc w:val="right"/>
              <w:ind w:right="652"/>
              <w:spacing w:after="0"/>
              <w:rPr>
                <w:sz w:val="20"/>
                <w:szCs w:val="20"/>
                <w:color w:val="auto"/>
              </w:rPr>
            </w:pPr>
            <w:r>
              <w:rPr>
                <w:rFonts w:ascii="Arial" w:cs="Arial" w:eastAsia="Arial" w:hAnsi="Arial"/>
                <w:sz w:val="16"/>
                <w:szCs w:val="16"/>
                <w:b w:val="1"/>
                <w:bCs w:val="1"/>
                <w:color w:val="auto"/>
              </w:rPr>
              <w:t>Capital</w:t>
            </w:r>
          </w:p>
        </w:tc>
        <w:tc>
          <w:tcPr>
            <w:tcW w:w="1560" w:type="dxa"/>
            <w:vAlign w:val="bottom"/>
          </w:tcPr>
          <w:p>
            <w:pPr>
              <w:jc w:val="right"/>
              <w:ind w:right="392"/>
              <w:spacing w:after="0"/>
              <w:rPr>
                <w:sz w:val="20"/>
                <w:szCs w:val="20"/>
                <w:color w:val="auto"/>
              </w:rPr>
            </w:pPr>
            <w:r>
              <w:rPr>
                <w:rFonts w:ascii="Arial" w:cs="Arial" w:eastAsia="Arial" w:hAnsi="Arial"/>
                <w:sz w:val="16"/>
                <w:szCs w:val="16"/>
                <w:b w:val="1"/>
                <w:bCs w:val="1"/>
                <w:color w:val="auto"/>
              </w:rPr>
              <w:t>Investment</w:t>
            </w:r>
          </w:p>
        </w:tc>
        <w:tc>
          <w:tcPr>
            <w:tcW w:w="1620" w:type="dxa"/>
            <w:vAlign w:val="bottom"/>
          </w:tcPr>
          <w:p>
            <w:pPr>
              <w:jc w:val="right"/>
              <w:spacing w:after="0"/>
              <w:rPr>
                <w:sz w:val="20"/>
                <w:szCs w:val="20"/>
                <w:color w:val="auto"/>
              </w:rPr>
            </w:pPr>
            <w:r>
              <w:rPr>
                <w:rFonts w:ascii="Arial" w:cs="Arial" w:eastAsia="Arial" w:hAnsi="Arial"/>
                <w:sz w:val="16"/>
                <w:szCs w:val="16"/>
                <w:b w:val="1"/>
                <w:bCs w:val="1"/>
                <w:color w:val="auto"/>
                <w:w w:val="93"/>
              </w:rPr>
              <w:t>Comprehensive Loss</w:t>
            </w:r>
          </w:p>
        </w:tc>
      </w:tr>
      <w:tr>
        <w:trPr>
          <w:trHeight w:val="33"/>
        </w:trPr>
        <w:tc>
          <w:tcPr>
            <w:tcW w:w="57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82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r>
      <w:tr>
        <w:trPr>
          <w:trHeight w:val="244"/>
        </w:trPr>
        <w:tc>
          <w:tcPr>
            <w:tcW w:w="5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as of December 31, 2013</w:t>
            </w:r>
          </w:p>
        </w:tc>
        <w:tc>
          <w:tcPr>
            <w:tcW w:w="7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87"/>
              </w:rPr>
              <w:t>$800.8</w:t>
            </w:r>
          </w:p>
        </w:tc>
        <w:tc>
          <w:tcPr>
            <w:tcW w:w="1820" w:type="dxa"/>
            <w:vAlign w:val="bottom"/>
            <w:tcBorders>
              <w:bottom w:val="single" w:sz="8" w:color="CCEEFF"/>
            </w:tcBorders>
            <w:shd w:val="clear" w:color="auto" w:fill="CCEEFF"/>
          </w:tcPr>
          <w:p>
            <w:pPr>
              <w:jc w:val="right"/>
              <w:ind w:right="212"/>
              <w:spacing w:after="0"/>
              <w:rPr>
                <w:sz w:val="20"/>
                <w:szCs w:val="20"/>
                <w:color w:val="auto"/>
              </w:rPr>
            </w:pPr>
            <w:r>
              <w:rPr>
                <w:rFonts w:ascii="Arial" w:cs="Arial" w:eastAsia="Arial" w:hAnsi="Arial"/>
                <w:sz w:val="18"/>
                <w:szCs w:val="18"/>
                <w:color w:val="auto"/>
              </w:rPr>
              <w:t>$—</w:t>
            </w:r>
          </w:p>
        </w:tc>
        <w:tc>
          <w:tcPr>
            <w:tcW w:w="156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$801.2</w:t>
            </w:r>
          </w:p>
        </w:tc>
        <w:tc>
          <w:tcPr>
            <w:tcW w:w="16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($0.4)</w:t>
            </w:r>
          </w:p>
        </w:tc>
      </w:tr>
      <w:tr>
        <w:trPr>
          <w:trHeight w:val="243"/>
        </w:trPr>
        <w:tc>
          <w:tcPr>
            <w:tcW w:w="5700" w:type="dxa"/>
            <w:vAlign w:val="bottom"/>
          </w:tcPr>
          <w:p>
            <w:pPr>
              <w:ind w:left="200"/>
              <w:spacing w:after="0"/>
              <w:rPr>
                <w:sz w:val="20"/>
                <w:szCs w:val="20"/>
                <w:color w:val="auto"/>
              </w:rPr>
            </w:pPr>
            <w:r>
              <w:rPr>
                <w:rFonts w:ascii="Arial" w:cs="Arial" w:eastAsia="Arial" w:hAnsi="Arial"/>
                <w:sz w:val="18"/>
                <w:szCs w:val="18"/>
                <w:color w:val="auto"/>
              </w:rPr>
              <w:t>Net income</w:t>
            </w:r>
          </w:p>
        </w:tc>
        <w:tc>
          <w:tcPr>
            <w:tcW w:w="720" w:type="dxa"/>
            <w:vAlign w:val="bottom"/>
          </w:tcPr>
          <w:p>
            <w:pPr>
              <w:jc w:val="right"/>
              <w:ind w:right="130"/>
              <w:spacing w:after="0"/>
              <w:rPr>
                <w:sz w:val="20"/>
                <w:szCs w:val="20"/>
                <w:color w:val="auto"/>
              </w:rPr>
            </w:pPr>
            <w:r>
              <w:rPr>
                <w:rFonts w:ascii="Arial" w:cs="Arial" w:eastAsia="Arial" w:hAnsi="Arial"/>
                <w:sz w:val="18"/>
                <w:szCs w:val="18"/>
                <w:color w:val="auto"/>
              </w:rPr>
              <w:t>62.3</w:t>
            </w:r>
          </w:p>
        </w:tc>
        <w:tc>
          <w:tcPr>
            <w:tcW w:w="1820" w:type="dxa"/>
            <w:vAlign w:val="bottom"/>
          </w:tcPr>
          <w:p>
            <w:pPr>
              <w:jc w:val="right"/>
              <w:ind w:right="212"/>
              <w:spacing w:after="0"/>
              <w:rPr>
                <w:sz w:val="20"/>
                <w:szCs w:val="20"/>
                <w:color w:val="auto"/>
              </w:rPr>
            </w:pPr>
            <w:r>
              <w:rPr>
                <w:rFonts w:ascii="Arial" w:cs="Arial" w:eastAsia="Arial" w:hAnsi="Arial"/>
                <w:sz w:val="18"/>
                <w:szCs w:val="18"/>
                <w:color w:val="auto"/>
              </w:rPr>
              <w:t>—</w:t>
            </w:r>
          </w:p>
        </w:tc>
        <w:tc>
          <w:tcPr>
            <w:tcW w:w="1560" w:type="dxa"/>
            <w:vAlign w:val="bottom"/>
          </w:tcPr>
          <w:p>
            <w:pPr>
              <w:jc w:val="right"/>
              <w:ind w:right="92"/>
              <w:spacing w:after="0"/>
              <w:rPr>
                <w:sz w:val="20"/>
                <w:szCs w:val="20"/>
                <w:color w:val="auto"/>
              </w:rPr>
            </w:pPr>
            <w:r>
              <w:rPr>
                <w:rFonts w:ascii="Arial" w:cs="Arial" w:eastAsia="Arial" w:hAnsi="Arial"/>
                <w:sz w:val="18"/>
                <w:szCs w:val="18"/>
                <w:color w:val="auto"/>
              </w:rPr>
              <w:t>62.3</w:t>
            </w:r>
          </w:p>
        </w:tc>
        <w:tc>
          <w:tcPr>
            <w:tcW w:w="1620" w:type="dxa"/>
            <w:vAlign w:val="bottom"/>
          </w:tcPr>
          <w:p>
            <w:pPr>
              <w:jc w:val="right"/>
              <w:ind w:right="12"/>
              <w:spacing w:after="0"/>
              <w:rPr>
                <w:sz w:val="20"/>
                <w:szCs w:val="20"/>
                <w:color w:val="auto"/>
              </w:rPr>
            </w:pPr>
            <w:r>
              <w:rPr>
                <w:rFonts w:ascii="Arial" w:cs="Arial" w:eastAsia="Arial" w:hAnsi="Arial"/>
                <w:sz w:val="18"/>
                <w:szCs w:val="18"/>
                <w:color w:val="auto"/>
              </w:rPr>
              <w:t>—</w:t>
            </w:r>
          </w:p>
        </w:tc>
      </w:tr>
      <w:tr>
        <w:trPr>
          <w:trHeight w:val="27"/>
        </w:trPr>
        <w:tc>
          <w:tcPr>
            <w:tcW w:w="5700" w:type="dxa"/>
            <w:vAlign w:val="bottom"/>
          </w:tcPr>
          <w:p>
            <w:pPr>
              <w:spacing w:after="0"/>
              <w:rPr>
                <w:sz w:val="2"/>
                <w:szCs w:val="2"/>
                <w:color w:val="auto"/>
              </w:rPr>
            </w:pPr>
          </w:p>
        </w:tc>
        <w:tc>
          <w:tcPr>
            <w:tcW w:w="720" w:type="dxa"/>
            <w:vAlign w:val="bottom"/>
          </w:tcPr>
          <w:p>
            <w:pPr>
              <w:spacing w:after="0"/>
              <w:rPr>
                <w:sz w:val="2"/>
                <w:szCs w:val="2"/>
                <w:color w:val="auto"/>
              </w:rPr>
            </w:pPr>
          </w:p>
        </w:tc>
        <w:tc>
          <w:tcPr>
            <w:tcW w:w="18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250"/>
        </w:trPr>
        <w:tc>
          <w:tcPr>
            <w:tcW w:w="570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Foreign currency translation adjustments</w:t>
            </w:r>
          </w:p>
        </w:tc>
        <w:tc>
          <w:tcPr>
            <w:tcW w:w="7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0.4</w:t>
            </w:r>
          </w:p>
        </w:tc>
        <w:tc>
          <w:tcPr>
            <w:tcW w:w="1820" w:type="dxa"/>
            <w:vAlign w:val="bottom"/>
            <w:tcBorders>
              <w:bottom w:val="single" w:sz="8" w:color="CCEEFF"/>
            </w:tcBorders>
            <w:shd w:val="clear" w:color="auto" w:fill="CCEEFF"/>
          </w:tcPr>
          <w:p>
            <w:pPr>
              <w:jc w:val="right"/>
              <w:ind w:right="212"/>
              <w:spacing w:after="0"/>
              <w:rPr>
                <w:sz w:val="20"/>
                <w:szCs w:val="20"/>
                <w:color w:val="auto"/>
              </w:rPr>
            </w:pPr>
            <w:r>
              <w:rPr>
                <w:rFonts w:ascii="Arial" w:cs="Arial" w:eastAsia="Arial" w:hAnsi="Arial"/>
                <w:sz w:val="18"/>
                <w:szCs w:val="18"/>
                <w:color w:val="auto"/>
              </w:rPr>
              <w:t>—</w:t>
            </w:r>
          </w:p>
        </w:tc>
        <w:tc>
          <w:tcPr>
            <w:tcW w:w="156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w:t>
            </w:r>
          </w:p>
        </w:tc>
        <w:tc>
          <w:tcPr>
            <w:tcW w:w="16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0.4</w:t>
            </w:r>
          </w:p>
        </w:tc>
      </w:tr>
      <w:tr>
        <w:trPr>
          <w:trHeight w:val="243"/>
        </w:trPr>
        <w:tc>
          <w:tcPr>
            <w:tcW w:w="5700" w:type="dxa"/>
            <w:vAlign w:val="bottom"/>
          </w:tcPr>
          <w:p>
            <w:pPr>
              <w:ind w:left="200"/>
              <w:spacing w:after="0"/>
              <w:rPr>
                <w:sz w:val="20"/>
                <w:szCs w:val="20"/>
                <w:color w:val="auto"/>
              </w:rPr>
            </w:pPr>
            <w:r>
              <w:rPr>
                <w:rFonts w:ascii="Arial" w:cs="Arial" w:eastAsia="Arial" w:hAnsi="Arial"/>
                <w:sz w:val="18"/>
                <w:szCs w:val="18"/>
                <w:color w:val="auto"/>
              </w:rPr>
              <w:t>Pension and postretirement adjustment</w:t>
            </w:r>
          </w:p>
        </w:tc>
        <w:tc>
          <w:tcPr>
            <w:tcW w:w="720" w:type="dxa"/>
            <w:vAlign w:val="bottom"/>
          </w:tcPr>
          <w:p>
            <w:pPr>
              <w:jc w:val="right"/>
              <w:ind w:right="130"/>
              <w:spacing w:after="0"/>
              <w:rPr>
                <w:sz w:val="20"/>
                <w:szCs w:val="20"/>
                <w:color w:val="auto"/>
              </w:rPr>
            </w:pPr>
            <w:r>
              <w:rPr>
                <w:rFonts w:ascii="Arial" w:cs="Arial" w:eastAsia="Arial" w:hAnsi="Arial"/>
                <w:sz w:val="18"/>
                <w:szCs w:val="18"/>
                <w:color w:val="auto"/>
              </w:rPr>
              <w:t>2.9</w:t>
            </w:r>
          </w:p>
        </w:tc>
        <w:tc>
          <w:tcPr>
            <w:tcW w:w="1820" w:type="dxa"/>
            <w:vAlign w:val="bottom"/>
          </w:tcPr>
          <w:p>
            <w:pPr>
              <w:jc w:val="right"/>
              <w:ind w:right="212"/>
              <w:spacing w:after="0"/>
              <w:rPr>
                <w:sz w:val="20"/>
                <w:szCs w:val="20"/>
                <w:color w:val="auto"/>
              </w:rPr>
            </w:pPr>
            <w:r>
              <w:rPr>
                <w:rFonts w:ascii="Arial" w:cs="Arial" w:eastAsia="Arial" w:hAnsi="Arial"/>
                <w:sz w:val="18"/>
                <w:szCs w:val="18"/>
                <w:color w:val="auto"/>
              </w:rPr>
              <w:t>—</w:t>
            </w:r>
          </w:p>
        </w:tc>
        <w:tc>
          <w:tcPr>
            <w:tcW w:w="1560" w:type="dxa"/>
            <w:vAlign w:val="bottom"/>
          </w:tcPr>
          <w:p>
            <w:pPr>
              <w:jc w:val="right"/>
              <w:ind w:right="92"/>
              <w:spacing w:after="0"/>
              <w:rPr>
                <w:sz w:val="20"/>
                <w:szCs w:val="20"/>
                <w:color w:val="auto"/>
              </w:rPr>
            </w:pPr>
            <w:r>
              <w:rPr>
                <w:rFonts w:ascii="Arial" w:cs="Arial" w:eastAsia="Arial" w:hAnsi="Arial"/>
                <w:sz w:val="18"/>
                <w:szCs w:val="18"/>
                <w:color w:val="auto"/>
              </w:rPr>
              <w:t>—</w:t>
            </w:r>
          </w:p>
        </w:tc>
        <w:tc>
          <w:tcPr>
            <w:tcW w:w="1620" w:type="dxa"/>
            <w:vAlign w:val="bottom"/>
          </w:tcPr>
          <w:p>
            <w:pPr>
              <w:jc w:val="right"/>
              <w:ind w:right="12"/>
              <w:spacing w:after="0"/>
              <w:rPr>
                <w:sz w:val="20"/>
                <w:szCs w:val="20"/>
                <w:color w:val="auto"/>
              </w:rPr>
            </w:pPr>
            <w:r>
              <w:rPr>
                <w:rFonts w:ascii="Arial" w:cs="Arial" w:eastAsia="Arial" w:hAnsi="Arial"/>
                <w:sz w:val="18"/>
                <w:szCs w:val="18"/>
                <w:color w:val="auto"/>
              </w:rPr>
              <w:t>2.9</w:t>
            </w:r>
          </w:p>
        </w:tc>
      </w:tr>
      <w:tr>
        <w:trPr>
          <w:trHeight w:val="27"/>
        </w:trPr>
        <w:tc>
          <w:tcPr>
            <w:tcW w:w="5700" w:type="dxa"/>
            <w:vAlign w:val="bottom"/>
          </w:tcPr>
          <w:p>
            <w:pPr>
              <w:spacing w:after="0"/>
              <w:rPr>
                <w:sz w:val="2"/>
                <w:szCs w:val="2"/>
                <w:color w:val="auto"/>
              </w:rPr>
            </w:pPr>
          </w:p>
        </w:tc>
        <w:tc>
          <w:tcPr>
            <w:tcW w:w="720" w:type="dxa"/>
            <w:vAlign w:val="bottom"/>
          </w:tcPr>
          <w:p>
            <w:pPr>
              <w:spacing w:after="0"/>
              <w:rPr>
                <w:sz w:val="2"/>
                <w:szCs w:val="2"/>
                <w:color w:val="auto"/>
              </w:rPr>
            </w:pPr>
          </w:p>
        </w:tc>
        <w:tc>
          <w:tcPr>
            <w:tcW w:w="18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250"/>
        </w:trPr>
        <w:tc>
          <w:tcPr>
            <w:tcW w:w="570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Stock-based compensation expense</w:t>
            </w:r>
          </w:p>
        </w:tc>
        <w:tc>
          <w:tcPr>
            <w:tcW w:w="7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2.0</w:t>
            </w:r>
          </w:p>
        </w:tc>
        <w:tc>
          <w:tcPr>
            <w:tcW w:w="1820" w:type="dxa"/>
            <w:vAlign w:val="bottom"/>
            <w:tcBorders>
              <w:bottom w:val="single" w:sz="8" w:color="CCEEFF"/>
            </w:tcBorders>
            <w:shd w:val="clear" w:color="auto" w:fill="CCEEFF"/>
          </w:tcPr>
          <w:p>
            <w:pPr>
              <w:jc w:val="right"/>
              <w:ind w:right="212"/>
              <w:spacing w:after="0"/>
              <w:rPr>
                <w:sz w:val="20"/>
                <w:szCs w:val="20"/>
                <w:color w:val="auto"/>
              </w:rPr>
            </w:pPr>
            <w:r>
              <w:rPr>
                <w:rFonts w:ascii="Arial" w:cs="Arial" w:eastAsia="Arial" w:hAnsi="Arial"/>
                <w:sz w:val="18"/>
                <w:szCs w:val="18"/>
                <w:color w:val="auto"/>
              </w:rPr>
              <w:t>—</w:t>
            </w:r>
          </w:p>
        </w:tc>
        <w:tc>
          <w:tcPr>
            <w:tcW w:w="156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2.0</w:t>
            </w:r>
          </w:p>
        </w:tc>
        <w:tc>
          <w:tcPr>
            <w:tcW w:w="16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r>
      <w:tr>
        <w:trPr>
          <w:trHeight w:val="243"/>
        </w:trPr>
        <w:tc>
          <w:tcPr>
            <w:tcW w:w="5700" w:type="dxa"/>
            <w:vAlign w:val="bottom"/>
          </w:tcPr>
          <w:p>
            <w:pPr>
              <w:ind w:left="200"/>
              <w:spacing w:after="0"/>
              <w:rPr>
                <w:sz w:val="20"/>
                <w:szCs w:val="20"/>
                <w:color w:val="auto"/>
              </w:rPr>
            </w:pPr>
            <w:r>
              <w:rPr>
                <w:rFonts w:ascii="Arial" w:cs="Arial" w:eastAsia="Arial" w:hAnsi="Arial"/>
                <w:sz w:val="18"/>
                <w:szCs w:val="18"/>
                <w:color w:val="auto"/>
              </w:rPr>
              <w:t>Net transfer (to)/from Parent and affiliates</w:t>
            </w:r>
          </w:p>
        </w:tc>
        <w:tc>
          <w:tcPr>
            <w:tcW w:w="720" w:type="dxa"/>
            <w:vAlign w:val="bottom"/>
          </w:tcPr>
          <w:p>
            <w:pPr>
              <w:jc w:val="right"/>
              <w:ind w:right="70"/>
              <w:spacing w:after="0"/>
              <w:rPr>
                <w:sz w:val="20"/>
                <w:szCs w:val="20"/>
                <w:color w:val="auto"/>
              </w:rPr>
            </w:pPr>
            <w:r>
              <w:rPr>
                <w:rFonts w:ascii="Arial" w:cs="Arial" w:eastAsia="Arial" w:hAnsi="Arial"/>
                <w:sz w:val="18"/>
                <w:szCs w:val="18"/>
                <w:color w:val="auto"/>
              </w:rPr>
              <w:t>(71.2)</w:t>
            </w:r>
          </w:p>
        </w:tc>
        <w:tc>
          <w:tcPr>
            <w:tcW w:w="1820" w:type="dxa"/>
            <w:vAlign w:val="bottom"/>
          </w:tcPr>
          <w:p>
            <w:pPr>
              <w:jc w:val="right"/>
              <w:ind w:right="212"/>
              <w:spacing w:after="0"/>
              <w:rPr>
                <w:sz w:val="20"/>
                <w:szCs w:val="20"/>
                <w:color w:val="auto"/>
              </w:rPr>
            </w:pPr>
            <w:r>
              <w:rPr>
                <w:rFonts w:ascii="Arial" w:cs="Arial" w:eastAsia="Arial" w:hAnsi="Arial"/>
                <w:sz w:val="18"/>
                <w:szCs w:val="18"/>
                <w:color w:val="auto"/>
              </w:rPr>
              <w:t>—</w:t>
            </w:r>
          </w:p>
        </w:tc>
        <w:tc>
          <w:tcPr>
            <w:tcW w:w="1560" w:type="dxa"/>
            <w:vAlign w:val="bottom"/>
          </w:tcPr>
          <w:p>
            <w:pPr>
              <w:jc w:val="right"/>
              <w:ind w:right="92"/>
              <w:spacing w:after="0"/>
              <w:rPr>
                <w:sz w:val="20"/>
                <w:szCs w:val="20"/>
                <w:color w:val="auto"/>
              </w:rPr>
            </w:pPr>
            <w:r>
              <w:rPr>
                <w:rFonts w:ascii="Arial" w:cs="Arial" w:eastAsia="Arial" w:hAnsi="Arial"/>
                <w:sz w:val="18"/>
                <w:szCs w:val="18"/>
                <w:color w:val="auto"/>
              </w:rPr>
              <w:t>165.9</w:t>
            </w:r>
          </w:p>
        </w:tc>
        <w:tc>
          <w:tcPr>
            <w:tcW w:w="1620" w:type="dxa"/>
            <w:vAlign w:val="bottom"/>
          </w:tcPr>
          <w:p>
            <w:pPr>
              <w:jc w:val="right"/>
              <w:spacing w:after="0"/>
              <w:rPr>
                <w:sz w:val="20"/>
                <w:szCs w:val="20"/>
                <w:color w:val="auto"/>
              </w:rPr>
            </w:pPr>
            <w:r>
              <w:rPr>
                <w:rFonts w:ascii="Arial" w:cs="Arial" w:eastAsia="Arial" w:hAnsi="Arial"/>
                <w:sz w:val="18"/>
                <w:szCs w:val="18"/>
                <w:color w:val="auto"/>
              </w:rPr>
              <w:t>(237.1)</w:t>
            </w:r>
          </w:p>
        </w:tc>
      </w:tr>
      <w:tr>
        <w:trPr>
          <w:trHeight w:val="27"/>
        </w:trPr>
        <w:tc>
          <w:tcPr>
            <w:tcW w:w="5700" w:type="dxa"/>
            <w:vAlign w:val="bottom"/>
          </w:tcPr>
          <w:p>
            <w:pPr>
              <w:spacing w:after="0"/>
              <w:rPr>
                <w:sz w:val="2"/>
                <w:szCs w:val="2"/>
                <w:color w:val="auto"/>
              </w:rPr>
            </w:pPr>
          </w:p>
        </w:tc>
        <w:tc>
          <w:tcPr>
            <w:tcW w:w="720" w:type="dxa"/>
            <w:vAlign w:val="bottom"/>
          </w:tcPr>
          <w:p>
            <w:pPr>
              <w:spacing w:after="0"/>
              <w:rPr>
                <w:sz w:val="2"/>
                <w:szCs w:val="2"/>
                <w:color w:val="auto"/>
              </w:rPr>
            </w:pPr>
          </w:p>
        </w:tc>
        <w:tc>
          <w:tcPr>
            <w:tcW w:w="18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229"/>
        </w:trPr>
        <w:tc>
          <w:tcPr>
            <w:tcW w:w="57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Reclassification of net parent investment to additional paid-in</w:t>
            </w:r>
          </w:p>
        </w:tc>
        <w:tc>
          <w:tcPr>
            <w:tcW w:w="720" w:type="dxa"/>
            <w:vAlign w:val="bottom"/>
            <w:shd w:val="clear" w:color="auto" w:fill="CCEEFF"/>
          </w:tcPr>
          <w:p>
            <w:pPr>
              <w:spacing w:after="0"/>
              <w:rPr>
                <w:sz w:val="19"/>
                <w:szCs w:val="19"/>
                <w:color w:val="auto"/>
              </w:rPr>
            </w:pPr>
          </w:p>
        </w:tc>
        <w:tc>
          <w:tcPr>
            <w:tcW w:w="1820" w:type="dxa"/>
            <w:vAlign w:val="bottom"/>
            <w:shd w:val="clear" w:color="auto" w:fill="CCEEFF"/>
          </w:tcPr>
          <w:p>
            <w:pPr>
              <w:spacing w:after="0"/>
              <w:rPr>
                <w:sz w:val="19"/>
                <w:szCs w:val="19"/>
                <w:color w:val="auto"/>
              </w:rPr>
            </w:pPr>
          </w:p>
        </w:tc>
        <w:tc>
          <w:tcPr>
            <w:tcW w:w="1560" w:type="dxa"/>
            <w:vAlign w:val="bottom"/>
            <w:shd w:val="clear" w:color="auto" w:fill="CCEEFF"/>
          </w:tcPr>
          <w:p>
            <w:pPr>
              <w:spacing w:after="0"/>
              <w:rPr>
                <w:sz w:val="19"/>
                <w:szCs w:val="19"/>
                <w:color w:val="auto"/>
              </w:rPr>
            </w:pPr>
          </w:p>
        </w:tc>
        <w:tc>
          <w:tcPr>
            <w:tcW w:w="1620" w:type="dxa"/>
            <w:vAlign w:val="bottom"/>
            <w:shd w:val="clear" w:color="auto" w:fill="CCEEFF"/>
          </w:tcPr>
          <w:p>
            <w:pPr>
              <w:spacing w:after="0"/>
              <w:rPr>
                <w:sz w:val="19"/>
                <w:szCs w:val="19"/>
                <w:color w:val="auto"/>
              </w:rPr>
            </w:pPr>
          </w:p>
        </w:tc>
      </w:tr>
      <w:tr>
        <w:trPr>
          <w:trHeight w:val="262"/>
        </w:trPr>
        <w:tc>
          <w:tcPr>
            <w:tcW w:w="570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capital</w:t>
            </w:r>
          </w:p>
        </w:tc>
        <w:tc>
          <w:tcPr>
            <w:tcW w:w="7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820" w:type="dxa"/>
            <w:vAlign w:val="bottom"/>
            <w:tcBorders>
              <w:bottom w:val="single" w:sz="8" w:color="CCEEFF"/>
            </w:tcBorders>
            <w:shd w:val="clear" w:color="auto" w:fill="CCEEFF"/>
          </w:tcPr>
          <w:p>
            <w:pPr>
              <w:jc w:val="right"/>
              <w:ind w:right="212"/>
              <w:spacing w:after="0"/>
              <w:rPr>
                <w:sz w:val="20"/>
                <w:szCs w:val="20"/>
                <w:color w:val="auto"/>
              </w:rPr>
            </w:pPr>
            <w:r>
              <w:rPr>
                <w:rFonts w:ascii="Arial" w:cs="Arial" w:eastAsia="Arial" w:hAnsi="Arial"/>
                <w:sz w:val="18"/>
                <w:szCs w:val="18"/>
                <w:color w:val="auto"/>
              </w:rPr>
              <w:t>1,031.4</w:t>
            </w:r>
          </w:p>
        </w:tc>
        <w:tc>
          <w:tcPr>
            <w:tcW w:w="15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(1,031.4)</w:t>
            </w:r>
          </w:p>
        </w:tc>
        <w:tc>
          <w:tcPr>
            <w:tcW w:w="16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r>
      <w:tr>
        <w:trPr>
          <w:trHeight w:val="237"/>
        </w:trPr>
        <w:tc>
          <w:tcPr>
            <w:tcW w:w="5700" w:type="dxa"/>
            <w:vAlign w:val="bottom"/>
            <w:tcBorders>
              <w:top w:val="single" w:sz="8" w:color="333333"/>
            </w:tcBorders>
          </w:tcPr>
          <w:p>
            <w:pPr>
              <w:ind w:left="40"/>
              <w:spacing w:after="0"/>
              <w:rPr>
                <w:sz w:val="20"/>
                <w:szCs w:val="20"/>
                <w:color w:val="auto"/>
              </w:rPr>
            </w:pPr>
            <w:r>
              <w:rPr>
                <w:rFonts w:ascii="Arial" w:cs="Arial" w:eastAsia="Arial" w:hAnsi="Arial"/>
                <w:sz w:val="18"/>
                <w:szCs w:val="18"/>
                <w:b w:val="1"/>
                <w:bCs w:val="1"/>
                <w:color w:val="auto"/>
              </w:rPr>
              <w:t>Balance as of June 30, 2014</w:t>
            </w:r>
          </w:p>
        </w:tc>
        <w:tc>
          <w:tcPr>
            <w:tcW w:w="720" w:type="dxa"/>
            <w:vAlign w:val="bottom"/>
            <w:tcBorders>
              <w:top w:val="single" w:sz="8" w:color="333333"/>
            </w:tcBorders>
          </w:tcPr>
          <w:p>
            <w:pPr>
              <w:jc w:val="right"/>
              <w:ind w:right="130"/>
              <w:spacing w:after="0"/>
              <w:rPr>
                <w:sz w:val="20"/>
                <w:szCs w:val="20"/>
                <w:color w:val="auto"/>
              </w:rPr>
            </w:pPr>
            <w:r>
              <w:rPr>
                <w:rFonts w:ascii="Arial" w:cs="Arial" w:eastAsia="Arial" w:hAnsi="Arial"/>
                <w:sz w:val="18"/>
                <w:szCs w:val="18"/>
                <w:b w:val="1"/>
                <w:bCs w:val="1"/>
                <w:color w:val="auto"/>
                <w:w w:val="87"/>
              </w:rPr>
              <w:t>$797.2</w:t>
            </w:r>
          </w:p>
        </w:tc>
        <w:tc>
          <w:tcPr>
            <w:tcW w:w="1820" w:type="dxa"/>
            <w:vAlign w:val="bottom"/>
            <w:tcBorders>
              <w:top w:val="single" w:sz="8" w:color="333333"/>
            </w:tcBorders>
          </w:tcPr>
          <w:p>
            <w:pPr>
              <w:jc w:val="right"/>
              <w:ind w:right="212"/>
              <w:spacing w:after="0"/>
              <w:rPr>
                <w:sz w:val="20"/>
                <w:szCs w:val="20"/>
                <w:color w:val="auto"/>
              </w:rPr>
            </w:pPr>
            <w:r>
              <w:rPr>
                <w:rFonts w:ascii="Arial" w:cs="Arial" w:eastAsia="Arial" w:hAnsi="Arial"/>
                <w:sz w:val="18"/>
                <w:szCs w:val="18"/>
                <w:b w:val="1"/>
                <w:bCs w:val="1"/>
                <w:color w:val="auto"/>
              </w:rPr>
              <w:t>$1,031.4</w:t>
            </w:r>
          </w:p>
        </w:tc>
        <w:tc>
          <w:tcPr>
            <w:tcW w:w="1560" w:type="dxa"/>
            <w:vAlign w:val="bottom"/>
            <w:tcBorders>
              <w:top w:val="single" w:sz="8" w:color="333333"/>
            </w:tcBorders>
          </w:tcPr>
          <w:p>
            <w:pPr>
              <w:jc w:val="right"/>
              <w:ind w:right="92"/>
              <w:spacing w:after="0"/>
              <w:rPr>
                <w:sz w:val="20"/>
                <w:szCs w:val="20"/>
                <w:color w:val="auto"/>
              </w:rPr>
            </w:pPr>
            <w:r>
              <w:rPr>
                <w:rFonts w:ascii="Arial" w:cs="Arial" w:eastAsia="Arial" w:hAnsi="Arial"/>
                <w:sz w:val="18"/>
                <w:szCs w:val="18"/>
                <w:b w:val="1"/>
                <w:bCs w:val="1"/>
                <w:color w:val="auto"/>
              </w:rPr>
              <w:t>$—</w:t>
            </w:r>
          </w:p>
        </w:tc>
        <w:tc>
          <w:tcPr>
            <w:tcW w:w="1620" w:type="dxa"/>
            <w:vAlign w:val="bottom"/>
            <w:tcBorders>
              <w:top w:val="single" w:sz="8" w:color="333333"/>
            </w:tcBorders>
          </w:tcPr>
          <w:p>
            <w:pPr>
              <w:jc w:val="right"/>
              <w:spacing w:after="0"/>
              <w:rPr>
                <w:sz w:val="20"/>
                <w:szCs w:val="20"/>
                <w:color w:val="auto"/>
              </w:rPr>
            </w:pPr>
            <w:r>
              <w:rPr>
                <w:rFonts w:ascii="Arial" w:cs="Arial" w:eastAsia="Arial" w:hAnsi="Arial"/>
                <w:sz w:val="18"/>
                <w:szCs w:val="18"/>
                <w:b w:val="1"/>
                <w:bCs w:val="1"/>
                <w:color w:val="auto"/>
              </w:rPr>
              <w:t>($234.2)</w:t>
            </w:r>
          </w:p>
        </w:tc>
      </w:tr>
      <w:tr>
        <w:trPr>
          <w:trHeight w:val="34"/>
        </w:trPr>
        <w:tc>
          <w:tcPr>
            <w:tcW w:w="57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82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following table is a reconciliation of the amounts presented above as “Net transfer (to)/from Parent and affiliates” and the amounts presented as “Net transfers from/(to) Parent and affiliates” on the Unaudited Consolidated Statement of Cash Flows.</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584" w:right="239" w:bottom="1440" w:gutter="0" w:footer="0" w:header="0"/>
        </w:sectPr>
      </w:pPr>
    </w:p>
    <w:bookmarkStart w:id="11" w:name="page12"/>
    <w:bookmarkEnd w:id="11"/>
    <w:tbl>
      <w:tblPr>
        <w:tblLayout w:type="fixed"/>
        <w:tblInd w:w="0" w:type="dxa"/>
        <w:tblCellMar>
          <w:top w:w="0" w:type="dxa"/>
          <w:left w:w="0" w:type="dxa"/>
          <w:bottom w:w="0" w:type="dxa"/>
          <w:right w:w="0" w:type="dxa"/>
        </w:tblCellMar>
      </w:tblPr>
      <w:tr>
        <w:trPr>
          <w:trHeight w:val="210"/>
        </w:trPr>
        <w:tc>
          <w:tcPr>
            <w:tcW w:w="7060" w:type="dxa"/>
            <w:vAlign w:val="bottom"/>
          </w:tcPr>
          <w:p>
            <w:pPr>
              <w:spacing w:after="0"/>
              <w:rPr>
                <w:sz w:val="18"/>
                <w:szCs w:val="18"/>
                <w:color w:val="auto"/>
              </w:rPr>
            </w:pPr>
          </w:p>
        </w:tc>
        <w:tc>
          <w:tcPr>
            <w:tcW w:w="4360" w:type="dxa"/>
            <w:vAlign w:val="bottom"/>
          </w:tcPr>
          <w:p>
            <w:pPr>
              <w:jc w:val="right"/>
              <w:ind w:right="293"/>
              <w:spacing w:after="0"/>
              <w:rPr>
                <w:sz w:val="20"/>
                <w:szCs w:val="20"/>
                <w:color w:val="auto"/>
              </w:rPr>
            </w:pPr>
            <w:r>
              <w:rPr>
                <w:rFonts w:ascii="Arial" w:cs="Arial" w:eastAsia="Arial" w:hAnsi="Arial"/>
                <w:sz w:val="16"/>
                <w:szCs w:val="16"/>
                <w:b w:val="1"/>
                <w:bCs w:val="1"/>
                <w:color w:val="auto"/>
              </w:rPr>
              <w:t>Six Months Ended</w:t>
            </w:r>
          </w:p>
        </w:tc>
      </w:tr>
      <w:tr>
        <w:trPr>
          <w:trHeight w:val="270"/>
        </w:trPr>
        <w:tc>
          <w:tcPr>
            <w:tcW w:w="7060" w:type="dxa"/>
            <w:vAlign w:val="bottom"/>
          </w:tcPr>
          <w:p>
            <w:pPr>
              <w:spacing w:after="0"/>
              <w:rPr>
                <w:sz w:val="23"/>
                <w:szCs w:val="23"/>
                <w:color w:val="auto"/>
              </w:rPr>
            </w:pPr>
          </w:p>
        </w:tc>
        <w:tc>
          <w:tcPr>
            <w:tcW w:w="4360" w:type="dxa"/>
            <w:vAlign w:val="bottom"/>
          </w:tcPr>
          <w:p>
            <w:pPr>
              <w:jc w:val="right"/>
              <w:ind w:right="473"/>
              <w:spacing w:after="0"/>
              <w:rPr>
                <w:sz w:val="20"/>
                <w:szCs w:val="20"/>
                <w:color w:val="auto"/>
              </w:rPr>
            </w:pPr>
            <w:r>
              <w:rPr>
                <w:rFonts w:ascii="Arial" w:cs="Arial" w:eastAsia="Arial" w:hAnsi="Arial"/>
                <w:sz w:val="16"/>
                <w:szCs w:val="16"/>
                <w:b w:val="1"/>
                <w:bCs w:val="1"/>
                <w:color w:val="auto"/>
              </w:rPr>
              <w:t>June 30, 2014</w:t>
            </w:r>
          </w:p>
        </w:tc>
      </w:tr>
      <w:tr>
        <w:trPr>
          <w:trHeight w:val="33"/>
        </w:trPr>
        <w:tc>
          <w:tcPr>
            <w:tcW w:w="7060" w:type="dxa"/>
            <w:vAlign w:val="bottom"/>
            <w:tcBorders>
              <w:bottom w:val="single" w:sz="8" w:color="auto"/>
            </w:tcBorders>
          </w:tcPr>
          <w:p>
            <w:pPr>
              <w:spacing w:after="0"/>
              <w:rPr>
                <w:sz w:val="2"/>
                <w:szCs w:val="2"/>
                <w:color w:val="auto"/>
              </w:rPr>
            </w:pPr>
          </w:p>
        </w:tc>
        <w:tc>
          <w:tcPr>
            <w:tcW w:w="4360" w:type="dxa"/>
            <w:vAlign w:val="bottom"/>
            <w:tcBorders>
              <w:bottom w:val="single" w:sz="8" w:color="auto"/>
            </w:tcBorders>
          </w:tcPr>
          <w:p>
            <w:pPr>
              <w:spacing w:after="0"/>
              <w:rPr>
                <w:sz w:val="2"/>
                <w:szCs w:val="2"/>
                <w:color w:val="auto"/>
              </w:rPr>
            </w:pPr>
          </w:p>
        </w:tc>
      </w:tr>
      <w:tr>
        <w:trPr>
          <w:trHeight w:val="244"/>
        </w:trPr>
        <w:tc>
          <w:tcPr>
            <w:tcW w:w="7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transfer (to)/from Parent and affiliates - Equity</w:t>
            </w:r>
          </w:p>
        </w:tc>
        <w:tc>
          <w:tcPr>
            <w:tcW w:w="4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($71.2)</w:t>
            </w:r>
          </w:p>
        </w:tc>
      </w:tr>
      <w:tr>
        <w:trPr>
          <w:trHeight w:val="243"/>
        </w:trPr>
        <w:tc>
          <w:tcPr>
            <w:tcW w:w="7060" w:type="dxa"/>
            <w:vAlign w:val="bottom"/>
          </w:tcPr>
          <w:p>
            <w:pPr>
              <w:ind w:left="280"/>
              <w:spacing w:after="0"/>
              <w:rPr>
                <w:sz w:val="20"/>
                <w:szCs w:val="20"/>
                <w:color w:val="auto"/>
              </w:rPr>
            </w:pPr>
            <w:r>
              <w:rPr>
                <w:rFonts w:ascii="Arial" w:cs="Arial" w:eastAsia="Arial" w:hAnsi="Arial"/>
                <w:sz w:val="18"/>
                <w:szCs w:val="18"/>
                <w:color w:val="auto"/>
              </w:rPr>
              <w:t>Dividend paid to Parent</w:t>
            </w:r>
          </w:p>
        </w:tc>
        <w:tc>
          <w:tcPr>
            <w:tcW w:w="4360" w:type="dxa"/>
            <w:vAlign w:val="bottom"/>
          </w:tcPr>
          <w:p>
            <w:pPr>
              <w:jc w:val="right"/>
              <w:ind w:right="13"/>
              <w:spacing w:after="0"/>
              <w:rPr>
                <w:sz w:val="20"/>
                <w:szCs w:val="20"/>
                <w:color w:val="auto"/>
              </w:rPr>
            </w:pPr>
            <w:r>
              <w:rPr>
                <w:rFonts w:ascii="Arial" w:cs="Arial" w:eastAsia="Arial" w:hAnsi="Arial"/>
                <w:sz w:val="18"/>
                <w:szCs w:val="18"/>
                <w:color w:val="auto"/>
              </w:rPr>
              <w:t>50.0</w:t>
            </w:r>
          </w:p>
        </w:tc>
      </w:tr>
      <w:tr>
        <w:trPr>
          <w:trHeight w:val="27"/>
        </w:trPr>
        <w:tc>
          <w:tcPr>
            <w:tcW w:w="7060" w:type="dxa"/>
            <w:vAlign w:val="bottom"/>
          </w:tcPr>
          <w:p>
            <w:pPr>
              <w:spacing w:after="0"/>
              <w:rPr>
                <w:sz w:val="2"/>
                <w:szCs w:val="2"/>
                <w:color w:val="auto"/>
              </w:rPr>
            </w:pPr>
          </w:p>
        </w:tc>
        <w:tc>
          <w:tcPr>
            <w:tcW w:w="4360" w:type="dxa"/>
            <w:vAlign w:val="bottom"/>
          </w:tcPr>
          <w:p>
            <w:pPr>
              <w:spacing w:after="0"/>
              <w:rPr>
                <w:sz w:val="2"/>
                <w:szCs w:val="2"/>
                <w:color w:val="auto"/>
              </w:rPr>
            </w:pPr>
          </w:p>
        </w:tc>
      </w:tr>
      <w:tr>
        <w:trPr>
          <w:trHeight w:val="275"/>
        </w:trPr>
        <w:tc>
          <w:tcPr>
            <w:tcW w:w="7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Net transfer of assets and liabilities from Parent</w:t>
            </w:r>
          </w:p>
        </w:tc>
        <w:tc>
          <w:tcPr>
            <w:tcW w:w="43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25.0</w:t>
            </w:r>
          </w:p>
        </w:tc>
      </w:tr>
      <w:tr>
        <w:trPr>
          <w:trHeight w:val="237"/>
        </w:trPr>
        <w:tc>
          <w:tcPr>
            <w:tcW w:w="7060" w:type="dxa"/>
            <w:vAlign w:val="bottom"/>
            <w:tcBorders>
              <w:top w:val="single" w:sz="8" w:color="auto"/>
            </w:tcBorders>
          </w:tcPr>
          <w:p>
            <w:pPr>
              <w:ind w:left="40"/>
              <w:spacing w:after="0"/>
              <w:rPr>
                <w:sz w:val="20"/>
                <w:szCs w:val="20"/>
                <w:color w:val="auto"/>
              </w:rPr>
            </w:pPr>
            <w:r>
              <w:rPr>
                <w:rFonts w:ascii="Arial" w:cs="Arial" w:eastAsia="Arial" w:hAnsi="Arial"/>
                <w:sz w:val="18"/>
                <w:szCs w:val="18"/>
                <w:b w:val="1"/>
                <w:bCs w:val="1"/>
                <w:color w:val="auto"/>
              </w:rPr>
              <w:t>Net transfers from/(to) Parent and affiliates - Cash Flow</w:t>
            </w:r>
          </w:p>
        </w:tc>
        <w:tc>
          <w:tcPr>
            <w:tcW w:w="436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b w:val="1"/>
                <w:bCs w:val="1"/>
                <w:color w:val="auto"/>
              </w:rPr>
              <w:t>$3.8</w:t>
            </w:r>
          </w:p>
        </w:tc>
      </w:tr>
      <w:tr>
        <w:trPr>
          <w:trHeight w:val="34"/>
        </w:trPr>
        <w:tc>
          <w:tcPr>
            <w:tcW w:w="7060" w:type="dxa"/>
            <w:vAlign w:val="bottom"/>
            <w:tcBorders>
              <w:bottom w:val="single" w:sz="8" w:color="auto"/>
            </w:tcBorders>
          </w:tcPr>
          <w:p>
            <w:pPr>
              <w:spacing w:after="0"/>
              <w:rPr>
                <w:sz w:val="2"/>
                <w:szCs w:val="2"/>
                <w:color w:val="auto"/>
              </w:rPr>
            </w:pPr>
          </w:p>
        </w:tc>
        <w:tc>
          <w:tcPr>
            <w:tcW w:w="4360" w:type="dxa"/>
            <w:vAlign w:val="bottom"/>
            <w:tcBorders>
              <w:bottom w:val="single" w:sz="8" w:color="auto"/>
            </w:tcBorders>
          </w:tcPr>
          <w:p>
            <w:pPr>
              <w:spacing w:after="0"/>
              <w:rPr>
                <w:sz w:val="2"/>
                <w:szCs w:val="2"/>
                <w:color w:val="auto"/>
              </w:rPr>
            </w:pPr>
          </w:p>
        </w:tc>
      </w:tr>
    </w:tbl>
    <w:p>
      <w:pPr>
        <w:spacing w:after="0" w:line="360"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9 - Retirement and Postretirement Benefit Plans</w:t>
      </w:r>
    </w:p>
    <w:p>
      <w:pPr>
        <w:spacing w:after="0" w:line="19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Defined Benefit Pensions</w:t>
      </w:r>
    </w:p>
    <w:p>
      <w:pPr>
        <w:spacing w:after="0" w:line="185"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Prior to the spinoff, eligible TimkenSteel employees, including certain employees in foreign countries, participated in the following Timken-sponsored plans: The Timken Company Pension Plan; The Timken-Latrobe-MPB-Torrington Retirement Plan; and the Timken UK Pension Scheme. During the second quarter of 2014, the assets and liabilities of these pension plans related to TimkenSteel employees and retirees were transferred to pension plans sponsored by TimkenSteel. Plan assets of $1,185.3 million, benefit plan obligations of $1,134.8 million and accumulated other comprehensive losses of $361.2 million ($228.9 million, net of tax) were recorded by TimkenSteel related to these plans. The amounts recorded related to the transfer to TimkenSteel plans were remeasured as of the date of transfer, which included updated valuation assumptions, as appropriate, and are expected to be adjusted in the third quarter of 2014 based on final actuarial analyses.</w:t>
      </w:r>
    </w:p>
    <w:p>
      <w:pPr>
        <w:spacing w:after="0" w:line="149"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Pension benefits earned are generally based on years of service and compensation during active employment. TimkenSteel’s funding policy is consistent with the funding requirements of applicable laws and regulations. Asset allocations are established in a manner consistent with projected plan liabilities, benefit payments and expected rates of return for the various asset classes. The expected rate of return for the investment portfolio is based on expected rates of return for various asset classes, as well as historical asset class and fund performance.</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Postretirement Benefits</w:t>
      </w:r>
    </w:p>
    <w:p>
      <w:pPr>
        <w:spacing w:after="0" w:line="185"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Prior to the spinoff, eligible retirees of TimkenSteel and their dependents were provided health care and life insurance benefits from the following Timken-sponsored plans: The Timken Company Bargaining Unit Welfare Benefit Plan for Retirees and The Timken Company Welfare Plan for Retirees. During the second quarter of 2014, the assets and liabilities of these postretirement plans related to TimkenSteel employees and retirees were transferred to postretirement plans sponsored by TimkenSteel. Plan assets of $130.1 million, benefit plan obligations of $232.2 million and accumulated other comprehensive losses of $7.9 million ($5.0 million, net of tax) were recorded by TimkenSteel related to these plans. The amounts recorded related to the transfer to TimkenSteel plans were remeasured as of the date of transfer, which included updated valuation assumptions, as appropriate, and are expected to be adjusted in the third quarter of 2014 based on final actuarial analyses.</w:t>
      </w:r>
    </w:p>
    <w:p>
      <w:pPr>
        <w:spacing w:after="0" w:line="149"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following tables set forth the change in benefit obligation, change in plan assets, funded status and amounts recognized on the Unaudited Consolidated Balance Sheets for the defined benefit pension plans for the six months ended June 30, 2014:</w:t>
      </w:r>
    </w:p>
    <w:p>
      <w:pPr>
        <w:spacing w:after="0" w:line="13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4500" w:type="dxa"/>
            <w:vAlign w:val="bottom"/>
          </w:tcPr>
          <w:p>
            <w:pPr>
              <w:ind w:left="40"/>
              <w:spacing w:after="0"/>
              <w:rPr>
                <w:sz w:val="20"/>
                <w:szCs w:val="20"/>
                <w:color w:val="auto"/>
              </w:rPr>
            </w:pPr>
            <w:r>
              <w:rPr>
                <w:rFonts w:ascii="Arial" w:cs="Arial" w:eastAsia="Arial" w:hAnsi="Arial"/>
                <w:sz w:val="16"/>
                <w:szCs w:val="16"/>
                <w:b w:val="1"/>
                <w:bCs w:val="1"/>
                <w:color w:val="auto"/>
              </w:rPr>
              <w:t>Change in benefit obligation:</w:t>
            </w:r>
          </w:p>
        </w:tc>
        <w:tc>
          <w:tcPr>
            <w:tcW w:w="5220" w:type="dxa"/>
            <w:vAlign w:val="bottom"/>
          </w:tcPr>
          <w:p>
            <w:pPr>
              <w:jc w:val="right"/>
              <w:ind w:right="771"/>
              <w:spacing w:after="0"/>
              <w:rPr>
                <w:sz w:val="20"/>
                <w:szCs w:val="20"/>
                <w:color w:val="auto"/>
              </w:rPr>
            </w:pPr>
            <w:r>
              <w:rPr>
                <w:rFonts w:ascii="Arial" w:cs="Arial" w:eastAsia="Arial" w:hAnsi="Arial"/>
                <w:sz w:val="16"/>
                <w:szCs w:val="16"/>
                <w:b w:val="1"/>
                <w:bCs w:val="1"/>
                <w:color w:val="auto"/>
              </w:rPr>
              <w:t>Pension</w:t>
            </w:r>
          </w:p>
        </w:tc>
        <w:tc>
          <w:tcPr>
            <w:tcW w:w="1700" w:type="dxa"/>
            <w:vAlign w:val="bottom"/>
          </w:tcPr>
          <w:p>
            <w:pPr>
              <w:jc w:val="right"/>
              <w:ind w:right="311"/>
              <w:spacing w:after="0"/>
              <w:rPr>
                <w:sz w:val="20"/>
                <w:szCs w:val="20"/>
                <w:color w:val="auto"/>
              </w:rPr>
            </w:pPr>
            <w:r>
              <w:rPr>
                <w:rFonts w:ascii="Arial" w:cs="Arial" w:eastAsia="Arial" w:hAnsi="Arial"/>
                <w:sz w:val="16"/>
                <w:szCs w:val="16"/>
                <w:b w:val="1"/>
                <w:bCs w:val="1"/>
                <w:color w:val="auto"/>
              </w:rPr>
              <w:t>Postretirement</w:t>
            </w:r>
          </w:p>
        </w:tc>
      </w:tr>
      <w:tr>
        <w:trPr>
          <w:trHeight w:val="33"/>
        </w:trPr>
        <w:tc>
          <w:tcPr>
            <w:tcW w:w="4500" w:type="dxa"/>
            <w:vAlign w:val="bottom"/>
            <w:tcBorders>
              <w:bottom w:val="single" w:sz="8" w:color="auto"/>
            </w:tcBorders>
          </w:tcPr>
          <w:p>
            <w:pPr>
              <w:spacing w:after="0"/>
              <w:rPr>
                <w:sz w:val="2"/>
                <w:szCs w:val="2"/>
                <w:color w:val="auto"/>
              </w:rPr>
            </w:pPr>
          </w:p>
        </w:tc>
        <w:tc>
          <w:tcPr>
            <w:tcW w:w="522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r>
      <w:tr>
        <w:trPr>
          <w:trHeight w:val="244"/>
        </w:trPr>
        <w:tc>
          <w:tcPr>
            <w:tcW w:w="4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Benefit obligation as of December 31, 2013</w:t>
            </w:r>
          </w:p>
        </w:tc>
        <w:tc>
          <w:tcPr>
            <w:tcW w:w="5220" w:type="dxa"/>
            <w:vAlign w:val="bottom"/>
            <w:tcBorders>
              <w:bottom w:val="single" w:sz="8" w:color="CCEEFF"/>
            </w:tcBorders>
            <w:shd w:val="clear" w:color="auto" w:fill="CCEEFF"/>
          </w:tcPr>
          <w:p>
            <w:pPr>
              <w:jc w:val="right"/>
              <w:ind w:right="231"/>
              <w:spacing w:after="0"/>
              <w:rPr>
                <w:sz w:val="20"/>
                <w:szCs w:val="20"/>
                <w:color w:val="auto"/>
              </w:rPr>
            </w:pPr>
            <w:r>
              <w:rPr>
                <w:rFonts w:ascii="Arial" w:cs="Arial" w:eastAsia="Arial" w:hAnsi="Arial"/>
                <w:sz w:val="18"/>
                <w:szCs w:val="18"/>
                <w:color w:val="auto"/>
              </w:rPr>
              <w:t>$—</w:t>
            </w:r>
          </w:p>
        </w:tc>
        <w:tc>
          <w:tcPr>
            <w:tcW w:w="17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4500" w:type="dxa"/>
            <w:vAlign w:val="bottom"/>
          </w:tcPr>
          <w:p>
            <w:pPr>
              <w:ind w:left="500"/>
              <w:spacing w:after="0"/>
              <w:rPr>
                <w:sz w:val="20"/>
                <w:szCs w:val="20"/>
                <w:color w:val="auto"/>
              </w:rPr>
            </w:pPr>
            <w:r>
              <w:rPr>
                <w:rFonts w:ascii="Arial" w:cs="Arial" w:eastAsia="Arial" w:hAnsi="Arial"/>
                <w:sz w:val="18"/>
                <w:szCs w:val="18"/>
                <w:color w:val="auto"/>
              </w:rPr>
              <w:t>Service cost</w:t>
            </w:r>
          </w:p>
        </w:tc>
        <w:tc>
          <w:tcPr>
            <w:tcW w:w="5220" w:type="dxa"/>
            <w:vAlign w:val="bottom"/>
          </w:tcPr>
          <w:p>
            <w:pPr>
              <w:jc w:val="right"/>
              <w:ind w:right="231"/>
              <w:spacing w:after="0"/>
              <w:rPr>
                <w:sz w:val="20"/>
                <w:szCs w:val="20"/>
                <w:color w:val="auto"/>
              </w:rPr>
            </w:pPr>
            <w:r>
              <w:rPr>
                <w:rFonts w:ascii="Arial" w:cs="Arial" w:eastAsia="Arial" w:hAnsi="Arial"/>
                <w:sz w:val="18"/>
                <w:szCs w:val="18"/>
                <w:color w:val="auto"/>
              </w:rPr>
              <w:t>2.6</w:t>
            </w:r>
          </w:p>
        </w:tc>
        <w:tc>
          <w:tcPr>
            <w:tcW w:w="1700" w:type="dxa"/>
            <w:vAlign w:val="bottom"/>
          </w:tcPr>
          <w:p>
            <w:pPr>
              <w:jc w:val="right"/>
              <w:ind w:right="11"/>
              <w:spacing w:after="0"/>
              <w:rPr>
                <w:sz w:val="20"/>
                <w:szCs w:val="20"/>
                <w:color w:val="auto"/>
              </w:rPr>
            </w:pPr>
            <w:r>
              <w:rPr>
                <w:rFonts w:ascii="Arial" w:cs="Arial" w:eastAsia="Arial" w:hAnsi="Arial"/>
                <w:sz w:val="18"/>
                <w:szCs w:val="18"/>
                <w:color w:val="auto"/>
              </w:rPr>
              <w:t>0.3</w:t>
            </w:r>
          </w:p>
        </w:tc>
      </w:tr>
      <w:tr>
        <w:trPr>
          <w:trHeight w:val="27"/>
        </w:trPr>
        <w:tc>
          <w:tcPr>
            <w:tcW w:w="4500" w:type="dxa"/>
            <w:vAlign w:val="bottom"/>
          </w:tcPr>
          <w:p>
            <w:pPr>
              <w:spacing w:after="0"/>
              <w:rPr>
                <w:sz w:val="2"/>
                <w:szCs w:val="2"/>
                <w:color w:val="auto"/>
              </w:rPr>
            </w:pPr>
          </w:p>
        </w:tc>
        <w:tc>
          <w:tcPr>
            <w:tcW w:w="5220" w:type="dxa"/>
            <w:vAlign w:val="bottom"/>
          </w:tcPr>
          <w:p>
            <w:pPr>
              <w:spacing w:after="0"/>
              <w:rPr>
                <w:sz w:val="2"/>
                <w:szCs w:val="2"/>
                <w:color w:val="auto"/>
              </w:rPr>
            </w:pPr>
          </w:p>
        </w:tc>
        <w:tc>
          <w:tcPr>
            <w:tcW w:w="1700" w:type="dxa"/>
            <w:vAlign w:val="bottom"/>
          </w:tcPr>
          <w:p>
            <w:pPr>
              <w:spacing w:after="0"/>
              <w:rPr>
                <w:sz w:val="2"/>
                <w:szCs w:val="2"/>
                <w:color w:val="auto"/>
              </w:rPr>
            </w:pPr>
          </w:p>
        </w:tc>
      </w:tr>
      <w:tr>
        <w:trPr>
          <w:trHeight w:val="250"/>
        </w:trPr>
        <w:tc>
          <w:tcPr>
            <w:tcW w:w="450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Interest cost</w:t>
            </w:r>
          </w:p>
        </w:tc>
        <w:tc>
          <w:tcPr>
            <w:tcW w:w="5220" w:type="dxa"/>
            <w:vAlign w:val="bottom"/>
            <w:tcBorders>
              <w:bottom w:val="single" w:sz="8" w:color="CCEEFF"/>
            </w:tcBorders>
            <w:shd w:val="clear" w:color="auto" w:fill="CCEEFF"/>
          </w:tcPr>
          <w:p>
            <w:pPr>
              <w:jc w:val="right"/>
              <w:ind w:right="231"/>
              <w:spacing w:after="0"/>
              <w:rPr>
                <w:sz w:val="20"/>
                <w:szCs w:val="20"/>
                <w:color w:val="auto"/>
              </w:rPr>
            </w:pPr>
            <w:r>
              <w:rPr>
                <w:rFonts w:ascii="Arial" w:cs="Arial" w:eastAsia="Arial" w:hAnsi="Arial"/>
                <w:sz w:val="18"/>
                <w:szCs w:val="18"/>
                <w:color w:val="auto"/>
              </w:rPr>
              <w:t>7.8</w:t>
            </w:r>
          </w:p>
        </w:tc>
        <w:tc>
          <w:tcPr>
            <w:tcW w:w="17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1.6</w:t>
            </w:r>
          </w:p>
        </w:tc>
      </w:tr>
      <w:tr>
        <w:trPr>
          <w:trHeight w:val="243"/>
        </w:trPr>
        <w:tc>
          <w:tcPr>
            <w:tcW w:w="4500" w:type="dxa"/>
            <w:vAlign w:val="bottom"/>
          </w:tcPr>
          <w:p>
            <w:pPr>
              <w:ind w:left="500"/>
              <w:spacing w:after="0"/>
              <w:rPr>
                <w:sz w:val="20"/>
                <w:szCs w:val="20"/>
                <w:color w:val="auto"/>
              </w:rPr>
            </w:pPr>
            <w:r>
              <w:rPr>
                <w:rFonts w:ascii="Arial" w:cs="Arial" w:eastAsia="Arial" w:hAnsi="Arial"/>
                <w:sz w:val="18"/>
                <w:szCs w:val="18"/>
                <w:color w:val="auto"/>
              </w:rPr>
              <w:t>Actuarial (gains) losses</w:t>
            </w:r>
          </w:p>
        </w:tc>
        <w:tc>
          <w:tcPr>
            <w:tcW w:w="5220" w:type="dxa"/>
            <w:vAlign w:val="bottom"/>
          </w:tcPr>
          <w:p>
            <w:pPr>
              <w:jc w:val="right"/>
              <w:ind w:right="231"/>
              <w:spacing w:after="0"/>
              <w:rPr>
                <w:sz w:val="20"/>
                <w:szCs w:val="20"/>
                <w:color w:val="auto"/>
              </w:rPr>
            </w:pPr>
            <w:r>
              <w:rPr>
                <w:rFonts w:ascii="Arial" w:cs="Arial" w:eastAsia="Arial" w:hAnsi="Arial"/>
                <w:sz w:val="18"/>
                <w:szCs w:val="18"/>
                <w:color w:val="auto"/>
              </w:rPr>
              <w:t>—</w:t>
            </w:r>
          </w:p>
        </w:tc>
        <w:tc>
          <w:tcPr>
            <w:tcW w:w="170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4500" w:type="dxa"/>
            <w:vAlign w:val="bottom"/>
          </w:tcPr>
          <w:p>
            <w:pPr>
              <w:spacing w:after="0"/>
              <w:rPr>
                <w:sz w:val="2"/>
                <w:szCs w:val="2"/>
                <w:color w:val="auto"/>
              </w:rPr>
            </w:pPr>
          </w:p>
        </w:tc>
        <w:tc>
          <w:tcPr>
            <w:tcW w:w="5220" w:type="dxa"/>
            <w:vAlign w:val="bottom"/>
          </w:tcPr>
          <w:p>
            <w:pPr>
              <w:spacing w:after="0"/>
              <w:rPr>
                <w:sz w:val="2"/>
                <w:szCs w:val="2"/>
                <w:color w:val="auto"/>
              </w:rPr>
            </w:pPr>
          </w:p>
        </w:tc>
        <w:tc>
          <w:tcPr>
            <w:tcW w:w="1700" w:type="dxa"/>
            <w:vAlign w:val="bottom"/>
          </w:tcPr>
          <w:p>
            <w:pPr>
              <w:spacing w:after="0"/>
              <w:rPr>
                <w:sz w:val="2"/>
                <w:szCs w:val="2"/>
                <w:color w:val="auto"/>
              </w:rPr>
            </w:pPr>
          </w:p>
        </w:tc>
      </w:tr>
      <w:tr>
        <w:trPr>
          <w:trHeight w:val="250"/>
        </w:trPr>
        <w:tc>
          <w:tcPr>
            <w:tcW w:w="450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Employee contributions</w:t>
            </w:r>
          </w:p>
        </w:tc>
        <w:tc>
          <w:tcPr>
            <w:tcW w:w="5220" w:type="dxa"/>
            <w:vAlign w:val="bottom"/>
            <w:tcBorders>
              <w:bottom w:val="single" w:sz="8" w:color="CCEEFF"/>
            </w:tcBorders>
            <w:shd w:val="clear" w:color="auto" w:fill="CCEEFF"/>
          </w:tcPr>
          <w:p>
            <w:pPr>
              <w:jc w:val="right"/>
              <w:ind w:right="231"/>
              <w:spacing w:after="0"/>
              <w:rPr>
                <w:sz w:val="20"/>
                <w:szCs w:val="20"/>
                <w:color w:val="auto"/>
              </w:rPr>
            </w:pPr>
            <w:r>
              <w:rPr>
                <w:rFonts w:ascii="Arial" w:cs="Arial" w:eastAsia="Arial" w:hAnsi="Arial"/>
                <w:sz w:val="18"/>
                <w:szCs w:val="18"/>
                <w:color w:val="auto"/>
              </w:rPr>
              <w:t>—</w:t>
            </w:r>
          </w:p>
        </w:tc>
        <w:tc>
          <w:tcPr>
            <w:tcW w:w="17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4500" w:type="dxa"/>
            <w:vAlign w:val="bottom"/>
          </w:tcPr>
          <w:p>
            <w:pPr>
              <w:ind w:left="500"/>
              <w:spacing w:after="0"/>
              <w:rPr>
                <w:sz w:val="20"/>
                <w:szCs w:val="20"/>
                <w:color w:val="auto"/>
              </w:rPr>
            </w:pPr>
            <w:r>
              <w:rPr>
                <w:rFonts w:ascii="Arial" w:cs="Arial" w:eastAsia="Arial" w:hAnsi="Arial"/>
                <w:sz w:val="18"/>
                <w:szCs w:val="18"/>
                <w:color w:val="auto"/>
              </w:rPr>
              <w:t>Benefits paid</w:t>
            </w:r>
          </w:p>
        </w:tc>
        <w:tc>
          <w:tcPr>
            <w:tcW w:w="5220" w:type="dxa"/>
            <w:vAlign w:val="bottom"/>
          </w:tcPr>
          <w:p>
            <w:pPr>
              <w:jc w:val="right"/>
              <w:ind w:right="171"/>
              <w:spacing w:after="0"/>
              <w:rPr>
                <w:sz w:val="20"/>
                <w:szCs w:val="20"/>
                <w:color w:val="auto"/>
              </w:rPr>
            </w:pPr>
            <w:r>
              <w:rPr>
                <w:rFonts w:ascii="Arial" w:cs="Arial" w:eastAsia="Arial" w:hAnsi="Arial"/>
                <w:sz w:val="18"/>
                <w:szCs w:val="18"/>
                <w:color w:val="auto"/>
              </w:rPr>
              <w:t>(11.7)</w:t>
            </w:r>
          </w:p>
        </w:tc>
        <w:tc>
          <w:tcPr>
            <w:tcW w:w="170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27"/>
        </w:trPr>
        <w:tc>
          <w:tcPr>
            <w:tcW w:w="4500" w:type="dxa"/>
            <w:vAlign w:val="bottom"/>
          </w:tcPr>
          <w:p>
            <w:pPr>
              <w:spacing w:after="0"/>
              <w:rPr>
                <w:sz w:val="2"/>
                <w:szCs w:val="2"/>
                <w:color w:val="auto"/>
              </w:rPr>
            </w:pPr>
          </w:p>
        </w:tc>
        <w:tc>
          <w:tcPr>
            <w:tcW w:w="5220" w:type="dxa"/>
            <w:vAlign w:val="bottom"/>
          </w:tcPr>
          <w:p>
            <w:pPr>
              <w:spacing w:after="0"/>
              <w:rPr>
                <w:sz w:val="2"/>
                <w:szCs w:val="2"/>
                <w:color w:val="auto"/>
              </w:rPr>
            </w:pPr>
          </w:p>
        </w:tc>
        <w:tc>
          <w:tcPr>
            <w:tcW w:w="1700" w:type="dxa"/>
            <w:vAlign w:val="bottom"/>
          </w:tcPr>
          <w:p>
            <w:pPr>
              <w:spacing w:after="0"/>
              <w:rPr>
                <w:sz w:val="2"/>
                <w:szCs w:val="2"/>
                <w:color w:val="auto"/>
              </w:rPr>
            </w:pPr>
          </w:p>
        </w:tc>
      </w:tr>
      <w:tr>
        <w:trPr>
          <w:trHeight w:val="250"/>
        </w:trPr>
        <w:tc>
          <w:tcPr>
            <w:tcW w:w="450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Liabilities assumed from separation</w:t>
            </w:r>
          </w:p>
        </w:tc>
        <w:tc>
          <w:tcPr>
            <w:tcW w:w="5220" w:type="dxa"/>
            <w:vAlign w:val="bottom"/>
            <w:tcBorders>
              <w:bottom w:val="single" w:sz="8" w:color="CCEEFF"/>
            </w:tcBorders>
            <w:shd w:val="clear" w:color="auto" w:fill="CCEEFF"/>
          </w:tcPr>
          <w:p>
            <w:pPr>
              <w:jc w:val="right"/>
              <w:ind w:right="231"/>
              <w:spacing w:after="0"/>
              <w:rPr>
                <w:sz w:val="20"/>
                <w:szCs w:val="20"/>
                <w:color w:val="auto"/>
              </w:rPr>
            </w:pPr>
            <w:r>
              <w:rPr>
                <w:rFonts w:ascii="Arial" w:cs="Arial" w:eastAsia="Arial" w:hAnsi="Arial"/>
                <w:sz w:val="18"/>
                <w:szCs w:val="18"/>
                <w:color w:val="auto"/>
              </w:rPr>
              <w:t>1,134.8</w:t>
            </w:r>
          </w:p>
        </w:tc>
        <w:tc>
          <w:tcPr>
            <w:tcW w:w="17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232.2</w:t>
            </w:r>
          </w:p>
        </w:tc>
      </w:tr>
      <w:tr>
        <w:trPr>
          <w:trHeight w:val="243"/>
        </w:trPr>
        <w:tc>
          <w:tcPr>
            <w:tcW w:w="4500" w:type="dxa"/>
            <w:vAlign w:val="bottom"/>
          </w:tcPr>
          <w:p>
            <w:pPr>
              <w:ind w:left="500"/>
              <w:spacing w:after="0"/>
              <w:rPr>
                <w:sz w:val="20"/>
                <w:szCs w:val="20"/>
                <w:color w:val="auto"/>
              </w:rPr>
            </w:pPr>
            <w:r>
              <w:rPr>
                <w:rFonts w:ascii="Arial" w:cs="Arial" w:eastAsia="Arial" w:hAnsi="Arial"/>
                <w:sz w:val="18"/>
                <w:szCs w:val="18"/>
                <w:color w:val="auto"/>
              </w:rPr>
              <w:t>International plan exchange rate change</w:t>
            </w:r>
          </w:p>
        </w:tc>
        <w:tc>
          <w:tcPr>
            <w:tcW w:w="5220" w:type="dxa"/>
            <w:vAlign w:val="bottom"/>
          </w:tcPr>
          <w:p>
            <w:pPr>
              <w:jc w:val="right"/>
              <w:ind w:right="231"/>
              <w:spacing w:after="0"/>
              <w:rPr>
                <w:sz w:val="20"/>
                <w:szCs w:val="20"/>
                <w:color w:val="auto"/>
              </w:rPr>
            </w:pPr>
            <w:r>
              <w:rPr>
                <w:rFonts w:ascii="Arial" w:cs="Arial" w:eastAsia="Arial" w:hAnsi="Arial"/>
                <w:sz w:val="18"/>
                <w:szCs w:val="18"/>
                <w:color w:val="auto"/>
              </w:rPr>
              <w:t>—</w:t>
            </w:r>
          </w:p>
        </w:tc>
        <w:tc>
          <w:tcPr>
            <w:tcW w:w="170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4500" w:type="dxa"/>
            <w:vAlign w:val="bottom"/>
            <w:tcBorders>
              <w:bottom w:val="single" w:sz="8" w:color="auto"/>
            </w:tcBorders>
          </w:tcPr>
          <w:p>
            <w:pPr>
              <w:spacing w:after="0"/>
              <w:rPr>
                <w:sz w:val="2"/>
                <w:szCs w:val="2"/>
                <w:color w:val="auto"/>
              </w:rPr>
            </w:pPr>
          </w:p>
        </w:tc>
        <w:tc>
          <w:tcPr>
            <w:tcW w:w="522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r>
      <w:tr>
        <w:trPr>
          <w:trHeight w:val="269"/>
        </w:trPr>
        <w:tc>
          <w:tcPr>
            <w:tcW w:w="4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Benefit obligation as of June 30, 2014</w:t>
            </w:r>
          </w:p>
        </w:tc>
        <w:tc>
          <w:tcPr>
            <w:tcW w:w="5220" w:type="dxa"/>
            <w:vAlign w:val="bottom"/>
            <w:tcBorders>
              <w:bottom w:val="single" w:sz="8" w:color="CCEEFF"/>
            </w:tcBorders>
            <w:shd w:val="clear" w:color="auto" w:fill="CCEEFF"/>
          </w:tcPr>
          <w:p>
            <w:pPr>
              <w:jc w:val="right"/>
              <w:ind w:right="231"/>
              <w:spacing w:after="0"/>
              <w:rPr>
                <w:sz w:val="20"/>
                <w:szCs w:val="20"/>
                <w:color w:val="auto"/>
              </w:rPr>
            </w:pPr>
            <w:r>
              <w:rPr>
                <w:rFonts w:ascii="Arial" w:cs="Arial" w:eastAsia="Arial" w:hAnsi="Arial"/>
                <w:sz w:val="18"/>
                <w:szCs w:val="18"/>
                <w:b w:val="1"/>
                <w:bCs w:val="1"/>
                <w:color w:val="auto"/>
              </w:rPr>
              <w:t>$1,133.5</w:t>
            </w:r>
          </w:p>
        </w:tc>
        <w:tc>
          <w:tcPr>
            <w:tcW w:w="17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$230.6</w:t>
            </w:r>
          </w:p>
        </w:tc>
      </w:tr>
      <w:tr>
        <w:trPr>
          <w:trHeight w:val="453"/>
        </w:trPr>
        <w:tc>
          <w:tcPr>
            <w:tcW w:w="4500" w:type="dxa"/>
            <w:vAlign w:val="bottom"/>
            <w:tcBorders>
              <w:top w:val="single" w:sz="8" w:color="auto"/>
            </w:tcBorders>
          </w:tcPr>
          <w:p>
            <w:pPr>
              <w:spacing w:after="0"/>
              <w:rPr>
                <w:sz w:val="24"/>
                <w:szCs w:val="24"/>
                <w:color w:val="auto"/>
              </w:rPr>
            </w:pPr>
          </w:p>
        </w:tc>
        <w:tc>
          <w:tcPr>
            <w:tcW w:w="5220" w:type="dxa"/>
            <w:vAlign w:val="bottom"/>
            <w:tcBorders>
              <w:top w:val="single" w:sz="8" w:color="auto"/>
            </w:tcBorders>
          </w:tcPr>
          <w:p>
            <w:pPr>
              <w:jc w:val="right"/>
              <w:ind w:right="3831"/>
              <w:spacing w:after="0"/>
              <w:rPr>
                <w:sz w:val="20"/>
                <w:szCs w:val="20"/>
                <w:color w:val="auto"/>
              </w:rPr>
            </w:pPr>
            <w:r>
              <w:rPr>
                <w:rFonts w:ascii="Arial" w:cs="Arial" w:eastAsia="Arial" w:hAnsi="Arial"/>
                <w:sz w:val="18"/>
                <w:szCs w:val="18"/>
                <w:color w:val="auto"/>
              </w:rPr>
              <w:t>10</w:t>
            </w:r>
          </w:p>
        </w:tc>
        <w:tc>
          <w:tcPr>
            <w:tcW w:w="1700" w:type="dxa"/>
            <w:vAlign w:val="bottom"/>
            <w:tcBorders>
              <w:top w:val="single" w:sz="8" w:color="auto"/>
            </w:tcBorders>
          </w:tcPr>
          <w:p>
            <w:pPr>
              <w:spacing w:after="0"/>
              <w:rPr>
                <w:sz w:val="24"/>
                <w:szCs w:val="24"/>
                <w:color w:val="auto"/>
              </w:rPr>
            </w:pPr>
          </w:p>
        </w:tc>
      </w:tr>
    </w:tbl>
    <w:p>
      <w:pPr>
        <w:sectPr>
          <w:pgSz w:w="11900" w:h="16838" w:orient="portrait"/>
          <w:cols w:equalWidth="0" w:num="1">
            <w:col w:w="11420"/>
          </w:cols>
          <w:pgMar w:left="240" w:top="760" w:right="239" w:bottom="1440" w:gutter="0" w:footer="0" w:header="0"/>
        </w:sectPr>
      </w:pPr>
    </w:p>
    <w:bookmarkStart w:id="12" w:name="page13"/>
    <w:bookmarkEnd w:id="1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5960" w:type="dxa"/>
            <w:vAlign w:val="bottom"/>
          </w:tcPr>
          <w:p>
            <w:pPr>
              <w:ind w:left="40"/>
              <w:spacing w:after="0"/>
              <w:rPr>
                <w:sz w:val="20"/>
                <w:szCs w:val="20"/>
                <w:color w:val="auto"/>
              </w:rPr>
            </w:pPr>
            <w:r>
              <w:rPr>
                <w:rFonts w:ascii="Arial" w:cs="Arial" w:eastAsia="Arial" w:hAnsi="Arial"/>
                <w:sz w:val="16"/>
                <w:szCs w:val="16"/>
                <w:b w:val="1"/>
                <w:bCs w:val="1"/>
                <w:color w:val="auto"/>
              </w:rPr>
              <w:t>Change in plan assets:</w:t>
            </w:r>
          </w:p>
        </w:tc>
        <w:tc>
          <w:tcPr>
            <w:tcW w:w="3960" w:type="dxa"/>
            <w:vAlign w:val="bottom"/>
          </w:tcPr>
          <w:p>
            <w:pPr>
              <w:jc w:val="right"/>
              <w:ind w:right="971"/>
              <w:spacing w:after="0"/>
              <w:rPr>
                <w:sz w:val="20"/>
                <w:szCs w:val="20"/>
                <w:color w:val="auto"/>
              </w:rPr>
            </w:pPr>
            <w:r>
              <w:rPr>
                <w:rFonts w:ascii="Arial" w:cs="Arial" w:eastAsia="Arial" w:hAnsi="Arial"/>
                <w:sz w:val="16"/>
                <w:szCs w:val="16"/>
                <w:b w:val="1"/>
                <w:bCs w:val="1"/>
                <w:color w:val="auto"/>
              </w:rPr>
              <w:t>Pension</w:t>
            </w:r>
          </w:p>
        </w:tc>
        <w:tc>
          <w:tcPr>
            <w:tcW w:w="1500" w:type="dxa"/>
            <w:vAlign w:val="bottom"/>
          </w:tcPr>
          <w:p>
            <w:pPr>
              <w:jc w:val="right"/>
              <w:ind w:right="311"/>
              <w:spacing w:after="0"/>
              <w:rPr>
                <w:sz w:val="20"/>
                <w:szCs w:val="20"/>
                <w:color w:val="auto"/>
              </w:rPr>
            </w:pPr>
            <w:r>
              <w:rPr>
                <w:rFonts w:ascii="Arial" w:cs="Arial" w:eastAsia="Arial" w:hAnsi="Arial"/>
                <w:sz w:val="16"/>
                <w:szCs w:val="16"/>
                <w:b w:val="1"/>
                <w:bCs w:val="1"/>
                <w:color w:val="auto"/>
                <w:w w:val="95"/>
              </w:rPr>
              <w:t>Postretirement</w:t>
            </w:r>
          </w:p>
        </w:tc>
      </w:tr>
      <w:tr>
        <w:trPr>
          <w:trHeight w:val="33"/>
        </w:trPr>
        <w:tc>
          <w:tcPr>
            <w:tcW w:w="5960" w:type="dxa"/>
            <w:vAlign w:val="bottom"/>
            <w:tcBorders>
              <w:bottom w:val="single" w:sz="8" w:color="auto"/>
            </w:tcBorders>
          </w:tcPr>
          <w:p>
            <w:pPr>
              <w:spacing w:after="0"/>
              <w:rPr>
                <w:sz w:val="2"/>
                <w:szCs w:val="2"/>
                <w:color w:val="auto"/>
              </w:rPr>
            </w:pPr>
          </w:p>
        </w:tc>
        <w:tc>
          <w:tcPr>
            <w:tcW w:w="396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r>
      <w:tr>
        <w:trPr>
          <w:trHeight w:val="244"/>
        </w:trPr>
        <w:tc>
          <w:tcPr>
            <w:tcW w:w="59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Fair value of plan assets as of December 31, 2013</w:t>
            </w:r>
          </w:p>
        </w:tc>
        <w:tc>
          <w:tcPr>
            <w:tcW w:w="3960" w:type="dxa"/>
            <w:vAlign w:val="bottom"/>
            <w:tcBorders>
              <w:bottom w:val="single" w:sz="8" w:color="CCEEFF"/>
            </w:tcBorders>
            <w:shd w:val="clear" w:color="auto" w:fill="CCEEFF"/>
          </w:tcPr>
          <w:p>
            <w:pPr>
              <w:jc w:val="right"/>
              <w:ind w:right="431"/>
              <w:spacing w:after="0"/>
              <w:rPr>
                <w:sz w:val="20"/>
                <w:szCs w:val="20"/>
                <w:color w:val="auto"/>
              </w:rPr>
            </w:pPr>
            <w:r>
              <w:rPr>
                <w:rFonts w:ascii="Arial" w:cs="Arial" w:eastAsia="Arial" w:hAnsi="Arial"/>
                <w:sz w:val="18"/>
                <w:szCs w:val="18"/>
                <w:color w:val="auto"/>
              </w:rPr>
              <w:t>$—</w:t>
            </w: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5960" w:type="dxa"/>
            <w:vAlign w:val="bottom"/>
          </w:tcPr>
          <w:p>
            <w:pPr>
              <w:ind w:left="500"/>
              <w:spacing w:after="0"/>
              <w:rPr>
                <w:sz w:val="20"/>
                <w:szCs w:val="20"/>
                <w:color w:val="auto"/>
              </w:rPr>
            </w:pPr>
            <w:r>
              <w:rPr>
                <w:rFonts w:ascii="Arial" w:cs="Arial" w:eastAsia="Arial" w:hAnsi="Arial"/>
                <w:sz w:val="18"/>
                <w:szCs w:val="18"/>
                <w:color w:val="auto"/>
              </w:rPr>
              <w:t>Actual return on plan assets</w:t>
            </w:r>
          </w:p>
        </w:tc>
        <w:tc>
          <w:tcPr>
            <w:tcW w:w="3960" w:type="dxa"/>
            <w:vAlign w:val="bottom"/>
          </w:tcPr>
          <w:p>
            <w:pPr>
              <w:jc w:val="right"/>
              <w:ind w:right="431"/>
              <w:spacing w:after="0"/>
              <w:rPr>
                <w:sz w:val="20"/>
                <w:szCs w:val="20"/>
                <w:color w:val="auto"/>
              </w:rPr>
            </w:pPr>
            <w:r>
              <w:rPr>
                <w:rFonts w:ascii="Arial" w:cs="Arial" w:eastAsia="Arial" w:hAnsi="Arial"/>
                <w:sz w:val="18"/>
                <w:szCs w:val="18"/>
                <w:color w:val="auto"/>
              </w:rPr>
              <w:t>11.6</w:t>
            </w: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1.1</w:t>
            </w:r>
          </w:p>
        </w:tc>
      </w:tr>
      <w:tr>
        <w:trPr>
          <w:trHeight w:val="27"/>
        </w:trPr>
        <w:tc>
          <w:tcPr>
            <w:tcW w:w="5960" w:type="dxa"/>
            <w:vAlign w:val="bottom"/>
          </w:tcPr>
          <w:p>
            <w:pPr>
              <w:spacing w:after="0"/>
              <w:rPr>
                <w:sz w:val="2"/>
                <w:szCs w:val="2"/>
                <w:color w:val="auto"/>
              </w:rPr>
            </w:pPr>
          </w:p>
        </w:tc>
        <w:tc>
          <w:tcPr>
            <w:tcW w:w="396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59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Employee contributions</w:t>
            </w:r>
          </w:p>
        </w:tc>
        <w:tc>
          <w:tcPr>
            <w:tcW w:w="3960" w:type="dxa"/>
            <w:vAlign w:val="bottom"/>
            <w:tcBorders>
              <w:bottom w:val="single" w:sz="8" w:color="CCEEFF"/>
            </w:tcBorders>
            <w:shd w:val="clear" w:color="auto" w:fill="CCEEFF"/>
          </w:tcPr>
          <w:p>
            <w:pPr>
              <w:jc w:val="right"/>
              <w:ind w:right="431"/>
              <w:spacing w:after="0"/>
              <w:rPr>
                <w:sz w:val="20"/>
                <w:szCs w:val="20"/>
                <w:color w:val="auto"/>
              </w:rPr>
            </w:pPr>
            <w:r>
              <w:rPr>
                <w:rFonts w:ascii="Arial" w:cs="Arial" w:eastAsia="Arial" w:hAnsi="Arial"/>
                <w:sz w:val="18"/>
                <w:szCs w:val="18"/>
                <w:color w:val="auto"/>
              </w:rPr>
              <w:t>—</w:t>
            </w: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5960" w:type="dxa"/>
            <w:vAlign w:val="bottom"/>
          </w:tcPr>
          <w:p>
            <w:pPr>
              <w:ind w:left="500"/>
              <w:spacing w:after="0"/>
              <w:rPr>
                <w:sz w:val="20"/>
                <w:szCs w:val="20"/>
                <w:color w:val="auto"/>
              </w:rPr>
            </w:pPr>
            <w:r>
              <w:rPr>
                <w:rFonts w:ascii="Arial" w:cs="Arial" w:eastAsia="Arial" w:hAnsi="Arial"/>
                <w:sz w:val="18"/>
                <w:szCs w:val="18"/>
                <w:color w:val="auto"/>
              </w:rPr>
              <w:t>Company contributions / payments</w:t>
            </w:r>
          </w:p>
        </w:tc>
        <w:tc>
          <w:tcPr>
            <w:tcW w:w="3960" w:type="dxa"/>
            <w:vAlign w:val="bottom"/>
          </w:tcPr>
          <w:p>
            <w:pPr>
              <w:jc w:val="right"/>
              <w:ind w:right="431"/>
              <w:spacing w:after="0"/>
              <w:rPr>
                <w:sz w:val="20"/>
                <w:szCs w:val="20"/>
                <w:color w:val="auto"/>
              </w:rPr>
            </w:pPr>
            <w:r>
              <w:rPr>
                <w:rFonts w:ascii="Arial" w:cs="Arial" w:eastAsia="Arial" w:hAnsi="Arial"/>
                <w:sz w:val="18"/>
                <w:szCs w:val="18"/>
                <w:color w:val="auto"/>
              </w:rPr>
              <w:t>—</w:t>
            </w: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14.7</w:t>
            </w:r>
          </w:p>
        </w:tc>
      </w:tr>
      <w:tr>
        <w:trPr>
          <w:trHeight w:val="27"/>
        </w:trPr>
        <w:tc>
          <w:tcPr>
            <w:tcW w:w="5960" w:type="dxa"/>
            <w:vAlign w:val="bottom"/>
          </w:tcPr>
          <w:p>
            <w:pPr>
              <w:spacing w:after="0"/>
              <w:rPr>
                <w:sz w:val="2"/>
                <w:szCs w:val="2"/>
                <w:color w:val="auto"/>
              </w:rPr>
            </w:pPr>
          </w:p>
        </w:tc>
        <w:tc>
          <w:tcPr>
            <w:tcW w:w="396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59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Benefits paid</w:t>
            </w:r>
          </w:p>
        </w:tc>
        <w:tc>
          <w:tcPr>
            <w:tcW w:w="3960" w:type="dxa"/>
            <w:vAlign w:val="bottom"/>
            <w:tcBorders>
              <w:bottom w:val="single" w:sz="8" w:color="CCEEFF"/>
            </w:tcBorders>
            <w:shd w:val="clear" w:color="auto" w:fill="CCEEFF"/>
          </w:tcPr>
          <w:p>
            <w:pPr>
              <w:jc w:val="right"/>
              <w:ind w:right="371"/>
              <w:spacing w:after="0"/>
              <w:rPr>
                <w:sz w:val="20"/>
                <w:szCs w:val="20"/>
                <w:color w:val="auto"/>
              </w:rPr>
            </w:pPr>
            <w:r>
              <w:rPr>
                <w:rFonts w:ascii="Arial" w:cs="Arial" w:eastAsia="Arial" w:hAnsi="Arial"/>
                <w:sz w:val="18"/>
                <w:szCs w:val="18"/>
                <w:color w:val="auto"/>
              </w:rPr>
              <w:t>(11.7)</w:t>
            </w: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w:t>
            </w:r>
          </w:p>
        </w:tc>
      </w:tr>
      <w:tr>
        <w:trPr>
          <w:trHeight w:val="243"/>
        </w:trPr>
        <w:tc>
          <w:tcPr>
            <w:tcW w:w="5960" w:type="dxa"/>
            <w:vAlign w:val="bottom"/>
          </w:tcPr>
          <w:p>
            <w:pPr>
              <w:ind w:left="500"/>
              <w:spacing w:after="0"/>
              <w:rPr>
                <w:sz w:val="20"/>
                <w:szCs w:val="20"/>
                <w:color w:val="auto"/>
              </w:rPr>
            </w:pPr>
            <w:r>
              <w:rPr>
                <w:rFonts w:ascii="Arial" w:cs="Arial" w:eastAsia="Arial" w:hAnsi="Arial"/>
                <w:sz w:val="18"/>
                <w:szCs w:val="18"/>
                <w:color w:val="auto"/>
              </w:rPr>
              <w:t>Assets received from separation</w:t>
            </w:r>
          </w:p>
        </w:tc>
        <w:tc>
          <w:tcPr>
            <w:tcW w:w="3960" w:type="dxa"/>
            <w:vAlign w:val="bottom"/>
          </w:tcPr>
          <w:p>
            <w:pPr>
              <w:jc w:val="right"/>
              <w:ind w:right="431"/>
              <w:spacing w:after="0"/>
              <w:rPr>
                <w:sz w:val="20"/>
                <w:szCs w:val="20"/>
                <w:color w:val="auto"/>
              </w:rPr>
            </w:pPr>
            <w:r>
              <w:rPr>
                <w:rFonts w:ascii="Arial" w:cs="Arial" w:eastAsia="Arial" w:hAnsi="Arial"/>
                <w:sz w:val="18"/>
                <w:szCs w:val="18"/>
                <w:color w:val="auto"/>
              </w:rPr>
              <w:t>1,185.3</w:t>
            </w: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130.1</w:t>
            </w:r>
          </w:p>
        </w:tc>
      </w:tr>
      <w:tr>
        <w:trPr>
          <w:trHeight w:val="27"/>
        </w:trPr>
        <w:tc>
          <w:tcPr>
            <w:tcW w:w="5960" w:type="dxa"/>
            <w:vAlign w:val="bottom"/>
          </w:tcPr>
          <w:p>
            <w:pPr>
              <w:spacing w:after="0"/>
              <w:rPr>
                <w:sz w:val="2"/>
                <w:szCs w:val="2"/>
                <w:color w:val="auto"/>
              </w:rPr>
            </w:pPr>
          </w:p>
        </w:tc>
        <w:tc>
          <w:tcPr>
            <w:tcW w:w="396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75"/>
        </w:trPr>
        <w:tc>
          <w:tcPr>
            <w:tcW w:w="59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International plan exchange rate change</w:t>
            </w:r>
          </w:p>
        </w:tc>
        <w:tc>
          <w:tcPr>
            <w:tcW w:w="3960" w:type="dxa"/>
            <w:vAlign w:val="bottom"/>
            <w:tcBorders>
              <w:bottom w:val="single" w:sz="8" w:color="CCEEFF"/>
            </w:tcBorders>
            <w:shd w:val="clear" w:color="auto" w:fill="CCEEFF"/>
          </w:tcPr>
          <w:p>
            <w:pPr>
              <w:jc w:val="right"/>
              <w:ind w:right="431"/>
              <w:spacing w:after="0"/>
              <w:rPr>
                <w:sz w:val="20"/>
                <w:szCs w:val="20"/>
                <w:color w:val="auto"/>
              </w:rPr>
            </w:pPr>
            <w:r>
              <w:rPr>
                <w:rFonts w:ascii="Arial" w:cs="Arial" w:eastAsia="Arial" w:hAnsi="Arial"/>
                <w:sz w:val="18"/>
                <w:szCs w:val="18"/>
                <w:color w:val="auto"/>
              </w:rPr>
              <w:t>—</w:t>
            </w: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37"/>
        </w:trPr>
        <w:tc>
          <w:tcPr>
            <w:tcW w:w="5960" w:type="dxa"/>
            <w:vAlign w:val="bottom"/>
            <w:tcBorders>
              <w:top w:val="single" w:sz="8" w:color="auto"/>
            </w:tcBorders>
          </w:tcPr>
          <w:p>
            <w:pPr>
              <w:ind w:left="40"/>
              <w:spacing w:after="0"/>
              <w:rPr>
                <w:sz w:val="20"/>
                <w:szCs w:val="20"/>
                <w:color w:val="auto"/>
              </w:rPr>
            </w:pPr>
            <w:r>
              <w:rPr>
                <w:rFonts w:ascii="Arial" w:cs="Arial" w:eastAsia="Arial" w:hAnsi="Arial"/>
                <w:sz w:val="18"/>
                <w:szCs w:val="18"/>
                <w:b w:val="1"/>
                <w:bCs w:val="1"/>
                <w:color w:val="auto"/>
              </w:rPr>
              <w:t>Fair value of plan assets as of June 30, 2014</w:t>
            </w:r>
          </w:p>
        </w:tc>
        <w:tc>
          <w:tcPr>
            <w:tcW w:w="3960" w:type="dxa"/>
            <w:vAlign w:val="bottom"/>
            <w:tcBorders>
              <w:top w:val="single" w:sz="8" w:color="auto"/>
            </w:tcBorders>
          </w:tcPr>
          <w:p>
            <w:pPr>
              <w:jc w:val="right"/>
              <w:ind w:right="431"/>
              <w:spacing w:after="0"/>
              <w:rPr>
                <w:sz w:val="20"/>
                <w:szCs w:val="20"/>
                <w:color w:val="auto"/>
              </w:rPr>
            </w:pPr>
            <w:r>
              <w:rPr>
                <w:rFonts w:ascii="Arial" w:cs="Arial" w:eastAsia="Arial" w:hAnsi="Arial"/>
                <w:sz w:val="18"/>
                <w:szCs w:val="18"/>
                <w:b w:val="1"/>
                <w:bCs w:val="1"/>
                <w:color w:val="auto"/>
              </w:rPr>
              <w:t>1,185.2</w:t>
            </w:r>
          </w:p>
        </w:tc>
        <w:tc>
          <w:tcPr>
            <w:tcW w:w="15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b w:val="1"/>
                <w:bCs w:val="1"/>
                <w:color w:val="auto"/>
              </w:rPr>
              <w:t>142.4</w:t>
            </w:r>
          </w:p>
        </w:tc>
      </w:tr>
      <w:tr>
        <w:trPr>
          <w:trHeight w:val="27"/>
        </w:trPr>
        <w:tc>
          <w:tcPr>
            <w:tcW w:w="5960" w:type="dxa"/>
            <w:vAlign w:val="bottom"/>
            <w:tcBorders>
              <w:bottom w:val="single" w:sz="8" w:color="auto"/>
            </w:tcBorders>
          </w:tcPr>
          <w:p>
            <w:pPr>
              <w:spacing w:after="0"/>
              <w:rPr>
                <w:sz w:val="2"/>
                <w:szCs w:val="2"/>
                <w:color w:val="auto"/>
              </w:rPr>
            </w:pPr>
          </w:p>
        </w:tc>
        <w:tc>
          <w:tcPr>
            <w:tcW w:w="396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r>
      <w:tr>
        <w:trPr>
          <w:trHeight w:val="276"/>
        </w:trPr>
        <w:tc>
          <w:tcPr>
            <w:tcW w:w="59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Funded status as of June 30, 2014</w:t>
            </w:r>
          </w:p>
        </w:tc>
        <w:tc>
          <w:tcPr>
            <w:tcW w:w="3960" w:type="dxa"/>
            <w:vAlign w:val="bottom"/>
            <w:tcBorders>
              <w:bottom w:val="single" w:sz="8" w:color="CCEEFF"/>
            </w:tcBorders>
            <w:shd w:val="clear" w:color="auto" w:fill="CCEEFF"/>
          </w:tcPr>
          <w:p>
            <w:pPr>
              <w:jc w:val="right"/>
              <w:ind w:right="431"/>
              <w:spacing w:after="0"/>
              <w:rPr>
                <w:sz w:val="20"/>
                <w:szCs w:val="20"/>
                <w:color w:val="auto"/>
              </w:rPr>
            </w:pPr>
            <w:r>
              <w:rPr>
                <w:rFonts w:ascii="Arial" w:cs="Arial" w:eastAsia="Arial" w:hAnsi="Arial"/>
                <w:sz w:val="18"/>
                <w:szCs w:val="18"/>
                <w:b w:val="1"/>
                <w:bCs w:val="1"/>
                <w:color w:val="auto"/>
              </w:rPr>
              <w:t>$51.7</w:t>
            </w: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($88.2)</w:t>
            </w:r>
          </w:p>
        </w:tc>
      </w:tr>
      <w:tr>
        <w:trPr>
          <w:trHeight w:val="324"/>
        </w:trPr>
        <w:tc>
          <w:tcPr>
            <w:tcW w:w="5960" w:type="dxa"/>
            <w:vAlign w:val="bottom"/>
            <w:tcBorders>
              <w:top w:val="single" w:sz="8" w:color="auto"/>
            </w:tcBorders>
          </w:tcPr>
          <w:p>
            <w:pPr>
              <w:spacing w:after="0"/>
              <w:rPr>
                <w:sz w:val="24"/>
                <w:szCs w:val="24"/>
                <w:color w:val="auto"/>
              </w:rPr>
            </w:pPr>
          </w:p>
        </w:tc>
        <w:tc>
          <w:tcPr>
            <w:tcW w:w="3960" w:type="dxa"/>
            <w:vAlign w:val="bottom"/>
            <w:tcBorders>
              <w:top w:val="single" w:sz="8" w:color="auto"/>
            </w:tcBorders>
          </w:tcPr>
          <w:p>
            <w:pPr>
              <w:spacing w:after="0"/>
              <w:rPr>
                <w:sz w:val="24"/>
                <w:szCs w:val="24"/>
                <w:color w:val="auto"/>
              </w:rPr>
            </w:pPr>
          </w:p>
        </w:tc>
        <w:tc>
          <w:tcPr>
            <w:tcW w:w="1500" w:type="dxa"/>
            <w:vAlign w:val="bottom"/>
            <w:tcBorders>
              <w:top w:val="single" w:sz="8" w:color="auto"/>
            </w:tcBorders>
          </w:tcPr>
          <w:p>
            <w:pPr>
              <w:spacing w:after="0"/>
              <w:rPr>
                <w:sz w:val="24"/>
                <w:szCs w:val="24"/>
                <w:color w:val="auto"/>
              </w:rPr>
            </w:pPr>
          </w:p>
        </w:tc>
      </w:tr>
      <w:tr>
        <w:trPr>
          <w:trHeight w:val="282"/>
        </w:trPr>
        <w:tc>
          <w:tcPr>
            <w:tcW w:w="59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Accumulated Benefit Obligation</w:t>
            </w:r>
          </w:p>
        </w:tc>
        <w:tc>
          <w:tcPr>
            <w:tcW w:w="3960" w:type="dxa"/>
            <w:vAlign w:val="bottom"/>
            <w:tcBorders>
              <w:bottom w:val="single" w:sz="8" w:color="CCEEFF"/>
            </w:tcBorders>
            <w:shd w:val="clear" w:color="auto" w:fill="CCEEFF"/>
          </w:tcPr>
          <w:p>
            <w:pPr>
              <w:jc w:val="right"/>
              <w:ind w:right="431"/>
              <w:spacing w:after="0"/>
              <w:rPr>
                <w:sz w:val="20"/>
                <w:szCs w:val="20"/>
                <w:color w:val="auto"/>
              </w:rPr>
            </w:pPr>
            <w:r>
              <w:rPr>
                <w:rFonts w:ascii="Arial" w:cs="Arial" w:eastAsia="Arial" w:hAnsi="Arial"/>
                <w:sz w:val="18"/>
                <w:szCs w:val="18"/>
                <w:b w:val="1"/>
                <w:bCs w:val="1"/>
                <w:color w:val="auto"/>
              </w:rPr>
              <w:t>$1,103.2</w:t>
            </w: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$230.6</w:t>
            </w:r>
          </w:p>
        </w:tc>
      </w:tr>
      <w:tr>
        <w:trPr>
          <w:trHeight w:val="392"/>
        </w:trPr>
        <w:tc>
          <w:tcPr>
            <w:tcW w:w="992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w w:val="96"/>
              </w:rPr>
              <w:t>Amounts recognized on the balance sheet at June 30, 2014, for TimkenSteel’s pension and postretirement benefit plans include:</w:t>
            </w:r>
          </w:p>
        </w:tc>
        <w:tc>
          <w:tcPr>
            <w:tcW w:w="1500" w:type="dxa"/>
            <w:vAlign w:val="bottom"/>
            <w:tcBorders>
              <w:top w:val="single" w:sz="8" w:color="auto"/>
            </w:tcBorders>
          </w:tcPr>
          <w:p>
            <w:pPr>
              <w:spacing w:after="0"/>
              <w:rPr>
                <w:sz w:val="24"/>
                <w:szCs w:val="24"/>
                <w:color w:val="auto"/>
              </w:rPr>
            </w:pPr>
          </w:p>
        </w:tc>
      </w:tr>
      <w:tr>
        <w:trPr>
          <w:trHeight w:val="372"/>
        </w:trPr>
        <w:tc>
          <w:tcPr>
            <w:tcW w:w="5960" w:type="dxa"/>
            <w:vAlign w:val="bottom"/>
          </w:tcPr>
          <w:p>
            <w:pPr>
              <w:spacing w:after="0"/>
              <w:rPr>
                <w:sz w:val="24"/>
                <w:szCs w:val="24"/>
                <w:color w:val="auto"/>
              </w:rPr>
            </w:pPr>
          </w:p>
        </w:tc>
        <w:tc>
          <w:tcPr>
            <w:tcW w:w="3960" w:type="dxa"/>
            <w:vAlign w:val="bottom"/>
          </w:tcPr>
          <w:p>
            <w:pPr>
              <w:jc w:val="right"/>
              <w:ind w:right="971"/>
              <w:spacing w:after="0"/>
              <w:rPr>
                <w:sz w:val="20"/>
                <w:szCs w:val="20"/>
                <w:color w:val="auto"/>
              </w:rPr>
            </w:pPr>
            <w:r>
              <w:rPr>
                <w:rFonts w:ascii="Arial" w:cs="Arial" w:eastAsia="Arial" w:hAnsi="Arial"/>
                <w:sz w:val="16"/>
                <w:szCs w:val="16"/>
                <w:b w:val="1"/>
                <w:bCs w:val="1"/>
                <w:color w:val="auto"/>
              </w:rPr>
              <w:t>Pension</w:t>
            </w:r>
          </w:p>
        </w:tc>
        <w:tc>
          <w:tcPr>
            <w:tcW w:w="1500" w:type="dxa"/>
            <w:vAlign w:val="bottom"/>
          </w:tcPr>
          <w:p>
            <w:pPr>
              <w:jc w:val="right"/>
              <w:ind w:right="311"/>
              <w:spacing w:after="0"/>
              <w:rPr>
                <w:sz w:val="20"/>
                <w:szCs w:val="20"/>
                <w:color w:val="auto"/>
              </w:rPr>
            </w:pPr>
            <w:r>
              <w:rPr>
                <w:rFonts w:ascii="Arial" w:cs="Arial" w:eastAsia="Arial" w:hAnsi="Arial"/>
                <w:sz w:val="16"/>
                <w:szCs w:val="16"/>
                <w:b w:val="1"/>
                <w:bCs w:val="1"/>
                <w:color w:val="auto"/>
                <w:w w:val="95"/>
              </w:rPr>
              <w:t>Postretirement</w:t>
            </w:r>
          </w:p>
        </w:tc>
      </w:tr>
      <w:tr>
        <w:trPr>
          <w:trHeight w:val="33"/>
        </w:trPr>
        <w:tc>
          <w:tcPr>
            <w:tcW w:w="5960" w:type="dxa"/>
            <w:vAlign w:val="bottom"/>
            <w:tcBorders>
              <w:bottom w:val="single" w:sz="8" w:color="auto"/>
            </w:tcBorders>
          </w:tcPr>
          <w:p>
            <w:pPr>
              <w:spacing w:after="0"/>
              <w:rPr>
                <w:sz w:val="2"/>
                <w:szCs w:val="2"/>
                <w:color w:val="auto"/>
              </w:rPr>
            </w:pPr>
          </w:p>
        </w:tc>
        <w:tc>
          <w:tcPr>
            <w:tcW w:w="396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r>
      <w:tr>
        <w:trPr>
          <w:trHeight w:val="244"/>
        </w:trPr>
        <w:tc>
          <w:tcPr>
            <w:tcW w:w="59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Non-current assets</w:t>
            </w:r>
          </w:p>
        </w:tc>
        <w:tc>
          <w:tcPr>
            <w:tcW w:w="3960" w:type="dxa"/>
            <w:vAlign w:val="bottom"/>
            <w:tcBorders>
              <w:bottom w:val="single" w:sz="8" w:color="CCEEFF"/>
            </w:tcBorders>
            <w:shd w:val="clear" w:color="auto" w:fill="CCEEFF"/>
          </w:tcPr>
          <w:p>
            <w:pPr>
              <w:jc w:val="right"/>
              <w:ind w:right="431"/>
              <w:spacing w:after="0"/>
              <w:rPr>
                <w:sz w:val="20"/>
                <w:szCs w:val="20"/>
                <w:color w:val="auto"/>
              </w:rPr>
            </w:pPr>
            <w:r>
              <w:rPr>
                <w:rFonts w:ascii="Arial" w:cs="Arial" w:eastAsia="Arial" w:hAnsi="Arial"/>
                <w:sz w:val="18"/>
                <w:szCs w:val="18"/>
                <w:color w:val="auto"/>
              </w:rPr>
              <w:t>$77.1</w:t>
            </w: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5960" w:type="dxa"/>
            <w:vAlign w:val="bottom"/>
          </w:tcPr>
          <w:p>
            <w:pPr>
              <w:ind w:left="40"/>
              <w:spacing w:after="0"/>
              <w:rPr>
                <w:sz w:val="20"/>
                <w:szCs w:val="20"/>
                <w:color w:val="auto"/>
              </w:rPr>
            </w:pPr>
            <w:r>
              <w:rPr>
                <w:rFonts w:ascii="Arial" w:cs="Arial" w:eastAsia="Arial" w:hAnsi="Arial"/>
                <w:sz w:val="18"/>
                <w:szCs w:val="18"/>
                <w:color w:val="auto"/>
              </w:rPr>
              <w:t>Current liabilities</w:t>
            </w:r>
          </w:p>
        </w:tc>
        <w:tc>
          <w:tcPr>
            <w:tcW w:w="3960" w:type="dxa"/>
            <w:vAlign w:val="bottom"/>
          </w:tcPr>
          <w:p>
            <w:pPr>
              <w:jc w:val="right"/>
              <w:ind w:right="371"/>
              <w:spacing w:after="0"/>
              <w:rPr>
                <w:sz w:val="20"/>
                <w:szCs w:val="20"/>
                <w:color w:val="auto"/>
              </w:rPr>
            </w:pPr>
            <w:r>
              <w:rPr>
                <w:rFonts w:ascii="Arial" w:cs="Arial" w:eastAsia="Arial" w:hAnsi="Arial"/>
                <w:sz w:val="18"/>
                <w:szCs w:val="18"/>
                <w:color w:val="auto"/>
              </w:rPr>
              <w:t>(0.4)</w:t>
            </w:r>
          </w:p>
        </w:tc>
        <w:tc>
          <w:tcPr>
            <w:tcW w:w="1500" w:type="dxa"/>
            <w:vAlign w:val="bottom"/>
          </w:tcPr>
          <w:p>
            <w:pPr>
              <w:jc w:val="right"/>
              <w:spacing w:after="0"/>
              <w:rPr>
                <w:sz w:val="20"/>
                <w:szCs w:val="20"/>
                <w:color w:val="auto"/>
              </w:rPr>
            </w:pPr>
            <w:r>
              <w:rPr>
                <w:rFonts w:ascii="Arial" w:cs="Arial" w:eastAsia="Arial" w:hAnsi="Arial"/>
                <w:sz w:val="18"/>
                <w:szCs w:val="18"/>
                <w:color w:val="auto"/>
              </w:rPr>
              <w:t>(17.7)</w:t>
            </w:r>
          </w:p>
        </w:tc>
      </w:tr>
      <w:tr>
        <w:trPr>
          <w:trHeight w:val="27"/>
        </w:trPr>
        <w:tc>
          <w:tcPr>
            <w:tcW w:w="5960" w:type="dxa"/>
            <w:vAlign w:val="bottom"/>
          </w:tcPr>
          <w:p>
            <w:pPr>
              <w:spacing w:after="0"/>
              <w:rPr>
                <w:sz w:val="2"/>
                <w:szCs w:val="2"/>
                <w:color w:val="auto"/>
              </w:rPr>
            </w:pPr>
          </w:p>
        </w:tc>
        <w:tc>
          <w:tcPr>
            <w:tcW w:w="396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75"/>
        </w:trPr>
        <w:tc>
          <w:tcPr>
            <w:tcW w:w="59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Non-current liabilities</w:t>
            </w:r>
          </w:p>
        </w:tc>
        <w:tc>
          <w:tcPr>
            <w:tcW w:w="3960" w:type="dxa"/>
            <w:vAlign w:val="bottom"/>
            <w:tcBorders>
              <w:bottom w:val="single" w:sz="8" w:color="CCEEFF"/>
            </w:tcBorders>
            <w:shd w:val="clear" w:color="auto" w:fill="CCEEFF"/>
          </w:tcPr>
          <w:p>
            <w:pPr>
              <w:jc w:val="right"/>
              <w:ind w:right="371"/>
              <w:spacing w:after="0"/>
              <w:rPr>
                <w:sz w:val="20"/>
                <w:szCs w:val="20"/>
                <w:color w:val="auto"/>
              </w:rPr>
            </w:pPr>
            <w:r>
              <w:rPr>
                <w:rFonts w:ascii="Arial" w:cs="Arial" w:eastAsia="Arial" w:hAnsi="Arial"/>
                <w:sz w:val="18"/>
                <w:szCs w:val="18"/>
                <w:color w:val="auto"/>
              </w:rPr>
              <w:t>(25.0)</w:t>
            </w: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(70.5)</w:t>
            </w:r>
          </w:p>
        </w:tc>
      </w:tr>
      <w:tr>
        <w:trPr>
          <w:trHeight w:val="237"/>
        </w:trPr>
        <w:tc>
          <w:tcPr>
            <w:tcW w:w="5960" w:type="dxa"/>
            <w:vAlign w:val="bottom"/>
            <w:tcBorders>
              <w:top w:val="single" w:sz="8" w:color="auto"/>
            </w:tcBorders>
          </w:tcPr>
          <w:p>
            <w:pPr>
              <w:spacing w:after="0"/>
              <w:rPr>
                <w:sz w:val="20"/>
                <w:szCs w:val="20"/>
                <w:color w:val="auto"/>
              </w:rPr>
            </w:pPr>
          </w:p>
        </w:tc>
        <w:tc>
          <w:tcPr>
            <w:tcW w:w="3960" w:type="dxa"/>
            <w:vAlign w:val="bottom"/>
            <w:tcBorders>
              <w:top w:val="single" w:sz="8" w:color="auto"/>
            </w:tcBorders>
          </w:tcPr>
          <w:p>
            <w:pPr>
              <w:jc w:val="right"/>
              <w:ind w:right="431"/>
              <w:spacing w:after="0"/>
              <w:rPr>
                <w:sz w:val="20"/>
                <w:szCs w:val="20"/>
                <w:color w:val="auto"/>
              </w:rPr>
            </w:pPr>
            <w:r>
              <w:rPr>
                <w:rFonts w:ascii="Arial" w:cs="Arial" w:eastAsia="Arial" w:hAnsi="Arial"/>
                <w:sz w:val="18"/>
                <w:szCs w:val="18"/>
                <w:b w:val="1"/>
                <w:bCs w:val="1"/>
                <w:color w:val="auto"/>
              </w:rPr>
              <w:t>$51.7</w:t>
            </w:r>
          </w:p>
        </w:tc>
        <w:tc>
          <w:tcPr>
            <w:tcW w:w="15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($88.2)</w:t>
            </w:r>
          </w:p>
        </w:tc>
      </w:tr>
      <w:tr>
        <w:trPr>
          <w:trHeight w:val="34"/>
        </w:trPr>
        <w:tc>
          <w:tcPr>
            <w:tcW w:w="5960" w:type="dxa"/>
            <w:vAlign w:val="bottom"/>
            <w:tcBorders>
              <w:bottom w:val="single" w:sz="8" w:color="auto"/>
            </w:tcBorders>
          </w:tcPr>
          <w:p>
            <w:pPr>
              <w:spacing w:after="0"/>
              <w:rPr>
                <w:sz w:val="2"/>
                <w:szCs w:val="2"/>
                <w:color w:val="auto"/>
              </w:rPr>
            </w:pPr>
          </w:p>
        </w:tc>
        <w:tc>
          <w:tcPr>
            <w:tcW w:w="396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Included in accumulated other comprehensive loss at June 30, 2014, were the following before-tax amounts that had not been recognized in net periodic benefit cost:</w:t>
      </w:r>
    </w:p>
    <w:p>
      <w:pPr>
        <w:spacing w:after="0" w:line="13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5600" w:type="dxa"/>
            <w:vAlign w:val="bottom"/>
          </w:tcPr>
          <w:p>
            <w:pPr>
              <w:spacing w:after="0"/>
              <w:rPr>
                <w:sz w:val="18"/>
                <w:szCs w:val="18"/>
                <w:color w:val="auto"/>
              </w:rPr>
            </w:pPr>
          </w:p>
        </w:tc>
        <w:tc>
          <w:tcPr>
            <w:tcW w:w="4120" w:type="dxa"/>
            <w:vAlign w:val="bottom"/>
          </w:tcPr>
          <w:p>
            <w:pPr>
              <w:jc w:val="right"/>
              <w:ind w:right="772"/>
              <w:spacing w:after="0"/>
              <w:rPr>
                <w:sz w:val="20"/>
                <w:szCs w:val="20"/>
                <w:color w:val="auto"/>
              </w:rPr>
            </w:pPr>
            <w:r>
              <w:rPr>
                <w:rFonts w:ascii="Arial" w:cs="Arial" w:eastAsia="Arial" w:hAnsi="Arial"/>
                <w:sz w:val="16"/>
                <w:szCs w:val="16"/>
                <w:b w:val="1"/>
                <w:bCs w:val="1"/>
                <w:color w:val="auto"/>
              </w:rPr>
              <w:t>Pension</w:t>
            </w:r>
          </w:p>
        </w:tc>
        <w:tc>
          <w:tcPr>
            <w:tcW w:w="1700" w:type="dxa"/>
            <w:vAlign w:val="bottom"/>
          </w:tcPr>
          <w:p>
            <w:pPr>
              <w:jc w:val="right"/>
              <w:ind w:right="312"/>
              <w:spacing w:after="0"/>
              <w:rPr>
                <w:sz w:val="20"/>
                <w:szCs w:val="20"/>
                <w:color w:val="auto"/>
              </w:rPr>
            </w:pPr>
            <w:r>
              <w:rPr>
                <w:rFonts w:ascii="Arial" w:cs="Arial" w:eastAsia="Arial" w:hAnsi="Arial"/>
                <w:sz w:val="16"/>
                <w:szCs w:val="16"/>
                <w:b w:val="1"/>
                <w:bCs w:val="1"/>
                <w:color w:val="auto"/>
              </w:rPr>
              <w:t>Postretirement</w:t>
            </w:r>
          </w:p>
        </w:tc>
      </w:tr>
      <w:tr>
        <w:trPr>
          <w:trHeight w:val="33"/>
        </w:trPr>
        <w:tc>
          <w:tcPr>
            <w:tcW w:w="5600" w:type="dxa"/>
            <w:vAlign w:val="bottom"/>
            <w:tcBorders>
              <w:bottom w:val="single" w:sz="8" w:color="auto"/>
            </w:tcBorders>
          </w:tcPr>
          <w:p>
            <w:pPr>
              <w:spacing w:after="0"/>
              <w:rPr>
                <w:sz w:val="2"/>
                <w:szCs w:val="2"/>
                <w:color w:val="auto"/>
              </w:rPr>
            </w:pPr>
          </w:p>
        </w:tc>
        <w:tc>
          <w:tcPr>
            <w:tcW w:w="412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r>
      <w:tr>
        <w:trPr>
          <w:trHeight w:val="244"/>
        </w:trPr>
        <w:tc>
          <w:tcPr>
            <w:tcW w:w="5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Unrecognized net actuarial loss (gain)</w:t>
            </w:r>
          </w:p>
        </w:tc>
        <w:tc>
          <w:tcPr>
            <w:tcW w:w="4120" w:type="dxa"/>
            <w:vAlign w:val="bottom"/>
            <w:tcBorders>
              <w:bottom w:val="single" w:sz="8" w:color="CCEEFF"/>
            </w:tcBorders>
            <w:shd w:val="clear" w:color="auto" w:fill="CCEEFF"/>
          </w:tcPr>
          <w:p>
            <w:pPr>
              <w:jc w:val="right"/>
              <w:ind w:right="232"/>
              <w:spacing w:after="0"/>
              <w:rPr>
                <w:sz w:val="20"/>
                <w:szCs w:val="20"/>
                <w:color w:val="auto"/>
              </w:rPr>
            </w:pPr>
            <w:r>
              <w:rPr>
                <w:rFonts w:ascii="Arial" w:cs="Arial" w:eastAsia="Arial" w:hAnsi="Arial"/>
                <w:sz w:val="18"/>
                <w:szCs w:val="18"/>
                <w:color w:val="auto"/>
              </w:rPr>
              <w:t>$353.7</w:t>
            </w:r>
          </w:p>
        </w:tc>
        <w:tc>
          <w:tcPr>
            <w:tcW w:w="17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$3.9</w:t>
            </w:r>
          </w:p>
        </w:tc>
      </w:tr>
      <w:tr>
        <w:trPr>
          <w:trHeight w:val="243"/>
        </w:trPr>
        <w:tc>
          <w:tcPr>
            <w:tcW w:w="5600" w:type="dxa"/>
            <w:vAlign w:val="bottom"/>
          </w:tcPr>
          <w:p>
            <w:pPr>
              <w:ind w:left="40"/>
              <w:spacing w:after="0"/>
              <w:rPr>
                <w:sz w:val="20"/>
                <w:szCs w:val="20"/>
                <w:color w:val="auto"/>
              </w:rPr>
            </w:pPr>
            <w:r>
              <w:rPr>
                <w:rFonts w:ascii="Arial" w:cs="Arial" w:eastAsia="Arial" w:hAnsi="Arial"/>
                <w:sz w:val="18"/>
                <w:szCs w:val="18"/>
                <w:color w:val="auto"/>
              </w:rPr>
              <w:t>Unrecognized prior service cost (credit)</w:t>
            </w:r>
          </w:p>
        </w:tc>
        <w:tc>
          <w:tcPr>
            <w:tcW w:w="4120" w:type="dxa"/>
            <w:vAlign w:val="bottom"/>
          </w:tcPr>
          <w:p>
            <w:pPr>
              <w:jc w:val="right"/>
              <w:ind w:right="232"/>
              <w:spacing w:after="0"/>
              <w:rPr>
                <w:sz w:val="20"/>
                <w:szCs w:val="20"/>
                <w:color w:val="auto"/>
              </w:rPr>
            </w:pPr>
            <w:r>
              <w:rPr>
                <w:rFonts w:ascii="Arial" w:cs="Arial" w:eastAsia="Arial" w:hAnsi="Arial"/>
                <w:sz w:val="18"/>
                <w:szCs w:val="18"/>
                <w:color w:val="auto"/>
              </w:rPr>
              <w:t>3.0</w:t>
            </w:r>
          </w:p>
        </w:tc>
        <w:tc>
          <w:tcPr>
            <w:tcW w:w="1700" w:type="dxa"/>
            <w:vAlign w:val="bottom"/>
          </w:tcPr>
          <w:p>
            <w:pPr>
              <w:jc w:val="right"/>
              <w:ind w:right="12"/>
              <w:spacing w:after="0"/>
              <w:rPr>
                <w:sz w:val="20"/>
                <w:szCs w:val="20"/>
                <w:color w:val="auto"/>
              </w:rPr>
            </w:pPr>
            <w:r>
              <w:rPr>
                <w:rFonts w:ascii="Arial" w:cs="Arial" w:eastAsia="Arial" w:hAnsi="Arial"/>
                <w:sz w:val="18"/>
                <w:szCs w:val="18"/>
                <w:color w:val="auto"/>
              </w:rPr>
              <w:t>3.9</w:t>
            </w:r>
          </w:p>
        </w:tc>
      </w:tr>
      <w:tr>
        <w:trPr>
          <w:trHeight w:val="27"/>
        </w:trPr>
        <w:tc>
          <w:tcPr>
            <w:tcW w:w="5600" w:type="dxa"/>
            <w:vAlign w:val="bottom"/>
            <w:tcBorders>
              <w:bottom w:val="single" w:sz="8" w:color="auto"/>
            </w:tcBorders>
          </w:tcPr>
          <w:p>
            <w:pPr>
              <w:spacing w:after="0"/>
              <w:rPr>
                <w:sz w:val="2"/>
                <w:szCs w:val="2"/>
                <w:color w:val="auto"/>
              </w:rPr>
            </w:pPr>
          </w:p>
        </w:tc>
        <w:tc>
          <w:tcPr>
            <w:tcW w:w="412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r>
      <w:tr>
        <w:trPr>
          <w:trHeight w:val="276"/>
        </w:trPr>
        <w:tc>
          <w:tcPr>
            <w:tcW w:w="5600" w:type="dxa"/>
            <w:vAlign w:val="bottom"/>
            <w:tcBorders>
              <w:bottom w:val="single" w:sz="8" w:color="CCEEFF"/>
            </w:tcBorders>
            <w:shd w:val="clear" w:color="auto" w:fill="CCEEFF"/>
          </w:tcPr>
          <w:p>
            <w:pPr>
              <w:spacing w:after="0"/>
              <w:rPr>
                <w:sz w:val="23"/>
                <w:szCs w:val="23"/>
                <w:color w:val="auto"/>
              </w:rPr>
            </w:pPr>
          </w:p>
        </w:tc>
        <w:tc>
          <w:tcPr>
            <w:tcW w:w="4120" w:type="dxa"/>
            <w:vAlign w:val="bottom"/>
            <w:tcBorders>
              <w:bottom w:val="single" w:sz="8" w:color="CCEEFF"/>
            </w:tcBorders>
            <w:shd w:val="clear" w:color="auto" w:fill="CCEEFF"/>
          </w:tcPr>
          <w:p>
            <w:pPr>
              <w:jc w:val="right"/>
              <w:ind w:right="232"/>
              <w:spacing w:after="0"/>
              <w:rPr>
                <w:sz w:val="20"/>
                <w:szCs w:val="20"/>
                <w:color w:val="auto"/>
              </w:rPr>
            </w:pPr>
            <w:r>
              <w:rPr>
                <w:rFonts w:ascii="Arial" w:cs="Arial" w:eastAsia="Arial" w:hAnsi="Arial"/>
                <w:sz w:val="18"/>
                <w:szCs w:val="18"/>
                <w:b w:val="1"/>
                <w:bCs w:val="1"/>
                <w:color w:val="auto"/>
              </w:rPr>
              <w:t>$356.7</w:t>
            </w:r>
          </w:p>
        </w:tc>
        <w:tc>
          <w:tcPr>
            <w:tcW w:w="17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$7.8</w:t>
            </w:r>
          </w:p>
        </w:tc>
      </w:tr>
      <w:tr>
        <w:trPr>
          <w:trHeight w:val="377"/>
        </w:trPr>
        <w:tc>
          <w:tcPr>
            <w:tcW w:w="11420" w:type="dxa"/>
            <w:vAlign w:val="bottom"/>
            <w:tcBorders>
              <w:top w:val="single" w:sz="8" w:color="auto"/>
            </w:tcBorders>
            <w:gridSpan w:val="3"/>
          </w:tcPr>
          <w:p>
            <w:pPr>
              <w:jc w:val="right"/>
              <w:spacing w:after="0"/>
              <w:rPr>
                <w:sz w:val="20"/>
                <w:szCs w:val="20"/>
                <w:color w:val="auto"/>
              </w:rPr>
            </w:pPr>
            <w:r>
              <w:rPr>
                <w:rFonts w:ascii="Arial" w:cs="Arial" w:eastAsia="Arial" w:hAnsi="Arial"/>
                <w:sz w:val="18"/>
                <w:szCs w:val="18"/>
                <w:color w:val="auto"/>
                <w:w w:val="96"/>
              </w:rPr>
              <w:t>The change in plan assets and benefit obligations before tax recognized in accumulated other comprehensive loss for the six months ended June 30,</w:t>
            </w:r>
          </w:p>
        </w:tc>
      </w:tr>
      <w:tr>
        <w:trPr>
          <w:trHeight w:val="230"/>
        </w:trPr>
        <w:tc>
          <w:tcPr>
            <w:tcW w:w="5600" w:type="dxa"/>
            <w:vAlign w:val="bottom"/>
          </w:tcPr>
          <w:p>
            <w:pPr>
              <w:spacing w:after="0"/>
              <w:rPr>
                <w:sz w:val="20"/>
                <w:szCs w:val="20"/>
                <w:color w:val="auto"/>
              </w:rPr>
            </w:pPr>
            <w:r>
              <w:rPr>
                <w:rFonts w:ascii="Arial" w:cs="Arial" w:eastAsia="Arial" w:hAnsi="Arial"/>
                <w:sz w:val="18"/>
                <w:szCs w:val="18"/>
                <w:color w:val="auto"/>
              </w:rPr>
              <w:t>2014:</w:t>
            </w:r>
          </w:p>
        </w:tc>
        <w:tc>
          <w:tcPr>
            <w:tcW w:w="4120" w:type="dxa"/>
            <w:vAlign w:val="bottom"/>
          </w:tcPr>
          <w:p>
            <w:pPr>
              <w:spacing w:after="0"/>
              <w:rPr>
                <w:sz w:val="20"/>
                <w:szCs w:val="20"/>
                <w:color w:val="auto"/>
              </w:rPr>
            </w:pPr>
          </w:p>
        </w:tc>
        <w:tc>
          <w:tcPr>
            <w:tcW w:w="1700" w:type="dxa"/>
            <w:vAlign w:val="bottom"/>
          </w:tcPr>
          <w:p>
            <w:pPr>
              <w:spacing w:after="0"/>
              <w:rPr>
                <w:sz w:val="20"/>
                <w:szCs w:val="20"/>
                <w:color w:val="auto"/>
              </w:rPr>
            </w:pPr>
          </w:p>
        </w:tc>
      </w:tr>
      <w:tr>
        <w:trPr>
          <w:trHeight w:val="372"/>
        </w:trPr>
        <w:tc>
          <w:tcPr>
            <w:tcW w:w="5600" w:type="dxa"/>
            <w:vAlign w:val="bottom"/>
          </w:tcPr>
          <w:p>
            <w:pPr>
              <w:spacing w:after="0"/>
              <w:rPr>
                <w:sz w:val="24"/>
                <w:szCs w:val="24"/>
                <w:color w:val="auto"/>
              </w:rPr>
            </w:pPr>
          </w:p>
        </w:tc>
        <w:tc>
          <w:tcPr>
            <w:tcW w:w="4120" w:type="dxa"/>
            <w:vAlign w:val="bottom"/>
          </w:tcPr>
          <w:p>
            <w:pPr>
              <w:jc w:val="right"/>
              <w:ind w:right="772"/>
              <w:spacing w:after="0"/>
              <w:rPr>
                <w:sz w:val="20"/>
                <w:szCs w:val="20"/>
                <w:color w:val="auto"/>
              </w:rPr>
            </w:pPr>
            <w:r>
              <w:rPr>
                <w:rFonts w:ascii="Arial" w:cs="Arial" w:eastAsia="Arial" w:hAnsi="Arial"/>
                <w:sz w:val="16"/>
                <w:szCs w:val="16"/>
                <w:b w:val="1"/>
                <w:bCs w:val="1"/>
                <w:color w:val="auto"/>
              </w:rPr>
              <w:t>Pension</w:t>
            </w:r>
          </w:p>
        </w:tc>
        <w:tc>
          <w:tcPr>
            <w:tcW w:w="1700" w:type="dxa"/>
            <w:vAlign w:val="bottom"/>
          </w:tcPr>
          <w:p>
            <w:pPr>
              <w:jc w:val="right"/>
              <w:ind w:right="312"/>
              <w:spacing w:after="0"/>
              <w:rPr>
                <w:sz w:val="20"/>
                <w:szCs w:val="20"/>
                <w:color w:val="auto"/>
              </w:rPr>
            </w:pPr>
            <w:r>
              <w:rPr>
                <w:rFonts w:ascii="Arial" w:cs="Arial" w:eastAsia="Arial" w:hAnsi="Arial"/>
                <w:sz w:val="16"/>
                <w:szCs w:val="16"/>
                <w:b w:val="1"/>
                <w:bCs w:val="1"/>
                <w:color w:val="auto"/>
              </w:rPr>
              <w:t>Postretirement</w:t>
            </w:r>
          </w:p>
        </w:tc>
      </w:tr>
      <w:tr>
        <w:trPr>
          <w:trHeight w:val="33"/>
        </w:trPr>
        <w:tc>
          <w:tcPr>
            <w:tcW w:w="5600" w:type="dxa"/>
            <w:vAlign w:val="bottom"/>
            <w:tcBorders>
              <w:bottom w:val="single" w:sz="8" w:color="auto"/>
            </w:tcBorders>
          </w:tcPr>
          <w:p>
            <w:pPr>
              <w:spacing w:after="0"/>
              <w:rPr>
                <w:sz w:val="2"/>
                <w:szCs w:val="2"/>
                <w:color w:val="auto"/>
              </w:rPr>
            </w:pPr>
          </w:p>
        </w:tc>
        <w:tc>
          <w:tcPr>
            <w:tcW w:w="412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r>
      <w:tr>
        <w:trPr>
          <w:trHeight w:val="244"/>
        </w:trPr>
        <w:tc>
          <w:tcPr>
            <w:tcW w:w="5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actuarial (gain) loss</w:t>
            </w:r>
          </w:p>
        </w:tc>
        <w:tc>
          <w:tcPr>
            <w:tcW w:w="4120" w:type="dxa"/>
            <w:vAlign w:val="bottom"/>
            <w:tcBorders>
              <w:bottom w:val="single" w:sz="8" w:color="CCEEFF"/>
            </w:tcBorders>
            <w:shd w:val="clear" w:color="auto" w:fill="CCEEFF"/>
          </w:tcPr>
          <w:p>
            <w:pPr>
              <w:jc w:val="right"/>
              <w:ind w:right="232"/>
              <w:spacing w:after="0"/>
              <w:rPr>
                <w:sz w:val="20"/>
                <w:szCs w:val="20"/>
                <w:color w:val="auto"/>
              </w:rPr>
            </w:pPr>
            <w:r>
              <w:rPr>
                <w:rFonts w:ascii="Arial" w:cs="Arial" w:eastAsia="Arial" w:hAnsi="Arial"/>
                <w:sz w:val="18"/>
                <w:szCs w:val="18"/>
                <w:color w:val="auto"/>
              </w:rPr>
              <w:t>$—</w:t>
            </w:r>
          </w:p>
        </w:tc>
        <w:tc>
          <w:tcPr>
            <w:tcW w:w="17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r>
      <w:tr>
        <w:trPr>
          <w:trHeight w:val="243"/>
        </w:trPr>
        <w:tc>
          <w:tcPr>
            <w:tcW w:w="5600" w:type="dxa"/>
            <w:vAlign w:val="bottom"/>
          </w:tcPr>
          <w:p>
            <w:pPr>
              <w:ind w:left="40"/>
              <w:spacing w:after="0"/>
              <w:rPr>
                <w:sz w:val="20"/>
                <w:szCs w:val="20"/>
                <w:color w:val="auto"/>
              </w:rPr>
            </w:pPr>
            <w:r>
              <w:rPr>
                <w:rFonts w:ascii="Arial" w:cs="Arial" w:eastAsia="Arial" w:hAnsi="Arial"/>
                <w:sz w:val="18"/>
                <w:szCs w:val="18"/>
                <w:color w:val="auto"/>
              </w:rPr>
              <w:t>Recognized net actuarial loss</w:t>
            </w:r>
          </w:p>
        </w:tc>
        <w:tc>
          <w:tcPr>
            <w:tcW w:w="4120" w:type="dxa"/>
            <w:vAlign w:val="bottom"/>
          </w:tcPr>
          <w:p>
            <w:pPr>
              <w:jc w:val="right"/>
              <w:ind w:right="172"/>
              <w:spacing w:after="0"/>
              <w:rPr>
                <w:sz w:val="20"/>
                <w:szCs w:val="20"/>
                <w:color w:val="auto"/>
              </w:rPr>
            </w:pPr>
            <w:r>
              <w:rPr>
                <w:rFonts w:ascii="Arial" w:cs="Arial" w:eastAsia="Arial" w:hAnsi="Arial"/>
                <w:sz w:val="18"/>
                <w:szCs w:val="18"/>
                <w:color w:val="auto"/>
              </w:rPr>
              <w:t>(0.1)</w:t>
            </w:r>
          </w:p>
        </w:tc>
        <w:tc>
          <w:tcPr>
            <w:tcW w:w="1700" w:type="dxa"/>
            <w:vAlign w:val="bottom"/>
          </w:tcPr>
          <w:p>
            <w:pPr>
              <w:jc w:val="right"/>
              <w:spacing w:after="0"/>
              <w:rPr>
                <w:sz w:val="20"/>
                <w:szCs w:val="20"/>
                <w:color w:val="auto"/>
              </w:rPr>
            </w:pPr>
            <w:r>
              <w:rPr>
                <w:rFonts w:ascii="Arial" w:cs="Arial" w:eastAsia="Arial" w:hAnsi="Arial"/>
                <w:sz w:val="18"/>
                <w:szCs w:val="18"/>
                <w:color w:val="auto"/>
              </w:rPr>
              <w:t>(0.1)</w:t>
            </w:r>
          </w:p>
        </w:tc>
      </w:tr>
      <w:tr>
        <w:trPr>
          <w:trHeight w:val="27"/>
        </w:trPr>
        <w:tc>
          <w:tcPr>
            <w:tcW w:w="5600" w:type="dxa"/>
            <w:vAlign w:val="bottom"/>
          </w:tcPr>
          <w:p>
            <w:pPr>
              <w:spacing w:after="0"/>
              <w:rPr>
                <w:sz w:val="2"/>
                <w:szCs w:val="2"/>
                <w:color w:val="auto"/>
              </w:rPr>
            </w:pPr>
          </w:p>
        </w:tc>
        <w:tc>
          <w:tcPr>
            <w:tcW w:w="4120" w:type="dxa"/>
            <w:vAlign w:val="bottom"/>
          </w:tcPr>
          <w:p>
            <w:pPr>
              <w:spacing w:after="0"/>
              <w:rPr>
                <w:sz w:val="2"/>
                <w:szCs w:val="2"/>
                <w:color w:val="auto"/>
              </w:rPr>
            </w:pPr>
          </w:p>
        </w:tc>
        <w:tc>
          <w:tcPr>
            <w:tcW w:w="1700" w:type="dxa"/>
            <w:vAlign w:val="bottom"/>
          </w:tcPr>
          <w:p>
            <w:pPr>
              <w:spacing w:after="0"/>
              <w:rPr>
                <w:sz w:val="2"/>
                <w:szCs w:val="2"/>
                <w:color w:val="auto"/>
              </w:rPr>
            </w:pPr>
          </w:p>
        </w:tc>
      </w:tr>
      <w:tr>
        <w:trPr>
          <w:trHeight w:val="250"/>
        </w:trPr>
        <w:tc>
          <w:tcPr>
            <w:tcW w:w="5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Recognized prior service cost</w:t>
            </w:r>
          </w:p>
        </w:tc>
        <w:tc>
          <w:tcPr>
            <w:tcW w:w="4120" w:type="dxa"/>
            <w:vAlign w:val="bottom"/>
            <w:tcBorders>
              <w:bottom w:val="single" w:sz="8" w:color="CCEEFF"/>
            </w:tcBorders>
            <w:shd w:val="clear" w:color="auto" w:fill="CCEEFF"/>
          </w:tcPr>
          <w:p>
            <w:pPr>
              <w:jc w:val="right"/>
              <w:ind w:right="172"/>
              <w:spacing w:after="0"/>
              <w:rPr>
                <w:sz w:val="20"/>
                <w:szCs w:val="20"/>
                <w:color w:val="auto"/>
              </w:rPr>
            </w:pPr>
            <w:r>
              <w:rPr>
                <w:rFonts w:ascii="Arial" w:cs="Arial" w:eastAsia="Arial" w:hAnsi="Arial"/>
                <w:sz w:val="18"/>
                <w:szCs w:val="18"/>
                <w:color w:val="auto"/>
              </w:rPr>
              <w:t>(4.4)</w:t>
            </w:r>
          </w:p>
        </w:tc>
        <w:tc>
          <w:tcPr>
            <w:tcW w:w="17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r>
      <w:tr>
        <w:trPr>
          <w:trHeight w:val="243"/>
        </w:trPr>
        <w:tc>
          <w:tcPr>
            <w:tcW w:w="5600" w:type="dxa"/>
            <w:vAlign w:val="bottom"/>
          </w:tcPr>
          <w:p>
            <w:pPr>
              <w:ind w:left="40"/>
              <w:spacing w:after="0"/>
              <w:rPr>
                <w:sz w:val="20"/>
                <w:szCs w:val="20"/>
                <w:color w:val="auto"/>
              </w:rPr>
            </w:pPr>
            <w:r>
              <w:rPr>
                <w:rFonts w:ascii="Arial" w:cs="Arial" w:eastAsia="Arial" w:hAnsi="Arial"/>
                <w:sz w:val="18"/>
                <w:szCs w:val="18"/>
                <w:color w:val="auto"/>
              </w:rPr>
              <w:t>Net transfer from Timken</w:t>
            </w:r>
          </w:p>
        </w:tc>
        <w:tc>
          <w:tcPr>
            <w:tcW w:w="4120" w:type="dxa"/>
            <w:vAlign w:val="bottom"/>
          </w:tcPr>
          <w:p>
            <w:pPr>
              <w:jc w:val="right"/>
              <w:ind w:right="232"/>
              <w:spacing w:after="0"/>
              <w:rPr>
                <w:sz w:val="20"/>
                <w:szCs w:val="20"/>
                <w:color w:val="auto"/>
              </w:rPr>
            </w:pPr>
            <w:r>
              <w:rPr>
                <w:rFonts w:ascii="Arial" w:cs="Arial" w:eastAsia="Arial" w:hAnsi="Arial"/>
                <w:sz w:val="18"/>
                <w:szCs w:val="18"/>
                <w:color w:val="auto"/>
              </w:rPr>
              <w:t>361.2</w:t>
            </w:r>
          </w:p>
        </w:tc>
        <w:tc>
          <w:tcPr>
            <w:tcW w:w="1700" w:type="dxa"/>
            <w:vAlign w:val="bottom"/>
          </w:tcPr>
          <w:p>
            <w:pPr>
              <w:jc w:val="right"/>
              <w:ind w:right="12"/>
              <w:spacing w:after="0"/>
              <w:rPr>
                <w:sz w:val="20"/>
                <w:szCs w:val="20"/>
                <w:color w:val="auto"/>
              </w:rPr>
            </w:pPr>
            <w:r>
              <w:rPr>
                <w:rFonts w:ascii="Arial" w:cs="Arial" w:eastAsia="Arial" w:hAnsi="Arial"/>
                <w:sz w:val="18"/>
                <w:szCs w:val="18"/>
                <w:color w:val="auto"/>
              </w:rPr>
              <w:t>7.9</w:t>
            </w:r>
          </w:p>
        </w:tc>
      </w:tr>
      <w:tr>
        <w:trPr>
          <w:trHeight w:val="27"/>
        </w:trPr>
        <w:tc>
          <w:tcPr>
            <w:tcW w:w="5600" w:type="dxa"/>
            <w:vAlign w:val="bottom"/>
            <w:tcBorders>
              <w:bottom w:val="single" w:sz="8" w:color="auto"/>
            </w:tcBorders>
          </w:tcPr>
          <w:p>
            <w:pPr>
              <w:spacing w:after="0"/>
              <w:rPr>
                <w:sz w:val="2"/>
                <w:szCs w:val="2"/>
                <w:color w:val="auto"/>
              </w:rPr>
            </w:pPr>
          </w:p>
        </w:tc>
        <w:tc>
          <w:tcPr>
            <w:tcW w:w="412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r>
      <w:tr>
        <w:trPr>
          <w:trHeight w:val="244"/>
        </w:trPr>
        <w:tc>
          <w:tcPr>
            <w:tcW w:w="5600" w:type="dxa"/>
            <w:vAlign w:val="bottom"/>
            <w:tcBorders>
              <w:bottom w:val="single" w:sz="8" w:color="CCEEFF"/>
            </w:tcBorders>
            <w:shd w:val="clear" w:color="auto" w:fill="CCEEFF"/>
          </w:tcPr>
          <w:p>
            <w:pPr>
              <w:spacing w:after="0"/>
              <w:rPr>
                <w:sz w:val="21"/>
                <w:szCs w:val="21"/>
                <w:color w:val="auto"/>
              </w:rPr>
            </w:pPr>
          </w:p>
        </w:tc>
        <w:tc>
          <w:tcPr>
            <w:tcW w:w="4120" w:type="dxa"/>
            <w:vAlign w:val="bottom"/>
            <w:tcBorders>
              <w:bottom w:val="single" w:sz="8" w:color="CCEEFF"/>
            </w:tcBorders>
            <w:shd w:val="clear" w:color="auto" w:fill="CCEEFF"/>
          </w:tcPr>
          <w:p>
            <w:pPr>
              <w:jc w:val="right"/>
              <w:ind w:right="232"/>
              <w:spacing w:after="0"/>
              <w:rPr>
                <w:sz w:val="20"/>
                <w:szCs w:val="20"/>
                <w:color w:val="auto"/>
              </w:rPr>
            </w:pPr>
            <w:r>
              <w:rPr>
                <w:rFonts w:ascii="Arial" w:cs="Arial" w:eastAsia="Arial" w:hAnsi="Arial"/>
                <w:sz w:val="18"/>
                <w:szCs w:val="18"/>
                <w:b w:val="1"/>
                <w:bCs w:val="1"/>
                <w:color w:val="auto"/>
              </w:rPr>
              <w:t>$356.7</w:t>
            </w:r>
          </w:p>
        </w:tc>
        <w:tc>
          <w:tcPr>
            <w:tcW w:w="17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$7.8</w:t>
            </w:r>
          </w:p>
        </w:tc>
      </w:tr>
      <w:tr>
        <w:trPr>
          <w:trHeight w:val="27"/>
        </w:trPr>
        <w:tc>
          <w:tcPr>
            <w:tcW w:w="5600" w:type="dxa"/>
            <w:vAlign w:val="bottom"/>
            <w:shd w:val="clear" w:color="auto" w:fill="000000"/>
          </w:tcPr>
          <w:p>
            <w:pPr>
              <w:spacing w:after="0"/>
              <w:rPr>
                <w:sz w:val="2"/>
                <w:szCs w:val="2"/>
                <w:color w:val="auto"/>
              </w:rPr>
            </w:pPr>
          </w:p>
        </w:tc>
        <w:tc>
          <w:tcPr>
            <w:tcW w:w="4120" w:type="dxa"/>
            <w:vAlign w:val="bottom"/>
            <w:shd w:val="clear" w:color="auto" w:fill="000000"/>
          </w:tcPr>
          <w:p>
            <w:pPr>
              <w:spacing w:after="0"/>
              <w:rPr>
                <w:sz w:val="2"/>
                <w:szCs w:val="2"/>
                <w:color w:val="auto"/>
              </w:rPr>
            </w:pPr>
          </w:p>
        </w:tc>
        <w:tc>
          <w:tcPr>
            <w:tcW w:w="1700" w:type="dxa"/>
            <w:vAlign w:val="bottom"/>
            <w:shd w:val="clear" w:color="auto" w:fill="000000"/>
          </w:tcPr>
          <w:p>
            <w:pPr>
              <w:spacing w:after="0"/>
              <w:rPr>
                <w:sz w:val="2"/>
                <w:szCs w:val="2"/>
                <w:color w:val="auto"/>
              </w:rPr>
            </w:pPr>
          </w:p>
        </w:tc>
      </w:tr>
    </w:tbl>
    <w:p>
      <w:pPr>
        <w:spacing w:after="0" w:line="161"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Amounts expected to be amortized from accumulated other comprehensive loss and included in total net periodic benefit cost during the six months ended December 31, 2014, are as follows:</w:t>
      </w:r>
    </w:p>
    <w:p>
      <w:pPr>
        <w:spacing w:after="0" w:line="13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3820" w:type="dxa"/>
            <w:vAlign w:val="bottom"/>
          </w:tcPr>
          <w:p>
            <w:pPr>
              <w:spacing w:after="0"/>
              <w:rPr>
                <w:sz w:val="18"/>
                <w:szCs w:val="18"/>
                <w:color w:val="auto"/>
              </w:rPr>
            </w:pPr>
          </w:p>
        </w:tc>
        <w:tc>
          <w:tcPr>
            <w:tcW w:w="5880" w:type="dxa"/>
            <w:vAlign w:val="bottom"/>
          </w:tcPr>
          <w:p>
            <w:pPr>
              <w:jc w:val="right"/>
              <w:ind w:right="752"/>
              <w:spacing w:after="0"/>
              <w:rPr>
                <w:sz w:val="20"/>
                <w:szCs w:val="20"/>
                <w:color w:val="auto"/>
              </w:rPr>
            </w:pPr>
            <w:r>
              <w:rPr>
                <w:rFonts w:ascii="Arial" w:cs="Arial" w:eastAsia="Arial" w:hAnsi="Arial"/>
                <w:sz w:val="16"/>
                <w:szCs w:val="16"/>
                <w:b w:val="1"/>
                <w:bCs w:val="1"/>
                <w:color w:val="auto"/>
              </w:rPr>
              <w:t>Pension</w:t>
            </w:r>
          </w:p>
        </w:tc>
        <w:tc>
          <w:tcPr>
            <w:tcW w:w="1720" w:type="dxa"/>
            <w:vAlign w:val="bottom"/>
          </w:tcPr>
          <w:p>
            <w:pPr>
              <w:jc w:val="right"/>
              <w:ind w:right="312"/>
              <w:spacing w:after="0"/>
              <w:rPr>
                <w:sz w:val="20"/>
                <w:szCs w:val="20"/>
                <w:color w:val="auto"/>
              </w:rPr>
            </w:pPr>
            <w:r>
              <w:rPr>
                <w:rFonts w:ascii="Arial" w:cs="Arial" w:eastAsia="Arial" w:hAnsi="Arial"/>
                <w:sz w:val="16"/>
                <w:szCs w:val="16"/>
                <w:b w:val="1"/>
                <w:bCs w:val="1"/>
                <w:color w:val="auto"/>
              </w:rPr>
              <w:t>Postretirement</w:t>
            </w:r>
          </w:p>
        </w:tc>
      </w:tr>
      <w:tr>
        <w:trPr>
          <w:trHeight w:val="33"/>
        </w:trPr>
        <w:tc>
          <w:tcPr>
            <w:tcW w:w="3820" w:type="dxa"/>
            <w:vAlign w:val="bottom"/>
            <w:tcBorders>
              <w:bottom w:val="single" w:sz="8" w:color="auto"/>
            </w:tcBorders>
          </w:tcPr>
          <w:p>
            <w:pPr>
              <w:spacing w:after="0"/>
              <w:rPr>
                <w:sz w:val="2"/>
                <w:szCs w:val="2"/>
                <w:color w:val="auto"/>
              </w:rPr>
            </w:pPr>
          </w:p>
        </w:tc>
        <w:tc>
          <w:tcPr>
            <w:tcW w:w="588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r>
      <w:tr>
        <w:trPr>
          <w:trHeight w:val="244"/>
        </w:trPr>
        <w:tc>
          <w:tcPr>
            <w:tcW w:w="38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Net actuarial loss (gain)</w:t>
            </w:r>
          </w:p>
        </w:tc>
        <w:tc>
          <w:tcPr>
            <w:tcW w:w="5880" w:type="dxa"/>
            <w:vAlign w:val="bottom"/>
            <w:tcBorders>
              <w:bottom w:val="single" w:sz="8" w:color="CCEEFF"/>
            </w:tcBorders>
            <w:shd w:val="clear" w:color="auto" w:fill="CCEEFF"/>
          </w:tcPr>
          <w:p>
            <w:pPr>
              <w:jc w:val="right"/>
              <w:ind w:right="212"/>
              <w:spacing w:after="0"/>
              <w:rPr>
                <w:sz w:val="20"/>
                <w:szCs w:val="20"/>
                <w:color w:val="auto"/>
              </w:rPr>
            </w:pPr>
            <w:r>
              <w:rPr>
                <w:rFonts w:ascii="Arial" w:cs="Arial" w:eastAsia="Arial" w:hAnsi="Arial"/>
                <w:sz w:val="18"/>
                <w:szCs w:val="18"/>
                <w:color w:val="auto"/>
              </w:rPr>
              <w:t>$0.4</w:t>
            </w:r>
          </w:p>
        </w:tc>
        <w:tc>
          <w:tcPr>
            <w:tcW w:w="17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r>
      <w:tr>
        <w:trPr>
          <w:trHeight w:val="243"/>
        </w:trPr>
        <w:tc>
          <w:tcPr>
            <w:tcW w:w="3820" w:type="dxa"/>
            <w:vAlign w:val="bottom"/>
          </w:tcPr>
          <w:p>
            <w:pPr>
              <w:ind w:left="180"/>
              <w:spacing w:after="0"/>
              <w:rPr>
                <w:sz w:val="20"/>
                <w:szCs w:val="20"/>
                <w:color w:val="auto"/>
              </w:rPr>
            </w:pPr>
            <w:r>
              <w:rPr>
                <w:rFonts w:ascii="Arial" w:cs="Arial" w:eastAsia="Arial" w:hAnsi="Arial"/>
                <w:sz w:val="18"/>
                <w:szCs w:val="18"/>
                <w:color w:val="auto"/>
              </w:rPr>
              <w:t>Prior service cost (credit)</w:t>
            </w:r>
          </w:p>
        </w:tc>
        <w:tc>
          <w:tcPr>
            <w:tcW w:w="5880" w:type="dxa"/>
            <w:vAlign w:val="bottom"/>
          </w:tcPr>
          <w:p>
            <w:pPr>
              <w:jc w:val="right"/>
              <w:ind w:right="212"/>
              <w:spacing w:after="0"/>
              <w:rPr>
                <w:sz w:val="20"/>
                <w:szCs w:val="20"/>
                <w:color w:val="auto"/>
              </w:rPr>
            </w:pPr>
            <w:r>
              <w:rPr>
                <w:rFonts w:ascii="Arial" w:cs="Arial" w:eastAsia="Arial" w:hAnsi="Arial"/>
                <w:sz w:val="18"/>
                <w:szCs w:val="18"/>
                <w:color w:val="auto"/>
              </w:rPr>
              <w:t>13.9</w:t>
            </w:r>
          </w:p>
        </w:tc>
        <w:tc>
          <w:tcPr>
            <w:tcW w:w="1720" w:type="dxa"/>
            <w:vAlign w:val="bottom"/>
          </w:tcPr>
          <w:p>
            <w:pPr>
              <w:jc w:val="right"/>
              <w:ind w:right="12"/>
              <w:spacing w:after="0"/>
              <w:rPr>
                <w:sz w:val="20"/>
                <w:szCs w:val="20"/>
                <w:color w:val="auto"/>
              </w:rPr>
            </w:pPr>
            <w:r>
              <w:rPr>
                <w:rFonts w:ascii="Arial" w:cs="Arial" w:eastAsia="Arial" w:hAnsi="Arial"/>
                <w:sz w:val="18"/>
                <w:szCs w:val="18"/>
                <w:color w:val="auto"/>
              </w:rPr>
              <w:t>0.4</w:t>
            </w:r>
          </w:p>
        </w:tc>
      </w:tr>
      <w:tr>
        <w:trPr>
          <w:trHeight w:val="27"/>
        </w:trPr>
        <w:tc>
          <w:tcPr>
            <w:tcW w:w="3820" w:type="dxa"/>
            <w:vAlign w:val="bottom"/>
            <w:tcBorders>
              <w:bottom w:val="single" w:sz="8" w:color="auto"/>
            </w:tcBorders>
          </w:tcPr>
          <w:p>
            <w:pPr>
              <w:spacing w:after="0"/>
              <w:rPr>
                <w:sz w:val="2"/>
                <w:szCs w:val="2"/>
                <w:color w:val="auto"/>
              </w:rPr>
            </w:pPr>
          </w:p>
        </w:tc>
        <w:tc>
          <w:tcPr>
            <w:tcW w:w="588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r>
      <w:tr>
        <w:trPr>
          <w:trHeight w:val="269"/>
        </w:trPr>
        <w:tc>
          <w:tcPr>
            <w:tcW w:w="3820" w:type="dxa"/>
            <w:vAlign w:val="bottom"/>
            <w:tcBorders>
              <w:bottom w:val="single" w:sz="8" w:color="CCEEFF"/>
            </w:tcBorders>
            <w:shd w:val="clear" w:color="auto" w:fill="CCEEFF"/>
          </w:tcPr>
          <w:p>
            <w:pPr>
              <w:spacing w:after="0"/>
              <w:rPr>
                <w:sz w:val="22"/>
                <w:szCs w:val="22"/>
                <w:color w:val="auto"/>
              </w:rPr>
            </w:pPr>
          </w:p>
        </w:tc>
        <w:tc>
          <w:tcPr>
            <w:tcW w:w="5880" w:type="dxa"/>
            <w:vAlign w:val="bottom"/>
            <w:tcBorders>
              <w:bottom w:val="single" w:sz="8" w:color="CCEEFF"/>
            </w:tcBorders>
            <w:shd w:val="clear" w:color="auto" w:fill="CCEEFF"/>
          </w:tcPr>
          <w:p>
            <w:pPr>
              <w:jc w:val="right"/>
              <w:ind w:right="212"/>
              <w:spacing w:after="0"/>
              <w:rPr>
                <w:sz w:val="20"/>
                <w:szCs w:val="20"/>
                <w:color w:val="auto"/>
              </w:rPr>
            </w:pPr>
            <w:r>
              <w:rPr>
                <w:rFonts w:ascii="Arial" w:cs="Arial" w:eastAsia="Arial" w:hAnsi="Arial"/>
                <w:sz w:val="18"/>
                <w:szCs w:val="18"/>
                <w:b w:val="1"/>
                <w:bCs w:val="1"/>
                <w:color w:val="auto"/>
              </w:rPr>
              <w:t>$14.3</w:t>
            </w:r>
          </w:p>
        </w:tc>
        <w:tc>
          <w:tcPr>
            <w:tcW w:w="17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$0.4</w:t>
            </w:r>
          </w:p>
        </w:tc>
      </w:tr>
      <w:tr>
        <w:trPr>
          <w:trHeight w:val="628"/>
        </w:trPr>
        <w:tc>
          <w:tcPr>
            <w:tcW w:w="3820" w:type="dxa"/>
            <w:vAlign w:val="bottom"/>
            <w:tcBorders>
              <w:top w:val="single" w:sz="8" w:color="auto"/>
            </w:tcBorders>
          </w:tcPr>
          <w:p>
            <w:pPr>
              <w:spacing w:after="0"/>
              <w:rPr>
                <w:sz w:val="24"/>
                <w:szCs w:val="24"/>
                <w:color w:val="auto"/>
              </w:rPr>
            </w:pPr>
          </w:p>
        </w:tc>
        <w:tc>
          <w:tcPr>
            <w:tcW w:w="5880" w:type="dxa"/>
            <w:vAlign w:val="bottom"/>
            <w:tcBorders>
              <w:top w:val="single" w:sz="8" w:color="auto"/>
            </w:tcBorders>
          </w:tcPr>
          <w:p>
            <w:pPr>
              <w:jc w:val="right"/>
              <w:ind w:right="3812"/>
              <w:spacing w:after="0"/>
              <w:rPr>
                <w:sz w:val="20"/>
                <w:szCs w:val="20"/>
                <w:color w:val="auto"/>
              </w:rPr>
            </w:pPr>
            <w:r>
              <w:rPr>
                <w:rFonts w:ascii="Arial" w:cs="Arial" w:eastAsia="Arial" w:hAnsi="Arial"/>
                <w:sz w:val="18"/>
                <w:szCs w:val="18"/>
                <w:color w:val="auto"/>
              </w:rPr>
              <w:t>11</w:t>
            </w:r>
          </w:p>
        </w:tc>
        <w:tc>
          <w:tcPr>
            <w:tcW w:w="1720" w:type="dxa"/>
            <w:vAlign w:val="bottom"/>
            <w:tcBorders>
              <w:top w:val="single" w:sz="8" w:color="auto"/>
            </w:tcBorders>
          </w:tcPr>
          <w:p>
            <w:pPr>
              <w:spacing w:after="0"/>
              <w:rPr>
                <w:sz w:val="24"/>
                <w:szCs w:val="24"/>
                <w:color w:val="auto"/>
              </w:rPr>
            </w:pPr>
          </w:p>
        </w:tc>
      </w:tr>
    </w:tbl>
    <w:p>
      <w:pPr>
        <w:sectPr>
          <w:pgSz w:w="11900" w:h="16838" w:orient="portrait"/>
          <w:cols w:equalWidth="0" w:num="1">
            <w:col w:w="11420"/>
          </w:cols>
          <w:pgMar w:left="240" w:top="760" w:right="239" w:bottom="1440" w:gutter="0" w:footer="0" w:header="0"/>
        </w:sectPr>
      </w:pPr>
    </w:p>
    <w:bookmarkStart w:id="13" w:name="page14"/>
    <w:bookmarkEnd w:id="13"/>
    <w:p>
      <w:pPr>
        <w:ind w:left="660"/>
        <w:spacing w:after="0"/>
        <w:rPr>
          <w:sz w:val="20"/>
          <w:szCs w:val="20"/>
          <w:color w:val="auto"/>
        </w:rPr>
      </w:pPr>
      <w:r>
        <w:rPr>
          <w:rFonts w:ascii="Arial" w:cs="Arial" w:eastAsia="Arial" w:hAnsi="Arial"/>
          <w:sz w:val="18"/>
          <w:szCs w:val="18"/>
          <w:color w:val="auto"/>
        </w:rPr>
        <w:t>The weighted-average assumptions used in determining benefit obligations at each plan’s measurement date were as follows:</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5820" w:type="dxa"/>
            <w:vAlign w:val="bottom"/>
          </w:tcPr>
          <w:p>
            <w:pPr>
              <w:ind w:left="40"/>
              <w:spacing w:after="0"/>
              <w:rPr>
                <w:sz w:val="20"/>
                <w:szCs w:val="20"/>
                <w:color w:val="auto"/>
              </w:rPr>
            </w:pPr>
            <w:r>
              <w:rPr>
                <w:rFonts w:ascii="Arial" w:cs="Arial" w:eastAsia="Arial" w:hAnsi="Arial"/>
                <w:sz w:val="16"/>
                <w:szCs w:val="16"/>
                <w:b w:val="1"/>
                <w:bCs w:val="1"/>
                <w:color w:val="auto"/>
              </w:rPr>
              <w:t>Assumptions:</w:t>
            </w:r>
          </w:p>
        </w:tc>
        <w:tc>
          <w:tcPr>
            <w:tcW w:w="3860" w:type="dxa"/>
            <w:vAlign w:val="bottom"/>
          </w:tcPr>
          <w:p>
            <w:pPr>
              <w:jc w:val="right"/>
              <w:ind w:right="832"/>
              <w:spacing w:after="0"/>
              <w:rPr>
                <w:sz w:val="20"/>
                <w:szCs w:val="20"/>
                <w:color w:val="auto"/>
              </w:rPr>
            </w:pPr>
            <w:r>
              <w:rPr>
                <w:rFonts w:ascii="Arial" w:cs="Arial" w:eastAsia="Arial" w:hAnsi="Arial"/>
                <w:sz w:val="16"/>
                <w:szCs w:val="16"/>
                <w:b w:val="1"/>
                <w:bCs w:val="1"/>
                <w:color w:val="auto"/>
              </w:rPr>
              <w:t>Pension</w:t>
            </w:r>
          </w:p>
        </w:tc>
        <w:tc>
          <w:tcPr>
            <w:tcW w:w="1740" w:type="dxa"/>
            <w:vAlign w:val="bottom"/>
          </w:tcPr>
          <w:p>
            <w:pPr>
              <w:jc w:val="right"/>
              <w:ind w:right="352"/>
              <w:spacing w:after="0"/>
              <w:rPr>
                <w:sz w:val="20"/>
                <w:szCs w:val="20"/>
                <w:color w:val="auto"/>
              </w:rPr>
            </w:pPr>
            <w:r>
              <w:rPr>
                <w:rFonts w:ascii="Arial" w:cs="Arial" w:eastAsia="Arial" w:hAnsi="Arial"/>
                <w:sz w:val="16"/>
                <w:szCs w:val="16"/>
                <w:b w:val="1"/>
                <w:bCs w:val="1"/>
                <w:color w:val="auto"/>
              </w:rPr>
              <w:t>Postretirement</w:t>
            </w:r>
          </w:p>
        </w:tc>
      </w:tr>
      <w:tr>
        <w:trPr>
          <w:trHeight w:val="33"/>
        </w:trPr>
        <w:tc>
          <w:tcPr>
            <w:tcW w:w="5820" w:type="dxa"/>
            <w:vAlign w:val="bottom"/>
            <w:tcBorders>
              <w:bottom w:val="single" w:sz="8" w:color="auto"/>
            </w:tcBorders>
          </w:tcPr>
          <w:p>
            <w:pPr>
              <w:spacing w:after="0"/>
              <w:rPr>
                <w:sz w:val="2"/>
                <w:szCs w:val="2"/>
                <w:color w:val="auto"/>
              </w:rPr>
            </w:pPr>
          </w:p>
        </w:tc>
        <w:tc>
          <w:tcPr>
            <w:tcW w:w="386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44"/>
        </w:trPr>
        <w:tc>
          <w:tcPr>
            <w:tcW w:w="58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Discount rate</w:t>
            </w:r>
          </w:p>
        </w:tc>
        <w:tc>
          <w:tcPr>
            <w:tcW w:w="3860" w:type="dxa"/>
            <w:vAlign w:val="bottom"/>
            <w:tcBorders>
              <w:bottom w:val="single" w:sz="8" w:color="CCEEFF"/>
            </w:tcBorders>
            <w:shd w:val="clear" w:color="auto" w:fill="CCEEFF"/>
          </w:tcPr>
          <w:p>
            <w:pPr>
              <w:jc w:val="right"/>
              <w:ind w:right="212"/>
              <w:spacing w:after="0"/>
              <w:rPr>
                <w:sz w:val="20"/>
                <w:szCs w:val="20"/>
                <w:color w:val="auto"/>
              </w:rPr>
            </w:pPr>
            <w:r>
              <w:rPr>
                <w:rFonts w:ascii="Arial" w:cs="Arial" w:eastAsia="Arial" w:hAnsi="Arial"/>
                <w:sz w:val="18"/>
                <w:szCs w:val="18"/>
                <w:color w:val="auto"/>
              </w:rPr>
              <w:t>4.65%</w:t>
            </w:r>
          </w:p>
        </w:tc>
        <w:tc>
          <w:tcPr>
            <w:tcW w:w="1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4.33%</w:t>
            </w:r>
          </w:p>
        </w:tc>
      </w:tr>
      <w:tr>
        <w:trPr>
          <w:trHeight w:val="243"/>
        </w:trPr>
        <w:tc>
          <w:tcPr>
            <w:tcW w:w="5820" w:type="dxa"/>
            <w:vAlign w:val="bottom"/>
          </w:tcPr>
          <w:p>
            <w:pPr>
              <w:ind w:left="500"/>
              <w:spacing w:after="0"/>
              <w:rPr>
                <w:sz w:val="20"/>
                <w:szCs w:val="20"/>
                <w:color w:val="auto"/>
              </w:rPr>
            </w:pPr>
            <w:r>
              <w:rPr>
                <w:rFonts w:ascii="Arial" w:cs="Arial" w:eastAsia="Arial" w:hAnsi="Arial"/>
                <w:sz w:val="18"/>
                <w:szCs w:val="18"/>
                <w:color w:val="auto"/>
              </w:rPr>
              <w:t>Future compensation assumption</w:t>
            </w:r>
          </w:p>
        </w:tc>
        <w:tc>
          <w:tcPr>
            <w:tcW w:w="3860" w:type="dxa"/>
            <w:vAlign w:val="bottom"/>
          </w:tcPr>
          <w:p>
            <w:pPr>
              <w:jc w:val="right"/>
              <w:ind w:right="212"/>
              <w:spacing w:after="0"/>
              <w:rPr>
                <w:sz w:val="20"/>
                <w:szCs w:val="20"/>
                <w:color w:val="auto"/>
              </w:rPr>
            </w:pPr>
            <w:r>
              <w:rPr>
                <w:rFonts w:ascii="Arial" w:cs="Arial" w:eastAsia="Arial" w:hAnsi="Arial"/>
                <w:sz w:val="18"/>
                <w:szCs w:val="18"/>
                <w:color w:val="auto"/>
              </w:rPr>
              <w:t>3.11%</w:t>
            </w:r>
          </w:p>
        </w:tc>
        <w:tc>
          <w:tcPr>
            <w:tcW w:w="1740" w:type="dxa"/>
            <w:vAlign w:val="bottom"/>
          </w:tcPr>
          <w:p>
            <w:pPr>
              <w:jc w:val="right"/>
              <w:ind w:right="92"/>
              <w:spacing w:after="0"/>
              <w:rPr>
                <w:sz w:val="20"/>
                <w:szCs w:val="20"/>
                <w:color w:val="auto"/>
              </w:rPr>
            </w:pPr>
            <w:r>
              <w:rPr>
                <w:rFonts w:ascii="Arial" w:cs="Arial" w:eastAsia="Arial" w:hAnsi="Arial"/>
                <w:sz w:val="18"/>
                <w:szCs w:val="18"/>
                <w:color w:val="auto"/>
              </w:rPr>
              <w:t>n/a</w:t>
            </w:r>
          </w:p>
        </w:tc>
      </w:tr>
      <w:tr>
        <w:trPr>
          <w:trHeight w:val="27"/>
        </w:trPr>
        <w:tc>
          <w:tcPr>
            <w:tcW w:w="5820" w:type="dxa"/>
            <w:vAlign w:val="bottom"/>
          </w:tcPr>
          <w:p>
            <w:pPr>
              <w:spacing w:after="0"/>
              <w:rPr>
                <w:sz w:val="2"/>
                <w:szCs w:val="2"/>
                <w:color w:val="auto"/>
              </w:rPr>
            </w:pPr>
          </w:p>
        </w:tc>
        <w:tc>
          <w:tcPr>
            <w:tcW w:w="386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58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Expected long-term return on plan assets</w:t>
            </w:r>
          </w:p>
        </w:tc>
        <w:tc>
          <w:tcPr>
            <w:tcW w:w="3860" w:type="dxa"/>
            <w:vAlign w:val="bottom"/>
            <w:tcBorders>
              <w:bottom w:val="single" w:sz="8" w:color="CCEEFF"/>
            </w:tcBorders>
            <w:shd w:val="clear" w:color="auto" w:fill="CCEEFF"/>
          </w:tcPr>
          <w:p>
            <w:pPr>
              <w:jc w:val="right"/>
              <w:ind w:right="212"/>
              <w:spacing w:after="0"/>
              <w:rPr>
                <w:sz w:val="20"/>
                <w:szCs w:val="20"/>
                <w:color w:val="auto"/>
              </w:rPr>
            </w:pPr>
            <w:r>
              <w:rPr>
                <w:rFonts w:ascii="Arial" w:cs="Arial" w:eastAsia="Arial" w:hAnsi="Arial"/>
                <w:sz w:val="18"/>
                <w:szCs w:val="18"/>
                <w:color w:val="auto"/>
              </w:rPr>
              <w:t>7.25%</w:t>
            </w:r>
          </w:p>
        </w:tc>
        <w:tc>
          <w:tcPr>
            <w:tcW w:w="1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5.00%</w:t>
            </w:r>
          </w:p>
        </w:tc>
      </w:tr>
      <w:tr>
        <w:trPr>
          <w:trHeight w:val="27"/>
        </w:trPr>
        <w:tc>
          <w:tcPr>
            <w:tcW w:w="5820" w:type="dxa"/>
            <w:vAlign w:val="bottom"/>
            <w:shd w:val="clear" w:color="auto" w:fill="000000"/>
          </w:tcPr>
          <w:p>
            <w:pPr>
              <w:spacing w:after="0"/>
              <w:rPr>
                <w:sz w:val="2"/>
                <w:szCs w:val="2"/>
                <w:color w:val="auto"/>
              </w:rPr>
            </w:pPr>
          </w:p>
        </w:tc>
        <w:tc>
          <w:tcPr>
            <w:tcW w:w="3860" w:type="dxa"/>
            <w:vAlign w:val="bottom"/>
            <w:shd w:val="clear" w:color="auto" w:fill="000000"/>
          </w:tcPr>
          <w:p>
            <w:pPr>
              <w:spacing w:after="0"/>
              <w:rPr>
                <w:sz w:val="2"/>
                <w:szCs w:val="2"/>
                <w:color w:val="auto"/>
              </w:rPr>
            </w:pPr>
          </w:p>
        </w:tc>
        <w:tc>
          <w:tcPr>
            <w:tcW w:w="1740" w:type="dxa"/>
            <w:vAlign w:val="bottom"/>
            <w:shd w:val="clear" w:color="auto" w:fill="000000"/>
          </w:tcPr>
          <w:p>
            <w:pPr>
              <w:spacing w:after="0"/>
              <w:rPr>
                <w:sz w:val="2"/>
                <w:szCs w:val="2"/>
                <w:color w:val="auto"/>
              </w:rPr>
            </w:pPr>
          </w:p>
        </w:tc>
      </w:tr>
    </w:tbl>
    <w:p>
      <w:pPr>
        <w:spacing w:after="0" w:line="161"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The discount rate assumption is based on current rates of high-quality long-term corporate bonds over the same period that benefit payments will be required to be made. The expected rate of return on plan assets assumption is based on the weighted-average expected return on the various asset classes in the plans’ portfolio. The asset class return is developed using historical asset return performance as well as current market conditions such as inflation, interest rates and equity market performance. For measurement purposes, the Company assumed a weighted-average annual rate of increase in the per capita cost (health care cost trend rate) of 7.25% for 2014, declining gradually to 5.00% in 2023 and thereafter for medical and prescription drug benefits, and 9.25% for 2014, declining gradually to 5.00% in 2023 and thereafter for HMO benefits.</w:t>
      </w:r>
    </w:p>
    <w:p>
      <w:pPr>
        <w:spacing w:after="0" w:line="13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net periodic benefit cost for the three and six months ended June 30, 2014 and 2013 were as follows:</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080" w:type="dxa"/>
            <w:vAlign w:val="bottom"/>
          </w:tcPr>
          <w:p>
            <w:pPr>
              <w:spacing w:after="0"/>
              <w:rPr>
                <w:sz w:val="17"/>
                <w:szCs w:val="17"/>
                <w:color w:val="auto"/>
              </w:rPr>
            </w:pPr>
          </w:p>
        </w:tc>
        <w:tc>
          <w:tcPr>
            <w:tcW w:w="4260" w:type="dxa"/>
            <w:vAlign w:val="bottom"/>
            <w:gridSpan w:val="2"/>
          </w:tcPr>
          <w:p>
            <w:pPr>
              <w:jc w:val="center"/>
              <w:ind w:left="253"/>
              <w:spacing w:after="0"/>
              <w:rPr>
                <w:sz w:val="20"/>
                <w:szCs w:val="20"/>
                <w:color w:val="auto"/>
              </w:rPr>
            </w:pPr>
            <w:r>
              <w:rPr>
                <w:rFonts w:ascii="Arial" w:cs="Arial" w:eastAsia="Arial" w:hAnsi="Arial"/>
                <w:sz w:val="16"/>
                <w:szCs w:val="16"/>
                <w:b w:val="1"/>
                <w:bCs w:val="1"/>
                <w:color w:val="auto"/>
                <w:w w:val="93"/>
              </w:rPr>
              <w:t>Three Months Ended</w:t>
            </w:r>
          </w:p>
        </w:tc>
        <w:tc>
          <w:tcPr>
            <w:tcW w:w="3080" w:type="dxa"/>
            <w:vAlign w:val="bottom"/>
            <w:gridSpan w:val="2"/>
          </w:tcPr>
          <w:p>
            <w:pPr>
              <w:jc w:val="center"/>
              <w:ind w:right="71"/>
              <w:spacing w:after="0"/>
              <w:rPr>
                <w:sz w:val="20"/>
                <w:szCs w:val="20"/>
                <w:color w:val="auto"/>
              </w:rPr>
            </w:pPr>
            <w:r>
              <w:rPr>
                <w:rFonts w:ascii="Arial" w:cs="Arial" w:eastAsia="Arial" w:hAnsi="Arial"/>
                <w:sz w:val="16"/>
                <w:szCs w:val="16"/>
                <w:b w:val="1"/>
                <w:bCs w:val="1"/>
                <w:color w:val="auto"/>
                <w:w w:val="93"/>
              </w:rPr>
              <w:t>Three Months Ended</w:t>
            </w:r>
          </w:p>
        </w:tc>
      </w:tr>
      <w:tr>
        <w:trPr>
          <w:trHeight w:val="210"/>
        </w:trPr>
        <w:tc>
          <w:tcPr>
            <w:tcW w:w="4080" w:type="dxa"/>
            <w:vAlign w:val="bottom"/>
          </w:tcPr>
          <w:p>
            <w:pPr>
              <w:spacing w:after="0"/>
              <w:rPr>
                <w:sz w:val="18"/>
                <w:szCs w:val="18"/>
                <w:color w:val="auto"/>
              </w:rPr>
            </w:pPr>
          </w:p>
        </w:tc>
        <w:tc>
          <w:tcPr>
            <w:tcW w:w="4260" w:type="dxa"/>
            <w:vAlign w:val="bottom"/>
            <w:gridSpan w:val="2"/>
          </w:tcPr>
          <w:p>
            <w:pPr>
              <w:jc w:val="center"/>
              <w:ind w:left="273"/>
              <w:spacing w:after="0"/>
              <w:rPr>
                <w:sz w:val="20"/>
                <w:szCs w:val="20"/>
                <w:color w:val="auto"/>
              </w:rPr>
            </w:pPr>
            <w:r>
              <w:rPr>
                <w:rFonts w:ascii="Arial" w:cs="Arial" w:eastAsia="Arial" w:hAnsi="Arial"/>
                <w:sz w:val="16"/>
                <w:szCs w:val="16"/>
                <w:b w:val="1"/>
                <w:bCs w:val="1"/>
                <w:color w:val="auto"/>
                <w:w w:val="90"/>
              </w:rPr>
              <w:t>June 30, 2014</w:t>
            </w:r>
          </w:p>
        </w:tc>
        <w:tc>
          <w:tcPr>
            <w:tcW w:w="3080" w:type="dxa"/>
            <w:vAlign w:val="bottom"/>
            <w:gridSpan w:val="2"/>
          </w:tcPr>
          <w:p>
            <w:pPr>
              <w:jc w:val="center"/>
              <w:ind w:right="91"/>
              <w:spacing w:after="0"/>
              <w:rPr>
                <w:sz w:val="20"/>
                <w:szCs w:val="20"/>
                <w:color w:val="auto"/>
              </w:rPr>
            </w:pPr>
            <w:r>
              <w:rPr>
                <w:rFonts w:ascii="Arial" w:cs="Arial" w:eastAsia="Arial" w:hAnsi="Arial"/>
                <w:sz w:val="16"/>
                <w:szCs w:val="16"/>
                <w:b w:val="1"/>
                <w:bCs w:val="1"/>
                <w:color w:val="auto"/>
                <w:w w:val="90"/>
              </w:rPr>
              <w:t>June 30, 2013</w:t>
            </w:r>
          </w:p>
        </w:tc>
      </w:tr>
      <w:tr>
        <w:trPr>
          <w:trHeight w:val="33"/>
        </w:trPr>
        <w:tc>
          <w:tcPr>
            <w:tcW w:w="4080" w:type="dxa"/>
            <w:vAlign w:val="bottom"/>
            <w:tcBorders>
              <w:bottom w:val="single" w:sz="8" w:color="auto"/>
            </w:tcBorders>
          </w:tcPr>
          <w:p>
            <w:pPr>
              <w:spacing w:after="0"/>
              <w:rPr>
                <w:sz w:val="2"/>
                <w:szCs w:val="2"/>
                <w:color w:val="auto"/>
              </w:rPr>
            </w:pPr>
          </w:p>
        </w:tc>
        <w:tc>
          <w:tcPr>
            <w:tcW w:w="2400" w:type="dxa"/>
            <w:vAlign w:val="bottom"/>
            <w:tcBorders>
              <w:bottom w:val="single" w:sz="8" w:color="auto"/>
            </w:tcBorders>
          </w:tcPr>
          <w:p>
            <w:pPr>
              <w:spacing w:after="0"/>
              <w:rPr>
                <w:sz w:val="2"/>
                <w:szCs w:val="2"/>
                <w:color w:val="auto"/>
              </w:rPr>
            </w:pPr>
          </w:p>
        </w:tc>
        <w:tc>
          <w:tcPr>
            <w:tcW w:w="186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31"/>
        </w:trPr>
        <w:tc>
          <w:tcPr>
            <w:tcW w:w="4080" w:type="dxa"/>
            <w:vAlign w:val="bottom"/>
          </w:tcPr>
          <w:p>
            <w:pPr>
              <w:ind w:left="40"/>
              <w:spacing w:after="0"/>
              <w:rPr>
                <w:sz w:val="20"/>
                <w:szCs w:val="20"/>
                <w:color w:val="auto"/>
              </w:rPr>
            </w:pPr>
            <w:r>
              <w:rPr>
                <w:rFonts w:ascii="Arial" w:cs="Arial" w:eastAsia="Arial" w:hAnsi="Arial"/>
                <w:sz w:val="16"/>
                <w:szCs w:val="16"/>
                <w:b w:val="1"/>
                <w:bCs w:val="1"/>
                <w:color w:val="auto"/>
              </w:rPr>
              <w:t>Components of net periodic benefit cost:</w:t>
            </w:r>
          </w:p>
        </w:tc>
        <w:tc>
          <w:tcPr>
            <w:tcW w:w="2400" w:type="dxa"/>
            <w:vAlign w:val="bottom"/>
          </w:tcPr>
          <w:p>
            <w:pPr>
              <w:jc w:val="right"/>
              <w:ind w:right="613"/>
              <w:spacing w:after="0"/>
              <w:rPr>
                <w:sz w:val="20"/>
                <w:szCs w:val="20"/>
                <w:color w:val="auto"/>
              </w:rPr>
            </w:pPr>
            <w:r>
              <w:rPr>
                <w:rFonts w:ascii="Arial" w:cs="Arial" w:eastAsia="Arial" w:hAnsi="Arial"/>
                <w:sz w:val="16"/>
                <w:szCs w:val="16"/>
                <w:b w:val="1"/>
                <w:bCs w:val="1"/>
                <w:color w:val="auto"/>
              </w:rPr>
              <w:t>Pension</w:t>
            </w:r>
          </w:p>
        </w:tc>
        <w:tc>
          <w:tcPr>
            <w:tcW w:w="1860" w:type="dxa"/>
            <w:vAlign w:val="bottom"/>
          </w:tcPr>
          <w:p>
            <w:pPr>
              <w:jc w:val="right"/>
              <w:ind w:right="491"/>
              <w:spacing w:after="0"/>
              <w:rPr>
                <w:sz w:val="20"/>
                <w:szCs w:val="20"/>
                <w:color w:val="auto"/>
              </w:rPr>
            </w:pPr>
            <w:r>
              <w:rPr>
                <w:rFonts w:ascii="Arial" w:cs="Arial" w:eastAsia="Arial" w:hAnsi="Arial"/>
                <w:sz w:val="16"/>
                <w:szCs w:val="16"/>
                <w:b w:val="1"/>
                <w:bCs w:val="1"/>
                <w:color w:val="auto"/>
              </w:rPr>
              <w:t>Postretirement</w:t>
            </w:r>
          </w:p>
        </w:tc>
        <w:tc>
          <w:tcPr>
            <w:tcW w:w="1520" w:type="dxa"/>
            <w:vAlign w:val="bottom"/>
          </w:tcPr>
          <w:p>
            <w:pPr>
              <w:jc w:val="right"/>
              <w:ind w:right="553"/>
              <w:spacing w:after="0"/>
              <w:rPr>
                <w:sz w:val="20"/>
                <w:szCs w:val="20"/>
                <w:color w:val="auto"/>
              </w:rPr>
            </w:pPr>
            <w:r>
              <w:rPr>
                <w:rFonts w:ascii="Arial" w:cs="Arial" w:eastAsia="Arial" w:hAnsi="Arial"/>
                <w:sz w:val="16"/>
                <w:szCs w:val="16"/>
                <w:b w:val="1"/>
                <w:bCs w:val="1"/>
                <w:color w:val="auto"/>
              </w:rPr>
              <w:t>Pension</w:t>
            </w:r>
          </w:p>
        </w:tc>
        <w:tc>
          <w:tcPr>
            <w:tcW w:w="1560" w:type="dxa"/>
            <w:vAlign w:val="bottom"/>
          </w:tcPr>
          <w:p>
            <w:pPr>
              <w:jc w:val="right"/>
              <w:ind w:right="191"/>
              <w:spacing w:after="0"/>
              <w:rPr>
                <w:sz w:val="20"/>
                <w:szCs w:val="20"/>
                <w:color w:val="auto"/>
              </w:rPr>
            </w:pPr>
            <w:r>
              <w:rPr>
                <w:rFonts w:ascii="Arial" w:cs="Arial" w:eastAsia="Arial" w:hAnsi="Arial"/>
                <w:sz w:val="16"/>
                <w:szCs w:val="16"/>
                <w:b w:val="1"/>
                <w:bCs w:val="1"/>
                <w:color w:val="auto"/>
              </w:rPr>
              <w:t>Postretirement</w:t>
            </w:r>
          </w:p>
        </w:tc>
      </w:tr>
      <w:tr>
        <w:trPr>
          <w:trHeight w:val="33"/>
        </w:trPr>
        <w:tc>
          <w:tcPr>
            <w:tcW w:w="4080" w:type="dxa"/>
            <w:vAlign w:val="bottom"/>
            <w:tcBorders>
              <w:bottom w:val="single" w:sz="8" w:color="auto"/>
            </w:tcBorders>
          </w:tcPr>
          <w:p>
            <w:pPr>
              <w:spacing w:after="0"/>
              <w:rPr>
                <w:sz w:val="2"/>
                <w:szCs w:val="2"/>
                <w:color w:val="auto"/>
              </w:rPr>
            </w:pPr>
          </w:p>
        </w:tc>
        <w:tc>
          <w:tcPr>
            <w:tcW w:w="2400" w:type="dxa"/>
            <w:vAlign w:val="bottom"/>
            <w:tcBorders>
              <w:bottom w:val="single" w:sz="8" w:color="auto"/>
            </w:tcBorders>
          </w:tcPr>
          <w:p>
            <w:pPr>
              <w:spacing w:after="0"/>
              <w:rPr>
                <w:sz w:val="2"/>
                <w:szCs w:val="2"/>
                <w:color w:val="auto"/>
              </w:rPr>
            </w:pPr>
          </w:p>
        </w:tc>
        <w:tc>
          <w:tcPr>
            <w:tcW w:w="186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44"/>
        </w:trPr>
        <w:tc>
          <w:tcPr>
            <w:tcW w:w="408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Service cost</w:t>
            </w:r>
          </w:p>
        </w:tc>
        <w:tc>
          <w:tcPr>
            <w:tcW w:w="2400" w:type="dxa"/>
            <w:vAlign w:val="bottom"/>
            <w:tcBorders>
              <w:bottom w:val="single" w:sz="8" w:color="CCEEFF"/>
            </w:tcBorders>
            <w:shd w:val="clear" w:color="auto" w:fill="CCEEFF"/>
          </w:tcPr>
          <w:p>
            <w:pPr>
              <w:jc w:val="right"/>
              <w:ind w:right="193"/>
              <w:spacing w:after="0"/>
              <w:rPr>
                <w:sz w:val="20"/>
                <w:szCs w:val="20"/>
                <w:color w:val="auto"/>
              </w:rPr>
            </w:pPr>
            <w:r>
              <w:rPr>
                <w:rFonts w:ascii="Arial" w:cs="Arial" w:eastAsia="Arial" w:hAnsi="Arial"/>
                <w:sz w:val="18"/>
                <w:szCs w:val="18"/>
                <w:b w:val="1"/>
                <w:bCs w:val="1"/>
                <w:color w:val="auto"/>
              </w:rPr>
              <w:t>$2.6</w:t>
            </w:r>
          </w:p>
        </w:tc>
        <w:tc>
          <w:tcPr>
            <w:tcW w:w="1860" w:type="dxa"/>
            <w:vAlign w:val="bottom"/>
            <w:tcBorders>
              <w:bottom w:val="single" w:sz="8" w:color="CCEEFF"/>
            </w:tcBorders>
            <w:shd w:val="clear" w:color="auto" w:fill="CCEEFF"/>
          </w:tcPr>
          <w:p>
            <w:pPr>
              <w:jc w:val="right"/>
              <w:ind w:right="311"/>
              <w:spacing w:after="0"/>
              <w:rPr>
                <w:sz w:val="20"/>
                <w:szCs w:val="20"/>
                <w:color w:val="auto"/>
              </w:rPr>
            </w:pPr>
            <w:r>
              <w:rPr>
                <w:rFonts w:ascii="Arial" w:cs="Arial" w:eastAsia="Arial" w:hAnsi="Arial"/>
                <w:sz w:val="18"/>
                <w:szCs w:val="18"/>
                <w:b w:val="1"/>
                <w:bCs w:val="1"/>
                <w:color w:val="auto"/>
              </w:rPr>
              <w:t>$0.3</w:t>
            </w:r>
          </w:p>
        </w:tc>
        <w:tc>
          <w:tcPr>
            <w:tcW w:w="1520" w:type="dxa"/>
            <w:vAlign w:val="bottom"/>
            <w:tcBorders>
              <w:bottom w:val="single" w:sz="8" w:color="CCEEFF"/>
            </w:tcBorders>
            <w:shd w:val="clear" w:color="auto" w:fill="CCEEFF"/>
          </w:tcPr>
          <w:p>
            <w:pPr>
              <w:jc w:val="right"/>
              <w:ind w:right="153"/>
              <w:spacing w:after="0"/>
              <w:rPr>
                <w:sz w:val="20"/>
                <w:szCs w:val="20"/>
                <w:color w:val="auto"/>
              </w:rPr>
            </w:pPr>
            <w:r>
              <w:rPr>
                <w:rFonts w:ascii="Arial" w:cs="Arial" w:eastAsia="Arial" w:hAnsi="Arial"/>
                <w:sz w:val="18"/>
                <w:szCs w:val="18"/>
                <w:color w:val="auto"/>
              </w:rPr>
              <w:t>$—</w:t>
            </w:r>
          </w:p>
        </w:tc>
        <w:tc>
          <w:tcPr>
            <w:tcW w:w="15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4080" w:type="dxa"/>
            <w:vAlign w:val="bottom"/>
          </w:tcPr>
          <w:p>
            <w:pPr>
              <w:ind w:left="360"/>
              <w:spacing w:after="0"/>
              <w:rPr>
                <w:sz w:val="20"/>
                <w:szCs w:val="20"/>
                <w:color w:val="auto"/>
              </w:rPr>
            </w:pPr>
            <w:r>
              <w:rPr>
                <w:rFonts w:ascii="Arial" w:cs="Arial" w:eastAsia="Arial" w:hAnsi="Arial"/>
                <w:sz w:val="18"/>
                <w:szCs w:val="18"/>
                <w:color w:val="auto"/>
              </w:rPr>
              <w:t>Interest cost</w:t>
            </w:r>
          </w:p>
        </w:tc>
        <w:tc>
          <w:tcPr>
            <w:tcW w:w="2400" w:type="dxa"/>
            <w:vAlign w:val="bottom"/>
          </w:tcPr>
          <w:p>
            <w:pPr>
              <w:jc w:val="right"/>
              <w:ind w:right="193"/>
              <w:spacing w:after="0"/>
              <w:rPr>
                <w:sz w:val="20"/>
                <w:szCs w:val="20"/>
                <w:color w:val="auto"/>
              </w:rPr>
            </w:pPr>
            <w:r>
              <w:rPr>
                <w:rFonts w:ascii="Arial" w:cs="Arial" w:eastAsia="Arial" w:hAnsi="Arial"/>
                <w:sz w:val="18"/>
                <w:szCs w:val="18"/>
                <w:b w:val="1"/>
                <w:bCs w:val="1"/>
                <w:color w:val="auto"/>
              </w:rPr>
              <w:t>7.8</w:t>
            </w:r>
          </w:p>
        </w:tc>
        <w:tc>
          <w:tcPr>
            <w:tcW w:w="1860" w:type="dxa"/>
            <w:vAlign w:val="bottom"/>
          </w:tcPr>
          <w:p>
            <w:pPr>
              <w:jc w:val="right"/>
              <w:ind w:right="311"/>
              <w:spacing w:after="0"/>
              <w:rPr>
                <w:sz w:val="20"/>
                <w:szCs w:val="20"/>
                <w:color w:val="auto"/>
              </w:rPr>
            </w:pPr>
            <w:r>
              <w:rPr>
                <w:rFonts w:ascii="Arial" w:cs="Arial" w:eastAsia="Arial" w:hAnsi="Arial"/>
                <w:sz w:val="18"/>
                <w:szCs w:val="18"/>
                <w:b w:val="1"/>
                <w:bCs w:val="1"/>
                <w:color w:val="auto"/>
              </w:rPr>
              <w:t>1.6</w:t>
            </w:r>
          </w:p>
        </w:tc>
        <w:tc>
          <w:tcPr>
            <w:tcW w:w="1520" w:type="dxa"/>
            <w:vAlign w:val="bottom"/>
          </w:tcPr>
          <w:p>
            <w:pPr>
              <w:jc w:val="right"/>
              <w:ind w:right="153"/>
              <w:spacing w:after="0"/>
              <w:rPr>
                <w:sz w:val="20"/>
                <w:szCs w:val="20"/>
                <w:color w:val="auto"/>
              </w:rPr>
            </w:pPr>
            <w:r>
              <w:rPr>
                <w:rFonts w:ascii="Arial" w:cs="Arial" w:eastAsia="Arial" w:hAnsi="Arial"/>
                <w:sz w:val="18"/>
                <w:szCs w:val="18"/>
                <w:color w:val="auto"/>
              </w:rPr>
              <w:t>—</w:t>
            </w:r>
          </w:p>
        </w:tc>
        <w:tc>
          <w:tcPr>
            <w:tcW w:w="156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4080" w:type="dxa"/>
            <w:vAlign w:val="bottom"/>
          </w:tcPr>
          <w:p>
            <w:pPr>
              <w:spacing w:after="0"/>
              <w:rPr>
                <w:sz w:val="2"/>
                <w:szCs w:val="2"/>
                <w:color w:val="auto"/>
              </w:rPr>
            </w:pPr>
          </w:p>
        </w:tc>
        <w:tc>
          <w:tcPr>
            <w:tcW w:w="2400" w:type="dxa"/>
            <w:vAlign w:val="bottom"/>
          </w:tcPr>
          <w:p>
            <w:pPr>
              <w:spacing w:after="0"/>
              <w:rPr>
                <w:sz w:val="2"/>
                <w:szCs w:val="2"/>
                <w:color w:val="auto"/>
              </w:rPr>
            </w:pPr>
          </w:p>
        </w:tc>
        <w:tc>
          <w:tcPr>
            <w:tcW w:w="186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50"/>
        </w:trPr>
        <w:tc>
          <w:tcPr>
            <w:tcW w:w="408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Expected return on plan assets</w:t>
            </w:r>
          </w:p>
        </w:tc>
        <w:tc>
          <w:tcPr>
            <w:tcW w:w="2400" w:type="dxa"/>
            <w:vAlign w:val="bottom"/>
            <w:tcBorders>
              <w:bottom w:val="single" w:sz="8" w:color="CCEEFF"/>
            </w:tcBorders>
            <w:shd w:val="clear" w:color="auto" w:fill="CCEEFF"/>
          </w:tcPr>
          <w:p>
            <w:pPr>
              <w:jc w:val="right"/>
              <w:ind w:right="133"/>
              <w:spacing w:after="0"/>
              <w:rPr>
                <w:sz w:val="20"/>
                <w:szCs w:val="20"/>
                <w:color w:val="auto"/>
              </w:rPr>
            </w:pPr>
            <w:r>
              <w:rPr>
                <w:rFonts w:ascii="Arial" w:cs="Arial" w:eastAsia="Arial" w:hAnsi="Arial"/>
                <w:sz w:val="18"/>
                <w:szCs w:val="18"/>
                <w:b w:val="1"/>
                <w:bCs w:val="1"/>
                <w:color w:val="auto"/>
              </w:rPr>
              <w:t>(12.1)</w:t>
            </w:r>
          </w:p>
        </w:tc>
        <w:tc>
          <w:tcPr>
            <w:tcW w:w="1860" w:type="dxa"/>
            <w:vAlign w:val="bottom"/>
            <w:tcBorders>
              <w:bottom w:val="single" w:sz="8" w:color="CCEEFF"/>
            </w:tcBorders>
            <w:shd w:val="clear" w:color="auto" w:fill="CCEEFF"/>
          </w:tcPr>
          <w:p>
            <w:pPr>
              <w:jc w:val="right"/>
              <w:ind w:right="251"/>
              <w:spacing w:after="0"/>
              <w:rPr>
                <w:sz w:val="20"/>
                <w:szCs w:val="20"/>
                <w:color w:val="auto"/>
              </w:rPr>
            </w:pPr>
            <w:r>
              <w:rPr>
                <w:rFonts w:ascii="Arial" w:cs="Arial" w:eastAsia="Arial" w:hAnsi="Arial"/>
                <w:sz w:val="18"/>
                <w:szCs w:val="18"/>
                <w:b w:val="1"/>
                <w:bCs w:val="1"/>
                <w:color w:val="auto"/>
              </w:rPr>
              <w:t>(1.1)</w:t>
            </w:r>
          </w:p>
        </w:tc>
        <w:tc>
          <w:tcPr>
            <w:tcW w:w="1520" w:type="dxa"/>
            <w:vAlign w:val="bottom"/>
            <w:tcBorders>
              <w:bottom w:val="single" w:sz="8" w:color="CCEEFF"/>
            </w:tcBorders>
            <w:shd w:val="clear" w:color="auto" w:fill="CCEEFF"/>
          </w:tcPr>
          <w:p>
            <w:pPr>
              <w:jc w:val="right"/>
              <w:ind w:right="153"/>
              <w:spacing w:after="0"/>
              <w:rPr>
                <w:sz w:val="20"/>
                <w:szCs w:val="20"/>
                <w:color w:val="auto"/>
              </w:rPr>
            </w:pPr>
            <w:r>
              <w:rPr>
                <w:rFonts w:ascii="Arial" w:cs="Arial" w:eastAsia="Arial" w:hAnsi="Arial"/>
                <w:sz w:val="18"/>
                <w:szCs w:val="18"/>
                <w:color w:val="auto"/>
              </w:rPr>
              <w:t>—</w:t>
            </w:r>
          </w:p>
        </w:tc>
        <w:tc>
          <w:tcPr>
            <w:tcW w:w="15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4080" w:type="dxa"/>
            <w:vAlign w:val="bottom"/>
          </w:tcPr>
          <w:p>
            <w:pPr>
              <w:ind w:left="360"/>
              <w:spacing w:after="0"/>
              <w:rPr>
                <w:sz w:val="20"/>
                <w:szCs w:val="20"/>
                <w:color w:val="auto"/>
              </w:rPr>
            </w:pPr>
            <w:r>
              <w:rPr>
                <w:rFonts w:ascii="Arial" w:cs="Arial" w:eastAsia="Arial" w:hAnsi="Arial"/>
                <w:sz w:val="18"/>
                <w:szCs w:val="18"/>
                <w:color w:val="auto"/>
              </w:rPr>
              <w:t>Amortization of prior service cost</w:t>
            </w:r>
          </w:p>
        </w:tc>
        <w:tc>
          <w:tcPr>
            <w:tcW w:w="2400" w:type="dxa"/>
            <w:vAlign w:val="bottom"/>
          </w:tcPr>
          <w:p>
            <w:pPr>
              <w:jc w:val="right"/>
              <w:ind w:right="193"/>
              <w:spacing w:after="0"/>
              <w:rPr>
                <w:sz w:val="20"/>
                <w:szCs w:val="20"/>
                <w:color w:val="auto"/>
              </w:rPr>
            </w:pPr>
            <w:r>
              <w:rPr>
                <w:rFonts w:ascii="Arial" w:cs="Arial" w:eastAsia="Arial" w:hAnsi="Arial"/>
                <w:sz w:val="18"/>
                <w:szCs w:val="18"/>
                <w:b w:val="1"/>
                <w:bCs w:val="1"/>
                <w:color w:val="auto"/>
              </w:rPr>
              <w:t>0.1</w:t>
            </w:r>
          </w:p>
        </w:tc>
        <w:tc>
          <w:tcPr>
            <w:tcW w:w="1860" w:type="dxa"/>
            <w:vAlign w:val="bottom"/>
          </w:tcPr>
          <w:p>
            <w:pPr>
              <w:jc w:val="right"/>
              <w:ind w:right="311"/>
              <w:spacing w:after="0"/>
              <w:rPr>
                <w:sz w:val="20"/>
                <w:szCs w:val="20"/>
                <w:color w:val="auto"/>
              </w:rPr>
            </w:pPr>
            <w:r>
              <w:rPr>
                <w:rFonts w:ascii="Arial" w:cs="Arial" w:eastAsia="Arial" w:hAnsi="Arial"/>
                <w:sz w:val="18"/>
                <w:szCs w:val="18"/>
                <w:b w:val="1"/>
                <w:bCs w:val="1"/>
                <w:color w:val="auto"/>
              </w:rPr>
              <w:t>0.1</w:t>
            </w:r>
          </w:p>
        </w:tc>
        <w:tc>
          <w:tcPr>
            <w:tcW w:w="1520" w:type="dxa"/>
            <w:vAlign w:val="bottom"/>
          </w:tcPr>
          <w:p>
            <w:pPr>
              <w:jc w:val="right"/>
              <w:ind w:right="153"/>
              <w:spacing w:after="0"/>
              <w:rPr>
                <w:sz w:val="20"/>
                <w:szCs w:val="20"/>
                <w:color w:val="auto"/>
              </w:rPr>
            </w:pPr>
            <w:r>
              <w:rPr>
                <w:rFonts w:ascii="Arial" w:cs="Arial" w:eastAsia="Arial" w:hAnsi="Arial"/>
                <w:sz w:val="18"/>
                <w:szCs w:val="18"/>
                <w:color w:val="auto"/>
              </w:rPr>
              <w:t>—</w:t>
            </w:r>
          </w:p>
        </w:tc>
        <w:tc>
          <w:tcPr>
            <w:tcW w:w="156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4080" w:type="dxa"/>
            <w:vAlign w:val="bottom"/>
          </w:tcPr>
          <w:p>
            <w:pPr>
              <w:spacing w:after="0"/>
              <w:rPr>
                <w:sz w:val="2"/>
                <w:szCs w:val="2"/>
                <w:color w:val="auto"/>
              </w:rPr>
            </w:pPr>
          </w:p>
        </w:tc>
        <w:tc>
          <w:tcPr>
            <w:tcW w:w="2400" w:type="dxa"/>
            <w:vAlign w:val="bottom"/>
          </w:tcPr>
          <w:p>
            <w:pPr>
              <w:spacing w:after="0"/>
              <w:rPr>
                <w:sz w:val="2"/>
                <w:szCs w:val="2"/>
                <w:color w:val="auto"/>
              </w:rPr>
            </w:pPr>
          </w:p>
        </w:tc>
        <w:tc>
          <w:tcPr>
            <w:tcW w:w="186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50"/>
        </w:trPr>
        <w:tc>
          <w:tcPr>
            <w:tcW w:w="408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Amortization of net actuarial loss</w:t>
            </w:r>
          </w:p>
        </w:tc>
        <w:tc>
          <w:tcPr>
            <w:tcW w:w="2400" w:type="dxa"/>
            <w:vAlign w:val="bottom"/>
            <w:tcBorders>
              <w:bottom w:val="single" w:sz="8" w:color="CCEEFF"/>
            </w:tcBorders>
            <w:shd w:val="clear" w:color="auto" w:fill="CCEEFF"/>
          </w:tcPr>
          <w:p>
            <w:pPr>
              <w:jc w:val="right"/>
              <w:ind w:right="193"/>
              <w:spacing w:after="0"/>
              <w:rPr>
                <w:sz w:val="20"/>
                <w:szCs w:val="20"/>
                <w:color w:val="auto"/>
              </w:rPr>
            </w:pPr>
            <w:r>
              <w:rPr>
                <w:rFonts w:ascii="Arial" w:cs="Arial" w:eastAsia="Arial" w:hAnsi="Arial"/>
                <w:sz w:val="18"/>
                <w:szCs w:val="18"/>
                <w:b w:val="1"/>
                <w:bCs w:val="1"/>
                <w:color w:val="auto"/>
              </w:rPr>
              <w:t>4.4</w:t>
            </w:r>
          </w:p>
        </w:tc>
        <w:tc>
          <w:tcPr>
            <w:tcW w:w="1860" w:type="dxa"/>
            <w:vAlign w:val="bottom"/>
            <w:tcBorders>
              <w:bottom w:val="single" w:sz="8" w:color="CCEEFF"/>
            </w:tcBorders>
            <w:shd w:val="clear" w:color="auto" w:fill="CCEEFF"/>
          </w:tcPr>
          <w:p>
            <w:pPr>
              <w:jc w:val="right"/>
              <w:ind w:right="311"/>
              <w:spacing w:after="0"/>
              <w:rPr>
                <w:sz w:val="20"/>
                <w:szCs w:val="20"/>
                <w:color w:val="auto"/>
              </w:rPr>
            </w:pPr>
            <w:r>
              <w:rPr>
                <w:rFonts w:ascii="Arial" w:cs="Arial" w:eastAsia="Arial" w:hAnsi="Arial"/>
                <w:sz w:val="18"/>
                <w:szCs w:val="18"/>
                <w:b w:val="1"/>
                <w:bCs w:val="1"/>
                <w:color w:val="auto"/>
              </w:rPr>
              <w:t>—</w:t>
            </w:r>
          </w:p>
        </w:tc>
        <w:tc>
          <w:tcPr>
            <w:tcW w:w="1520" w:type="dxa"/>
            <w:vAlign w:val="bottom"/>
            <w:tcBorders>
              <w:bottom w:val="single" w:sz="8" w:color="CCEEFF"/>
            </w:tcBorders>
            <w:shd w:val="clear" w:color="auto" w:fill="CCEEFF"/>
          </w:tcPr>
          <w:p>
            <w:pPr>
              <w:jc w:val="right"/>
              <w:ind w:right="153"/>
              <w:spacing w:after="0"/>
              <w:rPr>
                <w:sz w:val="20"/>
                <w:szCs w:val="20"/>
                <w:color w:val="auto"/>
              </w:rPr>
            </w:pPr>
            <w:r>
              <w:rPr>
                <w:rFonts w:ascii="Arial" w:cs="Arial" w:eastAsia="Arial" w:hAnsi="Arial"/>
                <w:sz w:val="18"/>
                <w:szCs w:val="18"/>
                <w:color w:val="auto"/>
              </w:rPr>
              <w:t>—</w:t>
            </w:r>
          </w:p>
        </w:tc>
        <w:tc>
          <w:tcPr>
            <w:tcW w:w="15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4080" w:type="dxa"/>
            <w:vAlign w:val="bottom"/>
          </w:tcPr>
          <w:p>
            <w:pPr>
              <w:ind w:left="360"/>
              <w:spacing w:after="0"/>
              <w:rPr>
                <w:sz w:val="20"/>
                <w:szCs w:val="20"/>
                <w:color w:val="auto"/>
              </w:rPr>
            </w:pPr>
            <w:r>
              <w:rPr>
                <w:rFonts w:ascii="Arial" w:cs="Arial" w:eastAsia="Arial" w:hAnsi="Arial"/>
                <w:sz w:val="18"/>
                <w:szCs w:val="18"/>
                <w:color w:val="auto"/>
              </w:rPr>
              <w:t>Allocated benefit cost from Timken</w:t>
            </w:r>
          </w:p>
        </w:tc>
        <w:tc>
          <w:tcPr>
            <w:tcW w:w="2400" w:type="dxa"/>
            <w:vAlign w:val="bottom"/>
          </w:tcPr>
          <w:p>
            <w:pPr>
              <w:jc w:val="right"/>
              <w:ind w:right="193"/>
              <w:spacing w:after="0"/>
              <w:rPr>
                <w:sz w:val="20"/>
                <w:szCs w:val="20"/>
                <w:color w:val="auto"/>
              </w:rPr>
            </w:pPr>
            <w:r>
              <w:rPr>
                <w:rFonts w:ascii="Arial" w:cs="Arial" w:eastAsia="Arial" w:hAnsi="Arial"/>
                <w:sz w:val="18"/>
                <w:szCs w:val="18"/>
                <w:b w:val="1"/>
                <w:bCs w:val="1"/>
                <w:color w:val="auto"/>
              </w:rPr>
              <w:t>0.8</w:t>
            </w:r>
          </w:p>
        </w:tc>
        <w:tc>
          <w:tcPr>
            <w:tcW w:w="1860" w:type="dxa"/>
            <w:vAlign w:val="bottom"/>
          </w:tcPr>
          <w:p>
            <w:pPr>
              <w:jc w:val="right"/>
              <w:ind w:right="311"/>
              <w:spacing w:after="0"/>
              <w:rPr>
                <w:sz w:val="20"/>
                <w:szCs w:val="20"/>
                <w:color w:val="auto"/>
              </w:rPr>
            </w:pPr>
            <w:r>
              <w:rPr>
                <w:rFonts w:ascii="Arial" w:cs="Arial" w:eastAsia="Arial" w:hAnsi="Arial"/>
                <w:sz w:val="18"/>
                <w:szCs w:val="18"/>
                <w:b w:val="1"/>
                <w:bCs w:val="1"/>
                <w:color w:val="auto"/>
              </w:rPr>
              <w:t>0.5</w:t>
            </w:r>
          </w:p>
        </w:tc>
        <w:tc>
          <w:tcPr>
            <w:tcW w:w="1520" w:type="dxa"/>
            <w:vAlign w:val="bottom"/>
          </w:tcPr>
          <w:p>
            <w:pPr>
              <w:jc w:val="right"/>
              <w:ind w:right="153"/>
              <w:spacing w:after="0"/>
              <w:rPr>
                <w:sz w:val="20"/>
                <w:szCs w:val="20"/>
                <w:color w:val="auto"/>
              </w:rPr>
            </w:pPr>
            <w:r>
              <w:rPr>
                <w:rFonts w:ascii="Arial" w:cs="Arial" w:eastAsia="Arial" w:hAnsi="Arial"/>
                <w:sz w:val="18"/>
                <w:szCs w:val="18"/>
                <w:color w:val="auto"/>
              </w:rPr>
              <w:t>6.6</w:t>
            </w:r>
          </w:p>
        </w:tc>
        <w:tc>
          <w:tcPr>
            <w:tcW w:w="1560" w:type="dxa"/>
            <w:vAlign w:val="bottom"/>
          </w:tcPr>
          <w:p>
            <w:pPr>
              <w:jc w:val="right"/>
              <w:ind w:right="11"/>
              <w:spacing w:after="0"/>
              <w:rPr>
                <w:sz w:val="20"/>
                <w:szCs w:val="20"/>
                <w:color w:val="auto"/>
              </w:rPr>
            </w:pPr>
            <w:r>
              <w:rPr>
                <w:rFonts w:ascii="Arial" w:cs="Arial" w:eastAsia="Arial" w:hAnsi="Arial"/>
                <w:sz w:val="18"/>
                <w:szCs w:val="18"/>
                <w:color w:val="auto"/>
              </w:rPr>
              <w:t>1.5</w:t>
            </w:r>
          </w:p>
        </w:tc>
      </w:tr>
      <w:tr>
        <w:trPr>
          <w:trHeight w:val="27"/>
        </w:trPr>
        <w:tc>
          <w:tcPr>
            <w:tcW w:w="4080" w:type="dxa"/>
            <w:vAlign w:val="bottom"/>
            <w:tcBorders>
              <w:bottom w:val="single" w:sz="8" w:color="auto"/>
            </w:tcBorders>
          </w:tcPr>
          <w:p>
            <w:pPr>
              <w:spacing w:after="0"/>
              <w:rPr>
                <w:sz w:val="2"/>
                <w:szCs w:val="2"/>
                <w:color w:val="auto"/>
              </w:rPr>
            </w:pPr>
          </w:p>
        </w:tc>
        <w:tc>
          <w:tcPr>
            <w:tcW w:w="2400" w:type="dxa"/>
            <w:vAlign w:val="bottom"/>
            <w:tcBorders>
              <w:bottom w:val="single" w:sz="8" w:color="auto"/>
            </w:tcBorders>
          </w:tcPr>
          <w:p>
            <w:pPr>
              <w:spacing w:after="0"/>
              <w:rPr>
                <w:sz w:val="2"/>
                <w:szCs w:val="2"/>
                <w:color w:val="auto"/>
              </w:rPr>
            </w:pPr>
          </w:p>
        </w:tc>
        <w:tc>
          <w:tcPr>
            <w:tcW w:w="186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76"/>
        </w:trPr>
        <w:tc>
          <w:tcPr>
            <w:tcW w:w="40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b w:val="1"/>
                <w:bCs w:val="1"/>
                <w:color w:val="auto"/>
              </w:rPr>
              <w:t>Net Periodic Benefit Cost</w:t>
            </w:r>
          </w:p>
        </w:tc>
        <w:tc>
          <w:tcPr>
            <w:tcW w:w="2400" w:type="dxa"/>
            <w:vAlign w:val="bottom"/>
            <w:tcBorders>
              <w:bottom w:val="single" w:sz="8" w:color="CCEEFF"/>
            </w:tcBorders>
            <w:shd w:val="clear" w:color="auto" w:fill="CCEEFF"/>
          </w:tcPr>
          <w:p>
            <w:pPr>
              <w:jc w:val="right"/>
              <w:ind w:right="193"/>
              <w:spacing w:after="0"/>
              <w:rPr>
                <w:sz w:val="20"/>
                <w:szCs w:val="20"/>
                <w:color w:val="auto"/>
              </w:rPr>
            </w:pPr>
            <w:r>
              <w:rPr>
                <w:rFonts w:ascii="Arial" w:cs="Arial" w:eastAsia="Arial" w:hAnsi="Arial"/>
                <w:sz w:val="18"/>
                <w:szCs w:val="18"/>
                <w:b w:val="1"/>
                <w:bCs w:val="1"/>
                <w:color w:val="auto"/>
              </w:rPr>
              <w:t>$3.6</w:t>
            </w:r>
          </w:p>
        </w:tc>
        <w:tc>
          <w:tcPr>
            <w:tcW w:w="1860" w:type="dxa"/>
            <w:vAlign w:val="bottom"/>
            <w:tcBorders>
              <w:bottom w:val="single" w:sz="8" w:color="CCEEFF"/>
            </w:tcBorders>
            <w:shd w:val="clear" w:color="auto" w:fill="CCEEFF"/>
          </w:tcPr>
          <w:p>
            <w:pPr>
              <w:jc w:val="right"/>
              <w:ind w:right="311"/>
              <w:spacing w:after="0"/>
              <w:rPr>
                <w:sz w:val="20"/>
                <w:szCs w:val="20"/>
                <w:color w:val="auto"/>
              </w:rPr>
            </w:pPr>
            <w:r>
              <w:rPr>
                <w:rFonts w:ascii="Arial" w:cs="Arial" w:eastAsia="Arial" w:hAnsi="Arial"/>
                <w:sz w:val="18"/>
                <w:szCs w:val="18"/>
                <w:b w:val="1"/>
                <w:bCs w:val="1"/>
                <w:color w:val="auto"/>
              </w:rPr>
              <w:t>$1.4</w:t>
            </w:r>
          </w:p>
        </w:tc>
        <w:tc>
          <w:tcPr>
            <w:tcW w:w="1520" w:type="dxa"/>
            <w:vAlign w:val="bottom"/>
            <w:tcBorders>
              <w:bottom w:val="single" w:sz="8" w:color="CCEEFF"/>
            </w:tcBorders>
            <w:shd w:val="clear" w:color="auto" w:fill="CCEEFF"/>
          </w:tcPr>
          <w:p>
            <w:pPr>
              <w:jc w:val="right"/>
              <w:ind w:right="153"/>
              <w:spacing w:after="0"/>
              <w:rPr>
                <w:sz w:val="20"/>
                <w:szCs w:val="20"/>
                <w:color w:val="auto"/>
              </w:rPr>
            </w:pPr>
            <w:r>
              <w:rPr>
                <w:rFonts w:ascii="Arial" w:cs="Arial" w:eastAsia="Arial" w:hAnsi="Arial"/>
                <w:sz w:val="18"/>
                <w:szCs w:val="18"/>
                <w:color w:val="auto"/>
              </w:rPr>
              <w:t>$6.6</w:t>
            </w:r>
          </w:p>
        </w:tc>
        <w:tc>
          <w:tcPr>
            <w:tcW w:w="15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w:t>
            </w:r>
          </w:p>
        </w:tc>
      </w:tr>
      <w:tr>
        <w:trPr>
          <w:trHeight w:val="351"/>
        </w:trPr>
        <w:tc>
          <w:tcPr>
            <w:tcW w:w="4080" w:type="dxa"/>
            <w:vAlign w:val="bottom"/>
            <w:tcBorders>
              <w:top w:val="single" w:sz="8" w:color="auto"/>
            </w:tcBorders>
          </w:tcPr>
          <w:p>
            <w:pPr>
              <w:spacing w:after="0"/>
              <w:rPr>
                <w:sz w:val="24"/>
                <w:szCs w:val="24"/>
                <w:color w:val="auto"/>
              </w:rPr>
            </w:pPr>
          </w:p>
        </w:tc>
        <w:tc>
          <w:tcPr>
            <w:tcW w:w="4260" w:type="dxa"/>
            <w:vAlign w:val="bottom"/>
            <w:tcBorders>
              <w:top w:val="single" w:sz="8" w:color="auto"/>
            </w:tcBorders>
            <w:gridSpan w:val="2"/>
          </w:tcPr>
          <w:p>
            <w:pPr>
              <w:jc w:val="center"/>
              <w:ind w:left="253"/>
              <w:spacing w:after="0"/>
              <w:rPr>
                <w:sz w:val="20"/>
                <w:szCs w:val="20"/>
                <w:color w:val="auto"/>
              </w:rPr>
            </w:pPr>
            <w:r>
              <w:rPr>
                <w:rFonts w:ascii="Arial" w:cs="Arial" w:eastAsia="Arial" w:hAnsi="Arial"/>
                <w:sz w:val="16"/>
                <w:szCs w:val="16"/>
                <w:b w:val="1"/>
                <w:bCs w:val="1"/>
                <w:color w:val="auto"/>
                <w:w w:val="92"/>
              </w:rPr>
              <w:t>Six Months Ended</w:t>
            </w:r>
          </w:p>
        </w:tc>
        <w:tc>
          <w:tcPr>
            <w:tcW w:w="3080" w:type="dxa"/>
            <w:vAlign w:val="bottom"/>
            <w:tcBorders>
              <w:top w:val="single" w:sz="8" w:color="auto"/>
            </w:tcBorders>
            <w:gridSpan w:val="2"/>
          </w:tcPr>
          <w:p>
            <w:pPr>
              <w:jc w:val="center"/>
              <w:ind w:right="71"/>
              <w:spacing w:after="0"/>
              <w:rPr>
                <w:sz w:val="20"/>
                <w:szCs w:val="20"/>
                <w:color w:val="auto"/>
              </w:rPr>
            </w:pPr>
            <w:r>
              <w:rPr>
                <w:rFonts w:ascii="Arial" w:cs="Arial" w:eastAsia="Arial" w:hAnsi="Arial"/>
                <w:sz w:val="16"/>
                <w:szCs w:val="16"/>
                <w:b w:val="1"/>
                <w:bCs w:val="1"/>
                <w:color w:val="auto"/>
                <w:w w:val="92"/>
              </w:rPr>
              <w:t>Six Months Ended</w:t>
            </w:r>
          </w:p>
        </w:tc>
      </w:tr>
      <w:tr>
        <w:trPr>
          <w:trHeight w:val="210"/>
        </w:trPr>
        <w:tc>
          <w:tcPr>
            <w:tcW w:w="4080" w:type="dxa"/>
            <w:vAlign w:val="bottom"/>
          </w:tcPr>
          <w:p>
            <w:pPr>
              <w:spacing w:after="0"/>
              <w:rPr>
                <w:sz w:val="18"/>
                <w:szCs w:val="18"/>
                <w:color w:val="auto"/>
              </w:rPr>
            </w:pPr>
          </w:p>
        </w:tc>
        <w:tc>
          <w:tcPr>
            <w:tcW w:w="4260" w:type="dxa"/>
            <w:vAlign w:val="bottom"/>
            <w:gridSpan w:val="2"/>
          </w:tcPr>
          <w:p>
            <w:pPr>
              <w:jc w:val="center"/>
              <w:ind w:left="273"/>
              <w:spacing w:after="0"/>
              <w:rPr>
                <w:sz w:val="20"/>
                <w:szCs w:val="20"/>
                <w:color w:val="auto"/>
              </w:rPr>
            </w:pPr>
            <w:r>
              <w:rPr>
                <w:rFonts w:ascii="Arial" w:cs="Arial" w:eastAsia="Arial" w:hAnsi="Arial"/>
                <w:sz w:val="16"/>
                <w:szCs w:val="16"/>
                <w:b w:val="1"/>
                <w:bCs w:val="1"/>
                <w:color w:val="auto"/>
                <w:w w:val="90"/>
              </w:rPr>
              <w:t>June 30, 2014</w:t>
            </w:r>
          </w:p>
        </w:tc>
        <w:tc>
          <w:tcPr>
            <w:tcW w:w="3080" w:type="dxa"/>
            <w:vAlign w:val="bottom"/>
            <w:gridSpan w:val="2"/>
          </w:tcPr>
          <w:p>
            <w:pPr>
              <w:jc w:val="center"/>
              <w:ind w:right="91"/>
              <w:spacing w:after="0"/>
              <w:rPr>
                <w:sz w:val="20"/>
                <w:szCs w:val="20"/>
                <w:color w:val="auto"/>
              </w:rPr>
            </w:pPr>
            <w:r>
              <w:rPr>
                <w:rFonts w:ascii="Arial" w:cs="Arial" w:eastAsia="Arial" w:hAnsi="Arial"/>
                <w:sz w:val="16"/>
                <w:szCs w:val="16"/>
                <w:b w:val="1"/>
                <w:bCs w:val="1"/>
                <w:color w:val="auto"/>
                <w:w w:val="90"/>
              </w:rPr>
              <w:t>June 30, 2013</w:t>
            </w:r>
          </w:p>
        </w:tc>
      </w:tr>
      <w:tr>
        <w:trPr>
          <w:trHeight w:val="33"/>
        </w:trPr>
        <w:tc>
          <w:tcPr>
            <w:tcW w:w="4080" w:type="dxa"/>
            <w:vAlign w:val="bottom"/>
            <w:tcBorders>
              <w:bottom w:val="single" w:sz="8" w:color="auto"/>
            </w:tcBorders>
          </w:tcPr>
          <w:p>
            <w:pPr>
              <w:spacing w:after="0"/>
              <w:rPr>
                <w:sz w:val="2"/>
                <w:szCs w:val="2"/>
                <w:color w:val="auto"/>
              </w:rPr>
            </w:pPr>
          </w:p>
        </w:tc>
        <w:tc>
          <w:tcPr>
            <w:tcW w:w="2400" w:type="dxa"/>
            <w:vAlign w:val="bottom"/>
            <w:tcBorders>
              <w:bottom w:val="single" w:sz="8" w:color="auto"/>
            </w:tcBorders>
          </w:tcPr>
          <w:p>
            <w:pPr>
              <w:spacing w:after="0"/>
              <w:rPr>
                <w:sz w:val="2"/>
                <w:szCs w:val="2"/>
                <w:color w:val="auto"/>
              </w:rPr>
            </w:pPr>
          </w:p>
        </w:tc>
        <w:tc>
          <w:tcPr>
            <w:tcW w:w="186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31"/>
        </w:trPr>
        <w:tc>
          <w:tcPr>
            <w:tcW w:w="4080" w:type="dxa"/>
            <w:vAlign w:val="bottom"/>
          </w:tcPr>
          <w:p>
            <w:pPr>
              <w:ind w:left="40"/>
              <w:spacing w:after="0"/>
              <w:rPr>
                <w:sz w:val="20"/>
                <w:szCs w:val="20"/>
                <w:color w:val="auto"/>
              </w:rPr>
            </w:pPr>
            <w:r>
              <w:rPr>
                <w:rFonts w:ascii="Arial" w:cs="Arial" w:eastAsia="Arial" w:hAnsi="Arial"/>
                <w:sz w:val="16"/>
                <w:szCs w:val="16"/>
                <w:b w:val="1"/>
                <w:bCs w:val="1"/>
                <w:color w:val="auto"/>
              </w:rPr>
              <w:t>Components of net periodic benefit cost:</w:t>
            </w:r>
          </w:p>
        </w:tc>
        <w:tc>
          <w:tcPr>
            <w:tcW w:w="2400" w:type="dxa"/>
            <w:vAlign w:val="bottom"/>
          </w:tcPr>
          <w:p>
            <w:pPr>
              <w:jc w:val="right"/>
              <w:ind w:right="613"/>
              <w:spacing w:after="0"/>
              <w:rPr>
                <w:sz w:val="20"/>
                <w:szCs w:val="20"/>
                <w:color w:val="auto"/>
              </w:rPr>
            </w:pPr>
            <w:r>
              <w:rPr>
                <w:rFonts w:ascii="Arial" w:cs="Arial" w:eastAsia="Arial" w:hAnsi="Arial"/>
                <w:sz w:val="16"/>
                <w:szCs w:val="16"/>
                <w:b w:val="1"/>
                <w:bCs w:val="1"/>
                <w:color w:val="auto"/>
              </w:rPr>
              <w:t>Pension</w:t>
            </w:r>
          </w:p>
        </w:tc>
        <w:tc>
          <w:tcPr>
            <w:tcW w:w="1860" w:type="dxa"/>
            <w:vAlign w:val="bottom"/>
          </w:tcPr>
          <w:p>
            <w:pPr>
              <w:jc w:val="right"/>
              <w:ind w:right="491"/>
              <w:spacing w:after="0"/>
              <w:rPr>
                <w:sz w:val="20"/>
                <w:szCs w:val="20"/>
                <w:color w:val="auto"/>
              </w:rPr>
            </w:pPr>
            <w:r>
              <w:rPr>
                <w:rFonts w:ascii="Arial" w:cs="Arial" w:eastAsia="Arial" w:hAnsi="Arial"/>
                <w:sz w:val="16"/>
                <w:szCs w:val="16"/>
                <w:b w:val="1"/>
                <w:bCs w:val="1"/>
                <w:color w:val="auto"/>
              </w:rPr>
              <w:t>Postretirement</w:t>
            </w:r>
          </w:p>
        </w:tc>
        <w:tc>
          <w:tcPr>
            <w:tcW w:w="1520" w:type="dxa"/>
            <w:vAlign w:val="bottom"/>
          </w:tcPr>
          <w:p>
            <w:pPr>
              <w:jc w:val="right"/>
              <w:ind w:right="553"/>
              <w:spacing w:after="0"/>
              <w:rPr>
                <w:sz w:val="20"/>
                <w:szCs w:val="20"/>
                <w:color w:val="auto"/>
              </w:rPr>
            </w:pPr>
            <w:r>
              <w:rPr>
                <w:rFonts w:ascii="Arial" w:cs="Arial" w:eastAsia="Arial" w:hAnsi="Arial"/>
                <w:sz w:val="16"/>
                <w:szCs w:val="16"/>
                <w:b w:val="1"/>
                <w:bCs w:val="1"/>
                <w:color w:val="auto"/>
              </w:rPr>
              <w:t>Pension</w:t>
            </w:r>
          </w:p>
        </w:tc>
        <w:tc>
          <w:tcPr>
            <w:tcW w:w="1560" w:type="dxa"/>
            <w:vAlign w:val="bottom"/>
          </w:tcPr>
          <w:p>
            <w:pPr>
              <w:jc w:val="right"/>
              <w:ind w:right="191"/>
              <w:spacing w:after="0"/>
              <w:rPr>
                <w:sz w:val="20"/>
                <w:szCs w:val="20"/>
                <w:color w:val="auto"/>
              </w:rPr>
            </w:pPr>
            <w:r>
              <w:rPr>
                <w:rFonts w:ascii="Arial" w:cs="Arial" w:eastAsia="Arial" w:hAnsi="Arial"/>
                <w:sz w:val="16"/>
                <w:szCs w:val="16"/>
                <w:b w:val="1"/>
                <w:bCs w:val="1"/>
                <w:color w:val="auto"/>
              </w:rPr>
              <w:t>Postretirement</w:t>
            </w:r>
          </w:p>
        </w:tc>
      </w:tr>
      <w:tr>
        <w:trPr>
          <w:trHeight w:val="33"/>
        </w:trPr>
        <w:tc>
          <w:tcPr>
            <w:tcW w:w="4080" w:type="dxa"/>
            <w:vAlign w:val="bottom"/>
            <w:tcBorders>
              <w:bottom w:val="single" w:sz="8" w:color="auto"/>
            </w:tcBorders>
          </w:tcPr>
          <w:p>
            <w:pPr>
              <w:spacing w:after="0"/>
              <w:rPr>
                <w:sz w:val="2"/>
                <w:szCs w:val="2"/>
                <w:color w:val="auto"/>
              </w:rPr>
            </w:pPr>
          </w:p>
        </w:tc>
        <w:tc>
          <w:tcPr>
            <w:tcW w:w="2400" w:type="dxa"/>
            <w:vAlign w:val="bottom"/>
            <w:tcBorders>
              <w:bottom w:val="single" w:sz="8" w:color="auto"/>
            </w:tcBorders>
          </w:tcPr>
          <w:p>
            <w:pPr>
              <w:spacing w:after="0"/>
              <w:rPr>
                <w:sz w:val="2"/>
                <w:szCs w:val="2"/>
                <w:color w:val="auto"/>
              </w:rPr>
            </w:pPr>
          </w:p>
        </w:tc>
        <w:tc>
          <w:tcPr>
            <w:tcW w:w="186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44"/>
        </w:trPr>
        <w:tc>
          <w:tcPr>
            <w:tcW w:w="408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Service cost</w:t>
            </w:r>
          </w:p>
        </w:tc>
        <w:tc>
          <w:tcPr>
            <w:tcW w:w="2400" w:type="dxa"/>
            <w:vAlign w:val="bottom"/>
            <w:tcBorders>
              <w:bottom w:val="single" w:sz="8" w:color="CCEEFF"/>
            </w:tcBorders>
            <w:shd w:val="clear" w:color="auto" w:fill="CCEEFF"/>
          </w:tcPr>
          <w:p>
            <w:pPr>
              <w:jc w:val="right"/>
              <w:ind w:right="193"/>
              <w:spacing w:after="0"/>
              <w:rPr>
                <w:sz w:val="20"/>
                <w:szCs w:val="20"/>
                <w:color w:val="auto"/>
              </w:rPr>
            </w:pPr>
            <w:r>
              <w:rPr>
                <w:rFonts w:ascii="Arial" w:cs="Arial" w:eastAsia="Arial" w:hAnsi="Arial"/>
                <w:sz w:val="18"/>
                <w:szCs w:val="18"/>
                <w:b w:val="1"/>
                <w:bCs w:val="1"/>
                <w:color w:val="auto"/>
              </w:rPr>
              <w:t>$2.6</w:t>
            </w:r>
          </w:p>
        </w:tc>
        <w:tc>
          <w:tcPr>
            <w:tcW w:w="1860" w:type="dxa"/>
            <w:vAlign w:val="bottom"/>
            <w:tcBorders>
              <w:bottom w:val="single" w:sz="8" w:color="CCEEFF"/>
            </w:tcBorders>
            <w:shd w:val="clear" w:color="auto" w:fill="CCEEFF"/>
          </w:tcPr>
          <w:p>
            <w:pPr>
              <w:jc w:val="right"/>
              <w:ind w:right="311"/>
              <w:spacing w:after="0"/>
              <w:rPr>
                <w:sz w:val="20"/>
                <w:szCs w:val="20"/>
                <w:color w:val="auto"/>
              </w:rPr>
            </w:pPr>
            <w:r>
              <w:rPr>
                <w:rFonts w:ascii="Arial" w:cs="Arial" w:eastAsia="Arial" w:hAnsi="Arial"/>
                <w:sz w:val="18"/>
                <w:szCs w:val="18"/>
                <w:b w:val="1"/>
                <w:bCs w:val="1"/>
                <w:color w:val="auto"/>
              </w:rPr>
              <w:t>$0.3</w:t>
            </w:r>
          </w:p>
        </w:tc>
        <w:tc>
          <w:tcPr>
            <w:tcW w:w="1520" w:type="dxa"/>
            <w:vAlign w:val="bottom"/>
            <w:tcBorders>
              <w:bottom w:val="single" w:sz="8" w:color="CCEEFF"/>
            </w:tcBorders>
            <w:shd w:val="clear" w:color="auto" w:fill="CCEEFF"/>
          </w:tcPr>
          <w:p>
            <w:pPr>
              <w:jc w:val="right"/>
              <w:ind w:right="153"/>
              <w:spacing w:after="0"/>
              <w:rPr>
                <w:sz w:val="20"/>
                <w:szCs w:val="20"/>
                <w:color w:val="auto"/>
              </w:rPr>
            </w:pPr>
            <w:r>
              <w:rPr>
                <w:rFonts w:ascii="Arial" w:cs="Arial" w:eastAsia="Arial" w:hAnsi="Arial"/>
                <w:sz w:val="18"/>
                <w:szCs w:val="18"/>
                <w:color w:val="auto"/>
              </w:rPr>
              <w:t>$—</w:t>
            </w:r>
          </w:p>
        </w:tc>
        <w:tc>
          <w:tcPr>
            <w:tcW w:w="15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4080" w:type="dxa"/>
            <w:vAlign w:val="bottom"/>
          </w:tcPr>
          <w:p>
            <w:pPr>
              <w:ind w:left="360"/>
              <w:spacing w:after="0"/>
              <w:rPr>
                <w:sz w:val="20"/>
                <w:szCs w:val="20"/>
                <w:color w:val="auto"/>
              </w:rPr>
            </w:pPr>
            <w:r>
              <w:rPr>
                <w:rFonts w:ascii="Arial" w:cs="Arial" w:eastAsia="Arial" w:hAnsi="Arial"/>
                <w:sz w:val="18"/>
                <w:szCs w:val="18"/>
                <w:color w:val="auto"/>
              </w:rPr>
              <w:t>Interest cost</w:t>
            </w:r>
          </w:p>
        </w:tc>
        <w:tc>
          <w:tcPr>
            <w:tcW w:w="2400" w:type="dxa"/>
            <w:vAlign w:val="bottom"/>
          </w:tcPr>
          <w:p>
            <w:pPr>
              <w:jc w:val="right"/>
              <w:ind w:right="193"/>
              <w:spacing w:after="0"/>
              <w:rPr>
                <w:sz w:val="20"/>
                <w:szCs w:val="20"/>
                <w:color w:val="auto"/>
              </w:rPr>
            </w:pPr>
            <w:r>
              <w:rPr>
                <w:rFonts w:ascii="Arial" w:cs="Arial" w:eastAsia="Arial" w:hAnsi="Arial"/>
                <w:sz w:val="18"/>
                <w:szCs w:val="18"/>
                <w:b w:val="1"/>
                <w:bCs w:val="1"/>
                <w:color w:val="auto"/>
              </w:rPr>
              <w:t>7.8</w:t>
            </w:r>
          </w:p>
        </w:tc>
        <w:tc>
          <w:tcPr>
            <w:tcW w:w="1860" w:type="dxa"/>
            <w:vAlign w:val="bottom"/>
          </w:tcPr>
          <w:p>
            <w:pPr>
              <w:jc w:val="right"/>
              <w:ind w:right="311"/>
              <w:spacing w:after="0"/>
              <w:rPr>
                <w:sz w:val="20"/>
                <w:szCs w:val="20"/>
                <w:color w:val="auto"/>
              </w:rPr>
            </w:pPr>
            <w:r>
              <w:rPr>
                <w:rFonts w:ascii="Arial" w:cs="Arial" w:eastAsia="Arial" w:hAnsi="Arial"/>
                <w:sz w:val="18"/>
                <w:szCs w:val="18"/>
                <w:b w:val="1"/>
                <w:bCs w:val="1"/>
                <w:color w:val="auto"/>
              </w:rPr>
              <w:t>1.6</w:t>
            </w:r>
          </w:p>
        </w:tc>
        <w:tc>
          <w:tcPr>
            <w:tcW w:w="1520" w:type="dxa"/>
            <w:vAlign w:val="bottom"/>
          </w:tcPr>
          <w:p>
            <w:pPr>
              <w:jc w:val="right"/>
              <w:ind w:right="153"/>
              <w:spacing w:after="0"/>
              <w:rPr>
                <w:sz w:val="20"/>
                <w:szCs w:val="20"/>
                <w:color w:val="auto"/>
              </w:rPr>
            </w:pPr>
            <w:r>
              <w:rPr>
                <w:rFonts w:ascii="Arial" w:cs="Arial" w:eastAsia="Arial" w:hAnsi="Arial"/>
                <w:sz w:val="18"/>
                <w:szCs w:val="18"/>
                <w:color w:val="auto"/>
              </w:rPr>
              <w:t>—</w:t>
            </w:r>
          </w:p>
        </w:tc>
        <w:tc>
          <w:tcPr>
            <w:tcW w:w="156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4080" w:type="dxa"/>
            <w:vAlign w:val="bottom"/>
          </w:tcPr>
          <w:p>
            <w:pPr>
              <w:spacing w:after="0"/>
              <w:rPr>
                <w:sz w:val="2"/>
                <w:szCs w:val="2"/>
                <w:color w:val="auto"/>
              </w:rPr>
            </w:pPr>
          </w:p>
        </w:tc>
        <w:tc>
          <w:tcPr>
            <w:tcW w:w="2400" w:type="dxa"/>
            <w:vAlign w:val="bottom"/>
          </w:tcPr>
          <w:p>
            <w:pPr>
              <w:spacing w:after="0"/>
              <w:rPr>
                <w:sz w:val="2"/>
                <w:szCs w:val="2"/>
                <w:color w:val="auto"/>
              </w:rPr>
            </w:pPr>
          </w:p>
        </w:tc>
        <w:tc>
          <w:tcPr>
            <w:tcW w:w="186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50"/>
        </w:trPr>
        <w:tc>
          <w:tcPr>
            <w:tcW w:w="408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Expected return on plan assets</w:t>
            </w:r>
          </w:p>
        </w:tc>
        <w:tc>
          <w:tcPr>
            <w:tcW w:w="2400" w:type="dxa"/>
            <w:vAlign w:val="bottom"/>
            <w:tcBorders>
              <w:bottom w:val="single" w:sz="8" w:color="CCEEFF"/>
            </w:tcBorders>
            <w:shd w:val="clear" w:color="auto" w:fill="CCEEFF"/>
          </w:tcPr>
          <w:p>
            <w:pPr>
              <w:jc w:val="right"/>
              <w:ind w:right="133"/>
              <w:spacing w:after="0"/>
              <w:rPr>
                <w:sz w:val="20"/>
                <w:szCs w:val="20"/>
                <w:color w:val="auto"/>
              </w:rPr>
            </w:pPr>
            <w:r>
              <w:rPr>
                <w:rFonts w:ascii="Arial" w:cs="Arial" w:eastAsia="Arial" w:hAnsi="Arial"/>
                <w:sz w:val="18"/>
                <w:szCs w:val="18"/>
                <w:b w:val="1"/>
                <w:bCs w:val="1"/>
                <w:color w:val="auto"/>
              </w:rPr>
              <w:t>(12.1)</w:t>
            </w:r>
          </w:p>
        </w:tc>
        <w:tc>
          <w:tcPr>
            <w:tcW w:w="1860" w:type="dxa"/>
            <w:vAlign w:val="bottom"/>
            <w:tcBorders>
              <w:bottom w:val="single" w:sz="8" w:color="CCEEFF"/>
            </w:tcBorders>
            <w:shd w:val="clear" w:color="auto" w:fill="CCEEFF"/>
          </w:tcPr>
          <w:p>
            <w:pPr>
              <w:jc w:val="right"/>
              <w:ind w:right="251"/>
              <w:spacing w:after="0"/>
              <w:rPr>
                <w:sz w:val="20"/>
                <w:szCs w:val="20"/>
                <w:color w:val="auto"/>
              </w:rPr>
            </w:pPr>
            <w:r>
              <w:rPr>
                <w:rFonts w:ascii="Arial" w:cs="Arial" w:eastAsia="Arial" w:hAnsi="Arial"/>
                <w:sz w:val="18"/>
                <w:szCs w:val="18"/>
                <w:b w:val="1"/>
                <w:bCs w:val="1"/>
                <w:color w:val="auto"/>
              </w:rPr>
              <w:t>(1.1)</w:t>
            </w:r>
          </w:p>
        </w:tc>
        <w:tc>
          <w:tcPr>
            <w:tcW w:w="1520" w:type="dxa"/>
            <w:vAlign w:val="bottom"/>
            <w:tcBorders>
              <w:bottom w:val="single" w:sz="8" w:color="CCEEFF"/>
            </w:tcBorders>
            <w:shd w:val="clear" w:color="auto" w:fill="CCEEFF"/>
          </w:tcPr>
          <w:p>
            <w:pPr>
              <w:jc w:val="right"/>
              <w:ind w:right="153"/>
              <w:spacing w:after="0"/>
              <w:rPr>
                <w:sz w:val="20"/>
                <w:szCs w:val="20"/>
                <w:color w:val="auto"/>
              </w:rPr>
            </w:pPr>
            <w:r>
              <w:rPr>
                <w:rFonts w:ascii="Arial" w:cs="Arial" w:eastAsia="Arial" w:hAnsi="Arial"/>
                <w:sz w:val="18"/>
                <w:szCs w:val="18"/>
                <w:color w:val="auto"/>
              </w:rPr>
              <w:t>—</w:t>
            </w:r>
          </w:p>
        </w:tc>
        <w:tc>
          <w:tcPr>
            <w:tcW w:w="15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4080" w:type="dxa"/>
            <w:vAlign w:val="bottom"/>
          </w:tcPr>
          <w:p>
            <w:pPr>
              <w:ind w:left="360"/>
              <w:spacing w:after="0"/>
              <w:rPr>
                <w:sz w:val="20"/>
                <w:szCs w:val="20"/>
                <w:color w:val="auto"/>
              </w:rPr>
            </w:pPr>
            <w:r>
              <w:rPr>
                <w:rFonts w:ascii="Arial" w:cs="Arial" w:eastAsia="Arial" w:hAnsi="Arial"/>
                <w:sz w:val="18"/>
                <w:szCs w:val="18"/>
                <w:color w:val="auto"/>
              </w:rPr>
              <w:t>Amortization of prior service cost</w:t>
            </w:r>
          </w:p>
        </w:tc>
        <w:tc>
          <w:tcPr>
            <w:tcW w:w="2400" w:type="dxa"/>
            <w:vAlign w:val="bottom"/>
          </w:tcPr>
          <w:p>
            <w:pPr>
              <w:jc w:val="right"/>
              <w:ind w:right="193"/>
              <w:spacing w:after="0"/>
              <w:rPr>
                <w:sz w:val="20"/>
                <w:szCs w:val="20"/>
                <w:color w:val="auto"/>
              </w:rPr>
            </w:pPr>
            <w:r>
              <w:rPr>
                <w:rFonts w:ascii="Arial" w:cs="Arial" w:eastAsia="Arial" w:hAnsi="Arial"/>
                <w:sz w:val="18"/>
                <w:szCs w:val="18"/>
                <w:b w:val="1"/>
                <w:bCs w:val="1"/>
                <w:color w:val="auto"/>
              </w:rPr>
              <w:t>0.1</w:t>
            </w:r>
          </w:p>
        </w:tc>
        <w:tc>
          <w:tcPr>
            <w:tcW w:w="1860" w:type="dxa"/>
            <w:vAlign w:val="bottom"/>
          </w:tcPr>
          <w:p>
            <w:pPr>
              <w:jc w:val="right"/>
              <w:ind w:right="311"/>
              <w:spacing w:after="0"/>
              <w:rPr>
                <w:sz w:val="20"/>
                <w:szCs w:val="20"/>
                <w:color w:val="auto"/>
              </w:rPr>
            </w:pPr>
            <w:r>
              <w:rPr>
                <w:rFonts w:ascii="Arial" w:cs="Arial" w:eastAsia="Arial" w:hAnsi="Arial"/>
                <w:sz w:val="18"/>
                <w:szCs w:val="18"/>
                <w:b w:val="1"/>
                <w:bCs w:val="1"/>
                <w:color w:val="auto"/>
              </w:rPr>
              <w:t>0.1</w:t>
            </w:r>
          </w:p>
        </w:tc>
        <w:tc>
          <w:tcPr>
            <w:tcW w:w="1520" w:type="dxa"/>
            <w:vAlign w:val="bottom"/>
          </w:tcPr>
          <w:p>
            <w:pPr>
              <w:jc w:val="right"/>
              <w:ind w:right="153"/>
              <w:spacing w:after="0"/>
              <w:rPr>
                <w:sz w:val="20"/>
                <w:szCs w:val="20"/>
                <w:color w:val="auto"/>
              </w:rPr>
            </w:pPr>
            <w:r>
              <w:rPr>
                <w:rFonts w:ascii="Arial" w:cs="Arial" w:eastAsia="Arial" w:hAnsi="Arial"/>
                <w:sz w:val="18"/>
                <w:szCs w:val="18"/>
                <w:color w:val="auto"/>
              </w:rPr>
              <w:t>—</w:t>
            </w:r>
          </w:p>
        </w:tc>
        <w:tc>
          <w:tcPr>
            <w:tcW w:w="156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4080" w:type="dxa"/>
            <w:vAlign w:val="bottom"/>
          </w:tcPr>
          <w:p>
            <w:pPr>
              <w:spacing w:after="0"/>
              <w:rPr>
                <w:sz w:val="2"/>
                <w:szCs w:val="2"/>
                <w:color w:val="auto"/>
              </w:rPr>
            </w:pPr>
          </w:p>
        </w:tc>
        <w:tc>
          <w:tcPr>
            <w:tcW w:w="2400" w:type="dxa"/>
            <w:vAlign w:val="bottom"/>
          </w:tcPr>
          <w:p>
            <w:pPr>
              <w:spacing w:after="0"/>
              <w:rPr>
                <w:sz w:val="2"/>
                <w:szCs w:val="2"/>
                <w:color w:val="auto"/>
              </w:rPr>
            </w:pPr>
          </w:p>
        </w:tc>
        <w:tc>
          <w:tcPr>
            <w:tcW w:w="186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50"/>
        </w:trPr>
        <w:tc>
          <w:tcPr>
            <w:tcW w:w="408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Amortization of net actuarial loss</w:t>
            </w:r>
          </w:p>
        </w:tc>
        <w:tc>
          <w:tcPr>
            <w:tcW w:w="2400" w:type="dxa"/>
            <w:vAlign w:val="bottom"/>
            <w:tcBorders>
              <w:bottom w:val="single" w:sz="8" w:color="CCEEFF"/>
            </w:tcBorders>
            <w:shd w:val="clear" w:color="auto" w:fill="CCEEFF"/>
          </w:tcPr>
          <w:p>
            <w:pPr>
              <w:jc w:val="right"/>
              <w:ind w:right="193"/>
              <w:spacing w:after="0"/>
              <w:rPr>
                <w:sz w:val="20"/>
                <w:szCs w:val="20"/>
                <w:color w:val="auto"/>
              </w:rPr>
            </w:pPr>
            <w:r>
              <w:rPr>
                <w:rFonts w:ascii="Arial" w:cs="Arial" w:eastAsia="Arial" w:hAnsi="Arial"/>
                <w:sz w:val="18"/>
                <w:szCs w:val="18"/>
                <w:b w:val="1"/>
                <w:bCs w:val="1"/>
                <w:color w:val="auto"/>
              </w:rPr>
              <w:t>4.4</w:t>
            </w:r>
          </w:p>
        </w:tc>
        <w:tc>
          <w:tcPr>
            <w:tcW w:w="1860" w:type="dxa"/>
            <w:vAlign w:val="bottom"/>
            <w:tcBorders>
              <w:bottom w:val="single" w:sz="8" w:color="CCEEFF"/>
            </w:tcBorders>
            <w:shd w:val="clear" w:color="auto" w:fill="CCEEFF"/>
          </w:tcPr>
          <w:p>
            <w:pPr>
              <w:jc w:val="right"/>
              <w:ind w:right="311"/>
              <w:spacing w:after="0"/>
              <w:rPr>
                <w:sz w:val="20"/>
                <w:szCs w:val="20"/>
                <w:color w:val="auto"/>
              </w:rPr>
            </w:pPr>
            <w:r>
              <w:rPr>
                <w:rFonts w:ascii="Arial" w:cs="Arial" w:eastAsia="Arial" w:hAnsi="Arial"/>
                <w:sz w:val="18"/>
                <w:szCs w:val="18"/>
                <w:b w:val="1"/>
                <w:bCs w:val="1"/>
                <w:color w:val="auto"/>
              </w:rPr>
              <w:t>—</w:t>
            </w:r>
          </w:p>
        </w:tc>
        <w:tc>
          <w:tcPr>
            <w:tcW w:w="1520" w:type="dxa"/>
            <w:vAlign w:val="bottom"/>
            <w:tcBorders>
              <w:bottom w:val="single" w:sz="8" w:color="CCEEFF"/>
            </w:tcBorders>
            <w:shd w:val="clear" w:color="auto" w:fill="CCEEFF"/>
          </w:tcPr>
          <w:p>
            <w:pPr>
              <w:jc w:val="right"/>
              <w:ind w:right="153"/>
              <w:spacing w:after="0"/>
              <w:rPr>
                <w:sz w:val="20"/>
                <w:szCs w:val="20"/>
                <w:color w:val="auto"/>
              </w:rPr>
            </w:pPr>
            <w:r>
              <w:rPr>
                <w:rFonts w:ascii="Arial" w:cs="Arial" w:eastAsia="Arial" w:hAnsi="Arial"/>
                <w:sz w:val="18"/>
                <w:szCs w:val="18"/>
                <w:color w:val="auto"/>
              </w:rPr>
              <w:t>—</w:t>
            </w:r>
          </w:p>
        </w:tc>
        <w:tc>
          <w:tcPr>
            <w:tcW w:w="15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4080" w:type="dxa"/>
            <w:vAlign w:val="bottom"/>
          </w:tcPr>
          <w:p>
            <w:pPr>
              <w:ind w:left="360"/>
              <w:spacing w:after="0"/>
              <w:rPr>
                <w:sz w:val="20"/>
                <w:szCs w:val="20"/>
                <w:color w:val="auto"/>
              </w:rPr>
            </w:pPr>
            <w:r>
              <w:rPr>
                <w:rFonts w:ascii="Arial" w:cs="Arial" w:eastAsia="Arial" w:hAnsi="Arial"/>
                <w:sz w:val="18"/>
                <w:szCs w:val="18"/>
                <w:color w:val="auto"/>
              </w:rPr>
              <w:t>Allocated benefit cost from Timken</w:t>
            </w:r>
          </w:p>
        </w:tc>
        <w:tc>
          <w:tcPr>
            <w:tcW w:w="2400" w:type="dxa"/>
            <w:vAlign w:val="bottom"/>
          </w:tcPr>
          <w:p>
            <w:pPr>
              <w:jc w:val="right"/>
              <w:ind w:right="193"/>
              <w:spacing w:after="0"/>
              <w:rPr>
                <w:sz w:val="20"/>
                <w:szCs w:val="20"/>
                <w:color w:val="auto"/>
              </w:rPr>
            </w:pPr>
            <w:r>
              <w:rPr>
                <w:rFonts w:ascii="Arial" w:cs="Arial" w:eastAsia="Arial" w:hAnsi="Arial"/>
                <w:sz w:val="18"/>
                <w:szCs w:val="18"/>
                <w:b w:val="1"/>
                <w:bCs w:val="1"/>
                <w:color w:val="auto"/>
              </w:rPr>
              <w:t>5.2</w:t>
            </w:r>
          </w:p>
        </w:tc>
        <w:tc>
          <w:tcPr>
            <w:tcW w:w="1860" w:type="dxa"/>
            <w:vAlign w:val="bottom"/>
          </w:tcPr>
          <w:p>
            <w:pPr>
              <w:jc w:val="right"/>
              <w:ind w:right="311"/>
              <w:spacing w:after="0"/>
              <w:rPr>
                <w:sz w:val="20"/>
                <w:szCs w:val="20"/>
                <w:color w:val="auto"/>
              </w:rPr>
            </w:pPr>
            <w:r>
              <w:rPr>
                <w:rFonts w:ascii="Arial" w:cs="Arial" w:eastAsia="Arial" w:hAnsi="Arial"/>
                <w:sz w:val="18"/>
                <w:szCs w:val="18"/>
                <w:b w:val="1"/>
                <w:bCs w:val="1"/>
                <w:color w:val="auto"/>
              </w:rPr>
              <w:t>2.2</w:t>
            </w:r>
          </w:p>
        </w:tc>
        <w:tc>
          <w:tcPr>
            <w:tcW w:w="1520" w:type="dxa"/>
            <w:vAlign w:val="bottom"/>
          </w:tcPr>
          <w:p>
            <w:pPr>
              <w:jc w:val="right"/>
              <w:ind w:right="153"/>
              <w:spacing w:after="0"/>
              <w:rPr>
                <w:sz w:val="20"/>
                <w:szCs w:val="20"/>
                <w:color w:val="auto"/>
              </w:rPr>
            </w:pPr>
            <w:r>
              <w:rPr>
                <w:rFonts w:ascii="Arial" w:cs="Arial" w:eastAsia="Arial" w:hAnsi="Arial"/>
                <w:sz w:val="18"/>
                <w:szCs w:val="18"/>
                <w:color w:val="auto"/>
              </w:rPr>
              <w:t>11.9</w:t>
            </w:r>
          </w:p>
        </w:tc>
        <w:tc>
          <w:tcPr>
            <w:tcW w:w="1560" w:type="dxa"/>
            <w:vAlign w:val="bottom"/>
          </w:tcPr>
          <w:p>
            <w:pPr>
              <w:jc w:val="right"/>
              <w:ind w:right="11"/>
              <w:spacing w:after="0"/>
              <w:rPr>
                <w:sz w:val="20"/>
                <w:szCs w:val="20"/>
                <w:color w:val="auto"/>
              </w:rPr>
            </w:pPr>
            <w:r>
              <w:rPr>
                <w:rFonts w:ascii="Arial" w:cs="Arial" w:eastAsia="Arial" w:hAnsi="Arial"/>
                <w:sz w:val="18"/>
                <w:szCs w:val="18"/>
                <w:color w:val="auto"/>
              </w:rPr>
              <w:t>3.2</w:t>
            </w:r>
          </w:p>
        </w:tc>
      </w:tr>
      <w:tr>
        <w:trPr>
          <w:trHeight w:val="27"/>
        </w:trPr>
        <w:tc>
          <w:tcPr>
            <w:tcW w:w="4080" w:type="dxa"/>
            <w:vAlign w:val="bottom"/>
            <w:tcBorders>
              <w:bottom w:val="single" w:sz="8" w:color="auto"/>
            </w:tcBorders>
          </w:tcPr>
          <w:p>
            <w:pPr>
              <w:spacing w:after="0"/>
              <w:rPr>
                <w:sz w:val="2"/>
                <w:szCs w:val="2"/>
                <w:color w:val="auto"/>
              </w:rPr>
            </w:pPr>
          </w:p>
        </w:tc>
        <w:tc>
          <w:tcPr>
            <w:tcW w:w="2400" w:type="dxa"/>
            <w:vAlign w:val="bottom"/>
            <w:tcBorders>
              <w:bottom w:val="single" w:sz="8" w:color="auto"/>
            </w:tcBorders>
          </w:tcPr>
          <w:p>
            <w:pPr>
              <w:spacing w:after="0"/>
              <w:rPr>
                <w:sz w:val="2"/>
                <w:szCs w:val="2"/>
                <w:color w:val="auto"/>
              </w:rPr>
            </w:pPr>
          </w:p>
        </w:tc>
        <w:tc>
          <w:tcPr>
            <w:tcW w:w="186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44"/>
        </w:trPr>
        <w:tc>
          <w:tcPr>
            <w:tcW w:w="40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b w:val="1"/>
                <w:bCs w:val="1"/>
                <w:color w:val="auto"/>
              </w:rPr>
              <w:t>Net Periodic Benefit Cost</w:t>
            </w:r>
          </w:p>
        </w:tc>
        <w:tc>
          <w:tcPr>
            <w:tcW w:w="2400" w:type="dxa"/>
            <w:vAlign w:val="bottom"/>
            <w:tcBorders>
              <w:bottom w:val="single" w:sz="8" w:color="CCEEFF"/>
            </w:tcBorders>
            <w:shd w:val="clear" w:color="auto" w:fill="CCEEFF"/>
          </w:tcPr>
          <w:p>
            <w:pPr>
              <w:jc w:val="right"/>
              <w:ind w:right="193"/>
              <w:spacing w:after="0"/>
              <w:rPr>
                <w:sz w:val="20"/>
                <w:szCs w:val="20"/>
                <w:color w:val="auto"/>
              </w:rPr>
            </w:pPr>
            <w:r>
              <w:rPr>
                <w:rFonts w:ascii="Arial" w:cs="Arial" w:eastAsia="Arial" w:hAnsi="Arial"/>
                <w:sz w:val="18"/>
                <w:szCs w:val="18"/>
                <w:b w:val="1"/>
                <w:bCs w:val="1"/>
                <w:color w:val="auto"/>
              </w:rPr>
              <w:t>$8.0</w:t>
            </w:r>
          </w:p>
        </w:tc>
        <w:tc>
          <w:tcPr>
            <w:tcW w:w="1860" w:type="dxa"/>
            <w:vAlign w:val="bottom"/>
            <w:tcBorders>
              <w:bottom w:val="single" w:sz="8" w:color="CCEEFF"/>
            </w:tcBorders>
            <w:shd w:val="clear" w:color="auto" w:fill="CCEEFF"/>
          </w:tcPr>
          <w:p>
            <w:pPr>
              <w:jc w:val="right"/>
              <w:ind w:right="311"/>
              <w:spacing w:after="0"/>
              <w:rPr>
                <w:sz w:val="20"/>
                <w:szCs w:val="20"/>
                <w:color w:val="auto"/>
              </w:rPr>
            </w:pPr>
            <w:r>
              <w:rPr>
                <w:rFonts w:ascii="Arial" w:cs="Arial" w:eastAsia="Arial" w:hAnsi="Arial"/>
                <w:sz w:val="18"/>
                <w:szCs w:val="18"/>
                <w:b w:val="1"/>
                <w:bCs w:val="1"/>
                <w:color w:val="auto"/>
              </w:rPr>
              <w:t>$3.1</w:t>
            </w:r>
          </w:p>
        </w:tc>
        <w:tc>
          <w:tcPr>
            <w:tcW w:w="1520" w:type="dxa"/>
            <w:vAlign w:val="bottom"/>
            <w:tcBorders>
              <w:bottom w:val="single" w:sz="8" w:color="CCEEFF"/>
            </w:tcBorders>
            <w:shd w:val="clear" w:color="auto" w:fill="CCEEFF"/>
          </w:tcPr>
          <w:p>
            <w:pPr>
              <w:jc w:val="right"/>
              <w:ind w:right="153"/>
              <w:spacing w:after="0"/>
              <w:rPr>
                <w:sz w:val="20"/>
                <w:szCs w:val="20"/>
                <w:color w:val="auto"/>
              </w:rPr>
            </w:pPr>
            <w:r>
              <w:rPr>
                <w:rFonts w:ascii="Arial" w:cs="Arial" w:eastAsia="Arial" w:hAnsi="Arial"/>
                <w:sz w:val="18"/>
                <w:szCs w:val="18"/>
                <w:color w:val="auto"/>
              </w:rPr>
              <w:t>$11.9</w:t>
            </w:r>
          </w:p>
        </w:tc>
        <w:tc>
          <w:tcPr>
            <w:tcW w:w="15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$3.2</w:t>
            </w:r>
          </w:p>
        </w:tc>
      </w:tr>
      <w:tr>
        <w:trPr>
          <w:trHeight w:val="27"/>
        </w:trPr>
        <w:tc>
          <w:tcPr>
            <w:tcW w:w="4080" w:type="dxa"/>
            <w:vAlign w:val="bottom"/>
            <w:shd w:val="clear" w:color="auto" w:fill="000000"/>
          </w:tcPr>
          <w:p>
            <w:pPr>
              <w:spacing w:after="0"/>
              <w:rPr>
                <w:sz w:val="2"/>
                <w:szCs w:val="2"/>
                <w:color w:val="auto"/>
              </w:rPr>
            </w:pPr>
          </w:p>
        </w:tc>
        <w:tc>
          <w:tcPr>
            <w:tcW w:w="2400" w:type="dxa"/>
            <w:vAlign w:val="bottom"/>
            <w:shd w:val="clear" w:color="auto" w:fill="000000"/>
          </w:tcPr>
          <w:p>
            <w:pPr>
              <w:spacing w:after="0"/>
              <w:rPr>
                <w:sz w:val="2"/>
                <w:szCs w:val="2"/>
                <w:color w:val="auto"/>
              </w:rPr>
            </w:pPr>
          </w:p>
        </w:tc>
        <w:tc>
          <w:tcPr>
            <w:tcW w:w="1860" w:type="dxa"/>
            <w:vAlign w:val="bottom"/>
            <w:shd w:val="clear" w:color="auto" w:fill="000000"/>
          </w:tcPr>
          <w:p>
            <w:pPr>
              <w:spacing w:after="0"/>
              <w:rPr>
                <w:sz w:val="2"/>
                <w:szCs w:val="2"/>
                <w:color w:val="auto"/>
              </w:rPr>
            </w:pPr>
          </w:p>
        </w:tc>
        <w:tc>
          <w:tcPr>
            <w:tcW w:w="1520" w:type="dxa"/>
            <w:vAlign w:val="bottom"/>
            <w:shd w:val="clear" w:color="auto" w:fill="000000"/>
          </w:tcPr>
          <w:p>
            <w:pPr>
              <w:spacing w:after="0"/>
              <w:rPr>
                <w:sz w:val="2"/>
                <w:szCs w:val="2"/>
                <w:color w:val="auto"/>
              </w:rPr>
            </w:pPr>
          </w:p>
        </w:tc>
        <w:tc>
          <w:tcPr>
            <w:tcW w:w="1560" w:type="dxa"/>
            <w:vAlign w:val="bottom"/>
            <w:shd w:val="clear" w:color="auto" w:fill="000000"/>
          </w:tcPr>
          <w:p>
            <w:pPr>
              <w:spacing w:after="0"/>
              <w:rPr>
                <w:sz w:val="2"/>
                <w:szCs w:val="2"/>
                <w:color w:val="auto"/>
              </w:rPr>
            </w:pPr>
          </w:p>
        </w:tc>
      </w:tr>
    </w:tbl>
    <w:p>
      <w:pPr>
        <w:spacing w:after="0" w:line="202"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As disclosed above, prior to the spinoff, employees of TimkenSteel participated in various retirement and postretirement benefits sponsored by Timken. Because Timken provided these benefits to eligible employees and retirees of TimkenSteel, the costs to participating employees of TimkenSteel in these plans were reflected in the Unaudited Consolidated Financial Statements, while the related assets and liabilities were retained by Timken. Expense allocations for these benefits were determined based on a review of personnel by business unit and based on allocations of corporate and other shared functional personnel. All cost allocations related to the various retirement benefit plans have been deemed paid by TimkenSteel to Timken in the period in which the cost was recorded in the Unaudited Consolidated Statements of Income as a component of cost of products sold and selling, general and administrative expenses. Allocated benefit cost from Timken were funded through intercompany transactions, which were reflected within the Net Parent Investment on the Unaudited Consolidated Balance Sheets.</w:t>
      </w:r>
    </w:p>
    <w:p>
      <w:pPr>
        <w:spacing w:after="0" w:line="138"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TimkenSteel recognizes its overall responsibility to ensure that the assets of its various defined benefit pension plans are managed effectively and prudently and in compliance with its policy guidelines and all applicable laws. Preservation of capital is important; however, TimkenSteel also recognizes that appropriate levels of risk are necessary to allow its investment managers to achieve satisfactory long-term results consistent with the objectives and the fiduciary character of the pension funds. Asset allocations are established in a manner consistent with projected plan liabilities, benefit payments and expected rates of return for</w:t>
      </w:r>
    </w:p>
    <w:p>
      <w:pPr>
        <w:spacing w:after="0" w:line="39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584" w:right="239" w:bottom="1440" w:gutter="0" w:footer="0" w:header="0"/>
        </w:sectPr>
      </w:pPr>
    </w:p>
    <w:bookmarkStart w:id="14" w:name="page15"/>
    <w:bookmarkEnd w:id="14"/>
    <w:p>
      <w:pPr>
        <w:jc w:val="both"/>
        <w:spacing w:after="0" w:line="264" w:lineRule="auto"/>
        <w:rPr>
          <w:sz w:val="20"/>
          <w:szCs w:val="20"/>
          <w:color w:val="auto"/>
        </w:rPr>
      </w:pPr>
      <w:r>
        <w:rPr>
          <w:rFonts w:ascii="Arial" w:cs="Arial" w:eastAsia="Arial" w:hAnsi="Arial"/>
          <w:sz w:val="18"/>
          <w:szCs w:val="18"/>
          <w:color w:val="auto"/>
        </w:rPr>
        <w:t>various asset classes. The expected rate of return for the investment portfolios is based on expected rates of return for various asset classes, as well as historical asset class and fund performance. The target allocations for plan assets are 27 percent equity securities, 51 percent debt securities and 22 percent in all other types of investments.</w:t>
      </w:r>
    </w:p>
    <w:p>
      <w:pPr>
        <w:spacing w:after="0" w:line="141" w:lineRule="exact"/>
        <w:rPr>
          <w:sz w:val="20"/>
          <w:szCs w:val="20"/>
          <w:color w:val="auto"/>
        </w:rPr>
      </w:pPr>
    </w:p>
    <w:p>
      <w:pPr>
        <w:jc w:val="both"/>
        <w:ind w:right="20" w:firstLine="648"/>
        <w:spacing w:after="0" w:line="264" w:lineRule="auto"/>
        <w:rPr>
          <w:sz w:val="20"/>
          <w:szCs w:val="20"/>
          <w:color w:val="auto"/>
        </w:rPr>
      </w:pPr>
      <w:r>
        <w:rPr>
          <w:rFonts w:ascii="Arial" w:cs="Arial" w:eastAsia="Arial" w:hAnsi="Arial"/>
          <w:sz w:val="18"/>
          <w:szCs w:val="18"/>
          <w:color w:val="auto"/>
        </w:rPr>
        <w:t>Fair value is defined as the price that would be received to sell an asset or paid to transfer a liability in an orderly transaction between market participants at the measurement date (exit price). The FASB provides accounting rules that classify the inputs used to measure fair value into the following hierarchy:</w:t>
      </w:r>
    </w:p>
    <w:p>
      <w:pPr>
        <w:spacing w:after="0" w:line="141" w:lineRule="exact"/>
        <w:rPr>
          <w:sz w:val="20"/>
          <w:szCs w:val="20"/>
          <w:color w:val="auto"/>
        </w:rPr>
      </w:pPr>
    </w:p>
    <w:p>
      <w:pPr>
        <w:ind w:left="660"/>
        <w:spacing w:after="0"/>
        <w:tabs>
          <w:tab w:leader="none" w:pos="1600" w:val="left"/>
        </w:tabs>
        <w:rPr>
          <w:sz w:val="20"/>
          <w:szCs w:val="20"/>
          <w:color w:val="auto"/>
        </w:rPr>
      </w:pPr>
      <w:r>
        <w:rPr>
          <w:rFonts w:ascii="Arial" w:cs="Arial" w:eastAsia="Arial" w:hAnsi="Arial"/>
          <w:sz w:val="18"/>
          <w:szCs w:val="18"/>
          <w:color w:val="auto"/>
        </w:rPr>
        <w:t>Level 1 -</w:t>
      </w:r>
      <w:r>
        <w:rPr>
          <w:sz w:val="20"/>
          <w:szCs w:val="20"/>
          <w:color w:val="auto"/>
        </w:rPr>
        <w:tab/>
      </w:r>
      <w:r>
        <w:rPr>
          <w:rFonts w:ascii="Arial" w:cs="Arial" w:eastAsia="Arial" w:hAnsi="Arial"/>
          <w:sz w:val="16"/>
          <w:szCs w:val="16"/>
          <w:color w:val="auto"/>
        </w:rPr>
        <w:t>Unadjusted quoted prices in active markets for identical assets or liabilities.</w:t>
      </w:r>
    </w:p>
    <w:p>
      <w:pPr>
        <w:spacing w:after="0" w:line="117" w:lineRule="exact"/>
        <w:rPr>
          <w:sz w:val="20"/>
          <w:szCs w:val="20"/>
          <w:color w:val="auto"/>
        </w:rPr>
      </w:pPr>
    </w:p>
    <w:p>
      <w:pPr>
        <w:ind w:left="1620" w:right="20" w:hanging="971"/>
        <w:spacing w:after="0" w:line="308" w:lineRule="auto"/>
        <w:tabs>
          <w:tab w:leader="none" w:pos="1600" w:val="left"/>
        </w:tabs>
        <w:rPr>
          <w:sz w:val="20"/>
          <w:szCs w:val="20"/>
          <w:color w:val="auto"/>
        </w:rPr>
      </w:pPr>
      <w:r>
        <w:rPr>
          <w:rFonts w:ascii="Arial" w:cs="Arial" w:eastAsia="Arial" w:hAnsi="Arial"/>
          <w:sz w:val="18"/>
          <w:szCs w:val="18"/>
          <w:color w:val="auto"/>
        </w:rPr>
        <w:t>Level 2 -</w:t>
      </w:r>
      <w:r>
        <w:rPr>
          <w:sz w:val="20"/>
          <w:szCs w:val="20"/>
          <w:color w:val="auto"/>
        </w:rPr>
        <w:tab/>
      </w:r>
      <w:r>
        <w:rPr>
          <w:rFonts w:ascii="Arial" w:cs="Arial" w:eastAsia="Arial" w:hAnsi="Arial"/>
          <w:sz w:val="17"/>
          <w:szCs w:val="17"/>
          <w:color w:val="auto"/>
        </w:rPr>
        <w:t>Unadjusted quoted prices in active markets for similar assets or liabilities, or unadjusted quoted prices for identical or similar assets or liabilities in markets that are not active, or inputs other than quoted prices that are observable for the asset or liability.</w:t>
      </w:r>
    </w:p>
    <w:p>
      <w:pPr>
        <w:spacing w:after="0" w:line="38" w:lineRule="exact"/>
        <w:rPr>
          <w:sz w:val="20"/>
          <w:szCs w:val="20"/>
          <w:color w:val="auto"/>
        </w:rPr>
      </w:pPr>
    </w:p>
    <w:p>
      <w:pPr>
        <w:ind w:left="660"/>
        <w:spacing w:after="0"/>
        <w:tabs>
          <w:tab w:leader="none" w:pos="1600" w:val="left"/>
        </w:tabs>
        <w:rPr>
          <w:sz w:val="20"/>
          <w:szCs w:val="20"/>
          <w:color w:val="auto"/>
        </w:rPr>
      </w:pPr>
      <w:r>
        <w:rPr>
          <w:rFonts w:ascii="Arial" w:cs="Arial" w:eastAsia="Arial" w:hAnsi="Arial"/>
          <w:sz w:val="18"/>
          <w:szCs w:val="18"/>
          <w:color w:val="auto"/>
        </w:rPr>
        <w:t>Level 3 -</w:t>
      </w:r>
      <w:r>
        <w:rPr>
          <w:sz w:val="20"/>
          <w:szCs w:val="20"/>
          <w:color w:val="auto"/>
        </w:rPr>
        <w:tab/>
      </w:r>
      <w:r>
        <w:rPr>
          <w:rFonts w:ascii="Arial" w:cs="Arial" w:eastAsia="Arial" w:hAnsi="Arial"/>
          <w:sz w:val="16"/>
          <w:szCs w:val="16"/>
          <w:color w:val="auto"/>
        </w:rPr>
        <w:t>Unobservable inputs for the asset or liability.</w:t>
      </w:r>
    </w:p>
    <w:p>
      <w:pPr>
        <w:spacing w:after="0" w:line="117"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The following table presents the fair value hierarchy for those investments of TimkenSteel’s pension assets measured at fair value on a recurring basis as of June 30, 2014:</w:t>
      </w:r>
    </w:p>
    <w:p>
      <w:pPr>
        <w:spacing w:after="0" w:line="13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4980" w:type="dxa"/>
            <w:vAlign w:val="bottom"/>
          </w:tcPr>
          <w:p>
            <w:pPr>
              <w:spacing w:after="0"/>
              <w:rPr>
                <w:sz w:val="18"/>
                <w:szCs w:val="18"/>
                <w:color w:val="auto"/>
              </w:rPr>
            </w:pPr>
          </w:p>
        </w:tc>
        <w:tc>
          <w:tcPr>
            <w:tcW w:w="2200" w:type="dxa"/>
            <w:vAlign w:val="bottom"/>
          </w:tcPr>
          <w:p>
            <w:pPr>
              <w:jc w:val="right"/>
              <w:ind w:right="671"/>
              <w:spacing w:after="0"/>
              <w:rPr>
                <w:sz w:val="20"/>
                <w:szCs w:val="20"/>
                <w:color w:val="auto"/>
              </w:rPr>
            </w:pPr>
            <w:r>
              <w:rPr>
                <w:rFonts w:ascii="Arial" w:cs="Arial" w:eastAsia="Arial" w:hAnsi="Arial"/>
                <w:sz w:val="16"/>
                <w:szCs w:val="16"/>
                <w:b w:val="1"/>
                <w:bCs w:val="1"/>
                <w:color w:val="auto"/>
              </w:rPr>
              <w:t>Total</w:t>
            </w:r>
          </w:p>
        </w:tc>
        <w:tc>
          <w:tcPr>
            <w:tcW w:w="1500" w:type="dxa"/>
            <w:vAlign w:val="bottom"/>
          </w:tcPr>
          <w:p>
            <w:pPr>
              <w:jc w:val="right"/>
              <w:ind w:right="611"/>
              <w:spacing w:after="0"/>
              <w:rPr>
                <w:sz w:val="20"/>
                <w:szCs w:val="20"/>
                <w:color w:val="auto"/>
              </w:rPr>
            </w:pPr>
            <w:r>
              <w:rPr>
                <w:rFonts w:ascii="Arial" w:cs="Arial" w:eastAsia="Arial" w:hAnsi="Arial"/>
                <w:sz w:val="16"/>
                <w:szCs w:val="16"/>
                <w:b w:val="1"/>
                <w:bCs w:val="1"/>
                <w:color w:val="auto"/>
              </w:rPr>
              <w:t>Level 1</w:t>
            </w:r>
          </w:p>
        </w:tc>
        <w:tc>
          <w:tcPr>
            <w:tcW w:w="1460" w:type="dxa"/>
            <w:vAlign w:val="bottom"/>
          </w:tcPr>
          <w:p>
            <w:pPr>
              <w:jc w:val="right"/>
              <w:ind w:right="571"/>
              <w:spacing w:after="0"/>
              <w:rPr>
                <w:sz w:val="20"/>
                <w:szCs w:val="20"/>
                <w:color w:val="auto"/>
              </w:rPr>
            </w:pPr>
            <w:r>
              <w:rPr>
                <w:rFonts w:ascii="Arial" w:cs="Arial" w:eastAsia="Arial" w:hAnsi="Arial"/>
                <w:sz w:val="16"/>
                <w:szCs w:val="16"/>
                <w:b w:val="1"/>
                <w:bCs w:val="1"/>
                <w:color w:val="auto"/>
              </w:rPr>
              <w:t>Level 2</w:t>
            </w:r>
          </w:p>
        </w:tc>
        <w:tc>
          <w:tcPr>
            <w:tcW w:w="1280" w:type="dxa"/>
            <w:vAlign w:val="bottom"/>
          </w:tcPr>
          <w:p>
            <w:pPr>
              <w:jc w:val="right"/>
              <w:ind w:right="391"/>
              <w:spacing w:after="0"/>
              <w:rPr>
                <w:sz w:val="20"/>
                <w:szCs w:val="20"/>
                <w:color w:val="auto"/>
              </w:rPr>
            </w:pPr>
            <w:r>
              <w:rPr>
                <w:rFonts w:ascii="Arial" w:cs="Arial" w:eastAsia="Arial" w:hAnsi="Arial"/>
                <w:sz w:val="16"/>
                <w:szCs w:val="16"/>
                <w:b w:val="1"/>
                <w:bCs w:val="1"/>
                <w:color w:val="auto"/>
              </w:rPr>
              <w:t>Level 3</w:t>
            </w:r>
          </w:p>
        </w:tc>
      </w:tr>
      <w:tr>
        <w:trPr>
          <w:trHeight w:val="33"/>
        </w:trPr>
        <w:tc>
          <w:tcPr>
            <w:tcW w:w="4980" w:type="dxa"/>
            <w:vAlign w:val="bottom"/>
            <w:tcBorders>
              <w:bottom w:val="single" w:sz="8" w:color="auto"/>
            </w:tcBorders>
          </w:tcPr>
          <w:p>
            <w:pPr>
              <w:spacing w:after="0"/>
              <w:rPr>
                <w:sz w:val="2"/>
                <w:szCs w:val="2"/>
                <w:color w:val="auto"/>
              </w:rPr>
            </w:pPr>
          </w:p>
        </w:tc>
        <w:tc>
          <w:tcPr>
            <w:tcW w:w="22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44"/>
        </w:trPr>
        <w:tc>
          <w:tcPr>
            <w:tcW w:w="4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Assets:</w:t>
            </w:r>
          </w:p>
        </w:tc>
        <w:tc>
          <w:tcPr>
            <w:tcW w:w="2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r>
      <w:tr>
        <w:trPr>
          <w:trHeight w:val="243"/>
        </w:trPr>
        <w:tc>
          <w:tcPr>
            <w:tcW w:w="4980" w:type="dxa"/>
            <w:vAlign w:val="bottom"/>
          </w:tcPr>
          <w:p>
            <w:pPr>
              <w:ind w:left="360"/>
              <w:spacing w:after="0"/>
              <w:rPr>
                <w:sz w:val="20"/>
                <w:szCs w:val="20"/>
                <w:color w:val="auto"/>
              </w:rPr>
            </w:pPr>
            <w:r>
              <w:rPr>
                <w:rFonts w:ascii="Arial" w:cs="Arial" w:eastAsia="Arial" w:hAnsi="Arial"/>
                <w:sz w:val="18"/>
                <w:szCs w:val="18"/>
                <w:color w:val="auto"/>
              </w:rPr>
              <w:t>Cash and cash equivalents</w:t>
            </w:r>
          </w:p>
        </w:tc>
        <w:tc>
          <w:tcPr>
            <w:tcW w:w="2200" w:type="dxa"/>
            <w:vAlign w:val="bottom"/>
          </w:tcPr>
          <w:p>
            <w:pPr>
              <w:jc w:val="right"/>
              <w:ind w:right="231"/>
              <w:spacing w:after="0"/>
              <w:rPr>
                <w:sz w:val="20"/>
                <w:szCs w:val="20"/>
                <w:color w:val="auto"/>
              </w:rPr>
            </w:pPr>
            <w:r>
              <w:rPr>
                <w:rFonts w:ascii="Arial" w:cs="Arial" w:eastAsia="Arial" w:hAnsi="Arial"/>
                <w:sz w:val="18"/>
                <w:szCs w:val="18"/>
                <w:color w:val="auto"/>
              </w:rPr>
              <w:t>$55.2</w:t>
            </w:r>
          </w:p>
        </w:tc>
        <w:tc>
          <w:tcPr>
            <w:tcW w:w="1500" w:type="dxa"/>
            <w:vAlign w:val="bottom"/>
          </w:tcPr>
          <w:p>
            <w:pPr>
              <w:jc w:val="right"/>
              <w:ind w:right="231"/>
              <w:spacing w:after="0"/>
              <w:rPr>
                <w:sz w:val="20"/>
                <w:szCs w:val="20"/>
                <w:color w:val="auto"/>
              </w:rPr>
            </w:pPr>
            <w:r>
              <w:rPr>
                <w:rFonts w:ascii="Arial" w:cs="Arial" w:eastAsia="Arial" w:hAnsi="Arial"/>
                <w:sz w:val="18"/>
                <w:szCs w:val="18"/>
                <w:color w:val="auto"/>
              </w:rPr>
              <w:t>$—</w:t>
            </w:r>
          </w:p>
        </w:tc>
        <w:tc>
          <w:tcPr>
            <w:tcW w:w="1460" w:type="dxa"/>
            <w:vAlign w:val="bottom"/>
          </w:tcPr>
          <w:p>
            <w:pPr>
              <w:jc w:val="right"/>
              <w:ind w:right="191"/>
              <w:spacing w:after="0"/>
              <w:rPr>
                <w:sz w:val="20"/>
                <w:szCs w:val="20"/>
                <w:color w:val="auto"/>
              </w:rPr>
            </w:pPr>
            <w:r>
              <w:rPr>
                <w:rFonts w:ascii="Arial" w:cs="Arial" w:eastAsia="Arial" w:hAnsi="Arial"/>
                <w:sz w:val="18"/>
                <w:szCs w:val="18"/>
                <w:color w:val="auto"/>
              </w:rPr>
              <w:t>$55.2</w:t>
            </w:r>
          </w:p>
        </w:tc>
        <w:tc>
          <w:tcPr>
            <w:tcW w:w="128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4980" w:type="dxa"/>
            <w:vAlign w:val="bottom"/>
          </w:tcPr>
          <w:p>
            <w:pPr>
              <w:spacing w:after="0"/>
              <w:rPr>
                <w:sz w:val="2"/>
                <w:szCs w:val="2"/>
                <w:color w:val="auto"/>
              </w:rPr>
            </w:pPr>
          </w:p>
        </w:tc>
        <w:tc>
          <w:tcPr>
            <w:tcW w:w="2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498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Government and agency securities</w:t>
            </w:r>
          </w:p>
        </w:tc>
        <w:tc>
          <w:tcPr>
            <w:tcW w:w="2200" w:type="dxa"/>
            <w:vAlign w:val="bottom"/>
            <w:tcBorders>
              <w:bottom w:val="single" w:sz="8" w:color="CCEEFF"/>
            </w:tcBorders>
            <w:shd w:val="clear" w:color="auto" w:fill="CCEEFF"/>
          </w:tcPr>
          <w:p>
            <w:pPr>
              <w:jc w:val="right"/>
              <w:ind w:right="231"/>
              <w:spacing w:after="0"/>
              <w:rPr>
                <w:sz w:val="20"/>
                <w:szCs w:val="20"/>
                <w:color w:val="auto"/>
              </w:rPr>
            </w:pPr>
            <w:r>
              <w:rPr>
                <w:rFonts w:ascii="Arial" w:cs="Arial" w:eastAsia="Arial" w:hAnsi="Arial"/>
                <w:sz w:val="18"/>
                <w:szCs w:val="18"/>
                <w:color w:val="auto"/>
              </w:rPr>
              <w:t>276.1</w:t>
            </w:r>
          </w:p>
        </w:tc>
        <w:tc>
          <w:tcPr>
            <w:tcW w:w="1500" w:type="dxa"/>
            <w:vAlign w:val="bottom"/>
            <w:tcBorders>
              <w:bottom w:val="single" w:sz="8" w:color="CCEEFF"/>
            </w:tcBorders>
            <w:shd w:val="clear" w:color="auto" w:fill="CCEEFF"/>
          </w:tcPr>
          <w:p>
            <w:pPr>
              <w:jc w:val="right"/>
              <w:ind w:right="231"/>
              <w:spacing w:after="0"/>
              <w:rPr>
                <w:sz w:val="20"/>
                <w:szCs w:val="20"/>
                <w:color w:val="auto"/>
              </w:rPr>
            </w:pPr>
            <w:r>
              <w:rPr>
                <w:rFonts w:ascii="Arial" w:cs="Arial" w:eastAsia="Arial" w:hAnsi="Arial"/>
                <w:sz w:val="18"/>
                <w:szCs w:val="18"/>
                <w:color w:val="auto"/>
              </w:rPr>
              <w:t>266.0</w:t>
            </w:r>
          </w:p>
        </w:tc>
        <w:tc>
          <w:tcPr>
            <w:tcW w:w="1460" w:type="dxa"/>
            <w:vAlign w:val="bottom"/>
            <w:tcBorders>
              <w:bottom w:val="single" w:sz="8" w:color="CCEEFF"/>
            </w:tcBorders>
            <w:shd w:val="clear" w:color="auto" w:fill="CCEEFF"/>
          </w:tcPr>
          <w:p>
            <w:pPr>
              <w:jc w:val="right"/>
              <w:ind w:right="191"/>
              <w:spacing w:after="0"/>
              <w:rPr>
                <w:sz w:val="20"/>
                <w:szCs w:val="20"/>
                <w:color w:val="auto"/>
              </w:rPr>
            </w:pPr>
            <w:r>
              <w:rPr>
                <w:rFonts w:ascii="Arial" w:cs="Arial" w:eastAsia="Arial" w:hAnsi="Arial"/>
                <w:sz w:val="18"/>
                <w:szCs w:val="18"/>
                <w:color w:val="auto"/>
              </w:rPr>
              <w:t>10.1</w:t>
            </w:r>
          </w:p>
        </w:tc>
        <w:tc>
          <w:tcPr>
            <w:tcW w:w="12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4980" w:type="dxa"/>
            <w:vAlign w:val="bottom"/>
          </w:tcPr>
          <w:p>
            <w:pPr>
              <w:ind w:left="360"/>
              <w:spacing w:after="0"/>
              <w:rPr>
                <w:sz w:val="20"/>
                <w:szCs w:val="20"/>
                <w:color w:val="auto"/>
              </w:rPr>
            </w:pPr>
            <w:r>
              <w:rPr>
                <w:rFonts w:ascii="Arial" w:cs="Arial" w:eastAsia="Arial" w:hAnsi="Arial"/>
                <w:sz w:val="18"/>
                <w:szCs w:val="18"/>
                <w:color w:val="auto"/>
              </w:rPr>
              <w:t>Corporate bonds - investment grade</w:t>
            </w:r>
          </w:p>
        </w:tc>
        <w:tc>
          <w:tcPr>
            <w:tcW w:w="2200" w:type="dxa"/>
            <w:vAlign w:val="bottom"/>
          </w:tcPr>
          <w:p>
            <w:pPr>
              <w:jc w:val="right"/>
              <w:ind w:right="231"/>
              <w:spacing w:after="0"/>
              <w:rPr>
                <w:sz w:val="20"/>
                <w:szCs w:val="20"/>
                <w:color w:val="auto"/>
              </w:rPr>
            </w:pPr>
            <w:r>
              <w:rPr>
                <w:rFonts w:ascii="Arial" w:cs="Arial" w:eastAsia="Arial" w:hAnsi="Arial"/>
                <w:sz w:val="18"/>
                <w:szCs w:val="18"/>
                <w:color w:val="auto"/>
              </w:rPr>
              <w:t>123.2</w:t>
            </w:r>
          </w:p>
        </w:tc>
        <w:tc>
          <w:tcPr>
            <w:tcW w:w="1500" w:type="dxa"/>
            <w:vAlign w:val="bottom"/>
          </w:tcPr>
          <w:p>
            <w:pPr>
              <w:jc w:val="right"/>
              <w:ind w:right="231"/>
              <w:spacing w:after="0"/>
              <w:rPr>
                <w:sz w:val="20"/>
                <w:szCs w:val="20"/>
                <w:color w:val="auto"/>
              </w:rPr>
            </w:pPr>
            <w:r>
              <w:rPr>
                <w:rFonts w:ascii="Arial" w:cs="Arial" w:eastAsia="Arial" w:hAnsi="Arial"/>
                <w:sz w:val="18"/>
                <w:szCs w:val="18"/>
                <w:color w:val="auto"/>
              </w:rPr>
              <w:t>—</w:t>
            </w:r>
          </w:p>
        </w:tc>
        <w:tc>
          <w:tcPr>
            <w:tcW w:w="1460" w:type="dxa"/>
            <w:vAlign w:val="bottom"/>
          </w:tcPr>
          <w:p>
            <w:pPr>
              <w:jc w:val="right"/>
              <w:ind w:right="191"/>
              <w:spacing w:after="0"/>
              <w:rPr>
                <w:sz w:val="20"/>
                <w:szCs w:val="20"/>
                <w:color w:val="auto"/>
              </w:rPr>
            </w:pPr>
            <w:r>
              <w:rPr>
                <w:rFonts w:ascii="Arial" w:cs="Arial" w:eastAsia="Arial" w:hAnsi="Arial"/>
                <w:sz w:val="18"/>
                <w:szCs w:val="18"/>
                <w:color w:val="auto"/>
              </w:rPr>
              <w:t>123.2</w:t>
            </w:r>
          </w:p>
        </w:tc>
        <w:tc>
          <w:tcPr>
            <w:tcW w:w="128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4980" w:type="dxa"/>
            <w:vAlign w:val="bottom"/>
          </w:tcPr>
          <w:p>
            <w:pPr>
              <w:spacing w:after="0"/>
              <w:rPr>
                <w:sz w:val="2"/>
                <w:szCs w:val="2"/>
                <w:color w:val="auto"/>
              </w:rPr>
            </w:pPr>
          </w:p>
        </w:tc>
        <w:tc>
          <w:tcPr>
            <w:tcW w:w="2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498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Equity securities - U.S. companies</w:t>
            </w:r>
          </w:p>
        </w:tc>
        <w:tc>
          <w:tcPr>
            <w:tcW w:w="2200" w:type="dxa"/>
            <w:vAlign w:val="bottom"/>
            <w:tcBorders>
              <w:bottom w:val="single" w:sz="8" w:color="CCEEFF"/>
            </w:tcBorders>
            <w:shd w:val="clear" w:color="auto" w:fill="CCEEFF"/>
          </w:tcPr>
          <w:p>
            <w:pPr>
              <w:jc w:val="right"/>
              <w:ind w:right="231"/>
              <w:spacing w:after="0"/>
              <w:rPr>
                <w:sz w:val="20"/>
                <w:szCs w:val="20"/>
                <w:color w:val="auto"/>
              </w:rPr>
            </w:pPr>
            <w:r>
              <w:rPr>
                <w:rFonts w:ascii="Arial" w:cs="Arial" w:eastAsia="Arial" w:hAnsi="Arial"/>
                <w:sz w:val="18"/>
                <w:szCs w:val="18"/>
                <w:color w:val="auto"/>
              </w:rPr>
              <w:t>78.3</w:t>
            </w:r>
          </w:p>
        </w:tc>
        <w:tc>
          <w:tcPr>
            <w:tcW w:w="1500" w:type="dxa"/>
            <w:vAlign w:val="bottom"/>
            <w:tcBorders>
              <w:bottom w:val="single" w:sz="8" w:color="CCEEFF"/>
            </w:tcBorders>
            <w:shd w:val="clear" w:color="auto" w:fill="CCEEFF"/>
          </w:tcPr>
          <w:p>
            <w:pPr>
              <w:jc w:val="right"/>
              <w:ind w:right="231"/>
              <w:spacing w:after="0"/>
              <w:rPr>
                <w:sz w:val="20"/>
                <w:szCs w:val="20"/>
                <w:color w:val="auto"/>
              </w:rPr>
            </w:pPr>
            <w:r>
              <w:rPr>
                <w:rFonts w:ascii="Arial" w:cs="Arial" w:eastAsia="Arial" w:hAnsi="Arial"/>
                <w:sz w:val="18"/>
                <w:szCs w:val="18"/>
                <w:color w:val="auto"/>
              </w:rPr>
              <w:t>77.3</w:t>
            </w:r>
          </w:p>
        </w:tc>
        <w:tc>
          <w:tcPr>
            <w:tcW w:w="1460" w:type="dxa"/>
            <w:vAlign w:val="bottom"/>
            <w:tcBorders>
              <w:bottom w:val="single" w:sz="8" w:color="CCEEFF"/>
            </w:tcBorders>
            <w:shd w:val="clear" w:color="auto" w:fill="CCEEFF"/>
          </w:tcPr>
          <w:p>
            <w:pPr>
              <w:jc w:val="right"/>
              <w:ind w:right="191"/>
              <w:spacing w:after="0"/>
              <w:rPr>
                <w:sz w:val="20"/>
                <w:szCs w:val="20"/>
                <w:color w:val="auto"/>
              </w:rPr>
            </w:pPr>
            <w:r>
              <w:rPr>
                <w:rFonts w:ascii="Arial" w:cs="Arial" w:eastAsia="Arial" w:hAnsi="Arial"/>
                <w:sz w:val="18"/>
                <w:szCs w:val="18"/>
                <w:color w:val="auto"/>
              </w:rPr>
              <w:t>1.0</w:t>
            </w:r>
          </w:p>
        </w:tc>
        <w:tc>
          <w:tcPr>
            <w:tcW w:w="12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4980" w:type="dxa"/>
            <w:vAlign w:val="bottom"/>
          </w:tcPr>
          <w:p>
            <w:pPr>
              <w:ind w:left="360"/>
              <w:spacing w:after="0"/>
              <w:rPr>
                <w:sz w:val="20"/>
                <w:szCs w:val="20"/>
                <w:color w:val="auto"/>
              </w:rPr>
            </w:pPr>
            <w:r>
              <w:rPr>
                <w:rFonts w:ascii="Arial" w:cs="Arial" w:eastAsia="Arial" w:hAnsi="Arial"/>
                <w:sz w:val="18"/>
                <w:szCs w:val="18"/>
                <w:color w:val="auto"/>
              </w:rPr>
              <w:t>Equity securities - international companies</w:t>
            </w:r>
          </w:p>
        </w:tc>
        <w:tc>
          <w:tcPr>
            <w:tcW w:w="2200" w:type="dxa"/>
            <w:vAlign w:val="bottom"/>
          </w:tcPr>
          <w:p>
            <w:pPr>
              <w:jc w:val="right"/>
              <w:ind w:right="231"/>
              <w:spacing w:after="0"/>
              <w:rPr>
                <w:sz w:val="20"/>
                <w:szCs w:val="20"/>
                <w:color w:val="auto"/>
              </w:rPr>
            </w:pPr>
            <w:r>
              <w:rPr>
                <w:rFonts w:ascii="Arial" w:cs="Arial" w:eastAsia="Arial" w:hAnsi="Arial"/>
                <w:sz w:val="18"/>
                <w:szCs w:val="18"/>
                <w:color w:val="auto"/>
              </w:rPr>
              <w:t>81.7</w:t>
            </w:r>
          </w:p>
        </w:tc>
        <w:tc>
          <w:tcPr>
            <w:tcW w:w="1500" w:type="dxa"/>
            <w:vAlign w:val="bottom"/>
          </w:tcPr>
          <w:p>
            <w:pPr>
              <w:jc w:val="right"/>
              <w:ind w:right="231"/>
              <w:spacing w:after="0"/>
              <w:rPr>
                <w:sz w:val="20"/>
                <w:szCs w:val="20"/>
                <w:color w:val="auto"/>
              </w:rPr>
            </w:pPr>
            <w:r>
              <w:rPr>
                <w:rFonts w:ascii="Arial" w:cs="Arial" w:eastAsia="Arial" w:hAnsi="Arial"/>
                <w:sz w:val="18"/>
                <w:szCs w:val="18"/>
                <w:color w:val="auto"/>
              </w:rPr>
              <w:t>81.7</w:t>
            </w:r>
          </w:p>
        </w:tc>
        <w:tc>
          <w:tcPr>
            <w:tcW w:w="1460" w:type="dxa"/>
            <w:vAlign w:val="bottom"/>
          </w:tcPr>
          <w:p>
            <w:pPr>
              <w:jc w:val="right"/>
              <w:ind w:right="191"/>
              <w:spacing w:after="0"/>
              <w:rPr>
                <w:sz w:val="20"/>
                <w:szCs w:val="20"/>
                <w:color w:val="auto"/>
              </w:rPr>
            </w:pPr>
            <w:r>
              <w:rPr>
                <w:rFonts w:ascii="Arial" w:cs="Arial" w:eastAsia="Arial" w:hAnsi="Arial"/>
                <w:sz w:val="18"/>
                <w:szCs w:val="18"/>
                <w:color w:val="auto"/>
              </w:rPr>
              <w:t>—</w:t>
            </w:r>
          </w:p>
        </w:tc>
        <w:tc>
          <w:tcPr>
            <w:tcW w:w="128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4980" w:type="dxa"/>
            <w:vAlign w:val="bottom"/>
          </w:tcPr>
          <w:p>
            <w:pPr>
              <w:spacing w:after="0"/>
              <w:rPr>
                <w:sz w:val="2"/>
                <w:szCs w:val="2"/>
                <w:color w:val="auto"/>
              </w:rPr>
            </w:pPr>
          </w:p>
        </w:tc>
        <w:tc>
          <w:tcPr>
            <w:tcW w:w="2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498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Common collective funds - domestic equities</w:t>
            </w:r>
          </w:p>
        </w:tc>
        <w:tc>
          <w:tcPr>
            <w:tcW w:w="2200" w:type="dxa"/>
            <w:vAlign w:val="bottom"/>
            <w:tcBorders>
              <w:bottom w:val="single" w:sz="8" w:color="CCEEFF"/>
            </w:tcBorders>
            <w:shd w:val="clear" w:color="auto" w:fill="CCEEFF"/>
          </w:tcPr>
          <w:p>
            <w:pPr>
              <w:jc w:val="right"/>
              <w:ind w:right="231"/>
              <w:spacing w:after="0"/>
              <w:rPr>
                <w:sz w:val="20"/>
                <w:szCs w:val="20"/>
                <w:color w:val="auto"/>
              </w:rPr>
            </w:pPr>
            <w:r>
              <w:rPr>
                <w:rFonts w:ascii="Arial" w:cs="Arial" w:eastAsia="Arial" w:hAnsi="Arial"/>
                <w:sz w:val="18"/>
                <w:szCs w:val="18"/>
                <w:color w:val="auto"/>
              </w:rPr>
              <w:t>53.0</w:t>
            </w:r>
          </w:p>
        </w:tc>
        <w:tc>
          <w:tcPr>
            <w:tcW w:w="1500" w:type="dxa"/>
            <w:vAlign w:val="bottom"/>
            <w:tcBorders>
              <w:bottom w:val="single" w:sz="8" w:color="CCEEFF"/>
            </w:tcBorders>
            <w:shd w:val="clear" w:color="auto" w:fill="CCEEFF"/>
          </w:tcPr>
          <w:p>
            <w:pPr>
              <w:jc w:val="right"/>
              <w:ind w:right="231"/>
              <w:spacing w:after="0"/>
              <w:rPr>
                <w:sz w:val="20"/>
                <w:szCs w:val="20"/>
                <w:color w:val="auto"/>
              </w:rPr>
            </w:pPr>
            <w:r>
              <w:rPr>
                <w:rFonts w:ascii="Arial" w:cs="Arial" w:eastAsia="Arial" w:hAnsi="Arial"/>
                <w:sz w:val="18"/>
                <w:szCs w:val="18"/>
                <w:color w:val="auto"/>
              </w:rPr>
              <w:t>—</w:t>
            </w:r>
          </w:p>
        </w:tc>
        <w:tc>
          <w:tcPr>
            <w:tcW w:w="1460" w:type="dxa"/>
            <w:vAlign w:val="bottom"/>
            <w:tcBorders>
              <w:bottom w:val="single" w:sz="8" w:color="CCEEFF"/>
            </w:tcBorders>
            <w:shd w:val="clear" w:color="auto" w:fill="CCEEFF"/>
          </w:tcPr>
          <w:p>
            <w:pPr>
              <w:jc w:val="right"/>
              <w:ind w:right="191"/>
              <w:spacing w:after="0"/>
              <w:rPr>
                <w:sz w:val="20"/>
                <w:szCs w:val="20"/>
                <w:color w:val="auto"/>
              </w:rPr>
            </w:pPr>
            <w:r>
              <w:rPr>
                <w:rFonts w:ascii="Arial" w:cs="Arial" w:eastAsia="Arial" w:hAnsi="Arial"/>
                <w:sz w:val="18"/>
                <w:szCs w:val="18"/>
                <w:color w:val="auto"/>
              </w:rPr>
              <w:t>53.0</w:t>
            </w:r>
          </w:p>
        </w:tc>
        <w:tc>
          <w:tcPr>
            <w:tcW w:w="12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4980" w:type="dxa"/>
            <w:vAlign w:val="bottom"/>
          </w:tcPr>
          <w:p>
            <w:pPr>
              <w:ind w:left="360"/>
              <w:spacing w:after="0"/>
              <w:rPr>
                <w:sz w:val="20"/>
                <w:szCs w:val="20"/>
                <w:color w:val="auto"/>
              </w:rPr>
            </w:pPr>
            <w:r>
              <w:rPr>
                <w:rFonts w:ascii="Arial" w:cs="Arial" w:eastAsia="Arial" w:hAnsi="Arial"/>
                <w:sz w:val="18"/>
                <w:szCs w:val="18"/>
                <w:color w:val="auto"/>
              </w:rPr>
              <w:t>Common collective funds - international equities</w:t>
            </w:r>
          </w:p>
        </w:tc>
        <w:tc>
          <w:tcPr>
            <w:tcW w:w="2200" w:type="dxa"/>
            <w:vAlign w:val="bottom"/>
          </w:tcPr>
          <w:p>
            <w:pPr>
              <w:jc w:val="right"/>
              <w:ind w:right="231"/>
              <w:spacing w:after="0"/>
              <w:rPr>
                <w:sz w:val="20"/>
                <w:szCs w:val="20"/>
                <w:color w:val="auto"/>
              </w:rPr>
            </w:pPr>
            <w:r>
              <w:rPr>
                <w:rFonts w:ascii="Arial" w:cs="Arial" w:eastAsia="Arial" w:hAnsi="Arial"/>
                <w:sz w:val="18"/>
                <w:szCs w:val="18"/>
                <w:color w:val="auto"/>
              </w:rPr>
              <w:t>94.0</w:t>
            </w:r>
          </w:p>
        </w:tc>
        <w:tc>
          <w:tcPr>
            <w:tcW w:w="1500" w:type="dxa"/>
            <w:vAlign w:val="bottom"/>
          </w:tcPr>
          <w:p>
            <w:pPr>
              <w:jc w:val="right"/>
              <w:ind w:right="231"/>
              <w:spacing w:after="0"/>
              <w:rPr>
                <w:sz w:val="20"/>
                <w:szCs w:val="20"/>
                <w:color w:val="auto"/>
              </w:rPr>
            </w:pPr>
            <w:r>
              <w:rPr>
                <w:rFonts w:ascii="Arial" w:cs="Arial" w:eastAsia="Arial" w:hAnsi="Arial"/>
                <w:sz w:val="18"/>
                <w:szCs w:val="18"/>
                <w:color w:val="auto"/>
              </w:rPr>
              <w:t>—</w:t>
            </w:r>
          </w:p>
        </w:tc>
        <w:tc>
          <w:tcPr>
            <w:tcW w:w="1460" w:type="dxa"/>
            <w:vAlign w:val="bottom"/>
          </w:tcPr>
          <w:p>
            <w:pPr>
              <w:jc w:val="right"/>
              <w:ind w:right="191"/>
              <w:spacing w:after="0"/>
              <w:rPr>
                <w:sz w:val="20"/>
                <w:szCs w:val="20"/>
                <w:color w:val="auto"/>
              </w:rPr>
            </w:pPr>
            <w:r>
              <w:rPr>
                <w:rFonts w:ascii="Arial" w:cs="Arial" w:eastAsia="Arial" w:hAnsi="Arial"/>
                <w:sz w:val="18"/>
                <w:szCs w:val="18"/>
                <w:color w:val="auto"/>
              </w:rPr>
              <w:t>94.0</w:t>
            </w:r>
          </w:p>
        </w:tc>
        <w:tc>
          <w:tcPr>
            <w:tcW w:w="128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4980" w:type="dxa"/>
            <w:vAlign w:val="bottom"/>
          </w:tcPr>
          <w:p>
            <w:pPr>
              <w:spacing w:after="0"/>
              <w:rPr>
                <w:sz w:val="2"/>
                <w:szCs w:val="2"/>
                <w:color w:val="auto"/>
              </w:rPr>
            </w:pPr>
          </w:p>
        </w:tc>
        <w:tc>
          <w:tcPr>
            <w:tcW w:w="2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498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Common collective funds - fixed income</w:t>
            </w:r>
          </w:p>
        </w:tc>
        <w:tc>
          <w:tcPr>
            <w:tcW w:w="2200" w:type="dxa"/>
            <w:vAlign w:val="bottom"/>
            <w:tcBorders>
              <w:bottom w:val="single" w:sz="8" w:color="CCEEFF"/>
            </w:tcBorders>
            <w:shd w:val="clear" w:color="auto" w:fill="CCEEFF"/>
          </w:tcPr>
          <w:p>
            <w:pPr>
              <w:jc w:val="right"/>
              <w:ind w:right="231"/>
              <w:spacing w:after="0"/>
              <w:rPr>
                <w:sz w:val="20"/>
                <w:szCs w:val="20"/>
                <w:color w:val="auto"/>
              </w:rPr>
            </w:pPr>
            <w:r>
              <w:rPr>
                <w:rFonts w:ascii="Arial" w:cs="Arial" w:eastAsia="Arial" w:hAnsi="Arial"/>
                <w:sz w:val="18"/>
                <w:szCs w:val="18"/>
                <w:color w:val="auto"/>
              </w:rPr>
              <w:t>224.9</w:t>
            </w:r>
          </w:p>
        </w:tc>
        <w:tc>
          <w:tcPr>
            <w:tcW w:w="1500" w:type="dxa"/>
            <w:vAlign w:val="bottom"/>
            <w:tcBorders>
              <w:bottom w:val="single" w:sz="8" w:color="CCEEFF"/>
            </w:tcBorders>
            <w:shd w:val="clear" w:color="auto" w:fill="CCEEFF"/>
          </w:tcPr>
          <w:p>
            <w:pPr>
              <w:jc w:val="right"/>
              <w:ind w:right="231"/>
              <w:spacing w:after="0"/>
              <w:rPr>
                <w:sz w:val="20"/>
                <w:szCs w:val="20"/>
                <w:color w:val="auto"/>
              </w:rPr>
            </w:pPr>
            <w:r>
              <w:rPr>
                <w:rFonts w:ascii="Arial" w:cs="Arial" w:eastAsia="Arial" w:hAnsi="Arial"/>
                <w:sz w:val="18"/>
                <w:szCs w:val="18"/>
                <w:color w:val="auto"/>
              </w:rPr>
              <w:t>—</w:t>
            </w:r>
          </w:p>
        </w:tc>
        <w:tc>
          <w:tcPr>
            <w:tcW w:w="1460" w:type="dxa"/>
            <w:vAlign w:val="bottom"/>
            <w:tcBorders>
              <w:bottom w:val="single" w:sz="8" w:color="CCEEFF"/>
            </w:tcBorders>
            <w:shd w:val="clear" w:color="auto" w:fill="CCEEFF"/>
          </w:tcPr>
          <w:p>
            <w:pPr>
              <w:jc w:val="right"/>
              <w:ind w:right="191"/>
              <w:spacing w:after="0"/>
              <w:rPr>
                <w:sz w:val="20"/>
                <w:szCs w:val="20"/>
                <w:color w:val="auto"/>
              </w:rPr>
            </w:pPr>
            <w:r>
              <w:rPr>
                <w:rFonts w:ascii="Arial" w:cs="Arial" w:eastAsia="Arial" w:hAnsi="Arial"/>
                <w:sz w:val="18"/>
                <w:szCs w:val="18"/>
                <w:color w:val="auto"/>
              </w:rPr>
              <w:t>224.9</w:t>
            </w:r>
          </w:p>
        </w:tc>
        <w:tc>
          <w:tcPr>
            <w:tcW w:w="12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4980" w:type="dxa"/>
            <w:vAlign w:val="bottom"/>
          </w:tcPr>
          <w:p>
            <w:pPr>
              <w:ind w:left="360"/>
              <w:spacing w:after="0"/>
              <w:rPr>
                <w:sz w:val="20"/>
                <w:szCs w:val="20"/>
                <w:color w:val="auto"/>
              </w:rPr>
            </w:pPr>
            <w:r>
              <w:rPr>
                <w:rFonts w:ascii="Arial" w:cs="Arial" w:eastAsia="Arial" w:hAnsi="Arial"/>
                <w:sz w:val="18"/>
                <w:szCs w:val="18"/>
                <w:color w:val="auto"/>
              </w:rPr>
              <w:t>Common collective funds - other</w:t>
            </w:r>
          </w:p>
        </w:tc>
        <w:tc>
          <w:tcPr>
            <w:tcW w:w="2200" w:type="dxa"/>
            <w:vAlign w:val="bottom"/>
          </w:tcPr>
          <w:p>
            <w:pPr>
              <w:jc w:val="right"/>
              <w:ind w:right="231"/>
              <w:spacing w:after="0"/>
              <w:rPr>
                <w:sz w:val="20"/>
                <w:szCs w:val="20"/>
                <w:color w:val="auto"/>
              </w:rPr>
            </w:pPr>
            <w:r>
              <w:rPr>
                <w:rFonts w:ascii="Arial" w:cs="Arial" w:eastAsia="Arial" w:hAnsi="Arial"/>
                <w:sz w:val="18"/>
                <w:szCs w:val="18"/>
                <w:color w:val="auto"/>
              </w:rPr>
              <w:t>20.8</w:t>
            </w:r>
          </w:p>
        </w:tc>
        <w:tc>
          <w:tcPr>
            <w:tcW w:w="1500" w:type="dxa"/>
            <w:vAlign w:val="bottom"/>
          </w:tcPr>
          <w:p>
            <w:pPr>
              <w:jc w:val="right"/>
              <w:ind w:right="231"/>
              <w:spacing w:after="0"/>
              <w:rPr>
                <w:sz w:val="20"/>
                <w:szCs w:val="20"/>
                <w:color w:val="auto"/>
              </w:rPr>
            </w:pPr>
            <w:r>
              <w:rPr>
                <w:rFonts w:ascii="Arial" w:cs="Arial" w:eastAsia="Arial" w:hAnsi="Arial"/>
                <w:sz w:val="18"/>
                <w:szCs w:val="18"/>
                <w:color w:val="auto"/>
              </w:rPr>
              <w:t>—</w:t>
            </w:r>
          </w:p>
        </w:tc>
        <w:tc>
          <w:tcPr>
            <w:tcW w:w="1460" w:type="dxa"/>
            <w:vAlign w:val="bottom"/>
          </w:tcPr>
          <w:p>
            <w:pPr>
              <w:jc w:val="right"/>
              <w:ind w:right="191"/>
              <w:spacing w:after="0"/>
              <w:rPr>
                <w:sz w:val="20"/>
                <w:szCs w:val="20"/>
                <w:color w:val="auto"/>
              </w:rPr>
            </w:pPr>
            <w:r>
              <w:rPr>
                <w:rFonts w:ascii="Arial" w:cs="Arial" w:eastAsia="Arial" w:hAnsi="Arial"/>
                <w:sz w:val="18"/>
                <w:szCs w:val="18"/>
                <w:color w:val="auto"/>
              </w:rPr>
              <w:t>20.8</w:t>
            </w:r>
          </w:p>
        </w:tc>
        <w:tc>
          <w:tcPr>
            <w:tcW w:w="128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4980" w:type="dxa"/>
            <w:vAlign w:val="bottom"/>
          </w:tcPr>
          <w:p>
            <w:pPr>
              <w:spacing w:after="0"/>
              <w:rPr>
                <w:sz w:val="2"/>
                <w:szCs w:val="2"/>
                <w:color w:val="auto"/>
              </w:rPr>
            </w:pPr>
          </w:p>
        </w:tc>
        <w:tc>
          <w:tcPr>
            <w:tcW w:w="2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498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Real estate partnerships</w:t>
            </w:r>
          </w:p>
        </w:tc>
        <w:tc>
          <w:tcPr>
            <w:tcW w:w="2200" w:type="dxa"/>
            <w:vAlign w:val="bottom"/>
            <w:tcBorders>
              <w:bottom w:val="single" w:sz="8" w:color="CCEEFF"/>
            </w:tcBorders>
            <w:shd w:val="clear" w:color="auto" w:fill="CCEEFF"/>
          </w:tcPr>
          <w:p>
            <w:pPr>
              <w:jc w:val="right"/>
              <w:ind w:right="231"/>
              <w:spacing w:after="0"/>
              <w:rPr>
                <w:sz w:val="20"/>
                <w:szCs w:val="20"/>
                <w:color w:val="auto"/>
              </w:rPr>
            </w:pPr>
            <w:r>
              <w:rPr>
                <w:rFonts w:ascii="Arial" w:cs="Arial" w:eastAsia="Arial" w:hAnsi="Arial"/>
                <w:sz w:val="18"/>
                <w:szCs w:val="18"/>
                <w:color w:val="auto"/>
              </w:rPr>
              <w:t>52.6</w:t>
            </w:r>
          </w:p>
        </w:tc>
        <w:tc>
          <w:tcPr>
            <w:tcW w:w="1500" w:type="dxa"/>
            <w:vAlign w:val="bottom"/>
            <w:tcBorders>
              <w:bottom w:val="single" w:sz="8" w:color="CCEEFF"/>
            </w:tcBorders>
            <w:shd w:val="clear" w:color="auto" w:fill="CCEEFF"/>
          </w:tcPr>
          <w:p>
            <w:pPr>
              <w:jc w:val="right"/>
              <w:ind w:right="231"/>
              <w:spacing w:after="0"/>
              <w:rPr>
                <w:sz w:val="20"/>
                <w:szCs w:val="20"/>
                <w:color w:val="auto"/>
              </w:rPr>
            </w:pPr>
            <w:r>
              <w:rPr>
                <w:rFonts w:ascii="Arial" w:cs="Arial" w:eastAsia="Arial" w:hAnsi="Arial"/>
                <w:sz w:val="18"/>
                <w:szCs w:val="18"/>
                <w:color w:val="auto"/>
              </w:rPr>
              <w:t>—</w:t>
            </w:r>
          </w:p>
        </w:tc>
        <w:tc>
          <w:tcPr>
            <w:tcW w:w="1460" w:type="dxa"/>
            <w:vAlign w:val="bottom"/>
            <w:tcBorders>
              <w:bottom w:val="single" w:sz="8" w:color="CCEEFF"/>
            </w:tcBorders>
            <w:shd w:val="clear" w:color="auto" w:fill="CCEEFF"/>
          </w:tcPr>
          <w:p>
            <w:pPr>
              <w:jc w:val="right"/>
              <w:ind w:right="191"/>
              <w:spacing w:after="0"/>
              <w:rPr>
                <w:sz w:val="20"/>
                <w:szCs w:val="20"/>
                <w:color w:val="auto"/>
              </w:rPr>
            </w:pPr>
            <w:r>
              <w:rPr>
                <w:rFonts w:ascii="Arial" w:cs="Arial" w:eastAsia="Arial" w:hAnsi="Arial"/>
                <w:sz w:val="18"/>
                <w:szCs w:val="18"/>
                <w:color w:val="auto"/>
              </w:rPr>
              <w:t>52.6</w:t>
            </w:r>
          </w:p>
        </w:tc>
        <w:tc>
          <w:tcPr>
            <w:tcW w:w="12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4980" w:type="dxa"/>
            <w:vAlign w:val="bottom"/>
          </w:tcPr>
          <w:p>
            <w:pPr>
              <w:ind w:left="360"/>
              <w:spacing w:after="0"/>
              <w:rPr>
                <w:sz w:val="20"/>
                <w:szCs w:val="20"/>
                <w:color w:val="auto"/>
              </w:rPr>
            </w:pPr>
            <w:r>
              <w:rPr>
                <w:rFonts w:ascii="Arial" w:cs="Arial" w:eastAsia="Arial" w:hAnsi="Arial"/>
                <w:sz w:val="18"/>
                <w:szCs w:val="18"/>
                <w:color w:val="auto"/>
              </w:rPr>
              <w:t>Real estate - mutual funds</w:t>
            </w:r>
          </w:p>
        </w:tc>
        <w:tc>
          <w:tcPr>
            <w:tcW w:w="2200" w:type="dxa"/>
            <w:vAlign w:val="bottom"/>
          </w:tcPr>
          <w:p>
            <w:pPr>
              <w:jc w:val="right"/>
              <w:ind w:right="231"/>
              <w:spacing w:after="0"/>
              <w:rPr>
                <w:sz w:val="20"/>
                <w:szCs w:val="20"/>
                <w:color w:val="auto"/>
              </w:rPr>
            </w:pPr>
            <w:r>
              <w:rPr>
                <w:rFonts w:ascii="Arial" w:cs="Arial" w:eastAsia="Arial" w:hAnsi="Arial"/>
                <w:sz w:val="18"/>
                <w:szCs w:val="18"/>
                <w:color w:val="auto"/>
              </w:rPr>
              <w:t>33.3</w:t>
            </w:r>
          </w:p>
        </w:tc>
        <w:tc>
          <w:tcPr>
            <w:tcW w:w="1500" w:type="dxa"/>
            <w:vAlign w:val="bottom"/>
          </w:tcPr>
          <w:p>
            <w:pPr>
              <w:jc w:val="right"/>
              <w:ind w:right="231"/>
              <w:spacing w:after="0"/>
              <w:rPr>
                <w:sz w:val="20"/>
                <w:szCs w:val="20"/>
                <w:color w:val="auto"/>
              </w:rPr>
            </w:pPr>
            <w:r>
              <w:rPr>
                <w:rFonts w:ascii="Arial" w:cs="Arial" w:eastAsia="Arial" w:hAnsi="Arial"/>
                <w:sz w:val="18"/>
                <w:szCs w:val="18"/>
                <w:color w:val="auto"/>
              </w:rPr>
              <w:t>33.3</w:t>
            </w:r>
          </w:p>
        </w:tc>
        <w:tc>
          <w:tcPr>
            <w:tcW w:w="1460" w:type="dxa"/>
            <w:vAlign w:val="bottom"/>
          </w:tcPr>
          <w:p>
            <w:pPr>
              <w:spacing w:after="0"/>
              <w:rPr>
                <w:sz w:val="21"/>
                <w:szCs w:val="21"/>
                <w:color w:val="auto"/>
              </w:rPr>
            </w:pPr>
          </w:p>
        </w:tc>
        <w:tc>
          <w:tcPr>
            <w:tcW w:w="128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4980" w:type="dxa"/>
            <w:vAlign w:val="bottom"/>
          </w:tcPr>
          <w:p>
            <w:pPr>
              <w:spacing w:after="0"/>
              <w:rPr>
                <w:sz w:val="2"/>
                <w:szCs w:val="2"/>
                <w:color w:val="auto"/>
              </w:rPr>
            </w:pPr>
          </w:p>
        </w:tc>
        <w:tc>
          <w:tcPr>
            <w:tcW w:w="2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75"/>
        </w:trPr>
        <w:tc>
          <w:tcPr>
            <w:tcW w:w="498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Other</w:t>
            </w:r>
          </w:p>
        </w:tc>
        <w:tc>
          <w:tcPr>
            <w:tcW w:w="2200" w:type="dxa"/>
            <w:vAlign w:val="bottom"/>
            <w:tcBorders>
              <w:bottom w:val="single" w:sz="8" w:color="CCEEFF"/>
            </w:tcBorders>
            <w:shd w:val="clear" w:color="auto" w:fill="CCEEFF"/>
          </w:tcPr>
          <w:p>
            <w:pPr>
              <w:jc w:val="right"/>
              <w:ind w:right="231"/>
              <w:spacing w:after="0"/>
              <w:rPr>
                <w:sz w:val="20"/>
                <w:szCs w:val="20"/>
                <w:color w:val="auto"/>
              </w:rPr>
            </w:pPr>
            <w:r>
              <w:rPr>
                <w:rFonts w:ascii="Arial" w:cs="Arial" w:eastAsia="Arial" w:hAnsi="Arial"/>
                <w:sz w:val="18"/>
                <w:szCs w:val="18"/>
                <w:color w:val="auto"/>
              </w:rPr>
              <w:t>92.1</w:t>
            </w:r>
          </w:p>
        </w:tc>
        <w:tc>
          <w:tcPr>
            <w:tcW w:w="1500" w:type="dxa"/>
            <w:vAlign w:val="bottom"/>
            <w:tcBorders>
              <w:bottom w:val="single" w:sz="8" w:color="CCEEFF"/>
            </w:tcBorders>
            <w:shd w:val="clear" w:color="auto" w:fill="CCEEFF"/>
          </w:tcPr>
          <w:p>
            <w:pPr>
              <w:jc w:val="right"/>
              <w:ind w:right="231"/>
              <w:spacing w:after="0"/>
              <w:rPr>
                <w:sz w:val="20"/>
                <w:szCs w:val="20"/>
                <w:color w:val="auto"/>
              </w:rPr>
            </w:pPr>
            <w:r>
              <w:rPr>
                <w:rFonts w:ascii="Arial" w:cs="Arial" w:eastAsia="Arial" w:hAnsi="Arial"/>
                <w:sz w:val="18"/>
                <w:szCs w:val="18"/>
                <w:color w:val="auto"/>
              </w:rPr>
              <w:t>—</w:t>
            </w:r>
          </w:p>
        </w:tc>
        <w:tc>
          <w:tcPr>
            <w:tcW w:w="1460" w:type="dxa"/>
            <w:vAlign w:val="bottom"/>
            <w:tcBorders>
              <w:bottom w:val="single" w:sz="8" w:color="CCEEFF"/>
            </w:tcBorders>
            <w:shd w:val="clear" w:color="auto" w:fill="CCEEFF"/>
          </w:tcPr>
          <w:p>
            <w:pPr>
              <w:jc w:val="right"/>
              <w:ind w:right="191"/>
              <w:spacing w:after="0"/>
              <w:rPr>
                <w:sz w:val="20"/>
                <w:szCs w:val="20"/>
                <w:color w:val="auto"/>
              </w:rPr>
            </w:pPr>
            <w:r>
              <w:rPr>
                <w:rFonts w:ascii="Arial" w:cs="Arial" w:eastAsia="Arial" w:hAnsi="Arial"/>
                <w:sz w:val="18"/>
                <w:szCs w:val="18"/>
                <w:color w:val="auto"/>
              </w:rPr>
              <w:t>92.1</w:t>
            </w:r>
          </w:p>
        </w:tc>
        <w:tc>
          <w:tcPr>
            <w:tcW w:w="12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37"/>
        </w:trPr>
        <w:tc>
          <w:tcPr>
            <w:tcW w:w="4980" w:type="dxa"/>
            <w:vAlign w:val="bottom"/>
            <w:tcBorders>
              <w:top w:val="single" w:sz="8" w:color="auto"/>
            </w:tcBorders>
          </w:tcPr>
          <w:p>
            <w:pPr>
              <w:ind w:left="40"/>
              <w:spacing w:after="0"/>
              <w:rPr>
                <w:sz w:val="20"/>
                <w:szCs w:val="20"/>
                <w:color w:val="auto"/>
              </w:rPr>
            </w:pPr>
            <w:r>
              <w:rPr>
                <w:rFonts w:ascii="Arial" w:cs="Arial" w:eastAsia="Arial" w:hAnsi="Arial"/>
                <w:sz w:val="18"/>
                <w:szCs w:val="18"/>
                <w:b w:val="1"/>
                <w:bCs w:val="1"/>
                <w:color w:val="auto"/>
              </w:rPr>
              <w:t>Total Assets</w:t>
            </w:r>
          </w:p>
        </w:tc>
        <w:tc>
          <w:tcPr>
            <w:tcW w:w="2200" w:type="dxa"/>
            <w:vAlign w:val="bottom"/>
            <w:tcBorders>
              <w:top w:val="single" w:sz="8" w:color="auto"/>
            </w:tcBorders>
          </w:tcPr>
          <w:p>
            <w:pPr>
              <w:jc w:val="right"/>
              <w:ind w:right="231"/>
              <w:spacing w:after="0"/>
              <w:rPr>
                <w:sz w:val="20"/>
                <w:szCs w:val="20"/>
                <w:color w:val="auto"/>
              </w:rPr>
            </w:pPr>
            <w:r>
              <w:rPr>
                <w:rFonts w:ascii="Arial" w:cs="Arial" w:eastAsia="Arial" w:hAnsi="Arial"/>
                <w:sz w:val="18"/>
                <w:szCs w:val="18"/>
                <w:b w:val="1"/>
                <w:bCs w:val="1"/>
                <w:color w:val="auto"/>
              </w:rPr>
              <w:t>$1,185.2</w:t>
            </w:r>
          </w:p>
        </w:tc>
        <w:tc>
          <w:tcPr>
            <w:tcW w:w="1500" w:type="dxa"/>
            <w:vAlign w:val="bottom"/>
            <w:tcBorders>
              <w:top w:val="single" w:sz="8" w:color="auto"/>
            </w:tcBorders>
          </w:tcPr>
          <w:p>
            <w:pPr>
              <w:jc w:val="right"/>
              <w:ind w:right="231"/>
              <w:spacing w:after="0"/>
              <w:rPr>
                <w:sz w:val="20"/>
                <w:szCs w:val="20"/>
                <w:color w:val="auto"/>
              </w:rPr>
            </w:pPr>
            <w:r>
              <w:rPr>
                <w:rFonts w:ascii="Arial" w:cs="Arial" w:eastAsia="Arial" w:hAnsi="Arial"/>
                <w:sz w:val="18"/>
                <w:szCs w:val="18"/>
                <w:b w:val="1"/>
                <w:bCs w:val="1"/>
                <w:color w:val="auto"/>
              </w:rPr>
              <w:t>$458.3</w:t>
            </w:r>
          </w:p>
        </w:tc>
        <w:tc>
          <w:tcPr>
            <w:tcW w:w="1460" w:type="dxa"/>
            <w:vAlign w:val="bottom"/>
            <w:tcBorders>
              <w:top w:val="single" w:sz="8" w:color="auto"/>
            </w:tcBorders>
          </w:tcPr>
          <w:p>
            <w:pPr>
              <w:jc w:val="right"/>
              <w:ind w:right="191"/>
              <w:spacing w:after="0"/>
              <w:rPr>
                <w:sz w:val="20"/>
                <w:szCs w:val="20"/>
                <w:color w:val="auto"/>
              </w:rPr>
            </w:pPr>
            <w:r>
              <w:rPr>
                <w:rFonts w:ascii="Arial" w:cs="Arial" w:eastAsia="Arial" w:hAnsi="Arial"/>
                <w:sz w:val="18"/>
                <w:szCs w:val="18"/>
                <w:b w:val="1"/>
                <w:bCs w:val="1"/>
                <w:color w:val="auto"/>
              </w:rPr>
              <w:t>$726.9</w:t>
            </w:r>
          </w:p>
        </w:tc>
        <w:tc>
          <w:tcPr>
            <w:tcW w:w="12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b w:val="1"/>
                <w:bCs w:val="1"/>
                <w:color w:val="auto"/>
              </w:rPr>
              <w:t>$—</w:t>
            </w:r>
          </w:p>
        </w:tc>
      </w:tr>
      <w:tr>
        <w:trPr>
          <w:trHeight w:val="27"/>
        </w:trPr>
        <w:tc>
          <w:tcPr>
            <w:tcW w:w="4980" w:type="dxa"/>
            <w:vAlign w:val="bottom"/>
            <w:tcBorders>
              <w:bottom w:val="single" w:sz="8" w:color="auto"/>
            </w:tcBorders>
          </w:tcPr>
          <w:p>
            <w:pPr>
              <w:spacing w:after="0"/>
              <w:rPr>
                <w:sz w:val="2"/>
                <w:szCs w:val="2"/>
                <w:color w:val="auto"/>
              </w:rPr>
            </w:pPr>
          </w:p>
        </w:tc>
        <w:tc>
          <w:tcPr>
            <w:tcW w:w="22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The following table presents the fair value hierarchy for those investments of TimkenSteel’s postretirement assets measured at fair value on a recurring basis as of June 30, 2014:</w:t>
      </w:r>
    </w:p>
    <w:p>
      <w:pPr>
        <w:spacing w:after="0" w:line="130" w:lineRule="exact"/>
        <w:rPr>
          <w:sz w:val="20"/>
          <w:szCs w:val="20"/>
          <w:color w:val="auto"/>
        </w:rPr>
      </w:pPr>
    </w:p>
    <w:tbl>
      <w:tblPr>
        <w:tblLayout w:type="fixed"/>
        <w:tblInd w:w="40" w:type="dxa"/>
        <w:tblCellMar>
          <w:top w:w="0" w:type="dxa"/>
          <w:left w:w="0" w:type="dxa"/>
          <w:bottom w:w="0" w:type="dxa"/>
          <w:right w:w="0" w:type="dxa"/>
        </w:tblCellMar>
      </w:tblPr>
      <w:tr>
        <w:trPr>
          <w:trHeight w:val="210"/>
        </w:trPr>
        <w:tc>
          <w:tcPr>
            <w:tcW w:w="4740" w:type="dxa"/>
            <w:vAlign w:val="bottom"/>
          </w:tcPr>
          <w:p>
            <w:pPr>
              <w:spacing w:after="0"/>
              <w:rPr>
                <w:sz w:val="18"/>
                <w:szCs w:val="18"/>
                <w:color w:val="auto"/>
              </w:rPr>
            </w:pPr>
          </w:p>
        </w:tc>
        <w:tc>
          <w:tcPr>
            <w:tcW w:w="2400" w:type="dxa"/>
            <w:vAlign w:val="bottom"/>
          </w:tcPr>
          <w:p>
            <w:pPr>
              <w:jc w:val="right"/>
              <w:ind w:right="671"/>
              <w:spacing w:after="0"/>
              <w:rPr>
                <w:sz w:val="20"/>
                <w:szCs w:val="20"/>
                <w:color w:val="auto"/>
              </w:rPr>
            </w:pPr>
            <w:r>
              <w:rPr>
                <w:rFonts w:ascii="Arial" w:cs="Arial" w:eastAsia="Arial" w:hAnsi="Arial"/>
                <w:sz w:val="16"/>
                <w:szCs w:val="16"/>
                <w:b w:val="1"/>
                <w:bCs w:val="1"/>
                <w:color w:val="auto"/>
              </w:rPr>
              <w:t>Total</w:t>
            </w:r>
          </w:p>
        </w:tc>
        <w:tc>
          <w:tcPr>
            <w:tcW w:w="1480" w:type="dxa"/>
            <w:vAlign w:val="bottom"/>
          </w:tcPr>
          <w:p>
            <w:pPr>
              <w:jc w:val="right"/>
              <w:ind w:right="591"/>
              <w:spacing w:after="0"/>
              <w:rPr>
                <w:sz w:val="20"/>
                <w:szCs w:val="20"/>
                <w:color w:val="auto"/>
              </w:rPr>
            </w:pPr>
            <w:r>
              <w:rPr>
                <w:rFonts w:ascii="Arial" w:cs="Arial" w:eastAsia="Arial" w:hAnsi="Arial"/>
                <w:sz w:val="16"/>
                <w:szCs w:val="16"/>
                <w:b w:val="1"/>
                <w:bCs w:val="1"/>
                <w:color w:val="auto"/>
              </w:rPr>
              <w:t>Level 1</w:t>
            </w:r>
          </w:p>
        </w:tc>
        <w:tc>
          <w:tcPr>
            <w:tcW w:w="1460" w:type="dxa"/>
            <w:vAlign w:val="bottom"/>
          </w:tcPr>
          <w:p>
            <w:pPr>
              <w:jc w:val="right"/>
              <w:ind w:right="571"/>
              <w:spacing w:after="0"/>
              <w:rPr>
                <w:sz w:val="20"/>
                <w:szCs w:val="20"/>
                <w:color w:val="auto"/>
              </w:rPr>
            </w:pPr>
            <w:r>
              <w:rPr>
                <w:rFonts w:ascii="Arial" w:cs="Arial" w:eastAsia="Arial" w:hAnsi="Arial"/>
                <w:sz w:val="16"/>
                <w:szCs w:val="16"/>
                <w:b w:val="1"/>
                <w:bCs w:val="1"/>
                <w:color w:val="auto"/>
              </w:rPr>
              <w:t>Level 2</w:t>
            </w:r>
          </w:p>
        </w:tc>
        <w:tc>
          <w:tcPr>
            <w:tcW w:w="1280" w:type="dxa"/>
            <w:vAlign w:val="bottom"/>
          </w:tcPr>
          <w:p>
            <w:pPr>
              <w:jc w:val="right"/>
              <w:ind w:right="391"/>
              <w:spacing w:after="0"/>
              <w:rPr>
                <w:sz w:val="20"/>
                <w:szCs w:val="20"/>
                <w:color w:val="auto"/>
              </w:rPr>
            </w:pPr>
            <w:r>
              <w:rPr>
                <w:rFonts w:ascii="Arial" w:cs="Arial" w:eastAsia="Arial" w:hAnsi="Arial"/>
                <w:sz w:val="16"/>
                <w:szCs w:val="16"/>
                <w:b w:val="1"/>
                <w:bCs w:val="1"/>
                <w:color w:val="auto"/>
              </w:rPr>
              <w:t>Level 3</w:t>
            </w:r>
          </w:p>
        </w:tc>
      </w:tr>
      <w:tr>
        <w:trPr>
          <w:trHeight w:val="33"/>
        </w:trPr>
        <w:tc>
          <w:tcPr>
            <w:tcW w:w="4740" w:type="dxa"/>
            <w:vAlign w:val="bottom"/>
            <w:tcBorders>
              <w:bottom w:val="single" w:sz="8" w:color="auto"/>
            </w:tcBorders>
          </w:tcPr>
          <w:p>
            <w:pPr>
              <w:spacing w:after="0"/>
              <w:rPr>
                <w:sz w:val="2"/>
                <w:szCs w:val="2"/>
                <w:color w:val="auto"/>
              </w:rPr>
            </w:pPr>
          </w:p>
        </w:tc>
        <w:tc>
          <w:tcPr>
            <w:tcW w:w="240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44"/>
        </w:trPr>
        <w:tc>
          <w:tcPr>
            <w:tcW w:w="47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Assets:</w:t>
            </w:r>
          </w:p>
        </w:tc>
        <w:tc>
          <w:tcPr>
            <w:tcW w:w="24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r>
      <w:tr>
        <w:trPr>
          <w:trHeight w:val="243"/>
        </w:trPr>
        <w:tc>
          <w:tcPr>
            <w:tcW w:w="4740" w:type="dxa"/>
            <w:vAlign w:val="bottom"/>
          </w:tcPr>
          <w:p>
            <w:pPr>
              <w:ind w:left="380"/>
              <w:spacing w:after="0"/>
              <w:rPr>
                <w:sz w:val="20"/>
                <w:szCs w:val="20"/>
                <w:color w:val="auto"/>
              </w:rPr>
            </w:pPr>
            <w:r>
              <w:rPr>
                <w:rFonts w:ascii="Arial" w:cs="Arial" w:eastAsia="Arial" w:hAnsi="Arial"/>
                <w:sz w:val="18"/>
                <w:szCs w:val="18"/>
                <w:color w:val="auto"/>
              </w:rPr>
              <w:t>Cash and cash equivalents</w:t>
            </w:r>
          </w:p>
        </w:tc>
        <w:tc>
          <w:tcPr>
            <w:tcW w:w="2400" w:type="dxa"/>
            <w:vAlign w:val="bottom"/>
          </w:tcPr>
          <w:p>
            <w:pPr>
              <w:jc w:val="right"/>
              <w:ind w:right="231"/>
              <w:spacing w:after="0"/>
              <w:rPr>
                <w:sz w:val="20"/>
                <w:szCs w:val="20"/>
                <w:color w:val="auto"/>
              </w:rPr>
            </w:pPr>
            <w:r>
              <w:rPr>
                <w:rFonts w:ascii="Arial" w:cs="Arial" w:eastAsia="Arial" w:hAnsi="Arial"/>
                <w:sz w:val="18"/>
                <w:szCs w:val="18"/>
                <w:color w:val="auto"/>
              </w:rPr>
              <w:t>$9.9</w:t>
            </w:r>
          </w:p>
        </w:tc>
        <w:tc>
          <w:tcPr>
            <w:tcW w:w="1480" w:type="dxa"/>
            <w:vAlign w:val="bottom"/>
          </w:tcPr>
          <w:p>
            <w:pPr>
              <w:jc w:val="right"/>
              <w:ind w:right="211"/>
              <w:spacing w:after="0"/>
              <w:rPr>
                <w:sz w:val="20"/>
                <w:szCs w:val="20"/>
                <w:color w:val="auto"/>
              </w:rPr>
            </w:pPr>
            <w:r>
              <w:rPr>
                <w:rFonts w:ascii="Arial" w:cs="Arial" w:eastAsia="Arial" w:hAnsi="Arial"/>
                <w:sz w:val="18"/>
                <w:szCs w:val="18"/>
                <w:color w:val="auto"/>
              </w:rPr>
              <w:t>$—</w:t>
            </w:r>
          </w:p>
        </w:tc>
        <w:tc>
          <w:tcPr>
            <w:tcW w:w="1460" w:type="dxa"/>
            <w:vAlign w:val="bottom"/>
          </w:tcPr>
          <w:p>
            <w:pPr>
              <w:jc w:val="right"/>
              <w:ind w:right="211"/>
              <w:spacing w:after="0"/>
              <w:rPr>
                <w:sz w:val="20"/>
                <w:szCs w:val="20"/>
                <w:color w:val="auto"/>
              </w:rPr>
            </w:pPr>
            <w:r>
              <w:rPr>
                <w:rFonts w:ascii="Arial" w:cs="Arial" w:eastAsia="Arial" w:hAnsi="Arial"/>
                <w:sz w:val="18"/>
                <w:szCs w:val="18"/>
                <w:color w:val="auto"/>
              </w:rPr>
              <w:t>$9.9</w:t>
            </w:r>
          </w:p>
        </w:tc>
        <w:tc>
          <w:tcPr>
            <w:tcW w:w="1280" w:type="dxa"/>
            <w:vAlign w:val="bottom"/>
          </w:tcPr>
          <w:p>
            <w:pPr>
              <w:jc w:val="right"/>
              <w:ind w:right="31"/>
              <w:spacing w:after="0"/>
              <w:rPr>
                <w:sz w:val="20"/>
                <w:szCs w:val="20"/>
                <w:color w:val="auto"/>
              </w:rPr>
            </w:pPr>
            <w:r>
              <w:rPr>
                <w:rFonts w:ascii="Arial" w:cs="Arial" w:eastAsia="Arial" w:hAnsi="Arial"/>
                <w:sz w:val="18"/>
                <w:szCs w:val="18"/>
                <w:color w:val="auto"/>
              </w:rPr>
              <w:t>$—</w:t>
            </w:r>
          </w:p>
        </w:tc>
      </w:tr>
      <w:tr>
        <w:trPr>
          <w:trHeight w:val="27"/>
        </w:trPr>
        <w:tc>
          <w:tcPr>
            <w:tcW w:w="4740" w:type="dxa"/>
            <w:vAlign w:val="bottom"/>
          </w:tcPr>
          <w:p>
            <w:pPr>
              <w:spacing w:after="0"/>
              <w:rPr>
                <w:sz w:val="2"/>
                <w:szCs w:val="2"/>
                <w:color w:val="auto"/>
              </w:rPr>
            </w:pPr>
          </w:p>
        </w:tc>
        <w:tc>
          <w:tcPr>
            <w:tcW w:w="24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47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Common collective funds - domestic equities</w:t>
            </w:r>
          </w:p>
        </w:tc>
        <w:tc>
          <w:tcPr>
            <w:tcW w:w="2400" w:type="dxa"/>
            <w:vAlign w:val="bottom"/>
            <w:tcBorders>
              <w:bottom w:val="single" w:sz="8" w:color="CCEEFF"/>
            </w:tcBorders>
            <w:shd w:val="clear" w:color="auto" w:fill="CCEEFF"/>
          </w:tcPr>
          <w:p>
            <w:pPr>
              <w:jc w:val="right"/>
              <w:ind w:right="231"/>
              <w:spacing w:after="0"/>
              <w:rPr>
                <w:sz w:val="20"/>
                <w:szCs w:val="20"/>
                <w:color w:val="auto"/>
              </w:rPr>
            </w:pPr>
            <w:r>
              <w:rPr>
                <w:rFonts w:ascii="Arial" w:cs="Arial" w:eastAsia="Arial" w:hAnsi="Arial"/>
                <w:sz w:val="18"/>
                <w:szCs w:val="18"/>
                <w:color w:val="auto"/>
              </w:rPr>
              <w:t>44.8</w:t>
            </w:r>
          </w:p>
        </w:tc>
        <w:tc>
          <w:tcPr>
            <w:tcW w:w="1480" w:type="dxa"/>
            <w:vAlign w:val="bottom"/>
            <w:tcBorders>
              <w:bottom w:val="single" w:sz="8" w:color="CCEEFF"/>
            </w:tcBorders>
            <w:shd w:val="clear" w:color="auto" w:fill="CCEEFF"/>
          </w:tcPr>
          <w:p>
            <w:pPr>
              <w:jc w:val="right"/>
              <w:ind w:right="211"/>
              <w:spacing w:after="0"/>
              <w:rPr>
                <w:sz w:val="20"/>
                <w:szCs w:val="20"/>
                <w:color w:val="auto"/>
              </w:rPr>
            </w:pPr>
            <w:r>
              <w:rPr>
                <w:rFonts w:ascii="Arial" w:cs="Arial" w:eastAsia="Arial" w:hAnsi="Arial"/>
                <w:sz w:val="18"/>
                <w:szCs w:val="18"/>
                <w:color w:val="auto"/>
              </w:rPr>
              <w:t>—</w:t>
            </w:r>
          </w:p>
        </w:tc>
        <w:tc>
          <w:tcPr>
            <w:tcW w:w="1460" w:type="dxa"/>
            <w:vAlign w:val="bottom"/>
            <w:tcBorders>
              <w:bottom w:val="single" w:sz="8" w:color="CCEEFF"/>
            </w:tcBorders>
            <w:shd w:val="clear" w:color="auto" w:fill="CCEEFF"/>
          </w:tcPr>
          <w:p>
            <w:pPr>
              <w:jc w:val="right"/>
              <w:ind w:right="211"/>
              <w:spacing w:after="0"/>
              <w:rPr>
                <w:sz w:val="20"/>
                <w:szCs w:val="20"/>
                <w:color w:val="auto"/>
              </w:rPr>
            </w:pPr>
            <w:r>
              <w:rPr>
                <w:rFonts w:ascii="Arial" w:cs="Arial" w:eastAsia="Arial" w:hAnsi="Arial"/>
                <w:sz w:val="18"/>
                <w:szCs w:val="18"/>
                <w:color w:val="auto"/>
              </w:rPr>
              <w:t>44.8</w:t>
            </w:r>
          </w:p>
        </w:tc>
        <w:tc>
          <w:tcPr>
            <w:tcW w:w="12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w:t>
            </w:r>
          </w:p>
        </w:tc>
      </w:tr>
      <w:tr>
        <w:trPr>
          <w:trHeight w:val="243"/>
        </w:trPr>
        <w:tc>
          <w:tcPr>
            <w:tcW w:w="4740" w:type="dxa"/>
            <w:vAlign w:val="bottom"/>
          </w:tcPr>
          <w:p>
            <w:pPr>
              <w:ind w:left="380"/>
              <w:spacing w:after="0"/>
              <w:rPr>
                <w:sz w:val="20"/>
                <w:szCs w:val="20"/>
                <w:color w:val="auto"/>
              </w:rPr>
            </w:pPr>
            <w:r>
              <w:rPr>
                <w:rFonts w:ascii="Arial" w:cs="Arial" w:eastAsia="Arial" w:hAnsi="Arial"/>
                <w:sz w:val="18"/>
                <w:szCs w:val="18"/>
                <w:color w:val="auto"/>
              </w:rPr>
              <w:t>Common collective funds - international equities</w:t>
            </w:r>
          </w:p>
        </w:tc>
        <w:tc>
          <w:tcPr>
            <w:tcW w:w="2400" w:type="dxa"/>
            <w:vAlign w:val="bottom"/>
          </w:tcPr>
          <w:p>
            <w:pPr>
              <w:jc w:val="right"/>
              <w:ind w:right="231"/>
              <w:spacing w:after="0"/>
              <w:rPr>
                <w:sz w:val="20"/>
                <w:szCs w:val="20"/>
                <w:color w:val="auto"/>
              </w:rPr>
            </w:pPr>
            <w:r>
              <w:rPr>
                <w:rFonts w:ascii="Arial" w:cs="Arial" w:eastAsia="Arial" w:hAnsi="Arial"/>
                <w:sz w:val="18"/>
                <w:szCs w:val="18"/>
                <w:color w:val="auto"/>
              </w:rPr>
              <w:t>28.7</w:t>
            </w:r>
          </w:p>
        </w:tc>
        <w:tc>
          <w:tcPr>
            <w:tcW w:w="1480" w:type="dxa"/>
            <w:vAlign w:val="bottom"/>
          </w:tcPr>
          <w:p>
            <w:pPr>
              <w:jc w:val="right"/>
              <w:ind w:right="211"/>
              <w:spacing w:after="0"/>
              <w:rPr>
                <w:sz w:val="20"/>
                <w:szCs w:val="20"/>
                <w:color w:val="auto"/>
              </w:rPr>
            </w:pPr>
            <w:r>
              <w:rPr>
                <w:rFonts w:ascii="Arial" w:cs="Arial" w:eastAsia="Arial" w:hAnsi="Arial"/>
                <w:sz w:val="18"/>
                <w:szCs w:val="18"/>
                <w:color w:val="auto"/>
              </w:rPr>
              <w:t>—</w:t>
            </w:r>
          </w:p>
        </w:tc>
        <w:tc>
          <w:tcPr>
            <w:tcW w:w="1460" w:type="dxa"/>
            <w:vAlign w:val="bottom"/>
          </w:tcPr>
          <w:p>
            <w:pPr>
              <w:jc w:val="right"/>
              <w:ind w:right="211"/>
              <w:spacing w:after="0"/>
              <w:rPr>
                <w:sz w:val="20"/>
                <w:szCs w:val="20"/>
                <w:color w:val="auto"/>
              </w:rPr>
            </w:pPr>
            <w:r>
              <w:rPr>
                <w:rFonts w:ascii="Arial" w:cs="Arial" w:eastAsia="Arial" w:hAnsi="Arial"/>
                <w:sz w:val="18"/>
                <w:szCs w:val="18"/>
                <w:color w:val="auto"/>
              </w:rPr>
              <w:t>28.7</w:t>
            </w:r>
          </w:p>
        </w:tc>
        <w:tc>
          <w:tcPr>
            <w:tcW w:w="1280" w:type="dxa"/>
            <w:vAlign w:val="bottom"/>
          </w:tcPr>
          <w:p>
            <w:pPr>
              <w:jc w:val="right"/>
              <w:ind w:right="31"/>
              <w:spacing w:after="0"/>
              <w:rPr>
                <w:sz w:val="20"/>
                <w:szCs w:val="20"/>
                <w:color w:val="auto"/>
              </w:rPr>
            </w:pPr>
            <w:r>
              <w:rPr>
                <w:rFonts w:ascii="Arial" w:cs="Arial" w:eastAsia="Arial" w:hAnsi="Arial"/>
                <w:sz w:val="18"/>
                <w:szCs w:val="18"/>
                <w:color w:val="auto"/>
              </w:rPr>
              <w:t>—</w:t>
            </w:r>
          </w:p>
        </w:tc>
      </w:tr>
      <w:tr>
        <w:trPr>
          <w:trHeight w:val="27"/>
        </w:trPr>
        <w:tc>
          <w:tcPr>
            <w:tcW w:w="4740" w:type="dxa"/>
            <w:vAlign w:val="bottom"/>
          </w:tcPr>
          <w:p>
            <w:pPr>
              <w:spacing w:after="0"/>
              <w:rPr>
                <w:sz w:val="2"/>
                <w:szCs w:val="2"/>
                <w:color w:val="auto"/>
              </w:rPr>
            </w:pPr>
          </w:p>
        </w:tc>
        <w:tc>
          <w:tcPr>
            <w:tcW w:w="24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75"/>
        </w:trPr>
        <w:tc>
          <w:tcPr>
            <w:tcW w:w="47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Common collective funds - fixed income</w:t>
            </w:r>
          </w:p>
        </w:tc>
        <w:tc>
          <w:tcPr>
            <w:tcW w:w="2400" w:type="dxa"/>
            <w:vAlign w:val="bottom"/>
            <w:tcBorders>
              <w:bottom w:val="single" w:sz="8" w:color="CCEEFF"/>
            </w:tcBorders>
            <w:shd w:val="clear" w:color="auto" w:fill="CCEEFF"/>
          </w:tcPr>
          <w:p>
            <w:pPr>
              <w:jc w:val="right"/>
              <w:ind w:right="231"/>
              <w:spacing w:after="0"/>
              <w:rPr>
                <w:sz w:val="20"/>
                <w:szCs w:val="20"/>
                <w:color w:val="auto"/>
              </w:rPr>
            </w:pPr>
            <w:r>
              <w:rPr>
                <w:rFonts w:ascii="Arial" w:cs="Arial" w:eastAsia="Arial" w:hAnsi="Arial"/>
                <w:sz w:val="18"/>
                <w:szCs w:val="18"/>
                <w:color w:val="auto"/>
              </w:rPr>
              <w:t>59.0</w:t>
            </w:r>
          </w:p>
        </w:tc>
        <w:tc>
          <w:tcPr>
            <w:tcW w:w="1480" w:type="dxa"/>
            <w:vAlign w:val="bottom"/>
            <w:tcBorders>
              <w:bottom w:val="single" w:sz="8" w:color="CCEEFF"/>
            </w:tcBorders>
            <w:shd w:val="clear" w:color="auto" w:fill="CCEEFF"/>
          </w:tcPr>
          <w:p>
            <w:pPr>
              <w:jc w:val="right"/>
              <w:ind w:right="211"/>
              <w:spacing w:after="0"/>
              <w:rPr>
                <w:sz w:val="20"/>
                <w:szCs w:val="20"/>
                <w:color w:val="auto"/>
              </w:rPr>
            </w:pPr>
            <w:r>
              <w:rPr>
                <w:rFonts w:ascii="Arial" w:cs="Arial" w:eastAsia="Arial" w:hAnsi="Arial"/>
                <w:sz w:val="18"/>
                <w:szCs w:val="18"/>
                <w:color w:val="auto"/>
              </w:rPr>
              <w:t>—</w:t>
            </w:r>
          </w:p>
        </w:tc>
        <w:tc>
          <w:tcPr>
            <w:tcW w:w="1460" w:type="dxa"/>
            <w:vAlign w:val="bottom"/>
            <w:tcBorders>
              <w:bottom w:val="single" w:sz="8" w:color="CCEEFF"/>
            </w:tcBorders>
            <w:shd w:val="clear" w:color="auto" w:fill="CCEEFF"/>
          </w:tcPr>
          <w:p>
            <w:pPr>
              <w:jc w:val="right"/>
              <w:ind w:right="211"/>
              <w:spacing w:after="0"/>
              <w:rPr>
                <w:sz w:val="20"/>
                <w:szCs w:val="20"/>
                <w:color w:val="auto"/>
              </w:rPr>
            </w:pPr>
            <w:r>
              <w:rPr>
                <w:rFonts w:ascii="Arial" w:cs="Arial" w:eastAsia="Arial" w:hAnsi="Arial"/>
                <w:sz w:val="18"/>
                <w:szCs w:val="18"/>
                <w:color w:val="auto"/>
              </w:rPr>
              <w:t>59.0</w:t>
            </w:r>
          </w:p>
        </w:tc>
        <w:tc>
          <w:tcPr>
            <w:tcW w:w="12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w:t>
            </w:r>
          </w:p>
        </w:tc>
      </w:tr>
      <w:tr>
        <w:trPr>
          <w:trHeight w:val="237"/>
        </w:trPr>
        <w:tc>
          <w:tcPr>
            <w:tcW w:w="4740" w:type="dxa"/>
            <w:vAlign w:val="bottom"/>
            <w:tcBorders>
              <w:top w:val="single" w:sz="8" w:color="auto"/>
            </w:tcBorders>
          </w:tcPr>
          <w:p>
            <w:pPr>
              <w:ind w:left="20"/>
              <w:spacing w:after="0"/>
              <w:rPr>
                <w:sz w:val="20"/>
                <w:szCs w:val="20"/>
                <w:color w:val="auto"/>
              </w:rPr>
            </w:pPr>
            <w:r>
              <w:rPr>
                <w:rFonts w:ascii="Arial" w:cs="Arial" w:eastAsia="Arial" w:hAnsi="Arial"/>
                <w:sz w:val="18"/>
                <w:szCs w:val="18"/>
                <w:b w:val="1"/>
                <w:bCs w:val="1"/>
                <w:color w:val="auto"/>
              </w:rPr>
              <w:t>Total Assets</w:t>
            </w:r>
          </w:p>
        </w:tc>
        <w:tc>
          <w:tcPr>
            <w:tcW w:w="2400" w:type="dxa"/>
            <w:vAlign w:val="bottom"/>
            <w:tcBorders>
              <w:top w:val="single" w:sz="8" w:color="auto"/>
            </w:tcBorders>
          </w:tcPr>
          <w:p>
            <w:pPr>
              <w:jc w:val="right"/>
              <w:ind w:right="231"/>
              <w:spacing w:after="0"/>
              <w:rPr>
                <w:sz w:val="20"/>
                <w:szCs w:val="20"/>
                <w:color w:val="auto"/>
              </w:rPr>
            </w:pPr>
            <w:r>
              <w:rPr>
                <w:rFonts w:ascii="Arial" w:cs="Arial" w:eastAsia="Arial" w:hAnsi="Arial"/>
                <w:sz w:val="18"/>
                <w:szCs w:val="18"/>
                <w:b w:val="1"/>
                <w:bCs w:val="1"/>
                <w:color w:val="auto"/>
              </w:rPr>
              <w:t>$142.4</w:t>
            </w:r>
          </w:p>
        </w:tc>
        <w:tc>
          <w:tcPr>
            <w:tcW w:w="1480" w:type="dxa"/>
            <w:vAlign w:val="bottom"/>
            <w:tcBorders>
              <w:top w:val="single" w:sz="8" w:color="auto"/>
            </w:tcBorders>
          </w:tcPr>
          <w:p>
            <w:pPr>
              <w:jc w:val="right"/>
              <w:ind w:right="211"/>
              <w:spacing w:after="0"/>
              <w:rPr>
                <w:sz w:val="20"/>
                <w:szCs w:val="20"/>
                <w:color w:val="auto"/>
              </w:rPr>
            </w:pPr>
            <w:r>
              <w:rPr>
                <w:rFonts w:ascii="Arial" w:cs="Arial" w:eastAsia="Arial" w:hAnsi="Arial"/>
                <w:sz w:val="18"/>
                <w:szCs w:val="18"/>
                <w:b w:val="1"/>
                <w:bCs w:val="1"/>
                <w:color w:val="auto"/>
              </w:rPr>
              <w:t>$—</w:t>
            </w:r>
          </w:p>
        </w:tc>
        <w:tc>
          <w:tcPr>
            <w:tcW w:w="1460" w:type="dxa"/>
            <w:vAlign w:val="bottom"/>
            <w:tcBorders>
              <w:top w:val="single" w:sz="8" w:color="auto"/>
            </w:tcBorders>
          </w:tcPr>
          <w:p>
            <w:pPr>
              <w:jc w:val="right"/>
              <w:ind w:right="211"/>
              <w:spacing w:after="0"/>
              <w:rPr>
                <w:sz w:val="20"/>
                <w:szCs w:val="20"/>
                <w:color w:val="auto"/>
              </w:rPr>
            </w:pPr>
            <w:r>
              <w:rPr>
                <w:rFonts w:ascii="Arial" w:cs="Arial" w:eastAsia="Arial" w:hAnsi="Arial"/>
                <w:sz w:val="18"/>
                <w:szCs w:val="18"/>
                <w:b w:val="1"/>
                <w:bCs w:val="1"/>
                <w:color w:val="auto"/>
              </w:rPr>
              <w:t>$142.4</w:t>
            </w:r>
          </w:p>
        </w:tc>
        <w:tc>
          <w:tcPr>
            <w:tcW w:w="128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b w:val="1"/>
                <w:bCs w:val="1"/>
                <w:color w:val="auto"/>
              </w:rPr>
              <w:t>$—</w:t>
            </w:r>
          </w:p>
        </w:tc>
      </w:tr>
      <w:tr>
        <w:trPr>
          <w:trHeight w:val="27"/>
        </w:trPr>
        <w:tc>
          <w:tcPr>
            <w:tcW w:w="4740" w:type="dxa"/>
            <w:vAlign w:val="bottom"/>
            <w:tcBorders>
              <w:bottom w:val="single" w:sz="8" w:color="auto"/>
            </w:tcBorders>
          </w:tcPr>
          <w:p>
            <w:pPr>
              <w:spacing w:after="0"/>
              <w:rPr>
                <w:sz w:val="2"/>
                <w:szCs w:val="2"/>
                <w:color w:val="auto"/>
              </w:rPr>
            </w:pPr>
          </w:p>
        </w:tc>
        <w:tc>
          <w:tcPr>
            <w:tcW w:w="240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669"/>
        </w:trPr>
        <w:tc>
          <w:tcPr>
            <w:tcW w:w="4740" w:type="dxa"/>
            <w:vAlign w:val="bottom"/>
          </w:tcPr>
          <w:p>
            <w:pPr>
              <w:spacing w:after="0"/>
              <w:rPr>
                <w:sz w:val="24"/>
                <w:szCs w:val="24"/>
                <w:color w:val="auto"/>
              </w:rPr>
            </w:pPr>
          </w:p>
        </w:tc>
        <w:tc>
          <w:tcPr>
            <w:tcW w:w="2400" w:type="dxa"/>
            <w:vAlign w:val="bottom"/>
          </w:tcPr>
          <w:p>
            <w:pPr>
              <w:jc w:val="right"/>
              <w:ind w:right="1291"/>
              <w:spacing w:after="0"/>
              <w:rPr>
                <w:sz w:val="20"/>
                <w:szCs w:val="20"/>
                <w:color w:val="auto"/>
              </w:rPr>
            </w:pPr>
            <w:r>
              <w:rPr>
                <w:rFonts w:ascii="Arial" w:cs="Arial" w:eastAsia="Arial" w:hAnsi="Arial"/>
                <w:sz w:val="18"/>
                <w:szCs w:val="18"/>
                <w:color w:val="auto"/>
              </w:rPr>
              <w:t>13</w:t>
            </w:r>
          </w:p>
        </w:tc>
        <w:tc>
          <w:tcPr>
            <w:tcW w:w="148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280" w:type="dxa"/>
            <w:vAlign w:val="bottom"/>
          </w:tcPr>
          <w:p>
            <w:pPr>
              <w:spacing w:after="0"/>
              <w:rPr>
                <w:sz w:val="24"/>
                <w:szCs w:val="24"/>
                <w:color w:val="auto"/>
              </w:rPr>
            </w:pPr>
          </w:p>
        </w:tc>
      </w:tr>
    </w:tbl>
    <w:p>
      <w:pPr>
        <w:sectPr>
          <w:pgSz w:w="11900" w:h="16838" w:orient="portrait"/>
          <w:cols w:equalWidth="0" w:num="1">
            <w:col w:w="11420"/>
          </w:cols>
          <w:pgMar w:left="240" w:top="584" w:right="239" w:bottom="1440" w:gutter="0" w:footer="0" w:header="0"/>
        </w:sectPr>
      </w:pPr>
    </w:p>
    <w:bookmarkStart w:id="15" w:name="page16"/>
    <w:bookmarkEnd w:id="1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460" w:type="dxa"/>
            <w:vAlign w:val="bottom"/>
          </w:tcPr>
          <w:p>
            <w:pPr>
              <w:ind w:left="660"/>
              <w:spacing w:after="0"/>
              <w:rPr>
                <w:sz w:val="20"/>
                <w:szCs w:val="20"/>
                <w:color w:val="auto"/>
              </w:rPr>
            </w:pPr>
            <w:r>
              <w:rPr>
                <w:rFonts w:ascii="Arial" w:cs="Arial" w:eastAsia="Arial" w:hAnsi="Arial"/>
                <w:sz w:val="18"/>
                <w:szCs w:val="18"/>
                <w:color w:val="auto"/>
              </w:rPr>
              <w:t>Future benefit payments are expected to be as follows:</w:t>
            </w:r>
          </w:p>
        </w:tc>
        <w:tc>
          <w:tcPr>
            <w:tcW w:w="2240" w:type="dxa"/>
            <w:vAlign w:val="bottom"/>
          </w:tcPr>
          <w:p>
            <w:pPr>
              <w:spacing w:after="0"/>
              <w:rPr>
                <w:sz w:val="20"/>
                <w:szCs w:val="20"/>
                <w:color w:val="auto"/>
              </w:rPr>
            </w:pPr>
          </w:p>
        </w:tc>
        <w:tc>
          <w:tcPr>
            <w:tcW w:w="1920" w:type="dxa"/>
            <w:vAlign w:val="bottom"/>
          </w:tcPr>
          <w:p>
            <w:pPr>
              <w:spacing w:after="0"/>
              <w:rPr>
                <w:sz w:val="20"/>
                <w:szCs w:val="20"/>
                <w:color w:val="auto"/>
              </w:rPr>
            </w:pPr>
          </w:p>
        </w:tc>
        <w:tc>
          <w:tcPr>
            <w:tcW w:w="1800" w:type="dxa"/>
            <w:vAlign w:val="bottom"/>
          </w:tcPr>
          <w:p>
            <w:pPr>
              <w:spacing w:after="0"/>
              <w:rPr>
                <w:sz w:val="20"/>
                <w:szCs w:val="20"/>
                <w:color w:val="auto"/>
              </w:rPr>
            </w:pPr>
          </w:p>
        </w:tc>
      </w:tr>
      <w:tr>
        <w:trPr>
          <w:trHeight w:val="378"/>
        </w:trPr>
        <w:tc>
          <w:tcPr>
            <w:tcW w:w="5460" w:type="dxa"/>
            <w:vAlign w:val="bottom"/>
          </w:tcPr>
          <w:p>
            <w:pPr>
              <w:spacing w:after="0"/>
              <w:rPr>
                <w:sz w:val="24"/>
                <w:szCs w:val="24"/>
                <w:color w:val="auto"/>
              </w:rPr>
            </w:pPr>
          </w:p>
        </w:tc>
        <w:tc>
          <w:tcPr>
            <w:tcW w:w="2240" w:type="dxa"/>
            <w:vAlign w:val="bottom"/>
          </w:tcPr>
          <w:p>
            <w:pPr>
              <w:spacing w:after="0"/>
              <w:rPr>
                <w:sz w:val="24"/>
                <w:szCs w:val="24"/>
                <w:color w:val="auto"/>
              </w:rPr>
            </w:pPr>
          </w:p>
        </w:tc>
        <w:tc>
          <w:tcPr>
            <w:tcW w:w="3720" w:type="dxa"/>
            <w:vAlign w:val="bottom"/>
            <w:gridSpan w:val="2"/>
          </w:tcPr>
          <w:p>
            <w:pPr>
              <w:jc w:val="right"/>
              <w:ind w:right="1190"/>
              <w:spacing w:after="0"/>
              <w:rPr>
                <w:sz w:val="20"/>
                <w:szCs w:val="20"/>
                <w:color w:val="auto"/>
              </w:rPr>
            </w:pPr>
            <w:r>
              <w:rPr>
                <w:rFonts w:ascii="Arial" w:cs="Arial" w:eastAsia="Arial" w:hAnsi="Arial"/>
                <w:sz w:val="18"/>
                <w:szCs w:val="18"/>
                <w:b w:val="1"/>
                <w:bCs w:val="1"/>
                <w:color w:val="auto"/>
              </w:rPr>
              <w:t>Postretirement</w:t>
            </w:r>
          </w:p>
        </w:tc>
      </w:tr>
      <w:tr>
        <w:trPr>
          <w:trHeight w:val="27"/>
        </w:trPr>
        <w:tc>
          <w:tcPr>
            <w:tcW w:w="5460" w:type="dxa"/>
            <w:vAlign w:val="bottom"/>
          </w:tcPr>
          <w:p>
            <w:pPr>
              <w:spacing w:after="0"/>
              <w:rPr>
                <w:sz w:val="2"/>
                <w:szCs w:val="2"/>
                <w:color w:val="auto"/>
              </w:rPr>
            </w:pPr>
          </w:p>
        </w:tc>
        <w:tc>
          <w:tcPr>
            <w:tcW w:w="2240" w:type="dxa"/>
            <w:vAlign w:val="bottom"/>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r>
      <w:tr>
        <w:trPr>
          <w:trHeight w:val="218"/>
        </w:trPr>
        <w:tc>
          <w:tcPr>
            <w:tcW w:w="5460" w:type="dxa"/>
            <w:vAlign w:val="bottom"/>
          </w:tcPr>
          <w:p>
            <w:pPr>
              <w:spacing w:after="0"/>
              <w:rPr>
                <w:sz w:val="18"/>
                <w:szCs w:val="18"/>
                <w:color w:val="auto"/>
              </w:rPr>
            </w:pPr>
          </w:p>
        </w:tc>
        <w:tc>
          <w:tcPr>
            <w:tcW w:w="2240" w:type="dxa"/>
            <w:vAlign w:val="bottom"/>
          </w:tcPr>
          <w:p>
            <w:pPr>
              <w:spacing w:after="0"/>
              <w:rPr>
                <w:sz w:val="18"/>
                <w:szCs w:val="18"/>
                <w:color w:val="auto"/>
              </w:rPr>
            </w:pPr>
          </w:p>
        </w:tc>
        <w:tc>
          <w:tcPr>
            <w:tcW w:w="1920" w:type="dxa"/>
            <w:vAlign w:val="bottom"/>
          </w:tcPr>
          <w:p>
            <w:pPr>
              <w:spacing w:after="0"/>
              <w:rPr>
                <w:sz w:val="18"/>
                <w:szCs w:val="18"/>
                <w:color w:val="auto"/>
              </w:rPr>
            </w:pPr>
          </w:p>
        </w:tc>
        <w:tc>
          <w:tcPr>
            <w:tcW w:w="1800" w:type="dxa"/>
            <w:vAlign w:val="bottom"/>
          </w:tcPr>
          <w:p>
            <w:pPr>
              <w:jc w:val="right"/>
              <w:ind w:right="170"/>
              <w:spacing w:after="0"/>
              <w:rPr>
                <w:sz w:val="20"/>
                <w:szCs w:val="20"/>
                <w:color w:val="auto"/>
              </w:rPr>
            </w:pPr>
            <w:r>
              <w:rPr>
                <w:rFonts w:ascii="Arial" w:cs="Arial" w:eastAsia="Arial" w:hAnsi="Arial"/>
                <w:sz w:val="18"/>
                <w:szCs w:val="18"/>
                <w:b w:val="1"/>
                <w:bCs w:val="1"/>
                <w:color w:val="auto"/>
              </w:rPr>
              <w:t>Medicare Part D</w:t>
            </w:r>
          </w:p>
        </w:tc>
      </w:tr>
      <w:tr>
        <w:trPr>
          <w:trHeight w:val="234"/>
        </w:trPr>
        <w:tc>
          <w:tcPr>
            <w:tcW w:w="5460" w:type="dxa"/>
            <w:vAlign w:val="bottom"/>
          </w:tcPr>
          <w:p>
            <w:pPr>
              <w:ind w:left="40"/>
              <w:spacing w:after="0"/>
              <w:rPr>
                <w:sz w:val="20"/>
                <w:szCs w:val="20"/>
                <w:color w:val="auto"/>
              </w:rPr>
            </w:pPr>
            <w:r>
              <w:rPr>
                <w:rFonts w:ascii="Arial" w:cs="Arial" w:eastAsia="Arial" w:hAnsi="Arial"/>
                <w:sz w:val="18"/>
                <w:szCs w:val="18"/>
                <w:b w:val="1"/>
                <w:bCs w:val="1"/>
                <w:color w:val="auto"/>
              </w:rPr>
              <w:t>Benefit Payments:</w:t>
            </w:r>
          </w:p>
        </w:tc>
        <w:tc>
          <w:tcPr>
            <w:tcW w:w="2240" w:type="dxa"/>
            <w:vAlign w:val="bottom"/>
          </w:tcPr>
          <w:p>
            <w:pPr>
              <w:jc w:val="right"/>
              <w:ind w:right="670"/>
              <w:spacing w:after="0"/>
              <w:rPr>
                <w:sz w:val="20"/>
                <w:szCs w:val="20"/>
                <w:color w:val="auto"/>
              </w:rPr>
            </w:pPr>
            <w:r>
              <w:rPr>
                <w:rFonts w:ascii="Arial" w:cs="Arial" w:eastAsia="Arial" w:hAnsi="Arial"/>
                <w:sz w:val="18"/>
                <w:szCs w:val="18"/>
                <w:b w:val="1"/>
                <w:bCs w:val="1"/>
                <w:color w:val="auto"/>
              </w:rPr>
              <w:t>Pension</w:t>
            </w:r>
          </w:p>
        </w:tc>
        <w:tc>
          <w:tcPr>
            <w:tcW w:w="1920" w:type="dxa"/>
            <w:vAlign w:val="bottom"/>
          </w:tcPr>
          <w:p>
            <w:pPr>
              <w:jc w:val="right"/>
              <w:ind w:right="710"/>
              <w:spacing w:after="0"/>
              <w:rPr>
                <w:sz w:val="20"/>
                <w:szCs w:val="20"/>
                <w:color w:val="auto"/>
              </w:rPr>
            </w:pPr>
            <w:r>
              <w:rPr>
                <w:rFonts w:ascii="Arial" w:cs="Arial" w:eastAsia="Arial" w:hAnsi="Arial"/>
                <w:sz w:val="18"/>
                <w:szCs w:val="18"/>
                <w:b w:val="1"/>
                <w:bCs w:val="1"/>
                <w:color w:val="auto"/>
              </w:rPr>
              <w:t>Gross</w:t>
            </w:r>
          </w:p>
        </w:tc>
        <w:tc>
          <w:tcPr>
            <w:tcW w:w="1800" w:type="dxa"/>
            <w:vAlign w:val="bottom"/>
          </w:tcPr>
          <w:p>
            <w:pPr>
              <w:jc w:val="right"/>
              <w:ind w:right="170"/>
              <w:spacing w:after="0"/>
              <w:rPr>
                <w:sz w:val="20"/>
                <w:szCs w:val="20"/>
                <w:color w:val="auto"/>
              </w:rPr>
            </w:pPr>
            <w:r>
              <w:rPr>
                <w:rFonts w:ascii="Arial" w:cs="Arial" w:eastAsia="Arial" w:hAnsi="Arial"/>
                <w:sz w:val="18"/>
                <w:szCs w:val="18"/>
                <w:b w:val="1"/>
                <w:bCs w:val="1"/>
                <w:color w:val="auto"/>
              </w:rPr>
              <w:t>Subsidy Receipts</w:t>
            </w:r>
          </w:p>
        </w:tc>
      </w:tr>
      <w:tr>
        <w:trPr>
          <w:trHeight w:val="27"/>
        </w:trPr>
        <w:tc>
          <w:tcPr>
            <w:tcW w:w="5460" w:type="dxa"/>
            <w:vAlign w:val="bottom"/>
            <w:tcBorders>
              <w:bottom w:val="single" w:sz="8" w:color="auto"/>
            </w:tcBorders>
          </w:tcPr>
          <w:p>
            <w:pPr>
              <w:spacing w:after="0"/>
              <w:rPr>
                <w:sz w:val="2"/>
                <w:szCs w:val="2"/>
                <w:color w:val="auto"/>
              </w:rPr>
            </w:pPr>
          </w:p>
        </w:tc>
        <w:tc>
          <w:tcPr>
            <w:tcW w:w="224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r>
      <w:tr>
        <w:trPr>
          <w:trHeight w:val="237"/>
        </w:trPr>
        <w:tc>
          <w:tcPr>
            <w:tcW w:w="5460" w:type="dxa"/>
            <w:vAlign w:val="bottom"/>
          </w:tcPr>
          <w:p>
            <w:pPr>
              <w:ind w:left="360"/>
              <w:spacing w:after="0"/>
              <w:rPr>
                <w:sz w:val="20"/>
                <w:szCs w:val="20"/>
                <w:color w:val="auto"/>
              </w:rPr>
            </w:pPr>
            <w:r>
              <w:rPr>
                <w:rFonts w:ascii="Arial" w:cs="Arial" w:eastAsia="Arial" w:hAnsi="Arial"/>
                <w:sz w:val="18"/>
                <w:szCs w:val="18"/>
                <w:color w:val="auto"/>
              </w:rPr>
              <w:t>2014</w:t>
            </w:r>
          </w:p>
        </w:tc>
        <w:tc>
          <w:tcPr>
            <w:tcW w:w="2240" w:type="dxa"/>
            <w:vAlign w:val="bottom"/>
          </w:tcPr>
          <w:p>
            <w:pPr>
              <w:jc w:val="right"/>
              <w:ind w:right="170"/>
              <w:spacing w:after="0"/>
              <w:rPr>
                <w:sz w:val="20"/>
                <w:szCs w:val="20"/>
                <w:color w:val="auto"/>
              </w:rPr>
            </w:pPr>
            <w:r>
              <w:rPr>
                <w:rFonts w:ascii="Arial" w:cs="Arial" w:eastAsia="Arial" w:hAnsi="Arial"/>
                <w:sz w:val="18"/>
                <w:szCs w:val="18"/>
                <w:color w:val="auto"/>
              </w:rPr>
              <w:t>$43.0</w:t>
            </w:r>
          </w:p>
        </w:tc>
        <w:tc>
          <w:tcPr>
            <w:tcW w:w="1920" w:type="dxa"/>
            <w:vAlign w:val="bottom"/>
          </w:tcPr>
          <w:p>
            <w:pPr>
              <w:jc w:val="right"/>
              <w:ind w:right="130"/>
              <w:spacing w:after="0"/>
              <w:rPr>
                <w:sz w:val="20"/>
                <w:szCs w:val="20"/>
                <w:color w:val="auto"/>
              </w:rPr>
            </w:pPr>
            <w:r>
              <w:rPr>
                <w:rFonts w:ascii="Arial" w:cs="Arial" w:eastAsia="Arial" w:hAnsi="Arial"/>
                <w:sz w:val="18"/>
                <w:szCs w:val="18"/>
                <w:color w:val="auto"/>
              </w:rPr>
              <w:t>$11.0</w:t>
            </w:r>
          </w:p>
        </w:tc>
        <w:tc>
          <w:tcPr>
            <w:tcW w:w="1800" w:type="dxa"/>
            <w:vAlign w:val="bottom"/>
          </w:tcPr>
          <w:p>
            <w:pPr>
              <w:jc w:val="right"/>
              <w:ind w:right="10"/>
              <w:spacing w:after="0"/>
              <w:rPr>
                <w:sz w:val="20"/>
                <w:szCs w:val="20"/>
                <w:color w:val="auto"/>
              </w:rPr>
            </w:pPr>
            <w:r>
              <w:rPr>
                <w:rFonts w:ascii="Arial" w:cs="Arial" w:eastAsia="Arial" w:hAnsi="Arial"/>
                <w:sz w:val="18"/>
                <w:szCs w:val="18"/>
                <w:color w:val="auto"/>
              </w:rPr>
              <w:t>$0.4</w:t>
            </w:r>
          </w:p>
        </w:tc>
      </w:tr>
      <w:tr>
        <w:trPr>
          <w:trHeight w:val="27"/>
        </w:trPr>
        <w:tc>
          <w:tcPr>
            <w:tcW w:w="5460" w:type="dxa"/>
            <w:vAlign w:val="bottom"/>
          </w:tcPr>
          <w:p>
            <w:pPr>
              <w:spacing w:after="0"/>
              <w:rPr>
                <w:sz w:val="2"/>
                <w:szCs w:val="2"/>
                <w:color w:val="auto"/>
              </w:rPr>
            </w:pPr>
          </w:p>
        </w:tc>
        <w:tc>
          <w:tcPr>
            <w:tcW w:w="2240" w:type="dxa"/>
            <w:vAlign w:val="bottom"/>
          </w:tcPr>
          <w:p>
            <w:pPr>
              <w:spacing w:after="0"/>
              <w:rPr>
                <w:sz w:val="2"/>
                <w:szCs w:val="2"/>
                <w:color w:val="auto"/>
              </w:rPr>
            </w:pPr>
          </w:p>
        </w:tc>
        <w:tc>
          <w:tcPr>
            <w:tcW w:w="1920" w:type="dxa"/>
            <w:vAlign w:val="bottom"/>
          </w:tcPr>
          <w:p>
            <w:pPr>
              <w:spacing w:after="0"/>
              <w:rPr>
                <w:sz w:val="2"/>
                <w:szCs w:val="2"/>
                <w:color w:val="auto"/>
              </w:rPr>
            </w:pPr>
          </w:p>
        </w:tc>
        <w:tc>
          <w:tcPr>
            <w:tcW w:w="1800" w:type="dxa"/>
            <w:vAlign w:val="bottom"/>
          </w:tcPr>
          <w:p>
            <w:pPr>
              <w:spacing w:after="0"/>
              <w:rPr>
                <w:sz w:val="2"/>
                <w:szCs w:val="2"/>
                <w:color w:val="auto"/>
              </w:rPr>
            </w:pPr>
          </w:p>
        </w:tc>
      </w:tr>
      <w:tr>
        <w:trPr>
          <w:trHeight w:val="250"/>
        </w:trPr>
        <w:tc>
          <w:tcPr>
            <w:tcW w:w="54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2015</w:t>
            </w:r>
          </w:p>
        </w:tc>
        <w:tc>
          <w:tcPr>
            <w:tcW w:w="224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75.3</w:t>
            </w:r>
          </w:p>
        </w:tc>
        <w:tc>
          <w:tcPr>
            <w:tcW w:w="19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21.2</w:t>
            </w:r>
          </w:p>
        </w:tc>
        <w:tc>
          <w:tcPr>
            <w:tcW w:w="1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0.9</w:t>
            </w:r>
          </w:p>
        </w:tc>
      </w:tr>
      <w:tr>
        <w:trPr>
          <w:trHeight w:val="243"/>
        </w:trPr>
        <w:tc>
          <w:tcPr>
            <w:tcW w:w="5460" w:type="dxa"/>
            <w:vAlign w:val="bottom"/>
          </w:tcPr>
          <w:p>
            <w:pPr>
              <w:ind w:left="360"/>
              <w:spacing w:after="0"/>
              <w:rPr>
                <w:sz w:val="20"/>
                <w:szCs w:val="20"/>
                <w:color w:val="auto"/>
              </w:rPr>
            </w:pPr>
            <w:r>
              <w:rPr>
                <w:rFonts w:ascii="Arial" w:cs="Arial" w:eastAsia="Arial" w:hAnsi="Arial"/>
                <w:sz w:val="18"/>
                <w:szCs w:val="18"/>
                <w:color w:val="auto"/>
              </w:rPr>
              <w:t>2016</w:t>
            </w:r>
          </w:p>
        </w:tc>
        <w:tc>
          <w:tcPr>
            <w:tcW w:w="2240" w:type="dxa"/>
            <w:vAlign w:val="bottom"/>
          </w:tcPr>
          <w:p>
            <w:pPr>
              <w:jc w:val="right"/>
              <w:ind w:right="170"/>
              <w:spacing w:after="0"/>
              <w:rPr>
                <w:sz w:val="20"/>
                <w:szCs w:val="20"/>
                <w:color w:val="auto"/>
              </w:rPr>
            </w:pPr>
            <w:r>
              <w:rPr>
                <w:rFonts w:ascii="Arial" w:cs="Arial" w:eastAsia="Arial" w:hAnsi="Arial"/>
                <w:sz w:val="18"/>
                <w:szCs w:val="18"/>
                <w:color w:val="auto"/>
              </w:rPr>
              <w:t>76.7</w:t>
            </w:r>
          </w:p>
        </w:tc>
        <w:tc>
          <w:tcPr>
            <w:tcW w:w="1920" w:type="dxa"/>
            <w:vAlign w:val="bottom"/>
          </w:tcPr>
          <w:p>
            <w:pPr>
              <w:jc w:val="right"/>
              <w:ind w:right="130"/>
              <w:spacing w:after="0"/>
              <w:rPr>
                <w:sz w:val="20"/>
                <w:szCs w:val="20"/>
                <w:color w:val="auto"/>
              </w:rPr>
            </w:pPr>
            <w:r>
              <w:rPr>
                <w:rFonts w:ascii="Arial" w:cs="Arial" w:eastAsia="Arial" w:hAnsi="Arial"/>
                <w:sz w:val="18"/>
                <w:szCs w:val="18"/>
                <w:color w:val="auto"/>
              </w:rPr>
              <w:t>20.8</w:t>
            </w:r>
          </w:p>
        </w:tc>
        <w:tc>
          <w:tcPr>
            <w:tcW w:w="1800" w:type="dxa"/>
            <w:vAlign w:val="bottom"/>
          </w:tcPr>
          <w:p>
            <w:pPr>
              <w:jc w:val="right"/>
              <w:ind w:right="10"/>
              <w:spacing w:after="0"/>
              <w:rPr>
                <w:sz w:val="20"/>
                <w:szCs w:val="20"/>
                <w:color w:val="auto"/>
              </w:rPr>
            </w:pPr>
            <w:r>
              <w:rPr>
                <w:rFonts w:ascii="Arial" w:cs="Arial" w:eastAsia="Arial" w:hAnsi="Arial"/>
                <w:sz w:val="18"/>
                <w:szCs w:val="18"/>
                <w:color w:val="auto"/>
              </w:rPr>
              <w:t>0.9</w:t>
            </w:r>
          </w:p>
        </w:tc>
      </w:tr>
      <w:tr>
        <w:trPr>
          <w:trHeight w:val="27"/>
        </w:trPr>
        <w:tc>
          <w:tcPr>
            <w:tcW w:w="5460" w:type="dxa"/>
            <w:vAlign w:val="bottom"/>
          </w:tcPr>
          <w:p>
            <w:pPr>
              <w:spacing w:after="0"/>
              <w:rPr>
                <w:sz w:val="2"/>
                <w:szCs w:val="2"/>
                <w:color w:val="auto"/>
              </w:rPr>
            </w:pPr>
          </w:p>
        </w:tc>
        <w:tc>
          <w:tcPr>
            <w:tcW w:w="2240" w:type="dxa"/>
            <w:vAlign w:val="bottom"/>
          </w:tcPr>
          <w:p>
            <w:pPr>
              <w:spacing w:after="0"/>
              <w:rPr>
                <w:sz w:val="2"/>
                <w:szCs w:val="2"/>
                <w:color w:val="auto"/>
              </w:rPr>
            </w:pPr>
          </w:p>
        </w:tc>
        <w:tc>
          <w:tcPr>
            <w:tcW w:w="1920" w:type="dxa"/>
            <w:vAlign w:val="bottom"/>
          </w:tcPr>
          <w:p>
            <w:pPr>
              <w:spacing w:after="0"/>
              <w:rPr>
                <w:sz w:val="2"/>
                <w:szCs w:val="2"/>
                <w:color w:val="auto"/>
              </w:rPr>
            </w:pPr>
          </w:p>
        </w:tc>
        <w:tc>
          <w:tcPr>
            <w:tcW w:w="1800" w:type="dxa"/>
            <w:vAlign w:val="bottom"/>
          </w:tcPr>
          <w:p>
            <w:pPr>
              <w:spacing w:after="0"/>
              <w:rPr>
                <w:sz w:val="2"/>
                <w:szCs w:val="2"/>
                <w:color w:val="auto"/>
              </w:rPr>
            </w:pPr>
          </w:p>
        </w:tc>
      </w:tr>
      <w:tr>
        <w:trPr>
          <w:trHeight w:val="250"/>
        </w:trPr>
        <w:tc>
          <w:tcPr>
            <w:tcW w:w="54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2017</w:t>
            </w:r>
          </w:p>
        </w:tc>
        <w:tc>
          <w:tcPr>
            <w:tcW w:w="224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75.7</w:t>
            </w:r>
          </w:p>
        </w:tc>
        <w:tc>
          <w:tcPr>
            <w:tcW w:w="19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20.1</w:t>
            </w:r>
          </w:p>
        </w:tc>
        <w:tc>
          <w:tcPr>
            <w:tcW w:w="1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w:t>
            </w:r>
          </w:p>
        </w:tc>
      </w:tr>
      <w:tr>
        <w:trPr>
          <w:trHeight w:val="243"/>
        </w:trPr>
        <w:tc>
          <w:tcPr>
            <w:tcW w:w="5460" w:type="dxa"/>
            <w:vAlign w:val="bottom"/>
          </w:tcPr>
          <w:p>
            <w:pPr>
              <w:ind w:left="360"/>
              <w:spacing w:after="0"/>
              <w:rPr>
                <w:sz w:val="20"/>
                <w:szCs w:val="20"/>
                <w:color w:val="auto"/>
              </w:rPr>
            </w:pPr>
            <w:r>
              <w:rPr>
                <w:rFonts w:ascii="Arial" w:cs="Arial" w:eastAsia="Arial" w:hAnsi="Arial"/>
                <w:sz w:val="18"/>
                <w:szCs w:val="18"/>
                <w:color w:val="auto"/>
              </w:rPr>
              <w:t>2018</w:t>
            </w:r>
          </w:p>
        </w:tc>
        <w:tc>
          <w:tcPr>
            <w:tcW w:w="2240" w:type="dxa"/>
            <w:vAlign w:val="bottom"/>
          </w:tcPr>
          <w:p>
            <w:pPr>
              <w:jc w:val="right"/>
              <w:ind w:right="170"/>
              <w:spacing w:after="0"/>
              <w:rPr>
                <w:sz w:val="20"/>
                <w:szCs w:val="20"/>
                <w:color w:val="auto"/>
              </w:rPr>
            </w:pPr>
            <w:r>
              <w:rPr>
                <w:rFonts w:ascii="Arial" w:cs="Arial" w:eastAsia="Arial" w:hAnsi="Arial"/>
                <w:sz w:val="18"/>
                <w:szCs w:val="18"/>
                <w:color w:val="auto"/>
              </w:rPr>
              <w:t>84.5</w:t>
            </w:r>
          </w:p>
        </w:tc>
        <w:tc>
          <w:tcPr>
            <w:tcW w:w="1920" w:type="dxa"/>
            <w:vAlign w:val="bottom"/>
          </w:tcPr>
          <w:p>
            <w:pPr>
              <w:jc w:val="right"/>
              <w:ind w:right="130"/>
              <w:spacing w:after="0"/>
              <w:rPr>
                <w:sz w:val="20"/>
                <w:szCs w:val="20"/>
                <w:color w:val="auto"/>
              </w:rPr>
            </w:pPr>
            <w:r>
              <w:rPr>
                <w:rFonts w:ascii="Arial" w:cs="Arial" w:eastAsia="Arial" w:hAnsi="Arial"/>
                <w:sz w:val="18"/>
                <w:szCs w:val="18"/>
                <w:color w:val="auto"/>
              </w:rPr>
              <w:t>19.4</w:t>
            </w:r>
          </w:p>
        </w:tc>
        <w:tc>
          <w:tcPr>
            <w:tcW w:w="1800" w:type="dxa"/>
            <w:vAlign w:val="bottom"/>
          </w:tcPr>
          <w:p>
            <w:pPr>
              <w:jc w:val="right"/>
              <w:ind w:right="10"/>
              <w:spacing w:after="0"/>
              <w:rPr>
                <w:sz w:val="20"/>
                <w:szCs w:val="20"/>
                <w:color w:val="auto"/>
              </w:rPr>
            </w:pPr>
            <w:r>
              <w:rPr>
                <w:rFonts w:ascii="Arial" w:cs="Arial" w:eastAsia="Arial" w:hAnsi="Arial"/>
                <w:sz w:val="18"/>
                <w:szCs w:val="18"/>
                <w:color w:val="auto"/>
              </w:rPr>
              <w:t>1.1</w:t>
            </w:r>
          </w:p>
        </w:tc>
      </w:tr>
      <w:tr>
        <w:trPr>
          <w:trHeight w:val="27"/>
        </w:trPr>
        <w:tc>
          <w:tcPr>
            <w:tcW w:w="5460" w:type="dxa"/>
            <w:vAlign w:val="bottom"/>
          </w:tcPr>
          <w:p>
            <w:pPr>
              <w:spacing w:after="0"/>
              <w:rPr>
                <w:sz w:val="2"/>
                <w:szCs w:val="2"/>
                <w:color w:val="auto"/>
              </w:rPr>
            </w:pPr>
          </w:p>
        </w:tc>
        <w:tc>
          <w:tcPr>
            <w:tcW w:w="2240" w:type="dxa"/>
            <w:vAlign w:val="bottom"/>
          </w:tcPr>
          <w:p>
            <w:pPr>
              <w:spacing w:after="0"/>
              <w:rPr>
                <w:sz w:val="2"/>
                <w:szCs w:val="2"/>
                <w:color w:val="auto"/>
              </w:rPr>
            </w:pPr>
          </w:p>
        </w:tc>
        <w:tc>
          <w:tcPr>
            <w:tcW w:w="1920" w:type="dxa"/>
            <w:vAlign w:val="bottom"/>
          </w:tcPr>
          <w:p>
            <w:pPr>
              <w:spacing w:after="0"/>
              <w:rPr>
                <w:sz w:val="2"/>
                <w:szCs w:val="2"/>
                <w:color w:val="auto"/>
              </w:rPr>
            </w:pPr>
          </w:p>
        </w:tc>
        <w:tc>
          <w:tcPr>
            <w:tcW w:w="1800" w:type="dxa"/>
            <w:vAlign w:val="bottom"/>
          </w:tcPr>
          <w:p>
            <w:pPr>
              <w:spacing w:after="0"/>
              <w:rPr>
                <w:sz w:val="2"/>
                <w:szCs w:val="2"/>
                <w:color w:val="auto"/>
              </w:rPr>
            </w:pPr>
          </w:p>
        </w:tc>
      </w:tr>
      <w:tr>
        <w:trPr>
          <w:trHeight w:val="250"/>
        </w:trPr>
        <w:tc>
          <w:tcPr>
            <w:tcW w:w="54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2019-2023</w:t>
            </w:r>
          </w:p>
        </w:tc>
        <w:tc>
          <w:tcPr>
            <w:tcW w:w="224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387.0</w:t>
            </w:r>
          </w:p>
        </w:tc>
        <w:tc>
          <w:tcPr>
            <w:tcW w:w="19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84.5</w:t>
            </w:r>
          </w:p>
        </w:tc>
        <w:tc>
          <w:tcPr>
            <w:tcW w:w="1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6.3</w:t>
            </w:r>
          </w:p>
        </w:tc>
      </w:tr>
      <w:tr>
        <w:trPr>
          <w:trHeight w:val="27"/>
        </w:trPr>
        <w:tc>
          <w:tcPr>
            <w:tcW w:w="5460" w:type="dxa"/>
            <w:vAlign w:val="bottom"/>
            <w:shd w:val="clear" w:color="auto" w:fill="000000"/>
          </w:tcPr>
          <w:p>
            <w:pPr>
              <w:spacing w:after="0"/>
              <w:rPr>
                <w:sz w:val="2"/>
                <w:szCs w:val="2"/>
                <w:color w:val="auto"/>
              </w:rPr>
            </w:pPr>
          </w:p>
        </w:tc>
        <w:tc>
          <w:tcPr>
            <w:tcW w:w="2240" w:type="dxa"/>
            <w:vAlign w:val="bottom"/>
            <w:shd w:val="clear" w:color="auto" w:fill="000000"/>
          </w:tcPr>
          <w:p>
            <w:pPr>
              <w:spacing w:after="0"/>
              <w:rPr>
                <w:sz w:val="2"/>
                <w:szCs w:val="2"/>
                <w:color w:val="auto"/>
              </w:rPr>
            </w:pPr>
          </w:p>
        </w:tc>
        <w:tc>
          <w:tcPr>
            <w:tcW w:w="1920" w:type="dxa"/>
            <w:vAlign w:val="bottom"/>
            <w:shd w:val="clear" w:color="auto" w:fill="000000"/>
          </w:tcPr>
          <w:p>
            <w:pPr>
              <w:spacing w:after="0"/>
              <w:rPr>
                <w:sz w:val="2"/>
                <w:szCs w:val="2"/>
                <w:color w:val="auto"/>
              </w:rPr>
            </w:pPr>
          </w:p>
        </w:tc>
        <w:tc>
          <w:tcPr>
            <w:tcW w:w="1800" w:type="dxa"/>
            <w:vAlign w:val="bottom"/>
            <w:shd w:val="clear" w:color="auto" w:fill="000000"/>
          </w:tcPr>
          <w:p>
            <w:pPr>
              <w:spacing w:after="0"/>
              <w:rPr>
                <w:sz w:val="2"/>
                <w:szCs w:val="2"/>
                <w:color w:val="auto"/>
              </w:rPr>
            </w:pPr>
          </w:p>
        </w:tc>
      </w:tr>
    </w:tbl>
    <w:p>
      <w:pPr>
        <w:spacing w:after="0" w:line="360"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10 - Earnings Per Share</w:t>
      </w:r>
    </w:p>
    <w:p>
      <w:pPr>
        <w:spacing w:after="0" w:line="199"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On June 30, 2014, 45.4 million TimkenSteel common shares were distributed to Timken shareholders in conjunction with the spinoff. For comparative purposes, and to provide a more meaningful calculation for weighted average shares, this amount was assumed to be outstanding as of the beginning of each period presented in the calculation of basic weighted average shares. In addition, for the dilutive weighted average share calculations, the dilutive securities outstanding at June 30, 2014 were assumed to be also outstanding at each of the periods presented. Excluded from the diluted share calculation are 0.2 million shares related to stock options as their effect would have been anti-dilutive.</w:t>
      </w:r>
    </w:p>
    <w:p>
      <w:pPr>
        <w:spacing w:after="0" w:line="132"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following table sets forth the reconciliation of the numerator and the denominator of basic earnings per share and diluted earnings per share for the three and six months ended June 30, 2014 and 2013:</w:t>
      </w:r>
    </w:p>
    <w:p>
      <w:pPr>
        <w:spacing w:after="0" w:line="13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4800" w:type="dxa"/>
            <w:vAlign w:val="bottom"/>
          </w:tcPr>
          <w:p>
            <w:pPr>
              <w:spacing w:after="0"/>
              <w:rPr>
                <w:sz w:val="18"/>
                <w:szCs w:val="18"/>
                <w:color w:val="auto"/>
              </w:rPr>
            </w:pPr>
          </w:p>
        </w:tc>
        <w:tc>
          <w:tcPr>
            <w:tcW w:w="3840" w:type="dxa"/>
            <w:vAlign w:val="bottom"/>
            <w:gridSpan w:val="2"/>
          </w:tcPr>
          <w:p>
            <w:pPr>
              <w:jc w:val="right"/>
              <w:ind w:right="611"/>
              <w:spacing w:after="0"/>
              <w:rPr>
                <w:sz w:val="20"/>
                <w:szCs w:val="20"/>
                <w:color w:val="auto"/>
              </w:rPr>
            </w:pPr>
            <w:r>
              <w:rPr>
                <w:rFonts w:ascii="Arial" w:cs="Arial" w:eastAsia="Arial" w:hAnsi="Arial"/>
                <w:sz w:val="16"/>
                <w:szCs w:val="16"/>
                <w:b w:val="1"/>
                <w:bCs w:val="1"/>
                <w:color w:val="auto"/>
              </w:rPr>
              <w:t>Three Months Ended June 30,</w:t>
            </w:r>
          </w:p>
        </w:tc>
        <w:tc>
          <w:tcPr>
            <w:tcW w:w="2780" w:type="dxa"/>
            <w:vAlign w:val="bottom"/>
            <w:gridSpan w:val="2"/>
          </w:tcPr>
          <w:p>
            <w:pPr>
              <w:jc w:val="right"/>
              <w:ind w:right="411"/>
              <w:spacing w:after="0"/>
              <w:rPr>
                <w:sz w:val="20"/>
                <w:szCs w:val="20"/>
                <w:color w:val="auto"/>
              </w:rPr>
            </w:pPr>
            <w:r>
              <w:rPr>
                <w:rFonts w:ascii="Arial" w:cs="Arial" w:eastAsia="Arial" w:hAnsi="Arial"/>
                <w:sz w:val="16"/>
                <w:szCs w:val="16"/>
                <w:b w:val="1"/>
                <w:bCs w:val="1"/>
                <w:color w:val="auto"/>
              </w:rPr>
              <w:t>Six Months Ended June 30,</w:t>
            </w:r>
          </w:p>
        </w:tc>
      </w:tr>
      <w:tr>
        <w:trPr>
          <w:trHeight w:val="33"/>
        </w:trPr>
        <w:tc>
          <w:tcPr>
            <w:tcW w:w="4800" w:type="dxa"/>
            <w:vAlign w:val="bottom"/>
            <w:tcBorders>
              <w:bottom w:val="single" w:sz="8" w:color="auto"/>
            </w:tcBorders>
          </w:tcPr>
          <w:p>
            <w:pPr>
              <w:spacing w:after="0"/>
              <w:rPr>
                <w:sz w:val="2"/>
                <w:szCs w:val="2"/>
                <w:color w:val="auto"/>
              </w:rPr>
            </w:pPr>
          </w:p>
        </w:tc>
        <w:tc>
          <w:tcPr>
            <w:tcW w:w="230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31"/>
        </w:trPr>
        <w:tc>
          <w:tcPr>
            <w:tcW w:w="4800" w:type="dxa"/>
            <w:vAlign w:val="bottom"/>
          </w:tcPr>
          <w:p>
            <w:pPr>
              <w:spacing w:after="0"/>
              <w:rPr>
                <w:sz w:val="20"/>
                <w:szCs w:val="20"/>
                <w:color w:val="auto"/>
              </w:rPr>
            </w:pPr>
          </w:p>
        </w:tc>
        <w:tc>
          <w:tcPr>
            <w:tcW w:w="2300" w:type="dxa"/>
            <w:vAlign w:val="bottom"/>
          </w:tcPr>
          <w:p>
            <w:pPr>
              <w:jc w:val="right"/>
              <w:ind w:right="712"/>
              <w:spacing w:after="0"/>
              <w:rPr>
                <w:sz w:val="20"/>
                <w:szCs w:val="20"/>
                <w:color w:val="auto"/>
              </w:rPr>
            </w:pPr>
            <w:r>
              <w:rPr>
                <w:rFonts w:ascii="Arial" w:cs="Arial" w:eastAsia="Arial" w:hAnsi="Arial"/>
                <w:sz w:val="16"/>
                <w:szCs w:val="16"/>
                <w:b w:val="1"/>
                <w:bCs w:val="1"/>
                <w:color w:val="auto"/>
              </w:rPr>
              <w:t>2014</w:t>
            </w:r>
          </w:p>
        </w:tc>
        <w:tc>
          <w:tcPr>
            <w:tcW w:w="1540" w:type="dxa"/>
            <w:vAlign w:val="bottom"/>
          </w:tcPr>
          <w:p>
            <w:pPr>
              <w:jc w:val="right"/>
              <w:ind w:right="751"/>
              <w:spacing w:after="0"/>
              <w:rPr>
                <w:sz w:val="20"/>
                <w:szCs w:val="20"/>
                <w:color w:val="auto"/>
              </w:rPr>
            </w:pPr>
            <w:r>
              <w:rPr>
                <w:rFonts w:ascii="Arial" w:cs="Arial" w:eastAsia="Arial" w:hAnsi="Arial"/>
                <w:sz w:val="16"/>
                <w:szCs w:val="16"/>
                <w:b w:val="1"/>
                <w:bCs w:val="1"/>
                <w:color w:val="auto"/>
              </w:rPr>
              <w:t>2013</w:t>
            </w:r>
          </w:p>
        </w:tc>
        <w:tc>
          <w:tcPr>
            <w:tcW w:w="1540" w:type="dxa"/>
            <w:vAlign w:val="bottom"/>
          </w:tcPr>
          <w:p>
            <w:pPr>
              <w:jc w:val="right"/>
              <w:ind w:right="692"/>
              <w:spacing w:after="0"/>
              <w:rPr>
                <w:sz w:val="20"/>
                <w:szCs w:val="20"/>
                <w:color w:val="auto"/>
              </w:rPr>
            </w:pPr>
            <w:r>
              <w:rPr>
                <w:rFonts w:ascii="Arial" w:cs="Arial" w:eastAsia="Arial" w:hAnsi="Arial"/>
                <w:sz w:val="16"/>
                <w:szCs w:val="16"/>
                <w:b w:val="1"/>
                <w:bCs w:val="1"/>
                <w:color w:val="auto"/>
              </w:rPr>
              <w:t>2014</w:t>
            </w:r>
          </w:p>
        </w:tc>
        <w:tc>
          <w:tcPr>
            <w:tcW w:w="1240" w:type="dxa"/>
            <w:vAlign w:val="bottom"/>
          </w:tcPr>
          <w:p>
            <w:pPr>
              <w:jc w:val="right"/>
              <w:ind w:right="471"/>
              <w:spacing w:after="0"/>
              <w:rPr>
                <w:sz w:val="20"/>
                <w:szCs w:val="20"/>
                <w:color w:val="auto"/>
              </w:rPr>
            </w:pPr>
            <w:r>
              <w:rPr>
                <w:rFonts w:ascii="Arial" w:cs="Arial" w:eastAsia="Arial" w:hAnsi="Arial"/>
                <w:sz w:val="16"/>
                <w:szCs w:val="16"/>
                <w:b w:val="1"/>
                <w:bCs w:val="1"/>
                <w:color w:val="auto"/>
              </w:rPr>
              <w:t>2013</w:t>
            </w:r>
          </w:p>
        </w:tc>
      </w:tr>
      <w:tr>
        <w:trPr>
          <w:trHeight w:val="33"/>
        </w:trPr>
        <w:tc>
          <w:tcPr>
            <w:tcW w:w="4800" w:type="dxa"/>
            <w:vAlign w:val="bottom"/>
            <w:tcBorders>
              <w:bottom w:val="single" w:sz="8" w:color="auto"/>
            </w:tcBorders>
          </w:tcPr>
          <w:p>
            <w:pPr>
              <w:spacing w:after="0"/>
              <w:rPr>
                <w:sz w:val="2"/>
                <w:szCs w:val="2"/>
                <w:color w:val="auto"/>
              </w:rPr>
            </w:pPr>
          </w:p>
        </w:tc>
        <w:tc>
          <w:tcPr>
            <w:tcW w:w="230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44"/>
        </w:trPr>
        <w:tc>
          <w:tcPr>
            <w:tcW w:w="4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Numerator:</w:t>
            </w:r>
          </w:p>
        </w:tc>
        <w:tc>
          <w:tcPr>
            <w:tcW w:w="230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r>
      <w:tr>
        <w:trPr>
          <w:trHeight w:val="243"/>
        </w:trPr>
        <w:tc>
          <w:tcPr>
            <w:tcW w:w="4800" w:type="dxa"/>
            <w:vAlign w:val="bottom"/>
          </w:tcPr>
          <w:p>
            <w:pPr>
              <w:ind w:left="40"/>
              <w:spacing w:after="0"/>
              <w:rPr>
                <w:sz w:val="20"/>
                <w:szCs w:val="20"/>
                <w:color w:val="auto"/>
              </w:rPr>
            </w:pPr>
            <w:r>
              <w:rPr>
                <w:rFonts w:ascii="Arial" w:cs="Arial" w:eastAsia="Arial" w:hAnsi="Arial"/>
                <w:sz w:val="18"/>
                <w:szCs w:val="18"/>
                <w:color w:val="auto"/>
              </w:rPr>
              <w:t>Net income for basic and diluted earnings per share</w:t>
            </w:r>
          </w:p>
        </w:tc>
        <w:tc>
          <w:tcPr>
            <w:tcW w:w="2300" w:type="dxa"/>
            <w:vAlign w:val="bottom"/>
          </w:tcPr>
          <w:p>
            <w:pPr>
              <w:jc w:val="right"/>
              <w:ind w:right="252"/>
              <w:spacing w:after="0"/>
              <w:rPr>
                <w:sz w:val="20"/>
                <w:szCs w:val="20"/>
                <w:color w:val="auto"/>
              </w:rPr>
            </w:pPr>
            <w:r>
              <w:rPr>
                <w:rFonts w:ascii="Arial" w:cs="Arial" w:eastAsia="Arial" w:hAnsi="Arial"/>
                <w:sz w:val="18"/>
                <w:szCs w:val="18"/>
                <w:b w:val="1"/>
                <w:bCs w:val="1"/>
                <w:color w:val="auto"/>
              </w:rPr>
              <w:t>$28.6</w:t>
            </w:r>
          </w:p>
        </w:tc>
        <w:tc>
          <w:tcPr>
            <w:tcW w:w="1540" w:type="dxa"/>
            <w:vAlign w:val="bottom"/>
          </w:tcPr>
          <w:p>
            <w:pPr>
              <w:jc w:val="right"/>
              <w:ind w:right="291"/>
              <w:spacing w:after="0"/>
              <w:rPr>
                <w:sz w:val="20"/>
                <w:szCs w:val="20"/>
                <w:color w:val="auto"/>
              </w:rPr>
            </w:pPr>
            <w:r>
              <w:rPr>
                <w:rFonts w:ascii="Arial" w:cs="Arial" w:eastAsia="Arial" w:hAnsi="Arial"/>
                <w:sz w:val="18"/>
                <w:szCs w:val="18"/>
                <w:color w:val="auto"/>
              </w:rPr>
              <w:t>$25.3</w:t>
            </w:r>
          </w:p>
        </w:tc>
        <w:tc>
          <w:tcPr>
            <w:tcW w:w="1540" w:type="dxa"/>
            <w:vAlign w:val="bottom"/>
          </w:tcPr>
          <w:p>
            <w:pPr>
              <w:jc w:val="right"/>
              <w:ind w:right="232"/>
              <w:spacing w:after="0"/>
              <w:rPr>
                <w:sz w:val="20"/>
                <w:szCs w:val="20"/>
                <w:color w:val="auto"/>
              </w:rPr>
            </w:pPr>
            <w:r>
              <w:rPr>
                <w:rFonts w:ascii="Arial" w:cs="Arial" w:eastAsia="Arial" w:hAnsi="Arial"/>
                <w:sz w:val="18"/>
                <w:szCs w:val="18"/>
                <w:b w:val="1"/>
                <w:bCs w:val="1"/>
                <w:color w:val="auto"/>
              </w:rPr>
              <w:t>$62.3</w:t>
            </w:r>
          </w:p>
        </w:tc>
        <w:tc>
          <w:tcPr>
            <w:tcW w:w="1240" w:type="dxa"/>
            <w:vAlign w:val="bottom"/>
          </w:tcPr>
          <w:p>
            <w:pPr>
              <w:jc w:val="right"/>
              <w:ind w:right="11"/>
              <w:spacing w:after="0"/>
              <w:rPr>
                <w:sz w:val="20"/>
                <w:szCs w:val="20"/>
                <w:color w:val="auto"/>
              </w:rPr>
            </w:pPr>
            <w:r>
              <w:rPr>
                <w:rFonts w:ascii="Arial" w:cs="Arial" w:eastAsia="Arial" w:hAnsi="Arial"/>
                <w:sz w:val="18"/>
                <w:szCs w:val="18"/>
                <w:color w:val="auto"/>
              </w:rPr>
              <w:t>$46.3</w:t>
            </w:r>
          </w:p>
        </w:tc>
      </w:tr>
      <w:tr>
        <w:trPr>
          <w:trHeight w:val="27"/>
        </w:trPr>
        <w:tc>
          <w:tcPr>
            <w:tcW w:w="4800" w:type="dxa"/>
            <w:vAlign w:val="bottom"/>
          </w:tcPr>
          <w:p>
            <w:pPr>
              <w:spacing w:after="0"/>
              <w:rPr>
                <w:sz w:val="2"/>
                <w:szCs w:val="2"/>
                <w:color w:val="auto"/>
              </w:rPr>
            </w:pPr>
          </w:p>
        </w:tc>
        <w:tc>
          <w:tcPr>
            <w:tcW w:w="230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324"/>
        </w:trPr>
        <w:tc>
          <w:tcPr>
            <w:tcW w:w="4800" w:type="dxa"/>
            <w:vAlign w:val="bottom"/>
            <w:shd w:val="clear" w:color="auto" w:fill="CCEEFF"/>
          </w:tcPr>
          <w:p>
            <w:pPr>
              <w:spacing w:after="0"/>
              <w:rPr>
                <w:sz w:val="24"/>
                <w:szCs w:val="24"/>
                <w:color w:val="auto"/>
              </w:rPr>
            </w:pPr>
          </w:p>
        </w:tc>
        <w:tc>
          <w:tcPr>
            <w:tcW w:w="2300" w:type="dxa"/>
            <w:vAlign w:val="bottom"/>
            <w:shd w:val="clear" w:color="auto" w:fill="CCEEFF"/>
          </w:tcPr>
          <w:p>
            <w:pPr>
              <w:spacing w:after="0"/>
              <w:rPr>
                <w:sz w:val="24"/>
                <w:szCs w:val="24"/>
                <w:color w:val="auto"/>
              </w:rPr>
            </w:pPr>
          </w:p>
        </w:tc>
        <w:tc>
          <w:tcPr>
            <w:tcW w:w="1540" w:type="dxa"/>
            <w:vAlign w:val="bottom"/>
            <w:shd w:val="clear" w:color="auto" w:fill="CCEEFF"/>
          </w:tcPr>
          <w:p>
            <w:pPr>
              <w:spacing w:after="0"/>
              <w:rPr>
                <w:sz w:val="24"/>
                <w:szCs w:val="24"/>
                <w:color w:val="auto"/>
              </w:rPr>
            </w:pPr>
          </w:p>
        </w:tc>
        <w:tc>
          <w:tcPr>
            <w:tcW w:w="154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r>
      <w:tr>
        <w:trPr>
          <w:trHeight w:val="243"/>
        </w:trPr>
        <w:tc>
          <w:tcPr>
            <w:tcW w:w="4800" w:type="dxa"/>
            <w:vAlign w:val="bottom"/>
          </w:tcPr>
          <w:p>
            <w:pPr>
              <w:ind w:left="40"/>
              <w:spacing w:after="0"/>
              <w:rPr>
                <w:sz w:val="20"/>
                <w:szCs w:val="20"/>
                <w:color w:val="auto"/>
              </w:rPr>
            </w:pPr>
            <w:r>
              <w:rPr>
                <w:rFonts w:ascii="Arial" w:cs="Arial" w:eastAsia="Arial" w:hAnsi="Arial"/>
                <w:sz w:val="18"/>
                <w:szCs w:val="18"/>
                <w:b w:val="1"/>
                <w:bCs w:val="1"/>
                <w:color w:val="auto"/>
              </w:rPr>
              <w:t>Denominator:</w:t>
            </w:r>
          </w:p>
        </w:tc>
        <w:tc>
          <w:tcPr>
            <w:tcW w:w="2300" w:type="dxa"/>
            <w:vAlign w:val="bottom"/>
          </w:tcPr>
          <w:p>
            <w:pPr>
              <w:spacing w:after="0"/>
              <w:rPr>
                <w:sz w:val="21"/>
                <w:szCs w:val="21"/>
                <w:color w:val="auto"/>
              </w:rPr>
            </w:pPr>
          </w:p>
        </w:tc>
        <w:tc>
          <w:tcPr>
            <w:tcW w:w="1540" w:type="dxa"/>
            <w:vAlign w:val="bottom"/>
          </w:tcPr>
          <w:p>
            <w:pPr>
              <w:spacing w:after="0"/>
              <w:rPr>
                <w:sz w:val="21"/>
                <w:szCs w:val="21"/>
                <w:color w:val="auto"/>
              </w:rPr>
            </w:pPr>
          </w:p>
        </w:tc>
        <w:tc>
          <w:tcPr>
            <w:tcW w:w="1540" w:type="dxa"/>
            <w:vAlign w:val="bottom"/>
          </w:tcPr>
          <w:p>
            <w:pPr>
              <w:spacing w:after="0"/>
              <w:rPr>
                <w:sz w:val="21"/>
                <w:szCs w:val="21"/>
                <w:color w:val="auto"/>
              </w:rPr>
            </w:pPr>
          </w:p>
        </w:tc>
        <w:tc>
          <w:tcPr>
            <w:tcW w:w="1240" w:type="dxa"/>
            <w:vAlign w:val="bottom"/>
          </w:tcPr>
          <w:p>
            <w:pPr>
              <w:spacing w:after="0"/>
              <w:rPr>
                <w:sz w:val="21"/>
                <w:szCs w:val="21"/>
                <w:color w:val="auto"/>
              </w:rPr>
            </w:pPr>
          </w:p>
        </w:tc>
      </w:tr>
      <w:tr>
        <w:trPr>
          <w:trHeight w:val="27"/>
        </w:trPr>
        <w:tc>
          <w:tcPr>
            <w:tcW w:w="4800" w:type="dxa"/>
            <w:vAlign w:val="bottom"/>
          </w:tcPr>
          <w:p>
            <w:pPr>
              <w:spacing w:after="0"/>
              <w:rPr>
                <w:sz w:val="2"/>
                <w:szCs w:val="2"/>
                <w:color w:val="auto"/>
              </w:rPr>
            </w:pPr>
          </w:p>
        </w:tc>
        <w:tc>
          <w:tcPr>
            <w:tcW w:w="230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4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Weighted average shares outstanding, basic</w:t>
            </w:r>
          </w:p>
        </w:tc>
        <w:tc>
          <w:tcPr>
            <w:tcW w:w="2300" w:type="dxa"/>
            <w:vAlign w:val="bottom"/>
            <w:tcBorders>
              <w:bottom w:val="single" w:sz="8" w:color="CCEEFF"/>
            </w:tcBorders>
            <w:shd w:val="clear" w:color="auto" w:fill="CCEEFF"/>
          </w:tcPr>
          <w:p>
            <w:pPr>
              <w:jc w:val="right"/>
              <w:ind w:right="252"/>
              <w:spacing w:after="0"/>
              <w:rPr>
                <w:sz w:val="20"/>
                <w:szCs w:val="20"/>
                <w:color w:val="auto"/>
              </w:rPr>
            </w:pPr>
            <w:r>
              <w:rPr>
                <w:rFonts w:ascii="Arial" w:cs="Arial" w:eastAsia="Arial" w:hAnsi="Arial"/>
                <w:sz w:val="18"/>
                <w:szCs w:val="18"/>
                <w:b w:val="1"/>
                <w:bCs w:val="1"/>
                <w:color w:val="auto"/>
              </w:rPr>
              <w:t>45,729,624</w:t>
            </w:r>
          </w:p>
        </w:tc>
        <w:tc>
          <w:tcPr>
            <w:tcW w:w="1540" w:type="dxa"/>
            <w:vAlign w:val="bottom"/>
            <w:tcBorders>
              <w:bottom w:val="single" w:sz="8" w:color="CCEEFF"/>
            </w:tcBorders>
            <w:shd w:val="clear" w:color="auto" w:fill="CCEEFF"/>
          </w:tcPr>
          <w:p>
            <w:pPr>
              <w:jc w:val="right"/>
              <w:ind w:right="291"/>
              <w:spacing w:after="0"/>
              <w:rPr>
                <w:sz w:val="20"/>
                <w:szCs w:val="20"/>
                <w:color w:val="auto"/>
              </w:rPr>
            </w:pPr>
            <w:r>
              <w:rPr>
                <w:rFonts w:ascii="Arial" w:cs="Arial" w:eastAsia="Arial" w:hAnsi="Arial"/>
                <w:sz w:val="18"/>
                <w:szCs w:val="18"/>
                <w:color w:val="auto"/>
              </w:rPr>
              <w:t>45,729,624</w:t>
            </w:r>
          </w:p>
        </w:tc>
        <w:tc>
          <w:tcPr>
            <w:tcW w:w="1540" w:type="dxa"/>
            <w:vAlign w:val="bottom"/>
            <w:tcBorders>
              <w:bottom w:val="single" w:sz="8" w:color="CCEEFF"/>
            </w:tcBorders>
            <w:shd w:val="clear" w:color="auto" w:fill="CCEEFF"/>
          </w:tcPr>
          <w:p>
            <w:pPr>
              <w:jc w:val="right"/>
              <w:ind w:right="232"/>
              <w:spacing w:after="0"/>
              <w:rPr>
                <w:sz w:val="20"/>
                <w:szCs w:val="20"/>
                <w:color w:val="auto"/>
              </w:rPr>
            </w:pPr>
            <w:r>
              <w:rPr>
                <w:rFonts w:ascii="Arial" w:cs="Arial" w:eastAsia="Arial" w:hAnsi="Arial"/>
                <w:sz w:val="18"/>
                <w:szCs w:val="18"/>
                <w:b w:val="1"/>
                <w:bCs w:val="1"/>
                <w:color w:val="auto"/>
              </w:rPr>
              <w:t>45,729,624</w:t>
            </w:r>
          </w:p>
        </w:tc>
        <w:tc>
          <w:tcPr>
            <w:tcW w:w="12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45,729,624</w:t>
            </w:r>
          </w:p>
        </w:tc>
      </w:tr>
      <w:tr>
        <w:trPr>
          <w:trHeight w:val="243"/>
        </w:trPr>
        <w:tc>
          <w:tcPr>
            <w:tcW w:w="4800" w:type="dxa"/>
            <w:vAlign w:val="bottom"/>
          </w:tcPr>
          <w:p>
            <w:pPr>
              <w:ind w:left="40"/>
              <w:spacing w:after="0"/>
              <w:rPr>
                <w:sz w:val="20"/>
                <w:szCs w:val="20"/>
                <w:color w:val="auto"/>
              </w:rPr>
            </w:pPr>
            <w:r>
              <w:rPr>
                <w:rFonts w:ascii="Arial" w:cs="Arial" w:eastAsia="Arial" w:hAnsi="Arial"/>
                <w:sz w:val="18"/>
                <w:szCs w:val="18"/>
                <w:color w:val="auto"/>
              </w:rPr>
              <w:t>Dilutive effect of stock-based awards</w:t>
            </w:r>
          </w:p>
        </w:tc>
        <w:tc>
          <w:tcPr>
            <w:tcW w:w="2300" w:type="dxa"/>
            <w:vAlign w:val="bottom"/>
          </w:tcPr>
          <w:p>
            <w:pPr>
              <w:jc w:val="right"/>
              <w:ind w:right="252"/>
              <w:spacing w:after="0"/>
              <w:rPr>
                <w:sz w:val="20"/>
                <w:szCs w:val="20"/>
                <w:color w:val="auto"/>
              </w:rPr>
            </w:pPr>
            <w:r>
              <w:rPr>
                <w:rFonts w:ascii="Arial" w:cs="Arial" w:eastAsia="Arial" w:hAnsi="Arial"/>
                <w:sz w:val="18"/>
                <w:szCs w:val="18"/>
                <w:b w:val="1"/>
                <w:bCs w:val="1"/>
                <w:color w:val="auto"/>
              </w:rPr>
              <w:t>519,883</w:t>
            </w:r>
          </w:p>
        </w:tc>
        <w:tc>
          <w:tcPr>
            <w:tcW w:w="1540" w:type="dxa"/>
            <w:vAlign w:val="bottom"/>
          </w:tcPr>
          <w:p>
            <w:pPr>
              <w:jc w:val="right"/>
              <w:ind w:right="291"/>
              <w:spacing w:after="0"/>
              <w:rPr>
                <w:sz w:val="20"/>
                <w:szCs w:val="20"/>
                <w:color w:val="auto"/>
              </w:rPr>
            </w:pPr>
            <w:r>
              <w:rPr>
                <w:rFonts w:ascii="Arial" w:cs="Arial" w:eastAsia="Arial" w:hAnsi="Arial"/>
                <w:sz w:val="18"/>
                <w:szCs w:val="18"/>
                <w:color w:val="auto"/>
              </w:rPr>
              <w:t>519,883</w:t>
            </w:r>
          </w:p>
        </w:tc>
        <w:tc>
          <w:tcPr>
            <w:tcW w:w="1540" w:type="dxa"/>
            <w:vAlign w:val="bottom"/>
          </w:tcPr>
          <w:p>
            <w:pPr>
              <w:jc w:val="right"/>
              <w:ind w:right="232"/>
              <w:spacing w:after="0"/>
              <w:rPr>
                <w:sz w:val="20"/>
                <w:szCs w:val="20"/>
                <w:color w:val="auto"/>
              </w:rPr>
            </w:pPr>
            <w:r>
              <w:rPr>
                <w:rFonts w:ascii="Arial" w:cs="Arial" w:eastAsia="Arial" w:hAnsi="Arial"/>
                <w:sz w:val="18"/>
                <w:szCs w:val="18"/>
                <w:b w:val="1"/>
                <w:bCs w:val="1"/>
                <w:color w:val="auto"/>
              </w:rPr>
              <w:t>519,883</w:t>
            </w:r>
          </w:p>
        </w:tc>
        <w:tc>
          <w:tcPr>
            <w:tcW w:w="1240" w:type="dxa"/>
            <w:vAlign w:val="bottom"/>
          </w:tcPr>
          <w:p>
            <w:pPr>
              <w:jc w:val="right"/>
              <w:ind w:right="11"/>
              <w:spacing w:after="0"/>
              <w:rPr>
                <w:sz w:val="20"/>
                <w:szCs w:val="20"/>
                <w:color w:val="auto"/>
              </w:rPr>
            </w:pPr>
            <w:r>
              <w:rPr>
                <w:rFonts w:ascii="Arial" w:cs="Arial" w:eastAsia="Arial" w:hAnsi="Arial"/>
                <w:sz w:val="18"/>
                <w:szCs w:val="18"/>
                <w:color w:val="auto"/>
              </w:rPr>
              <w:t>519,883</w:t>
            </w:r>
          </w:p>
        </w:tc>
      </w:tr>
      <w:tr>
        <w:trPr>
          <w:trHeight w:val="27"/>
        </w:trPr>
        <w:tc>
          <w:tcPr>
            <w:tcW w:w="4800" w:type="dxa"/>
            <w:vAlign w:val="bottom"/>
            <w:tcBorders>
              <w:bottom w:val="single" w:sz="8" w:color="auto"/>
            </w:tcBorders>
          </w:tcPr>
          <w:p>
            <w:pPr>
              <w:spacing w:after="0"/>
              <w:rPr>
                <w:sz w:val="2"/>
                <w:szCs w:val="2"/>
                <w:color w:val="auto"/>
              </w:rPr>
            </w:pPr>
          </w:p>
        </w:tc>
        <w:tc>
          <w:tcPr>
            <w:tcW w:w="230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44"/>
        </w:trPr>
        <w:tc>
          <w:tcPr>
            <w:tcW w:w="4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Weighted average shares outstanding, diluted</w:t>
            </w:r>
          </w:p>
        </w:tc>
        <w:tc>
          <w:tcPr>
            <w:tcW w:w="2300" w:type="dxa"/>
            <w:vAlign w:val="bottom"/>
            <w:tcBorders>
              <w:bottom w:val="single" w:sz="8" w:color="CCEEFF"/>
            </w:tcBorders>
            <w:shd w:val="clear" w:color="auto" w:fill="CCEEFF"/>
          </w:tcPr>
          <w:p>
            <w:pPr>
              <w:jc w:val="right"/>
              <w:ind w:right="252"/>
              <w:spacing w:after="0"/>
              <w:rPr>
                <w:sz w:val="20"/>
                <w:szCs w:val="20"/>
                <w:color w:val="auto"/>
              </w:rPr>
            </w:pPr>
            <w:r>
              <w:rPr>
                <w:rFonts w:ascii="Arial" w:cs="Arial" w:eastAsia="Arial" w:hAnsi="Arial"/>
                <w:sz w:val="18"/>
                <w:szCs w:val="18"/>
                <w:b w:val="1"/>
                <w:bCs w:val="1"/>
                <w:color w:val="auto"/>
              </w:rPr>
              <w:t>46,249,507</w:t>
            </w:r>
          </w:p>
        </w:tc>
        <w:tc>
          <w:tcPr>
            <w:tcW w:w="1540" w:type="dxa"/>
            <w:vAlign w:val="bottom"/>
            <w:tcBorders>
              <w:bottom w:val="single" w:sz="8" w:color="CCEEFF"/>
            </w:tcBorders>
            <w:shd w:val="clear" w:color="auto" w:fill="CCEEFF"/>
          </w:tcPr>
          <w:p>
            <w:pPr>
              <w:jc w:val="right"/>
              <w:ind w:right="291"/>
              <w:spacing w:after="0"/>
              <w:rPr>
                <w:sz w:val="20"/>
                <w:szCs w:val="20"/>
                <w:color w:val="auto"/>
              </w:rPr>
            </w:pPr>
            <w:r>
              <w:rPr>
                <w:rFonts w:ascii="Arial" w:cs="Arial" w:eastAsia="Arial" w:hAnsi="Arial"/>
                <w:sz w:val="18"/>
                <w:szCs w:val="18"/>
                <w:color w:val="auto"/>
              </w:rPr>
              <w:t>46,249,507</w:t>
            </w:r>
          </w:p>
        </w:tc>
        <w:tc>
          <w:tcPr>
            <w:tcW w:w="1540" w:type="dxa"/>
            <w:vAlign w:val="bottom"/>
            <w:tcBorders>
              <w:bottom w:val="single" w:sz="8" w:color="CCEEFF"/>
            </w:tcBorders>
            <w:shd w:val="clear" w:color="auto" w:fill="CCEEFF"/>
          </w:tcPr>
          <w:p>
            <w:pPr>
              <w:jc w:val="right"/>
              <w:ind w:right="232"/>
              <w:spacing w:after="0"/>
              <w:rPr>
                <w:sz w:val="20"/>
                <w:szCs w:val="20"/>
                <w:color w:val="auto"/>
              </w:rPr>
            </w:pPr>
            <w:r>
              <w:rPr>
                <w:rFonts w:ascii="Arial" w:cs="Arial" w:eastAsia="Arial" w:hAnsi="Arial"/>
                <w:sz w:val="18"/>
                <w:szCs w:val="18"/>
                <w:b w:val="1"/>
                <w:bCs w:val="1"/>
                <w:color w:val="auto"/>
              </w:rPr>
              <w:t>46,249,507</w:t>
            </w:r>
          </w:p>
        </w:tc>
        <w:tc>
          <w:tcPr>
            <w:tcW w:w="12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46,249,507</w:t>
            </w:r>
          </w:p>
        </w:tc>
      </w:tr>
      <w:tr>
        <w:trPr>
          <w:trHeight w:val="324"/>
        </w:trPr>
        <w:tc>
          <w:tcPr>
            <w:tcW w:w="48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r>
      <w:tr>
        <w:trPr>
          <w:trHeight w:val="269"/>
        </w:trPr>
        <w:tc>
          <w:tcPr>
            <w:tcW w:w="4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Basic earnings per share</w:t>
            </w:r>
          </w:p>
        </w:tc>
        <w:tc>
          <w:tcPr>
            <w:tcW w:w="2300" w:type="dxa"/>
            <w:vAlign w:val="bottom"/>
            <w:tcBorders>
              <w:bottom w:val="single" w:sz="8" w:color="CCEEFF"/>
            </w:tcBorders>
            <w:shd w:val="clear" w:color="auto" w:fill="CCEEFF"/>
          </w:tcPr>
          <w:p>
            <w:pPr>
              <w:jc w:val="right"/>
              <w:ind w:right="252"/>
              <w:spacing w:after="0"/>
              <w:rPr>
                <w:sz w:val="20"/>
                <w:szCs w:val="20"/>
                <w:color w:val="auto"/>
              </w:rPr>
            </w:pPr>
            <w:r>
              <w:rPr>
                <w:rFonts w:ascii="Arial" w:cs="Arial" w:eastAsia="Arial" w:hAnsi="Arial"/>
                <w:sz w:val="18"/>
                <w:szCs w:val="18"/>
                <w:b w:val="1"/>
                <w:bCs w:val="1"/>
                <w:color w:val="auto"/>
              </w:rPr>
              <w:t>$0.63</w:t>
            </w:r>
          </w:p>
        </w:tc>
        <w:tc>
          <w:tcPr>
            <w:tcW w:w="1540" w:type="dxa"/>
            <w:vAlign w:val="bottom"/>
            <w:tcBorders>
              <w:bottom w:val="single" w:sz="8" w:color="CCEEFF"/>
            </w:tcBorders>
            <w:shd w:val="clear" w:color="auto" w:fill="CCEEFF"/>
          </w:tcPr>
          <w:p>
            <w:pPr>
              <w:jc w:val="right"/>
              <w:ind w:right="291"/>
              <w:spacing w:after="0"/>
              <w:rPr>
                <w:sz w:val="20"/>
                <w:szCs w:val="20"/>
                <w:color w:val="auto"/>
              </w:rPr>
            </w:pPr>
            <w:r>
              <w:rPr>
                <w:rFonts w:ascii="Arial" w:cs="Arial" w:eastAsia="Arial" w:hAnsi="Arial"/>
                <w:sz w:val="18"/>
                <w:szCs w:val="18"/>
                <w:color w:val="auto"/>
              </w:rPr>
              <w:t>$0.55</w:t>
            </w:r>
          </w:p>
        </w:tc>
        <w:tc>
          <w:tcPr>
            <w:tcW w:w="1540" w:type="dxa"/>
            <w:vAlign w:val="bottom"/>
            <w:tcBorders>
              <w:bottom w:val="single" w:sz="8" w:color="CCEEFF"/>
            </w:tcBorders>
            <w:shd w:val="clear" w:color="auto" w:fill="CCEEFF"/>
          </w:tcPr>
          <w:p>
            <w:pPr>
              <w:jc w:val="right"/>
              <w:ind w:right="232"/>
              <w:spacing w:after="0"/>
              <w:rPr>
                <w:sz w:val="20"/>
                <w:szCs w:val="20"/>
                <w:color w:val="auto"/>
              </w:rPr>
            </w:pPr>
            <w:r>
              <w:rPr>
                <w:rFonts w:ascii="Arial" w:cs="Arial" w:eastAsia="Arial" w:hAnsi="Arial"/>
                <w:sz w:val="18"/>
                <w:szCs w:val="18"/>
                <w:b w:val="1"/>
                <w:bCs w:val="1"/>
                <w:color w:val="auto"/>
              </w:rPr>
              <w:t>$1.36</w:t>
            </w:r>
          </w:p>
        </w:tc>
        <w:tc>
          <w:tcPr>
            <w:tcW w:w="12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$1.01</w:t>
            </w:r>
          </w:p>
        </w:tc>
      </w:tr>
      <w:tr>
        <w:trPr>
          <w:trHeight w:val="237"/>
        </w:trPr>
        <w:tc>
          <w:tcPr>
            <w:tcW w:w="4800" w:type="dxa"/>
            <w:vAlign w:val="bottom"/>
            <w:tcBorders>
              <w:top w:val="single" w:sz="8" w:color="auto"/>
            </w:tcBorders>
          </w:tcPr>
          <w:p>
            <w:pPr>
              <w:ind w:left="40"/>
              <w:spacing w:after="0"/>
              <w:rPr>
                <w:sz w:val="20"/>
                <w:szCs w:val="20"/>
                <w:color w:val="auto"/>
              </w:rPr>
            </w:pPr>
            <w:r>
              <w:rPr>
                <w:rFonts w:ascii="Arial" w:cs="Arial" w:eastAsia="Arial" w:hAnsi="Arial"/>
                <w:sz w:val="18"/>
                <w:szCs w:val="18"/>
                <w:b w:val="1"/>
                <w:bCs w:val="1"/>
                <w:color w:val="auto"/>
              </w:rPr>
              <w:t>Diluted earnings per share</w:t>
            </w:r>
          </w:p>
        </w:tc>
        <w:tc>
          <w:tcPr>
            <w:tcW w:w="2300" w:type="dxa"/>
            <w:vAlign w:val="bottom"/>
            <w:tcBorders>
              <w:top w:val="single" w:sz="8" w:color="auto"/>
            </w:tcBorders>
          </w:tcPr>
          <w:p>
            <w:pPr>
              <w:jc w:val="right"/>
              <w:ind w:right="252"/>
              <w:spacing w:after="0"/>
              <w:rPr>
                <w:sz w:val="20"/>
                <w:szCs w:val="20"/>
                <w:color w:val="auto"/>
              </w:rPr>
            </w:pPr>
            <w:r>
              <w:rPr>
                <w:rFonts w:ascii="Arial" w:cs="Arial" w:eastAsia="Arial" w:hAnsi="Arial"/>
                <w:sz w:val="18"/>
                <w:szCs w:val="18"/>
                <w:b w:val="1"/>
                <w:bCs w:val="1"/>
                <w:color w:val="auto"/>
              </w:rPr>
              <w:t>$0.62</w:t>
            </w:r>
          </w:p>
        </w:tc>
        <w:tc>
          <w:tcPr>
            <w:tcW w:w="1540" w:type="dxa"/>
            <w:vAlign w:val="bottom"/>
            <w:tcBorders>
              <w:top w:val="single" w:sz="8" w:color="auto"/>
            </w:tcBorders>
          </w:tcPr>
          <w:p>
            <w:pPr>
              <w:jc w:val="right"/>
              <w:ind w:right="291"/>
              <w:spacing w:after="0"/>
              <w:rPr>
                <w:sz w:val="20"/>
                <w:szCs w:val="20"/>
                <w:color w:val="auto"/>
              </w:rPr>
            </w:pPr>
            <w:r>
              <w:rPr>
                <w:rFonts w:ascii="Arial" w:cs="Arial" w:eastAsia="Arial" w:hAnsi="Arial"/>
                <w:sz w:val="18"/>
                <w:szCs w:val="18"/>
                <w:color w:val="auto"/>
              </w:rPr>
              <w:t>$0.55</w:t>
            </w:r>
          </w:p>
        </w:tc>
        <w:tc>
          <w:tcPr>
            <w:tcW w:w="1540" w:type="dxa"/>
            <w:vAlign w:val="bottom"/>
            <w:tcBorders>
              <w:top w:val="single" w:sz="8" w:color="auto"/>
            </w:tcBorders>
          </w:tcPr>
          <w:p>
            <w:pPr>
              <w:jc w:val="right"/>
              <w:ind w:right="232"/>
              <w:spacing w:after="0"/>
              <w:rPr>
                <w:sz w:val="20"/>
                <w:szCs w:val="20"/>
                <w:color w:val="auto"/>
              </w:rPr>
            </w:pPr>
            <w:r>
              <w:rPr>
                <w:rFonts w:ascii="Arial" w:cs="Arial" w:eastAsia="Arial" w:hAnsi="Arial"/>
                <w:sz w:val="18"/>
                <w:szCs w:val="18"/>
                <w:b w:val="1"/>
                <w:bCs w:val="1"/>
                <w:color w:val="auto"/>
              </w:rPr>
              <w:t>$1.35</w:t>
            </w:r>
          </w:p>
        </w:tc>
        <w:tc>
          <w:tcPr>
            <w:tcW w:w="12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$1.00</w:t>
            </w:r>
          </w:p>
        </w:tc>
      </w:tr>
      <w:tr>
        <w:trPr>
          <w:trHeight w:val="27"/>
        </w:trPr>
        <w:tc>
          <w:tcPr>
            <w:tcW w:w="4800" w:type="dxa"/>
            <w:vAlign w:val="bottom"/>
            <w:tcBorders>
              <w:bottom w:val="single" w:sz="8" w:color="auto"/>
            </w:tcBorders>
          </w:tcPr>
          <w:p>
            <w:pPr>
              <w:spacing w:after="0"/>
              <w:rPr>
                <w:sz w:val="2"/>
                <w:szCs w:val="2"/>
                <w:color w:val="auto"/>
              </w:rPr>
            </w:pPr>
          </w:p>
        </w:tc>
        <w:tc>
          <w:tcPr>
            <w:tcW w:w="230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bl>
    <w:p>
      <w:pPr>
        <w:spacing w:after="0" w:line="360"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11 - Stock-Based Compensation</w:t>
      </w:r>
    </w:p>
    <w:p>
      <w:pPr>
        <w:spacing w:after="0" w:line="19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Description of the Plan</w:t>
      </w:r>
    </w:p>
    <w:p>
      <w:pPr>
        <w:spacing w:after="0" w:line="117"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Prior to the spinoff, employees of TimkenSteel were eligible to participate in The Timken Company Long-Term Incentive Plan (Timken LTIP Plan) and The Timken Company 2011 Long-Term Incentive Plan (Timken 2011 Plan) and received options to purchase Timken common shares. Effective June 30, 2014, TimkenSteel employees are eligible to participate in the TimkenSteel Corporation 2014 Equity and Incentive Compensation Plan (TimkenSteel 2014 Plan).</w:t>
      </w:r>
    </w:p>
    <w:p>
      <w:pPr>
        <w:spacing w:after="0" w:line="146"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The TimkenSteel 2014 Plan authorizes the Compensation Committee of the TimkenSteel Board of Directors to grant non-qualified or incentive stock options, stock appreciation rights, stock awards (including restricted stock and restricted stock unit awards), cash awards, and performance awards to TimkenSteel employees and non-employee directors. No more than 6.75 million TimkenSteel common shares may be delivered under the TimkenSteel 2014 Plan and no more than approximately 2.7 million common shares can be issued in settlement of restricted stock units awards from the 6.75 million common shares initially authorized. The TimkenSteel 2014 Plan authorizes the grant of up to 3.0 million “replacement awards” to current holders of Timken equity awards under Timken’s equity compensation plans.</w:t>
      </w:r>
    </w:p>
    <w:p>
      <w:pPr>
        <w:sectPr>
          <w:pgSz w:w="11900" w:h="16838" w:orient="portrait"/>
          <w:cols w:equalWidth="0" w:num="1">
            <w:col w:w="11420"/>
          </w:cols>
          <w:pgMar w:left="240" w:top="584" w:right="239" w:bottom="1440" w:gutter="0" w:footer="0" w:header="0"/>
        </w:sectPr>
      </w:pP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14</w:t>
      </w:r>
    </w:p>
    <w:p>
      <w:pPr>
        <w:sectPr>
          <w:pgSz w:w="11900" w:h="16838" w:orient="portrait"/>
          <w:cols w:equalWidth="0" w:num="1">
            <w:col w:w="11420"/>
          </w:cols>
          <w:pgMar w:left="240" w:top="584" w:right="239" w:bottom="1440" w:gutter="0" w:footer="0" w:header="0"/>
          <w:type w:val="continuous"/>
        </w:sectPr>
      </w:pPr>
    </w:p>
    <w:bookmarkStart w:id="16" w:name="page17"/>
    <w:bookmarkEnd w:id="16"/>
    <w:p>
      <w:pPr>
        <w:ind w:right="20" w:firstLine="648"/>
        <w:spacing w:after="0" w:line="277" w:lineRule="auto"/>
        <w:rPr>
          <w:sz w:val="20"/>
          <w:szCs w:val="20"/>
          <w:color w:val="auto"/>
        </w:rPr>
      </w:pPr>
      <w:r>
        <w:rPr>
          <w:rFonts w:ascii="Arial" w:cs="Arial" w:eastAsia="Arial" w:hAnsi="Arial"/>
          <w:sz w:val="18"/>
          <w:szCs w:val="18"/>
          <w:color w:val="auto"/>
        </w:rPr>
        <w:t>In connection with the spinoff, stock compensation awards granted under the Timken LTIP Plan and the Timken 2011 Plan were adjusted or substituted as follows:</w:t>
      </w:r>
    </w:p>
    <w:p>
      <w:pPr>
        <w:spacing w:after="0" w:line="130" w:lineRule="exact"/>
        <w:rPr>
          <w:sz w:val="20"/>
          <w:szCs w:val="20"/>
          <w:color w:val="auto"/>
        </w:rPr>
      </w:pPr>
    </w:p>
    <w:p>
      <w:pPr>
        <w:ind w:left="660" w:right="20" w:hanging="328"/>
        <w:spacing w:after="0" w:line="277"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Vested and unvested stock options were adjusted and substituted so that the grantee holds options to purchase both Timken and TimkenSteel common shares.</w:t>
      </w:r>
    </w:p>
    <w:p>
      <w:pPr>
        <w:spacing w:after="0" w:line="8" w:lineRule="exact"/>
        <w:rPr>
          <w:rFonts w:ascii="Arial" w:cs="Arial" w:eastAsia="Arial" w:hAnsi="Arial"/>
          <w:sz w:val="18"/>
          <w:szCs w:val="18"/>
          <w:color w:val="auto"/>
        </w:rPr>
      </w:pPr>
    </w:p>
    <w:p>
      <w:pPr>
        <w:ind w:left="660" w:right="20" w:hanging="328"/>
        <w:spacing w:after="0" w:line="277"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adjustment to the Timken and TimkenSteel stock options, when combined, were intended to generally preserve the intrinsic value of each original option grant and the ratio of the exercise price to the fair market value of Timken common shares on June 30, 2014.</w:t>
      </w:r>
    </w:p>
    <w:p>
      <w:pPr>
        <w:spacing w:after="0" w:line="8" w:lineRule="exact"/>
        <w:rPr>
          <w:rFonts w:ascii="Arial" w:cs="Arial" w:eastAsia="Arial" w:hAnsi="Arial"/>
          <w:sz w:val="18"/>
          <w:szCs w:val="18"/>
          <w:color w:val="auto"/>
        </w:rPr>
      </w:pPr>
    </w:p>
    <w:p>
      <w:pPr>
        <w:jc w:val="both"/>
        <w:ind w:left="660" w:hanging="328"/>
        <w:spacing w:after="0" w:line="264"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Unvested restricted stock awards were replaced with adjusted, substitute awards for restricted shares or units, as applicable, of Timken and TimkenSteel common shares. The new awards of restricted stock were intended to generally preserve the intrinsic value of the original award determined as of June 30, 2014.</w:t>
      </w:r>
    </w:p>
    <w:p>
      <w:pPr>
        <w:spacing w:after="0" w:line="1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Vesting periods of awards were unaffected by the adjustment and substitution.</w:t>
      </w:r>
    </w:p>
    <w:p>
      <w:pPr>
        <w:spacing w:after="0" w:line="22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Awards granted in connection with the adjustment and substitution of awards originally issued under the Timken LTIP Plan and the Timken 2011 Plan are a part of the TimkenSteel 2014 Plan and reduce the maximum number of TimkenSteel common shares available for delivery under the TimkenSteel 2014 Plan. TimkenSteel will record compensation expense for both TimkenSteel and Timken common shares for awards held by TimkenSteel employees only.</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Outstanding Awards</w:t>
      </w:r>
    </w:p>
    <w:p>
      <w:pPr>
        <w:spacing w:after="0" w:line="117"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Awards outstanding under the TimkenSteel 2014 Plan as a result of the adjustment and substitution of the Timken LTIP Plan and the Timken 2011</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Plan awards were as follows:</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3780" w:type="dxa"/>
            <w:vAlign w:val="bottom"/>
          </w:tcPr>
          <w:p>
            <w:pPr>
              <w:spacing w:after="0"/>
              <w:rPr>
                <w:sz w:val="18"/>
                <w:szCs w:val="18"/>
                <w:color w:val="auto"/>
              </w:rPr>
            </w:pPr>
          </w:p>
        </w:tc>
        <w:tc>
          <w:tcPr>
            <w:tcW w:w="4440" w:type="dxa"/>
            <w:vAlign w:val="bottom"/>
            <w:gridSpan w:val="2"/>
          </w:tcPr>
          <w:p>
            <w:pPr>
              <w:jc w:val="right"/>
              <w:ind w:right="1096"/>
              <w:spacing w:after="0"/>
              <w:rPr>
                <w:sz w:val="20"/>
                <w:szCs w:val="20"/>
                <w:color w:val="auto"/>
              </w:rPr>
            </w:pPr>
            <w:r>
              <w:rPr>
                <w:rFonts w:ascii="Arial" w:cs="Arial" w:eastAsia="Arial" w:hAnsi="Arial"/>
                <w:sz w:val="16"/>
                <w:szCs w:val="16"/>
                <w:b w:val="1"/>
                <w:bCs w:val="1"/>
                <w:color w:val="auto"/>
              </w:rPr>
              <w:t>Stock Options</w:t>
            </w:r>
          </w:p>
        </w:tc>
        <w:tc>
          <w:tcPr>
            <w:tcW w:w="3200" w:type="dxa"/>
            <w:vAlign w:val="bottom"/>
            <w:gridSpan w:val="2"/>
          </w:tcPr>
          <w:p>
            <w:pPr>
              <w:jc w:val="right"/>
              <w:ind w:right="877"/>
              <w:spacing w:after="0"/>
              <w:rPr>
                <w:sz w:val="20"/>
                <w:szCs w:val="20"/>
                <w:color w:val="auto"/>
              </w:rPr>
            </w:pPr>
            <w:r>
              <w:rPr>
                <w:rFonts w:ascii="Arial" w:cs="Arial" w:eastAsia="Arial" w:hAnsi="Arial"/>
                <w:sz w:val="16"/>
                <w:szCs w:val="16"/>
                <w:b w:val="1"/>
                <w:bCs w:val="1"/>
                <w:color w:val="auto"/>
              </w:rPr>
              <w:t>Restricted Shares</w:t>
            </w:r>
          </w:p>
        </w:tc>
      </w:tr>
      <w:tr>
        <w:trPr>
          <w:trHeight w:val="33"/>
        </w:trPr>
        <w:tc>
          <w:tcPr>
            <w:tcW w:w="3780" w:type="dxa"/>
            <w:vAlign w:val="bottom"/>
            <w:tcBorders>
              <w:bottom w:val="single" w:sz="8" w:color="auto"/>
            </w:tcBorders>
          </w:tcPr>
          <w:p>
            <w:pPr>
              <w:spacing w:after="0"/>
              <w:rPr>
                <w:sz w:val="2"/>
                <w:szCs w:val="2"/>
                <w:color w:val="auto"/>
              </w:rPr>
            </w:pPr>
          </w:p>
        </w:tc>
        <w:tc>
          <w:tcPr>
            <w:tcW w:w="278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09"/>
        </w:trPr>
        <w:tc>
          <w:tcPr>
            <w:tcW w:w="3780" w:type="dxa"/>
            <w:vAlign w:val="bottom"/>
          </w:tcPr>
          <w:p>
            <w:pPr>
              <w:spacing w:after="0"/>
              <w:rPr>
                <w:sz w:val="18"/>
                <w:szCs w:val="18"/>
                <w:color w:val="auto"/>
              </w:rPr>
            </w:pPr>
          </w:p>
        </w:tc>
        <w:tc>
          <w:tcPr>
            <w:tcW w:w="27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560" w:type="dxa"/>
            <w:vAlign w:val="bottom"/>
          </w:tcPr>
          <w:p>
            <w:pPr>
              <w:jc w:val="center"/>
              <w:spacing w:after="0"/>
              <w:rPr>
                <w:sz w:val="20"/>
                <w:szCs w:val="20"/>
                <w:color w:val="auto"/>
              </w:rPr>
            </w:pPr>
            <w:r>
              <w:rPr>
                <w:rFonts w:ascii="Arial" w:cs="Arial" w:eastAsia="Arial" w:hAnsi="Arial"/>
                <w:sz w:val="16"/>
                <w:szCs w:val="16"/>
                <w:b w:val="1"/>
                <w:bCs w:val="1"/>
                <w:color w:val="auto"/>
                <w:w w:val="90"/>
              </w:rPr>
              <w:t>Weighted Average</w:t>
            </w:r>
          </w:p>
        </w:tc>
      </w:tr>
      <w:tr>
        <w:trPr>
          <w:trHeight w:val="203"/>
        </w:trPr>
        <w:tc>
          <w:tcPr>
            <w:tcW w:w="3780" w:type="dxa"/>
            <w:vAlign w:val="bottom"/>
          </w:tcPr>
          <w:p>
            <w:pPr>
              <w:spacing w:after="0"/>
              <w:rPr>
                <w:sz w:val="17"/>
                <w:szCs w:val="17"/>
                <w:color w:val="auto"/>
              </w:rPr>
            </w:pPr>
          </w:p>
        </w:tc>
        <w:tc>
          <w:tcPr>
            <w:tcW w:w="2780" w:type="dxa"/>
            <w:vAlign w:val="bottom"/>
          </w:tcPr>
          <w:p>
            <w:pPr>
              <w:spacing w:after="0"/>
              <w:rPr>
                <w:sz w:val="17"/>
                <w:szCs w:val="17"/>
                <w:color w:val="auto"/>
              </w:rPr>
            </w:pPr>
          </w:p>
        </w:tc>
        <w:tc>
          <w:tcPr>
            <w:tcW w:w="1660" w:type="dxa"/>
            <w:vAlign w:val="bottom"/>
          </w:tcPr>
          <w:p>
            <w:pPr>
              <w:jc w:val="center"/>
              <w:spacing w:after="0"/>
              <w:rPr>
                <w:sz w:val="20"/>
                <w:szCs w:val="20"/>
                <w:color w:val="auto"/>
              </w:rPr>
            </w:pPr>
            <w:r>
              <w:rPr>
                <w:rFonts w:ascii="Arial" w:cs="Arial" w:eastAsia="Arial" w:hAnsi="Arial"/>
                <w:sz w:val="16"/>
                <w:szCs w:val="16"/>
                <w:b w:val="1"/>
                <w:bCs w:val="1"/>
                <w:color w:val="auto"/>
                <w:w w:val="90"/>
              </w:rPr>
              <w:t>Weighted Average</w:t>
            </w:r>
          </w:p>
        </w:tc>
        <w:tc>
          <w:tcPr>
            <w:tcW w:w="1640" w:type="dxa"/>
            <w:vAlign w:val="bottom"/>
          </w:tcPr>
          <w:p>
            <w:pPr>
              <w:spacing w:after="0"/>
              <w:rPr>
                <w:sz w:val="17"/>
                <w:szCs w:val="17"/>
                <w:color w:val="auto"/>
              </w:rPr>
            </w:pPr>
          </w:p>
        </w:tc>
        <w:tc>
          <w:tcPr>
            <w:tcW w:w="1560" w:type="dxa"/>
            <w:vAlign w:val="bottom"/>
          </w:tcPr>
          <w:p>
            <w:pPr>
              <w:jc w:val="center"/>
              <w:spacing w:after="0"/>
              <w:rPr>
                <w:sz w:val="20"/>
                <w:szCs w:val="20"/>
                <w:color w:val="auto"/>
              </w:rPr>
            </w:pPr>
            <w:r>
              <w:rPr>
                <w:rFonts w:ascii="Arial" w:cs="Arial" w:eastAsia="Arial" w:hAnsi="Arial"/>
                <w:sz w:val="16"/>
                <w:szCs w:val="16"/>
                <w:b w:val="1"/>
                <w:bCs w:val="1"/>
                <w:color w:val="auto"/>
                <w:w w:val="98"/>
              </w:rPr>
              <w:t>Grant Date Fair</w:t>
            </w:r>
          </w:p>
        </w:tc>
      </w:tr>
      <w:tr>
        <w:trPr>
          <w:trHeight w:val="210"/>
        </w:trPr>
        <w:tc>
          <w:tcPr>
            <w:tcW w:w="3780" w:type="dxa"/>
            <w:vAlign w:val="bottom"/>
          </w:tcPr>
          <w:p>
            <w:pPr>
              <w:spacing w:after="0"/>
              <w:rPr>
                <w:sz w:val="18"/>
                <w:szCs w:val="18"/>
                <w:color w:val="auto"/>
              </w:rPr>
            </w:pPr>
          </w:p>
        </w:tc>
        <w:tc>
          <w:tcPr>
            <w:tcW w:w="2780" w:type="dxa"/>
            <w:vAlign w:val="bottom"/>
          </w:tcPr>
          <w:p>
            <w:pPr>
              <w:jc w:val="right"/>
              <w:ind w:right="116"/>
              <w:spacing w:after="0"/>
              <w:rPr>
                <w:sz w:val="20"/>
                <w:szCs w:val="20"/>
                <w:color w:val="auto"/>
              </w:rPr>
            </w:pPr>
            <w:r>
              <w:rPr>
                <w:rFonts w:ascii="Arial" w:cs="Arial" w:eastAsia="Arial" w:hAnsi="Arial"/>
                <w:sz w:val="16"/>
                <w:szCs w:val="16"/>
                <w:b w:val="1"/>
                <w:bCs w:val="1"/>
                <w:color w:val="auto"/>
              </w:rPr>
              <w:t>Number of Shares</w:t>
            </w:r>
          </w:p>
        </w:tc>
        <w:tc>
          <w:tcPr>
            <w:tcW w:w="1660" w:type="dxa"/>
            <w:vAlign w:val="bottom"/>
          </w:tcPr>
          <w:p>
            <w:pPr>
              <w:jc w:val="center"/>
              <w:spacing w:after="0"/>
              <w:rPr>
                <w:sz w:val="20"/>
                <w:szCs w:val="20"/>
                <w:color w:val="auto"/>
              </w:rPr>
            </w:pPr>
            <w:r>
              <w:rPr>
                <w:rFonts w:ascii="Arial" w:cs="Arial" w:eastAsia="Arial" w:hAnsi="Arial"/>
                <w:sz w:val="16"/>
                <w:szCs w:val="16"/>
                <w:b w:val="1"/>
                <w:bCs w:val="1"/>
                <w:color w:val="auto"/>
                <w:w w:val="89"/>
              </w:rPr>
              <w:t>Exercise Price</w:t>
            </w:r>
          </w:p>
        </w:tc>
        <w:tc>
          <w:tcPr>
            <w:tcW w:w="1640" w:type="dxa"/>
            <w:vAlign w:val="bottom"/>
          </w:tcPr>
          <w:p>
            <w:pPr>
              <w:jc w:val="right"/>
              <w:ind w:right="96"/>
              <w:spacing w:after="0"/>
              <w:rPr>
                <w:sz w:val="20"/>
                <w:szCs w:val="20"/>
                <w:color w:val="auto"/>
              </w:rPr>
            </w:pPr>
            <w:r>
              <w:rPr>
                <w:rFonts w:ascii="Arial" w:cs="Arial" w:eastAsia="Arial" w:hAnsi="Arial"/>
                <w:sz w:val="16"/>
                <w:szCs w:val="16"/>
                <w:b w:val="1"/>
                <w:bCs w:val="1"/>
                <w:color w:val="auto"/>
              </w:rPr>
              <w:t>Number of Shares</w:t>
            </w:r>
          </w:p>
        </w:tc>
        <w:tc>
          <w:tcPr>
            <w:tcW w:w="1560" w:type="dxa"/>
            <w:vAlign w:val="bottom"/>
          </w:tcPr>
          <w:p>
            <w:pPr>
              <w:jc w:val="center"/>
              <w:spacing w:after="0"/>
              <w:rPr>
                <w:sz w:val="20"/>
                <w:szCs w:val="20"/>
                <w:color w:val="auto"/>
              </w:rPr>
            </w:pPr>
            <w:r>
              <w:rPr>
                <w:rFonts w:ascii="Arial" w:cs="Arial" w:eastAsia="Arial" w:hAnsi="Arial"/>
                <w:sz w:val="16"/>
                <w:szCs w:val="16"/>
                <w:b w:val="1"/>
                <w:bCs w:val="1"/>
                <w:color w:val="auto"/>
                <w:w w:val="88"/>
              </w:rPr>
              <w:t>Value</w:t>
            </w:r>
          </w:p>
        </w:tc>
      </w:tr>
      <w:tr>
        <w:trPr>
          <w:trHeight w:val="33"/>
        </w:trPr>
        <w:tc>
          <w:tcPr>
            <w:tcW w:w="3780" w:type="dxa"/>
            <w:vAlign w:val="bottom"/>
            <w:tcBorders>
              <w:bottom w:val="single" w:sz="8" w:color="auto"/>
            </w:tcBorders>
          </w:tcPr>
          <w:p>
            <w:pPr>
              <w:spacing w:after="0"/>
              <w:rPr>
                <w:sz w:val="2"/>
                <w:szCs w:val="2"/>
                <w:color w:val="auto"/>
              </w:rPr>
            </w:pPr>
          </w:p>
        </w:tc>
        <w:tc>
          <w:tcPr>
            <w:tcW w:w="278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44"/>
        </w:trPr>
        <w:tc>
          <w:tcPr>
            <w:tcW w:w="3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Outstanding as of June 30, 2014*</w:t>
            </w:r>
          </w:p>
        </w:tc>
        <w:tc>
          <w:tcPr>
            <w:tcW w:w="278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8"/>
                <w:szCs w:val="18"/>
                <w:color w:val="auto"/>
              </w:rPr>
              <w:t>1,859,312</w:t>
            </w:r>
          </w:p>
        </w:tc>
        <w:tc>
          <w:tcPr>
            <w:tcW w:w="1660" w:type="dxa"/>
            <w:vAlign w:val="bottom"/>
            <w:tcBorders>
              <w:bottom w:val="single" w:sz="8" w:color="CCEEFF"/>
            </w:tcBorders>
            <w:shd w:val="clear" w:color="auto" w:fill="CCEEFF"/>
          </w:tcPr>
          <w:p>
            <w:pPr>
              <w:jc w:val="right"/>
              <w:ind w:right="96"/>
              <w:spacing w:after="0"/>
              <w:rPr>
                <w:sz w:val="20"/>
                <w:szCs w:val="20"/>
                <w:color w:val="auto"/>
              </w:rPr>
            </w:pPr>
            <w:r>
              <w:rPr>
                <w:rFonts w:ascii="Arial" w:cs="Arial" w:eastAsia="Arial" w:hAnsi="Arial"/>
                <w:sz w:val="18"/>
                <w:szCs w:val="18"/>
                <w:color w:val="auto"/>
              </w:rPr>
              <w:t>$26.31</w:t>
            </w:r>
          </w:p>
        </w:tc>
        <w:tc>
          <w:tcPr>
            <w:tcW w:w="164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342,080</w:t>
            </w:r>
          </w:p>
        </w:tc>
        <w:tc>
          <w:tcPr>
            <w:tcW w:w="156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$31.94</w:t>
            </w:r>
          </w:p>
        </w:tc>
      </w:tr>
      <w:tr>
        <w:trPr>
          <w:trHeight w:val="20"/>
        </w:trPr>
        <w:tc>
          <w:tcPr>
            <w:tcW w:w="3780" w:type="dxa"/>
            <w:vAlign w:val="bottom"/>
            <w:shd w:val="clear" w:color="auto" w:fill="000000"/>
          </w:tcPr>
          <w:p>
            <w:pPr>
              <w:spacing w:after="0" w:line="20" w:lineRule="exact"/>
              <w:rPr>
                <w:sz w:val="1"/>
                <w:szCs w:val="1"/>
                <w:color w:val="auto"/>
              </w:rPr>
            </w:pPr>
          </w:p>
        </w:tc>
        <w:tc>
          <w:tcPr>
            <w:tcW w:w="2780" w:type="dxa"/>
            <w:vAlign w:val="bottom"/>
            <w:shd w:val="clear" w:color="auto" w:fill="000000"/>
          </w:tcPr>
          <w:p>
            <w:pPr>
              <w:spacing w:after="0" w:line="20" w:lineRule="exact"/>
              <w:rPr>
                <w:sz w:val="1"/>
                <w:szCs w:val="1"/>
                <w:color w:val="auto"/>
              </w:rPr>
            </w:pPr>
          </w:p>
        </w:tc>
        <w:tc>
          <w:tcPr>
            <w:tcW w:w="1660" w:type="dxa"/>
            <w:vAlign w:val="bottom"/>
            <w:shd w:val="clear" w:color="auto" w:fill="000000"/>
          </w:tcPr>
          <w:p>
            <w:pPr>
              <w:spacing w:after="0" w:line="20" w:lineRule="exact"/>
              <w:rPr>
                <w:sz w:val="1"/>
                <w:szCs w:val="1"/>
                <w:color w:val="auto"/>
              </w:rPr>
            </w:pPr>
          </w:p>
        </w:tc>
        <w:tc>
          <w:tcPr>
            <w:tcW w:w="1640" w:type="dxa"/>
            <w:vAlign w:val="bottom"/>
            <w:shd w:val="clear" w:color="auto" w:fill="000000"/>
          </w:tcPr>
          <w:p>
            <w:pPr>
              <w:spacing w:after="0" w:line="20" w:lineRule="exact"/>
              <w:rPr>
                <w:sz w:val="1"/>
                <w:szCs w:val="1"/>
                <w:color w:val="auto"/>
              </w:rPr>
            </w:pPr>
          </w:p>
        </w:tc>
        <w:tc>
          <w:tcPr>
            <w:tcW w:w="1560" w:type="dxa"/>
            <w:vAlign w:val="bottom"/>
            <w:shd w:val="clear" w:color="auto" w:fill="000000"/>
          </w:tcPr>
          <w:p>
            <w:pPr>
              <w:spacing w:after="0" w:line="20" w:lineRule="exact"/>
              <w:rPr>
                <w:sz w:val="1"/>
                <w:szCs w:val="1"/>
                <w:color w:val="auto"/>
              </w:rPr>
            </w:pPr>
          </w:p>
        </w:tc>
      </w:tr>
    </w:tbl>
    <w:p>
      <w:pPr>
        <w:spacing w:after="0" w:line="4" w:lineRule="exact"/>
        <w:rPr>
          <w:sz w:val="20"/>
          <w:szCs w:val="20"/>
          <w:color w:val="auto"/>
        </w:rPr>
      </w:pPr>
    </w:p>
    <w:p>
      <w:pPr>
        <w:spacing w:after="0"/>
        <w:rPr>
          <w:sz w:val="20"/>
          <w:szCs w:val="20"/>
          <w:color w:val="auto"/>
        </w:rPr>
      </w:pPr>
      <w:r>
        <w:rPr>
          <w:rFonts w:ascii="Arial" w:cs="Arial" w:eastAsia="Arial" w:hAnsi="Arial"/>
          <w:sz w:val="16"/>
          <w:szCs w:val="16"/>
          <w:color w:val="auto"/>
        </w:rPr>
        <w:t>* Stock options and restricted shares presented in this table represent TimkenSteel awards only, including those held by Timken employees.</w:t>
      </w:r>
    </w:p>
    <w:p>
      <w:pPr>
        <w:spacing w:after="0" w:line="190"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The adjustment and substitution of the stock compensation awards occurred in conjunction with the distribution of TimkenSteel common shares to Timken shareholders in the June 30, 2014 after-market distribution. As a result, no grant, exercise, or cancellation activity occurred on TimkenSteel stock compensation awards during the six months ended June 30, 2014. Outstanding restricted shares include restricted shares, deferred shares, strategic performance shares and strategic shares that will settle in common shares. Strategic performance shares are performance-based restricted stock units that vest based on achievement of specified performance objectives and cliff-vest after three years. Strategic shares are timed-based restricted stock units and generally vest in 25% increments annually beginning on the first anniversary of the date of grant.</w:t>
      </w:r>
    </w:p>
    <w:p>
      <w:pPr>
        <w:spacing w:after="0" w:line="138"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As of June 30, 2014, unrecognized compensation cost related to stock option awards was $8.0 million, which is expected to be recognized over a weighted average period of 2.0 years. Unrecognized compensation cost related to restricted stock awards was $7.2 million, which is expected to be recognized over a weighted average period of 2.6 years. The calculations of unamortized expense and weighted-average periods include awards based on both TimkenSteel and Timken stock awards held by TimkenSteel employees.</w:t>
      </w:r>
    </w:p>
    <w:p>
      <w:pPr>
        <w:spacing w:after="0" w:line="146"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6"/>
          <w:szCs w:val="16"/>
          <w:color w:val="auto"/>
        </w:rPr>
        <w:t>Certain strategic performance shares and performance-based restricted stock are settled in cash and were adjusted and substituted as described above. TimkenSteel accrued $4.0 million as of June 30, 2014, which was included in Salaries, wages and benefits, and Other non-current liabilities on the Unaudited Consolidated Balance Sheets. Compensation expense related to cash-settled awards was $2.0 million for the six months ended June 30, 2014, which includes $0.2 million of incremental compensation expense resulting from the adjustment and substitution on the distribution date.</w:t>
      </w:r>
    </w:p>
    <w:p>
      <w:pPr>
        <w:spacing w:after="0" w:line="114"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TimkenSteel recognized stock-based compensation expense of $2.4 million related to stock option awards and restricted shares for the six months ended June 30, 2014, which includes the recognition of $0.3 million of incremental compensation expense in the second quarter of 2014 resulting from the adjustment and substitution of stock-based awards.</w:t>
      </w:r>
    </w:p>
    <w:p>
      <w:pPr>
        <w:spacing w:after="0" w:line="299"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12 - Segment Information</w:t>
      </w:r>
    </w:p>
    <w:p>
      <w:pPr>
        <w:spacing w:after="0" w:line="19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TimkenSteel operates and reports financial results for two segments: Industrial &amp; Mobile and Energy &amp; Distribution. These segments represent the level at which the chief operating decision maker (CODM) reviews the financial performance of TimkenSteel and makes operating decisions. Segment earnings before interest and taxes (EBIT) is the measure of profit and loss</w:t>
      </w: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584" w:right="239" w:bottom="1440" w:gutter="0" w:footer="0" w:header="0"/>
        </w:sectPr>
      </w:pPr>
    </w:p>
    <w:bookmarkStart w:id="17" w:name="page18"/>
    <w:bookmarkEnd w:id="17"/>
    <w:p>
      <w:pPr>
        <w:jc w:val="both"/>
        <w:spacing w:after="0" w:line="302" w:lineRule="auto"/>
        <w:rPr>
          <w:sz w:val="20"/>
          <w:szCs w:val="20"/>
          <w:color w:val="auto"/>
        </w:rPr>
      </w:pPr>
      <w:r>
        <w:rPr>
          <w:rFonts w:ascii="Arial" w:cs="Arial" w:eastAsia="Arial" w:hAnsi="Arial"/>
          <w:sz w:val="16"/>
          <w:szCs w:val="16"/>
          <w:color w:val="auto"/>
        </w:rPr>
        <w:t>that the CODM uses to evaluate the financial performance of TimkenSteel and is the basis for resource allocation, performance reviews and compensation. For these reasons, TimkenSteel believes that Segment EBIT represents the most relevant measure of segment profit and loss. The CODM may exclude certain charges or gains, such as corporate charges and other special charges, from EBIT to arrive at a Segment EBIT that is a more meaningful measure of profit and loss upon which to base operating decisions. TimkenSteel defines Segment EBIT margin as Segment EBIT as a percentage of net sales.</w:t>
      </w:r>
    </w:p>
    <w:p>
      <w:pPr>
        <w:spacing w:after="0" w:line="11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Industrial &amp; Mobile</w:t>
      </w:r>
    </w:p>
    <w:p>
      <w:pPr>
        <w:spacing w:after="0" w:line="185"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The Industrial &amp; Mobile segment is a leading provider of high-quality air-melted alloy steel bars, tubes, precision components and value-added services. For the industrial market sector, TimkenSteel sells to original equipment manufacturers including agriculture, construction, machinery, military, mining, power generation and rail. For the mobile market sector, TimkenSteel sells to automotive customers including light-vehicle, medium-truck and heavy-truck applications. Products in this segment are in applications, including engine, transmission and driveline components, large hydraulic system components, military ordnance, mining and construction drilling applications and other types of equipment.</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Energy &amp; Distribution</w:t>
      </w:r>
    </w:p>
    <w:p>
      <w:pPr>
        <w:spacing w:after="0" w:line="185"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The Energy &amp; Distribution segment is a leading provider of high-quality air-melted alloy steel bars, seamless tubes and value-added services such as thermal treatment and machining. The Energy &amp; Distribution segment offers unique steel chemistries in various product configurations to improve customers’ performance in demanding drilling, completion and production activities. Application of TimkenSteel’s engineered material solutions can be found in both offshore and land-based drilling rig activities. Vertical and horizontal drilling and completion applications include high strength drill string components and specialized completion tools that enable hydraulic fracturing for shale gas and oil. Distribution channel activity also is conducted through this segment. Distribution channel activity constitutes direct sales of steel bars and seamless mechanical tubes to distributors. TimkenSteel authorized service centers enable TimkenSteel to collaborate with various independent service centers to deliver differentiated solutions for end users.</w:t>
      </w:r>
    </w:p>
    <w:p>
      <w:pPr>
        <w:spacing w:after="0" w:line="138"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5620" w:type="dxa"/>
            <w:vAlign w:val="bottom"/>
          </w:tcPr>
          <w:p>
            <w:pPr>
              <w:spacing w:after="0"/>
              <w:rPr>
                <w:sz w:val="18"/>
                <w:szCs w:val="18"/>
                <w:color w:val="auto"/>
              </w:rPr>
            </w:pPr>
          </w:p>
        </w:tc>
        <w:tc>
          <w:tcPr>
            <w:tcW w:w="3140" w:type="dxa"/>
            <w:vAlign w:val="bottom"/>
            <w:gridSpan w:val="2"/>
          </w:tcPr>
          <w:p>
            <w:pPr>
              <w:jc w:val="right"/>
              <w:ind w:right="551"/>
              <w:spacing w:after="0"/>
              <w:rPr>
                <w:sz w:val="20"/>
                <w:szCs w:val="20"/>
                <w:color w:val="auto"/>
              </w:rPr>
            </w:pPr>
            <w:r>
              <w:rPr>
                <w:rFonts w:ascii="Arial" w:cs="Arial" w:eastAsia="Arial" w:hAnsi="Arial"/>
                <w:sz w:val="16"/>
                <w:szCs w:val="16"/>
                <w:b w:val="1"/>
                <w:bCs w:val="1"/>
                <w:color w:val="auto"/>
              </w:rPr>
              <w:t>Three Months Ended June 30,</w:t>
            </w:r>
          </w:p>
        </w:tc>
        <w:tc>
          <w:tcPr>
            <w:tcW w:w="2660" w:type="dxa"/>
            <w:vAlign w:val="bottom"/>
            <w:gridSpan w:val="2"/>
          </w:tcPr>
          <w:p>
            <w:pPr>
              <w:jc w:val="right"/>
              <w:ind w:right="351"/>
              <w:spacing w:after="0"/>
              <w:rPr>
                <w:sz w:val="20"/>
                <w:szCs w:val="20"/>
                <w:color w:val="auto"/>
              </w:rPr>
            </w:pPr>
            <w:r>
              <w:rPr>
                <w:rFonts w:ascii="Arial" w:cs="Arial" w:eastAsia="Arial" w:hAnsi="Arial"/>
                <w:sz w:val="16"/>
                <w:szCs w:val="16"/>
                <w:b w:val="1"/>
                <w:bCs w:val="1"/>
                <w:color w:val="auto"/>
              </w:rPr>
              <w:t>Six Months Ended June 30,</w:t>
            </w:r>
          </w:p>
        </w:tc>
      </w:tr>
      <w:tr>
        <w:trPr>
          <w:trHeight w:val="33"/>
        </w:trPr>
        <w:tc>
          <w:tcPr>
            <w:tcW w:w="5620" w:type="dxa"/>
            <w:vAlign w:val="bottom"/>
            <w:tcBorders>
              <w:bottom w:val="single" w:sz="8" w:color="auto"/>
            </w:tcBorders>
          </w:tcPr>
          <w:p>
            <w:pPr>
              <w:spacing w:after="0"/>
              <w:rPr>
                <w:sz w:val="2"/>
                <w:szCs w:val="2"/>
                <w:color w:val="auto"/>
              </w:rPr>
            </w:pPr>
          </w:p>
        </w:tc>
        <w:tc>
          <w:tcPr>
            <w:tcW w:w="1680" w:type="dxa"/>
            <w:vAlign w:val="bottom"/>
            <w:tcBorders>
              <w:bottom w:val="single" w:sz="8" w:color="333333"/>
            </w:tcBorders>
          </w:tcPr>
          <w:p>
            <w:pPr>
              <w:spacing w:after="0"/>
              <w:rPr>
                <w:sz w:val="2"/>
                <w:szCs w:val="2"/>
                <w:color w:val="auto"/>
              </w:rPr>
            </w:pPr>
          </w:p>
        </w:tc>
        <w:tc>
          <w:tcPr>
            <w:tcW w:w="1460" w:type="dxa"/>
            <w:vAlign w:val="bottom"/>
            <w:tcBorders>
              <w:bottom w:val="single" w:sz="8" w:color="333333"/>
            </w:tcBorders>
          </w:tcPr>
          <w:p>
            <w:pPr>
              <w:spacing w:after="0"/>
              <w:rPr>
                <w:sz w:val="2"/>
                <w:szCs w:val="2"/>
                <w:color w:val="auto"/>
              </w:rPr>
            </w:pPr>
          </w:p>
        </w:tc>
        <w:tc>
          <w:tcPr>
            <w:tcW w:w="1480" w:type="dxa"/>
            <w:vAlign w:val="bottom"/>
            <w:tcBorders>
              <w:bottom w:val="single" w:sz="8" w:color="333333"/>
            </w:tcBorders>
          </w:tcPr>
          <w:p>
            <w:pPr>
              <w:spacing w:after="0"/>
              <w:rPr>
                <w:sz w:val="2"/>
                <w:szCs w:val="2"/>
                <w:color w:val="auto"/>
              </w:rPr>
            </w:pPr>
          </w:p>
        </w:tc>
        <w:tc>
          <w:tcPr>
            <w:tcW w:w="1180" w:type="dxa"/>
            <w:vAlign w:val="bottom"/>
            <w:tcBorders>
              <w:bottom w:val="single" w:sz="8" w:color="333333"/>
            </w:tcBorders>
          </w:tcPr>
          <w:p>
            <w:pPr>
              <w:spacing w:after="0"/>
              <w:rPr>
                <w:sz w:val="2"/>
                <w:szCs w:val="2"/>
                <w:color w:val="auto"/>
              </w:rPr>
            </w:pPr>
          </w:p>
        </w:tc>
      </w:tr>
      <w:tr>
        <w:trPr>
          <w:trHeight w:val="231"/>
        </w:trPr>
        <w:tc>
          <w:tcPr>
            <w:tcW w:w="5620" w:type="dxa"/>
            <w:vAlign w:val="bottom"/>
          </w:tcPr>
          <w:p>
            <w:pPr>
              <w:spacing w:after="0"/>
              <w:rPr>
                <w:sz w:val="20"/>
                <w:szCs w:val="20"/>
                <w:color w:val="auto"/>
              </w:rPr>
            </w:pPr>
          </w:p>
        </w:tc>
        <w:tc>
          <w:tcPr>
            <w:tcW w:w="1680" w:type="dxa"/>
            <w:vAlign w:val="bottom"/>
          </w:tcPr>
          <w:p>
            <w:pPr>
              <w:jc w:val="right"/>
              <w:ind w:right="732"/>
              <w:spacing w:after="0"/>
              <w:rPr>
                <w:sz w:val="20"/>
                <w:szCs w:val="20"/>
                <w:color w:val="auto"/>
              </w:rPr>
            </w:pPr>
            <w:r>
              <w:rPr>
                <w:rFonts w:ascii="Arial" w:cs="Arial" w:eastAsia="Arial" w:hAnsi="Arial"/>
                <w:sz w:val="16"/>
                <w:szCs w:val="16"/>
                <w:b w:val="1"/>
                <w:bCs w:val="1"/>
                <w:color w:val="auto"/>
              </w:rPr>
              <w:t>2014</w:t>
            </w:r>
          </w:p>
        </w:tc>
        <w:tc>
          <w:tcPr>
            <w:tcW w:w="1460" w:type="dxa"/>
            <w:vAlign w:val="bottom"/>
          </w:tcPr>
          <w:p>
            <w:pPr>
              <w:jc w:val="right"/>
              <w:ind w:right="691"/>
              <w:spacing w:after="0"/>
              <w:rPr>
                <w:sz w:val="20"/>
                <w:szCs w:val="20"/>
                <w:color w:val="auto"/>
              </w:rPr>
            </w:pPr>
            <w:r>
              <w:rPr>
                <w:rFonts w:ascii="Arial" w:cs="Arial" w:eastAsia="Arial" w:hAnsi="Arial"/>
                <w:sz w:val="16"/>
                <w:szCs w:val="16"/>
                <w:b w:val="1"/>
                <w:bCs w:val="1"/>
                <w:color w:val="auto"/>
              </w:rPr>
              <w:t>2013</w:t>
            </w:r>
          </w:p>
        </w:tc>
        <w:tc>
          <w:tcPr>
            <w:tcW w:w="1480" w:type="dxa"/>
            <w:vAlign w:val="bottom"/>
          </w:tcPr>
          <w:p>
            <w:pPr>
              <w:jc w:val="right"/>
              <w:ind w:right="712"/>
              <w:spacing w:after="0"/>
              <w:rPr>
                <w:sz w:val="20"/>
                <w:szCs w:val="20"/>
                <w:color w:val="auto"/>
              </w:rPr>
            </w:pPr>
            <w:r>
              <w:rPr>
                <w:rFonts w:ascii="Arial" w:cs="Arial" w:eastAsia="Arial" w:hAnsi="Arial"/>
                <w:sz w:val="16"/>
                <w:szCs w:val="16"/>
                <w:b w:val="1"/>
                <w:bCs w:val="1"/>
                <w:color w:val="auto"/>
              </w:rPr>
              <w:t>2014</w:t>
            </w:r>
          </w:p>
        </w:tc>
        <w:tc>
          <w:tcPr>
            <w:tcW w:w="1180" w:type="dxa"/>
            <w:vAlign w:val="bottom"/>
          </w:tcPr>
          <w:p>
            <w:pPr>
              <w:jc w:val="right"/>
              <w:ind w:right="431"/>
              <w:spacing w:after="0"/>
              <w:rPr>
                <w:sz w:val="20"/>
                <w:szCs w:val="20"/>
                <w:color w:val="auto"/>
              </w:rPr>
            </w:pPr>
            <w:r>
              <w:rPr>
                <w:rFonts w:ascii="Arial" w:cs="Arial" w:eastAsia="Arial" w:hAnsi="Arial"/>
                <w:sz w:val="16"/>
                <w:szCs w:val="16"/>
                <w:b w:val="1"/>
                <w:bCs w:val="1"/>
                <w:color w:val="auto"/>
              </w:rPr>
              <w:t>2013</w:t>
            </w:r>
          </w:p>
        </w:tc>
      </w:tr>
      <w:tr>
        <w:trPr>
          <w:trHeight w:val="33"/>
        </w:trPr>
        <w:tc>
          <w:tcPr>
            <w:tcW w:w="562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69"/>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 to External Customers:</w:t>
            </w:r>
          </w:p>
        </w:tc>
        <w:tc>
          <w:tcPr>
            <w:tcW w:w="1680" w:type="dxa"/>
            <w:vAlign w:val="bottom"/>
            <w:tcBorders>
              <w:bottom w:val="single" w:sz="8" w:color="CCEEFF"/>
            </w:tcBorders>
            <w:shd w:val="clear" w:color="auto" w:fill="CCEEFF"/>
          </w:tcPr>
          <w:p>
            <w:pPr>
              <w:spacing w:after="0"/>
              <w:rPr>
                <w:sz w:val="22"/>
                <w:szCs w:val="22"/>
                <w:color w:val="auto"/>
              </w:rPr>
            </w:pPr>
          </w:p>
        </w:tc>
        <w:tc>
          <w:tcPr>
            <w:tcW w:w="1460" w:type="dxa"/>
            <w:vAlign w:val="bottom"/>
            <w:tcBorders>
              <w:bottom w:val="single" w:sz="8" w:color="CCEEFF"/>
            </w:tcBorders>
            <w:shd w:val="clear" w:color="auto" w:fill="CCEEFF"/>
          </w:tcPr>
          <w:p>
            <w:pPr>
              <w:spacing w:after="0"/>
              <w:rPr>
                <w:sz w:val="22"/>
                <w:szCs w:val="22"/>
                <w:color w:val="auto"/>
              </w:rPr>
            </w:pPr>
          </w:p>
        </w:tc>
        <w:tc>
          <w:tcPr>
            <w:tcW w:w="148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spacing w:after="0"/>
              <w:rPr>
                <w:sz w:val="22"/>
                <w:szCs w:val="22"/>
                <w:color w:val="auto"/>
              </w:rPr>
            </w:pPr>
          </w:p>
        </w:tc>
      </w:tr>
      <w:tr>
        <w:trPr>
          <w:trHeight w:val="237"/>
        </w:trPr>
        <w:tc>
          <w:tcPr>
            <w:tcW w:w="5620" w:type="dxa"/>
            <w:vAlign w:val="bottom"/>
            <w:tcBorders>
              <w:top w:val="single" w:sz="8" w:color="auto"/>
            </w:tcBorders>
          </w:tcPr>
          <w:p>
            <w:pPr>
              <w:ind w:left="360"/>
              <w:spacing w:after="0"/>
              <w:rPr>
                <w:sz w:val="20"/>
                <w:szCs w:val="20"/>
                <w:color w:val="auto"/>
              </w:rPr>
            </w:pPr>
            <w:r>
              <w:rPr>
                <w:rFonts w:ascii="Arial" w:cs="Arial" w:eastAsia="Arial" w:hAnsi="Arial"/>
                <w:sz w:val="18"/>
                <w:szCs w:val="18"/>
                <w:color w:val="auto"/>
              </w:rPr>
              <w:t>Industrial &amp; Mobile</w:t>
            </w:r>
          </w:p>
        </w:tc>
        <w:tc>
          <w:tcPr>
            <w:tcW w:w="1680" w:type="dxa"/>
            <w:vAlign w:val="bottom"/>
            <w:tcBorders>
              <w:top w:val="single" w:sz="8" w:color="auto"/>
            </w:tcBorders>
          </w:tcPr>
          <w:p>
            <w:pPr>
              <w:jc w:val="right"/>
              <w:ind w:right="332"/>
              <w:spacing w:after="0"/>
              <w:rPr>
                <w:sz w:val="20"/>
                <w:szCs w:val="20"/>
                <w:color w:val="auto"/>
              </w:rPr>
            </w:pPr>
            <w:r>
              <w:rPr>
                <w:rFonts w:ascii="Arial" w:cs="Arial" w:eastAsia="Arial" w:hAnsi="Arial"/>
                <w:sz w:val="18"/>
                <w:szCs w:val="18"/>
                <w:b w:val="1"/>
                <w:bCs w:val="1"/>
                <w:color w:val="auto"/>
              </w:rPr>
              <w:t>$254.7</w:t>
            </w:r>
          </w:p>
        </w:tc>
        <w:tc>
          <w:tcPr>
            <w:tcW w:w="1460" w:type="dxa"/>
            <w:vAlign w:val="bottom"/>
            <w:tcBorders>
              <w:top w:val="single" w:sz="8" w:color="auto"/>
            </w:tcBorders>
          </w:tcPr>
          <w:p>
            <w:pPr>
              <w:jc w:val="right"/>
              <w:ind w:right="271"/>
              <w:spacing w:after="0"/>
              <w:rPr>
                <w:sz w:val="20"/>
                <w:szCs w:val="20"/>
                <w:color w:val="auto"/>
              </w:rPr>
            </w:pPr>
            <w:r>
              <w:rPr>
                <w:rFonts w:ascii="Arial" w:cs="Arial" w:eastAsia="Arial" w:hAnsi="Arial"/>
                <w:sz w:val="18"/>
                <w:szCs w:val="18"/>
                <w:color w:val="auto"/>
              </w:rPr>
              <w:t>$224.0</w:t>
            </w:r>
          </w:p>
        </w:tc>
        <w:tc>
          <w:tcPr>
            <w:tcW w:w="1480" w:type="dxa"/>
            <w:vAlign w:val="bottom"/>
            <w:tcBorders>
              <w:top w:val="single" w:sz="8" w:color="auto"/>
            </w:tcBorders>
          </w:tcPr>
          <w:p>
            <w:pPr>
              <w:jc w:val="right"/>
              <w:ind w:right="292"/>
              <w:spacing w:after="0"/>
              <w:rPr>
                <w:sz w:val="20"/>
                <w:szCs w:val="20"/>
                <w:color w:val="auto"/>
              </w:rPr>
            </w:pPr>
            <w:r>
              <w:rPr>
                <w:rFonts w:ascii="Arial" w:cs="Arial" w:eastAsia="Arial" w:hAnsi="Arial"/>
                <w:sz w:val="18"/>
                <w:szCs w:val="18"/>
                <w:b w:val="1"/>
                <w:bCs w:val="1"/>
                <w:color w:val="auto"/>
              </w:rPr>
              <w:t>$486.5</w:t>
            </w:r>
          </w:p>
        </w:tc>
        <w:tc>
          <w:tcPr>
            <w:tcW w:w="11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$441.8</w:t>
            </w:r>
          </w:p>
        </w:tc>
      </w:tr>
      <w:tr>
        <w:trPr>
          <w:trHeight w:val="27"/>
        </w:trPr>
        <w:tc>
          <w:tcPr>
            <w:tcW w:w="562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75"/>
        </w:trPr>
        <w:tc>
          <w:tcPr>
            <w:tcW w:w="562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Energy &amp; Distribution</w:t>
            </w:r>
          </w:p>
        </w:tc>
        <w:tc>
          <w:tcPr>
            <w:tcW w:w="1680" w:type="dxa"/>
            <w:vAlign w:val="bottom"/>
            <w:tcBorders>
              <w:bottom w:val="single" w:sz="8" w:color="CCEEFF"/>
            </w:tcBorders>
            <w:shd w:val="clear" w:color="auto" w:fill="CCEEFF"/>
          </w:tcPr>
          <w:p>
            <w:pPr>
              <w:jc w:val="right"/>
              <w:ind w:right="332"/>
              <w:spacing w:after="0"/>
              <w:rPr>
                <w:sz w:val="20"/>
                <w:szCs w:val="20"/>
                <w:color w:val="auto"/>
              </w:rPr>
            </w:pPr>
            <w:r>
              <w:rPr>
                <w:rFonts w:ascii="Arial" w:cs="Arial" w:eastAsia="Arial" w:hAnsi="Arial"/>
                <w:sz w:val="18"/>
                <w:szCs w:val="18"/>
                <w:b w:val="1"/>
                <w:bCs w:val="1"/>
                <w:color w:val="auto"/>
              </w:rPr>
              <w:t>187.5</w:t>
            </w:r>
          </w:p>
        </w:tc>
        <w:tc>
          <w:tcPr>
            <w:tcW w:w="1460" w:type="dxa"/>
            <w:vAlign w:val="bottom"/>
            <w:tcBorders>
              <w:bottom w:val="single" w:sz="8" w:color="CCEEFF"/>
            </w:tcBorders>
            <w:shd w:val="clear" w:color="auto" w:fill="CCEEFF"/>
          </w:tcPr>
          <w:p>
            <w:pPr>
              <w:jc w:val="right"/>
              <w:ind w:right="271"/>
              <w:spacing w:after="0"/>
              <w:rPr>
                <w:sz w:val="20"/>
                <w:szCs w:val="20"/>
                <w:color w:val="auto"/>
              </w:rPr>
            </w:pPr>
            <w:r>
              <w:rPr>
                <w:rFonts w:ascii="Arial" w:cs="Arial" w:eastAsia="Arial" w:hAnsi="Arial"/>
                <w:sz w:val="18"/>
                <w:szCs w:val="18"/>
                <w:color w:val="auto"/>
              </w:rPr>
              <w:t>130.1</w:t>
            </w:r>
          </w:p>
        </w:tc>
        <w:tc>
          <w:tcPr>
            <w:tcW w:w="1480" w:type="dxa"/>
            <w:vAlign w:val="bottom"/>
            <w:tcBorders>
              <w:bottom w:val="single" w:sz="8" w:color="CCEEFF"/>
            </w:tcBorders>
            <w:shd w:val="clear" w:color="auto" w:fill="CCEEFF"/>
          </w:tcPr>
          <w:p>
            <w:pPr>
              <w:jc w:val="right"/>
              <w:ind w:right="292"/>
              <w:spacing w:after="0"/>
              <w:rPr>
                <w:sz w:val="20"/>
                <w:szCs w:val="20"/>
                <w:color w:val="auto"/>
              </w:rPr>
            </w:pPr>
            <w:r>
              <w:rPr>
                <w:rFonts w:ascii="Arial" w:cs="Arial" w:eastAsia="Arial" w:hAnsi="Arial"/>
                <w:sz w:val="18"/>
                <w:szCs w:val="18"/>
                <w:b w:val="1"/>
                <w:bCs w:val="1"/>
                <w:color w:val="auto"/>
              </w:rPr>
              <w:t>345.2</w:t>
            </w:r>
          </w:p>
        </w:tc>
        <w:tc>
          <w:tcPr>
            <w:tcW w:w="11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258.6</w:t>
            </w:r>
          </w:p>
        </w:tc>
      </w:tr>
      <w:tr>
        <w:trPr>
          <w:trHeight w:val="237"/>
        </w:trPr>
        <w:tc>
          <w:tcPr>
            <w:tcW w:w="5620" w:type="dxa"/>
            <w:vAlign w:val="bottom"/>
            <w:tcBorders>
              <w:top w:val="single" w:sz="8" w:color="auto"/>
            </w:tcBorders>
          </w:tcPr>
          <w:p>
            <w:pPr>
              <w:spacing w:after="0"/>
              <w:rPr>
                <w:sz w:val="20"/>
                <w:szCs w:val="20"/>
                <w:color w:val="auto"/>
              </w:rPr>
            </w:pPr>
          </w:p>
        </w:tc>
        <w:tc>
          <w:tcPr>
            <w:tcW w:w="1680" w:type="dxa"/>
            <w:vAlign w:val="bottom"/>
            <w:tcBorders>
              <w:top w:val="single" w:sz="8" w:color="auto"/>
            </w:tcBorders>
          </w:tcPr>
          <w:p>
            <w:pPr>
              <w:jc w:val="right"/>
              <w:ind w:right="332"/>
              <w:spacing w:after="0"/>
              <w:rPr>
                <w:sz w:val="20"/>
                <w:szCs w:val="20"/>
                <w:color w:val="auto"/>
              </w:rPr>
            </w:pPr>
            <w:r>
              <w:rPr>
                <w:rFonts w:ascii="Arial" w:cs="Arial" w:eastAsia="Arial" w:hAnsi="Arial"/>
                <w:sz w:val="18"/>
                <w:szCs w:val="18"/>
                <w:b w:val="1"/>
                <w:bCs w:val="1"/>
                <w:color w:val="auto"/>
              </w:rPr>
              <w:t>$442.2</w:t>
            </w:r>
          </w:p>
        </w:tc>
        <w:tc>
          <w:tcPr>
            <w:tcW w:w="1460" w:type="dxa"/>
            <w:vAlign w:val="bottom"/>
            <w:tcBorders>
              <w:top w:val="single" w:sz="8" w:color="auto"/>
            </w:tcBorders>
          </w:tcPr>
          <w:p>
            <w:pPr>
              <w:jc w:val="right"/>
              <w:ind w:right="271"/>
              <w:spacing w:after="0"/>
              <w:rPr>
                <w:sz w:val="20"/>
                <w:szCs w:val="20"/>
                <w:color w:val="auto"/>
              </w:rPr>
            </w:pPr>
            <w:r>
              <w:rPr>
                <w:rFonts w:ascii="Arial" w:cs="Arial" w:eastAsia="Arial" w:hAnsi="Arial"/>
                <w:sz w:val="18"/>
                <w:szCs w:val="18"/>
                <w:color w:val="auto"/>
              </w:rPr>
              <w:t>$354.1</w:t>
            </w:r>
          </w:p>
        </w:tc>
        <w:tc>
          <w:tcPr>
            <w:tcW w:w="1480" w:type="dxa"/>
            <w:vAlign w:val="bottom"/>
            <w:tcBorders>
              <w:top w:val="single" w:sz="8" w:color="auto"/>
            </w:tcBorders>
          </w:tcPr>
          <w:p>
            <w:pPr>
              <w:jc w:val="right"/>
              <w:ind w:right="292"/>
              <w:spacing w:after="0"/>
              <w:rPr>
                <w:sz w:val="20"/>
                <w:szCs w:val="20"/>
                <w:color w:val="auto"/>
              </w:rPr>
            </w:pPr>
            <w:r>
              <w:rPr>
                <w:rFonts w:ascii="Arial" w:cs="Arial" w:eastAsia="Arial" w:hAnsi="Arial"/>
                <w:sz w:val="18"/>
                <w:szCs w:val="18"/>
                <w:b w:val="1"/>
                <w:bCs w:val="1"/>
                <w:color w:val="auto"/>
              </w:rPr>
              <w:t>$831.7</w:t>
            </w:r>
          </w:p>
        </w:tc>
        <w:tc>
          <w:tcPr>
            <w:tcW w:w="11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$700.4</w:t>
            </w:r>
          </w:p>
        </w:tc>
      </w:tr>
      <w:tr>
        <w:trPr>
          <w:trHeight w:val="34"/>
        </w:trPr>
        <w:tc>
          <w:tcPr>
            <w:tcW w:w="562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75"/>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Segment EBIT:</w:t>
            </w:r>
          </w:p>
        </w:tc>
        <w:tc>
          <w:tcPr>
            <w:tcW w:w="1680" w:type="dxa"/>
            <w:vAlign w:val="bottom"/>
            <w:tcBorders>
              <w:bottom w:val="single" w:sz="8" w:color="CCEEFF"/>
            </w:tcBorders>
            <w:shd w:val="clear" w:color="auto" w:fill="CCEEFF"/>
          </w:tcPr>
          <w:p>
            <w:pPr>
              <w:spacing w:after="0"/>
              <w:rPr>
                <w:sz w:val="23"/>
                <w:szCs w:val="23"/>
                <w:color w:val="auto"/>
              </w:rPr>
            </w:pPr>
          </w:p>
        </w:tc>
        <w:tc>
          <w:tcPr>
            <w:tcW w:w="1460" w:type="dxa"/>
            <w:vAlign w:val="bottom"/>
            <w:tcBorders>
              <w:bottom w:val="single" w:sz="8" w:color="CCEEFF"/>
            </w:tcBorders>
            <w:shd w:val="clear" w:color="auto" w:fill="CCEEFF"/>
          </w:tcPr>
          <w:p>
            <w:pPr>
              <w:spacing w:after="0"/>
              <w:rPr>
                <w:sz w:val="23"/>
                <w:szCs w:val="23"/>
                <w:color w:val="auto"/>
              </w:rPr>
            </w:pPr>
          </w:p>
        </w:tc>
        <w:tc>
          <w:tcPr>
            <w:tcW w:w="14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spacing w:after="0"/>
              <w:rPr>
                <w:sz w:val="23"/>
                <w:szCs w:val="23"/>
                <w:color w:val="auto"/>
              </w:rPr>
            </w:pPr>
          </w:p>
        </w:tc>
      </w:tr>
      <w:tr>
        <w:trPr>
          <w:trHeight w:val="237"/>
        </w:trPr>
        <w:tc>
          <w:tcPr>
            <w:tcW w:w="5620" w:type="dxa"/>
            <w:vAlign w:val="bottom"/>
            <w:tcBorders>
              <w:top w:val="single" w:sz="8" w:color="auto"/>
            </w:tcBorders>
          </w:tcPr>
          <w:p>
            <w:pPr>
              <w:ind w:left="360"/>
              <w:spacing w:after="0"/>
              <w:rPr>
                <w:sz w:val="20"/>
                <w:szCs w:val="20"/>
                <w:color w:val="auto"/>
              </w:rPr>
            </w:pPr>
            <w:r>
              <w:rPr>
                <w:rFonts w:ascii="Arial" w:cs="Arial" w:eastAsia="Arial" w:hAnsi="Arial"/>
                <w:sz w:val="18"/>
                <w:szCs w:val="18"/>
                <w:color w:val="auto"/>
              </w:rPr>
              <w:t>Industrial &amp; Mobile</w:t>
            </w:r>
          </w:p>
        </w:tc>
        <w:tc>
          <w:tcPr>
            <w:tcW w:w="1680" w:type="dxa"/>
            <w:vAlign w:val="bottom"/>
            <w:tcBorders>
              <w:top w:val="single" w:sz="8" w:color="auto"/>
            </w:tcBorders>
          </w:tcPr>
          <w:p>
            <w:pPr>
              <w:jc w:val="right"/>
              <w:ind w:right="332"/>
              <w:spacing w:after="0"/>
              <w:rPr>
                <w:sz w:val="20"/>
                <w:szCs w:val="20"/>
                <w:color w:val="auto"/>
              </w:rPr>
            </w:pPr>
            <w:r>
              <w:rPr>
                <w:rFonts w:ascii="Arial" w:cs="Arial" w:eastAsia="Arial" w:hAnsi="Arial"/>
                <w:sz w:val="18"/>
                <w:szCs w:val="18"/>
                <w:b w:val="1"/>
                <w:bCs w:val="1"/>
                <w:color w:val="auto"/>
              </w:rPr>
              <w:t>$20.8</w:t>
            </w:r>
          </w:p>
        </w:tc>
        <w:tc>
          <w:tcPr>
            <w:tcW w:w="1460" w:type="dxa"/>
            <w:vAlign w:val="bottom"/>
            <w:tcBorders>
              <w:top w:val="single" w:sz="8" w:color="auto"/>
            </w:tcBorders>
          </w:tcPr>
          <w:p>
            <w:pPr>
              <w:jc w:val="right"/>
              <w:ind w:right="271"/>
              <w:spacing w:after="0"/>
              <w:rPr>
                <w:sz w:val="20"/>
                <w:szCs w:val="20"/>
                <w:color w:val="auto"/>
              </w:rPr>
            </w:pPr>
            <w:r>
              <w:rPr>
                <w:rFonts w:ascii="Arial" w:cs="Arial" w:eastAsia="Arial" w:hAnsi="Arial"/>
                <w:sz w:val="18"/>
                <w:szCs w:val="18"/>
                <w:color w:val="auto"/>
              </w:rPr>
              <w:t>$25.3</w:t>
            </w:r>
          </w:p>
        </w:tc>
        <w:tc>
          <w:tcPr>
            <w:tcW w:w="1480" w:type="dxa"/>
            <w:vAlign w:val="bottom"/>
            <w:tcBorders>
              <w:top w:val="single" w:sz="8" w:color="auto"/>
            </w:tcBorders>
          </w:tcPr>
          <w:p>
            <w:pPr>
              <w:jc w:val="right"/>
              <w:ind w:right="292"/>
              <w:spacing w:after="0"/>
              <w:rPr>
                <w:sz w:val="20"/>
                <w:szCs w:val="20"/>
                <w:color w:val="auto"/>
              </w:rPr>
            </w:pPr>
            <w:r>
              <w:rPr>
                <w:rFonts w:ascii="Arial" w:cs="Arial" w:eastAsia="Arial" w:hAnsi="Arial"/>
                <w:sz w:val="18"/>
                <w:szCs w:val="18"/>
                <w:b w:val="1"/>
                <w:bCs w:val="1"/>
                <w:color w:val="auto"/>
              </w:rPr>
              <w:t>$47.8</w:t>
            </w:r>
          </w:p>
        </w:tc>
        <w:tc>
          <w:tcPr>
            <w:tcW w:w="11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$46.8</w:t>
            </w:r>
          </w:p>
        </w:tc>
      </w:tr>
      <w:tr>
        <w:trPr>
          <w:trHeight w:val="27"/>
        </w:trPr>
        <w:tc>
          <w:tcPr>
            <w:tcW w:w="562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75"/>
        </w:trPr>
        <w:tc>
          <w:tcPr>
            <w:tcW w:w="562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Energy &amp; Distribution</w:t>
            </w:r>
          </w:p>
        </w:tc>
        <w:tc>
          <w:tcPr>
            <w:tcW w:w="1680" w:type="dxa"/>
            <w:vAlign w:val="bottom"/>
            <w:tcBorders>
              <w:bottom w:val="single" w:sz="8" w:color="CCEEFF"/>
            </w:tcBorders>
            <w:shd w:val="clear" w:color="auto" w:fill="CCEEFF"/>
          </w:tcPr>
          <w:p>
            <w:pPr>
              <w:jc w:val="right"/>
              <w:ind w:right="332"/>
              <w:spacing w:after="0"/>
              <w:rPr>
                <w:sz w:val="20"/>
                <w:szCs w:val="20"/>
                <w:color w:val="auto"/>
              </w:rPr>
            </w:pPr>
            <w:r>
              <w:rPr>
                <w:rFonts w:ascii="Arial" w:cs="Arial" w:eastAsia="Arial" w:hAnsi="Arial"/>
                <w:sz w:val="18"/>
                <w:szCs w:val="18"/>
                <w:b w:val="1"/>
                <w:bCs w:val="1"/>
                <w:color w:val="auto"/>
              </w:rPr>
              <w:t>31.2</w:t>
            </w:r>
          </w:p>
        </w:tc>
        <w:tc>
          <w:tcPr>
            <w:tcW w:w="1460" w:type="dxa"/>
            <w:vAlign w:val="bottom"/>
            <w:tcBorders>
              <w:bottom w:val="single" w:sz="8" w:color="CCEEFF"/>
            </w:tcBorders>
            <w:shd w:val="clear" w:color="auto" w:fill="CCEEFF"/>
          </w:tcPr>
          <w:p>
            <w:pPr>
              <w:jc w:val="right"/>
              <w:ind w:right="271"/>
              <w:spacing w:after="0"/>
              <w:rPr>
                <w:sz w:val="20"/>
                <w:szCs w:val="20"/>
                <w:color w:val="auto"/>
              </w:rPr>
            </w:pPr>
            <w:r>
              <w:rPr>
                <w:rFonts w:ascii="Arial" w:cs="Arial" w:eastAsia="Arial" w:hAnsi="Arial"/>
                <w:sz w:val="18"/>
                <w:szCs w:val="18"/>
                <w:color w:val="auto"/>
              </w:rPr>
              <w:t>19.3</w:t>
            </w:r>
          </w:p>
        </w:tc>
        <w:tc>
          <w:tcPr>
            <w:tcW w:w="1480" w:type="dxa"/>
            <w:vAlign w:val="bottom"/>
            <w:tcBorders>
              <w:bottom w:val="single" w:sz="8" w:color="CCEEFF"/>
            </w:tcBorders>
            <w:shd w:val="clear" w:color="auto" w:fill="CCEEFF"/>
          </w:tcPr>
          <w:p>
            <w:pPr>
              <w:jc w:val="right"/>
              <w:ind w:right="292"/>
              <w:spacing w:after="0"/>
              <w:rPr>
                <w:sz w:val="20"/>
                <w:szCs w:val="20"/>
                <w:color w:val="auto"/>
              </w:rPr>
            </w:pPr>
            <w:r>
              <w:rPr>
                <w:rFonts w:ascii="Arial" w:cs="Arial" w:eastAsia="Arial" w:hAnsi="Arial"/>
                <w:sz w:val="18"/>
                <w:szCs w:val="18"/>
                <w:b w:val="1"/>
                <w:bCs w:val="1"/>
                <w:color w:val="auto"/>
              </w:rPr>
              <w:t>62.4</w:t>
            </w:r>
          </w:p>
        </w:tc>
        <w:tc>
          <w:tcPr>
            <w:tcW w:w="11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35.3</w:t>
            </w:r>
          </w:p>
        </w:tc>
      </w:tr>
      <w:tr>
        <w:trPr>
          <w:trHeight w:val="237"/>
        </w:trPr>
        <w:tc>
          <w:tcPr>
            <w:tcW w:w="562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Total Segment EBIT</w:t>
            </w:r>
          </w:p>
        </w:tc>
        <w:tc>
          <w:tcPr>
            <w:tcW w:w="1680" w:type="dxa"/>
            <w:vAlign w:val="bottom"/>
            <w:tcBorders>
              <w:top w:val="single" w:sz="8" w:color="auto"/>
            </w:tcBorders>
          </w:tcPr>
          <w:p>
            <w:pPr>
              <w:jc w:val="right"/>
              <w:ind w:right="332"/>
              <w:spacing w:after="0"/>
              <w:rPr>
                <w:sz w:val="20"/>
                <w:szCs w:val="20"/>
                <w:color w:val="auto"/>
              </w:rPr>
            </w:pPr>
            <w:r>
              <w:rPr>
                <w:rFonts w:ascii="Arial" w:cs="Arial" w:eastAsia="Arial" w:hAnsi="Arial"/>
                <w:sz w:val="18"/>
                <w:szCs w:val="18"/>
                <w:b w:val="1"/>
                <w:bCs w:val="1"/>
                <w:color w:val="auto"/>
              </w:rPr>
              <w:t>$52.0</w:t>
            </w:r>
          </w:p>
        </w:tc>
        <w:tc>
          <w:tcPr>
            <w:tcW w:w="1460" w:type="dxa"/>
            <w:vAlign w:val="bottom"/>
            <w:tcBorders>
              <w:top w:val="single" w:sz="8" w:color="auto"/>
            </w:tcBorders>
          </w:tcPr>
          <w:p>
            <w:pPr>
              <w:jc w:val="right"/>
              <w:ind w:right="271"/>
              <w:spacing w:after="0"/>
              <w:rPr>
                <w:sz w:val="20"/>
                <w:szCs w:val="20"/>
                <w:color w:val="auto"/>
              </w:rPr>
            </w:pPr>
            <w:r>
              <w:rPr>
                <w:rFonts w:ascii="Arial" w:cs="Arial" w:eastAsia="Arial" w:hAnsi="Arial"/>
                <w:sz w:val="18"/>
                <w:szCs w:val="18"/>
                <w:color w:val="auto"/>
              </w:rPr>
              <w:t>$44.6</w:t>
            </w:r>
          </w:p>
        </w:tc>
        <w:tc>
          <w:tcPr>
            <w:tcW w:w="1480" w:type="dxa"/>
            <w:vAlign w:val="bottom"/>
            <w:tcBorders>
              <w:top w:val="single" w:sz="8" w:color="auto"/>
            </w:tcBorders>
          </w:tcPr>
          <w:p>
            <w:pPr>
              <w:jc w:val="right"/>
              <w:ind w:right="292"/>
              <w:spacing w:after="0"/>
              <w:rPr>
                <w:sz w:val="20"/>
                <w:szCs w:val="20"/>
                <w:color w:val="auto"/>
              </w:rPr>
            </w:pPr>
            <w:r>
              <w:rPr>
                <w:rFonts w:ascii="Arial" w:cs="Arial" w:eastAsia="Arial" w:hAnsi="Arial"/>
                <w:sz w:val="18"/>
                <w:szCs w:val="18"/>
                <w:b w:val="1"/>
                <w:bCs w:val="1"/>
                <w:color w:val="auto"/>
              </w:rPr>
              <w:t>$110.2</w:t>
            </w:r>
          </w:p>
        </w:tc>
        <w:tc>
          <w:tcPr>
            <w:tcW w:w="11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$82.1</w:t>
            </w:r>
          </w:p>
        </w:tc>
      </w:tr>
      <w:tr>
        <w:trPr>
          <w:trHeight w:val="27"/>
        </w:trPr>
        <w:tc>
          <w:tcPr>
            <w:tcW w:w="562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Unallocated corporate expenses</w:t>
            </w:r>
          </w:p>
        </w:tc>
        <w:tc>
          <w:tcPr>
            <w:tcW w:w="1680" w:type="dxa"/>
            <w:vAlign w:val="bottom"/>
            <w:tcBorders>
              <w:bottom w:val="single" w:sz="8" w:color="CCEEFF"/>
            </w:tcBorders>
            <w:shd w:val="clear" w:color="auto" w:fill="CCEEFF"/>
          </w:tcPr>
          <w:p>
            <w:pPr>
              <w:jc w:val="right"/>
              <w:ind w:right="272"/>
              <w:spacing w:after="0"/>
              <w:rPr>
                <w:sz w:val="20"/>
                <w:szCs w:val="20"/>
                <w:color w:val="auto"/>
              </w:rPr>
            </w:pPr>
            <w:r>
              <w:rPr>
                <w:rFonts w:ascii="Arial" w:cs="Arial" w:eastAsia="Arial" w:hAnsi="Arial"/>
                <w:sz w:val="18"/>
                <w:szCs w:val="18"/>
                <w:b w:val="1"/>
                <w:bCs w:val="1"/>
                <w:color w:val="auto"/>
              </w:rPr>
              <w:t>(6.9)</w:t>
            </w:r>
          </w:p>
        </w:tc>
        <w:tc>
          <w:tcPr>
            <w:tcW w:w="1460" w:type="dxa"/>
            <w:vAlign w:val="bottom"/>
            <w:tcBorders>
              <w:bottom w:val="single" w:sz="8" w:color="CCEEFF"/>
            </w:tcBorders>
            <w:shd w:val="clear" w:color="auto" w:fill="CCEEFF"/>
          </w:tcPr>
          <w:p>
            <w:pPr>
              <w:jc w:val="right"/>
              <w:ind w:right="211"/>
              <w:spacing w:after="0"/>
              <w:rPr>
                <w:sz w:val="20"/>
                <w:szCs w:val="20"/>
                <w:color w:val="auto"/>
              </w:rPr>
            </w:pPr>
            <w:r>
              <w:rPr>
                <w:rFonts w:ascii="Arial" w:cs="Arial" w:eastAsia="Arial" w:hAnsi="Arial"/>
                <w:sz w:val="18"/>
                <w:szCs w:val="18"/>
                <w:color w:val="auto"/>
              </w:rPr>
              <w:t>(5.9)</w:t>
            </w:r>
          </w:p>
        </w:tc>
        <w:tc>
          <w:tcPr>
            <w:tcW w:w="1480" w:type="dxa"/>
            <w:vAlign w:val="bottom"/>
            <w:tcBorders>
              <w:bottom w:val="single" w:sz="8" w:color="CCEEFF"/>
            </w:tcBorders>
            <w:shd w:val="clear" w:color="auto" w:fill="CCEEFF"/>
          </w:tcPr>
          <w:p>
            <w:pPr>
              <w:jc w:val="right"/>
              <w:ind w:right="232"/>
              <w:spacing w:after="0"/>
              <w:rPr>
                <w:sz w:val="20"/>
                <w:szCs w:val="20"/>
                <w:color w:val="auto"/>
              </w:rPr>
            </w:pPr>
            <w:r>
              <w:rPr>
                <w:rFonts w:ascii="Arial" w:cs="Arial" w:eastAsia="Arial" w:hAnsi="Arial"/>
                <w:sz w:val="18"/>
                <w:szCs w:val="18"/>
                <w:b w:val="1"/>
                <w:bCs w:val="1"/>
                <w:color w:val="auto"/>
              </w:rPr>
              <w:t>(14.3)</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(11.2)</w:t>
            </w:r>
          </w:p>
        </w:tc>
      </w:tr>
      <w:tr>
        <w:trPr>
          <w:trHeight w:val="243"/>
        </w:trPr>
        <w:tc>
          <w:tcPr>
            <w:tcW w:w="5620" w:type="dxa"/>
            <w:vAlign w:val="bottom"/>
          </w:tcPr>
          <w:p>
            <w:pPr>
              <w:ind w:left="360"/>
              <w:spacing w:after="0"/>
              <w:rPr>
                <w:sz w:val="20"/>
                <w:szCs w:val="20"/>
                <w:color w:val="auto"/>
              </w:rPr>
            </w:pPr>
            <w:r>
              <w:rPr>
                <w:rFonts w:ascii="Arial" w:cs="Arial" w:eastAsia="Arial" w:hAnsi="Arial"/>
                <w:sz w:val="18"/>
                <w:szCs w:val="18"/>
                <w:color w:val="auto"/>
              </w:rPr>
              <w:t>Interest expense</w:t>
            </w:r>
          </w:p>
        </w:tc>
        <w:tc>
          <w:tcPr>
            <w:tcW w:w="1680" w:type="dxa"/>
            <w:vAlign w:val="bottom"/>
          </w:tcPr>
          <w:p>
            <w:pPr>
              <w:jc w:val="right"/>
              <w:ind w:right="272"/>
              <w:spacing w:after="0"/>
              <w:rPr>
                <w:sz w:val="20"/>
                <w:szCs w:val="20"/>
                <w:color w:val="auto"/>
              </w:rPr>
            </w:pPr>
            <w:r>
              <w:rPr>
                <w:rFonts w:ascii="Arial" w:cs="Arial" w:eastAsia="Arial" w:hAnsi="Arial"/>
                <w:sz w:val="18"/>
                <w:szCs w:val="18"/>
                <w:b w:val="1"/>
                <w:bCs w:val="1"/>
                <w:color w:val="auto"/>
              </w:rPr>
              <w:t>(0.7)</w:t>
            </w:r>
          </w:p>
        </w:tc>
        <w:tc>
          <w:tcPr>
            <w:tcW w:w="1460" w:type="dxa"/>
            <w:vAlign w:val="bottom"/>
          </w:tcPr>
          <w:p>
            <w:pPr>
              <w:jc w:val="right"/>
              <w:ind w:right="271"/>
              <w:spacing w:after="0"/>
              <w:rPr>
                <w:sz w:val="20"/>
                <w:szCs w:val="20"/>
                <w:color w:val="auto"/>
              </w:rPr>
            </w:pPr>
            <w:r>
              <w:rPr>
                <w:rFonts w:ascii="Arial" w:cs="Arial" w:eastAsia="Arial" w:hAnsi="Arial"/>
                <w:sz w:val="18"/>
                <w:szCs w:val="18"/>
                <w:color w:val="auto"/>
              </w:rPr>
              <w:t>—</w:t>
            </w:r>
          </w:p>
        </w:tc>
        <w:tc>
          <w:tcPr>
            <w:tcW w:w="1480" w:type="dxa"/>
            <w:vAlign w:val="bottom"/>
          </w:tcPr>
          <w:p>
            <w:pPr>
              <w:jc w:val="right"/>
              <w:ind w:right="232"/>
              <w:spacing w:after="0"/>
              <w:rPr>
                <w:sz w:val="20"/>
                <w:szCs w:val="20"/>
                <w:color w:val="auto"/>
              </w:rPr>
            </w:pPr>
            <w:r>
              <w:rPr>
                <w:rFonts w:ascii="Arial" w:cs="Arial" w:eastAsia="Arial" w:hAnsi="Arial"/>
                <w:sz w:val="18"/>
                <w:szCs w:val="18"/>
                <w:b w:val="1"/>
                <w:bCs w:val="1"/>
                <w:color w:val="auto"/>
              </w:rPr>
              <w:t>(0.7)</w:t>
            </w:r>
          </w:p>
        </w:tc>
        <w:tc>
          <w:tcPr>
            <w:tcW w:w="118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562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44"/>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Income Before Income Taxes</w:t>
            </w:r>
          </w:p>
        </w:tc>
        <w:tc>
          <w:tcPr>
            <w:tcW w:w="1680" w:type="dxa"/>
            <w:vAlign w:val="bottom"/>
            <w:tcBorders>
              <w:bottom w:val="single" w:sz="8" w:color="CCEEFF"/>
            </w:tcBorders>
            <w:shd w:val="clear" w:color="auto" w:fill="CCEEFF"/>
          </w:tcPr>
          <w:p>
            <w:pPr>
              <w:jc w:val="right"/>
              <w:ind w:right="332"/>
              <w:spacing w:after="0"/>
              <w:rPr>
                <w:sz w:val="20"/>
                <w:szCs w:val="20"/>
                <w:color w:val="auto"/>
              </w:rPr>
            </w:pPr>
            <w:r>
              <w:rPr>
                <w:rFonts w:ascii="Arial" w:cs="Arial" w:eastAsia="Arial" w:hAnsi="Arial"/>
                <w:sz w:val="18"/>
                <w:szCs w:val="18"/>
                <w:b w:val="1"/>
                <w:bCs w:val="1"/>
                <w:color w:val="auto"/>
              </w:rPr>
              <w:t>$44.4</w:t>
            </w:r>
          </w:p>
        </w:tc>
        <w:tc>
          <w:tcPr>
            <w:tcW w:w="1460" w:type="dxa"/>
            <w:vAlign w:val="bottom"/>
            <w:tcBorders>
              <w:bottom w:val="single" w:sz="8" w:color="CCEEFF"/>
            </w:tcBorders>
            <w:shd w:val="clear" w:color="auto" w:fill="CCEEFF"/>
          </w:tcPr>
          <w:p>
            <w:pPr>
              <w:jc w:val="right"/>
              <w:ind w:right="271"/>
              <w:spacing w:after="0"/>
              <w:rPr>
                <w:sz w:val="20"/>
                <w:szCs w:val="20"/>
                <w:color w:val="auto"/>
              </w:rPr>
            </w:pPr>
            <w:r>
              <w:rPr>
                <w:rFonts w:ascii="Arial" w:cs="Arial" w:eastAsia="Arial" w:hAnsi="Arial"/>
                <w:sz w:val="18"/>
                <w:szCs w:val="18"/>
                <w:color w:val="auto"/>
              </w:rPr>
              <w:t>$38.7</w:t>
            </w:r>
          </w:p>
        </w:tc>
        <w:tc>
          <w:tcPr>
            <w:tcW w:w="1480" w:type="dxa"/>
            <w:vAlign w:val="bottom"/>
            <w:tcBorders>
              <w:bottom w:val="single" w:sz="8" w:color="CCEEFF"/>
            </w:tcBorders>
            <w:shd w:val="clear" w:color="auto" w:fill="CCEEFF"/>
          </w:tcPr>
          <w:p>
            <w:pPr>
              <w:jc w:val="right"/>
              <w:ind w:right="292"/>
              <w:spacing w:after="0"/>
              <w:rPr>
                <w:sz w:val="20"/>
                <w:szCs w:val="20"/>
                <w:color w:val="auto"/>
              </w:rPr>
            </w:pPr>
            <w:r>
              <w:rPr>
                <w:rFonts w:ascii="Arial" w:cs="Arial" w:eastAsia="Arial" w:hAnsi="Arial"/>
                <w:sz w:val="18"/>
                <w:szCs w:val="18"/>
                <w:b w:val="1"/>
                <w:bCs w:val="1"/>
                <w:color w:val="auto"/>
              </w:rPr>
              <w:t>$95.2</w:t>
            </w:r>
          </w:p>
        </w:tc>
        <w:tc>
          <w:tcPr>
            <w:tcW w:w="11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$70.9</w:t>
            </w:r>
          </w:p>
        </w:tc>
      </w:tr>
      <w:tr>
        <w:trPr>
          <w:trHeight w:val="27"/>
        </w:trPr>
        <w:tc>
          <w:tcPr>
            <w:tcW w:w="5620" w:type="dxa"/>
            <w:vAlign w:val="bottom"/>
            <w:shd w:val="clear" w:color="auto" w:fill="000000"/>
          </w:tcPr>
          <w:p>
            <w:pPr>
              <w:spacing w:after="0"/>
              <w:rPr>
                <w:sz w:val="2"/>
                <w:szCs w:val="2"/>
                <w:color w:val="auto"/>
              </w:rPr>
            </w:pPr>
          </w:p>
        </w:tc>
        <w:tc>
          <w:tcPr>
            <w:tcW w:w="1680" w:type="dxa"/>
            <w:vAlign w:val="bottom"/>
            <w:shd w:val="clear" w:color="auto" w:fill="000000"/>
          </w:tcPr>
          <w:p>
            <w:pPr>
              <w:spacing w:after="0"/>
              <w:rPr>
                <w:sz w:val="2"/>
                <w:szCs w:val="2"/>
                <w:color w:val="auto"/>
              </w:rPr>
            </w:pPr>
          </w:p>
        </w:tc>
        <w:tc>
          <w:tcPr>
            <w:tcW w:w="1460" w:type="dxa"/>
            <w:vAlign w:val="bottom"/>
            <w:shd w:val="clear" w:color="auto" w:fill="000000"/>
          </w:tcPr>
          <w:p>
            <w:pPr>
              <w:spacing w:after="0"/>
              <w:rPr>
                <w:sz w:val="2"/>
                <w:szCs w:val="2"/>
                <w:color w:val="auto"/>
              </w:rPr>
            </w:pPr>
          </w:p>
        </w:tc>
        <w:tc>
          <w:tcPr>
            <w:tcW w:w="1480" w:type="dxa"/>
            <w:vAlign w:val="bottom"/>
            <w:shd w:val="clear" w:color="auto" w:fill="000000"/>
          </w:tcPr>
          <w:p>
            <w:pPr>
              <w:spacing w:after="0"/>
              <w:rPr>
                <w:sz w:val="2"/>
                <w:szCs w:val="2"/>
                <w:color w:val="auto"/>
              </w:rPr>
            </w:pPr>
          </w:p>
        </w:tc>
        <w:tc>
          <w:tcPr>
            <w:tcW w:w="1180" w:type="dxa"/>
            <w:vAlign w:val="bottom"/>
            <w:shd w:val="clear" w:color="auto" w:fill="000000"/>
          </w:tcPr>
          <w:p>
            <w:pPr>
              <w:spacing w:after="0"/>
              <w:rPr>
                <w:sz w:val="2"/>
                <w:szCs w:val="2"/>
                <w:color w:val="auto"/>
              </w:rPr>
            </w:pPr>
          </w:p>
        </w:tc>
      </w:tr>
    </w:tbl>
    <w:p>
      <w:pPr>
        <w:spacing w:after="0" w:line="161"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Energy &amp; Distribution intersegment sales to the Industrial &amp; Mobile segment were $0.6 million and $0.3 million for the three months ended June 30, 2014 and 2013, respectively, and $0.8 million and $0.9 million for the six months ended June 30, 2014 and 2013, respectively.</w:t>
      </w:r>
    </w:p>
    <w:p>
      <w:pPr>
        <w:spacing w:after="0" w:line="13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total assets by segment as of June 30, 2014 and December 31, 2013 were as follows:</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3640" w:type="dxa"/>
            <w:vAlign w:val="bottom"/>
          </w:tcPr>
          <w:p>
            <w:pPr>
              <w:spacing w:after="0"/>
              <w:rPr>
                <w:sz w:val="17"/>
                <w:szCs w:val="17"/>
                <w:color w:val="auto"/>
              </w:rPr>
            </w:pPr>
          </w:p>
        </w:tc>
        <w:tc>
          <w:tcPr>
            <w:tcW w:w="6400" w:type="dxa"/>
            <w:vAlign w:val="bottom"/>
          </w:tcPr>
          <w:p>
            <w:pPr>
              <w:jc w:val="right"/>
              <w:ind w:right="413"/>
              <w:spacing w:after="0"/>
              <w:rPr>
                <w:sz w:val="20"/>
                <w:szCs w:val="20"/>
                <w:color w:val="auto"/>
              </w:rPr>
            </w:pPr>
            <w:r>
              <w:rPr>
                <w:rFonts w:ascii="Arial" w:cs="Arial" w:eastAsia="Arial" w:hAnsi="Arial"/>
                <w:sz w:val="16"/>
                <w:szCs w:val="16"/>
                <w:b w:val="1"/>
                <w:bCs w:val="1"/>
                <w:color w:val="auto"/>
              </w:rPr>
              <w:t>June 30,</w:t>
            </w:r>
          </w:p>
        </w:tc>
        <w:tc>
          <w:tcPr>
            <w:tcW w:w="1380" w:type="dxa"/>
            <w:vAlign w:val="bottom"/>
          </w:tcPr>
          <w:p>
            <w:pPr>
              <w:jc w:val="right"/>
              <w:ind w:right="134"/>
              <w:spacing w:after="0"/>
              <w:rPr>
                <w:sz w:val="20"/>
                <w:szCs w:val="20"/>
                <w:color w:val="auto"/>
              </w:rPr>
            </w:pPr>
            <w:r>
              <w:rPr>
                <w:rFonts w:ascii="Arial" w:cs="Arial" w:eastAsia="Arial" w:hAnsi="Arial"/>
                <w:sz w:val="16"/>
                <w:szCs w:val="16"/>
                <w:b w:val="1"/>
                <w:bCs w:val="1"/>
                <w:color w:val="auto"/>
              </w:rPr>
              <w:t>December 31,</w:t>
            </w:r>
          </w:p>
        </w:tc>
      </w:tr>
      <w:tr>
        <w:trPr>
          <w:trHeight w:val="210"/>
        </w:trPr>
        <w:tc>
          <w:tcPr>
            <w:tcW w:w="3640" w:type="dxa"/>
            <w:vAlign w:val="bottom"/>
          </w:tcPr>
          <w:p>
            <w:pPr>
              <w:spacing w:after="0"/>
              <w:rPr>
                <w:sz w:val="18"/>
                <w:szCs w:val="18"/>
                <w:color w:val="auto"/>
              </w:rPr>
            </w:pPr>
          </w:p>
        </w:tc>
        <w:tc>
          <w:tcPr>
            <w:tcW w:w="6400" w:type="dxa"/>
            <w:vAlign w:val="bottom"/>
          </w:tcPr>
          <w:p>
            <w:pPr>
              <w:jc w:val="right"/>
              <w:ind w:right="533"/>
              <w:spacing w:after="0"/>
              <w:rPr>
                <w:sz w:val="20"/>
                <w:szCs w:val="20"/>
                <w:color w:val="auto"/>
              </w:rPr>
            </w:pPr>
            <w:r>
              <w:rPr>
                <w:rFonts w:ascii="Arial" w:cs="Arial" w:eastAsia="Arial" w:hAnsi="Arial"/>
                <w:sz w:val="16"/>
                <w:szCs w:val="16"/>
                <w:b w:val="1"/>
                <w:bCs w:val="1"/>
                <w:color w:val="auto"/>
              </w:rPr>
              <w:t>2014</w:t>
            </w:r>
          </w:p>
        </w:tc>
        <w:tc>
          <w:tcPr>
            <w:tcW w:w="1380" w:type="dxa"/>
            <w:vAlign w:val="bottom"/>
          </w:tcPr>
          <w:p>
            <w:pPr>
              <w:jc w:val="right"/>
              <w:ind w:right="434"/>
              <w:spacing w:after="0"/>
              <w:rPr>
                <w:sz w:val="20"/>
                <w:szCs w:val="20"/>
                <w:color w:val="auto"/>
              </w:rPr>
            </w:pPr>
            <w:r>
              <w:rPr>
                <w:rFonts w:ascii="Arial" w:cs="Arial" w:eastAsia="Arial" w:hAnsi="Arial"/>
                <w:sz w:val="16"/>
                <w:szCs w:val="16"/>
                <w:b w:val="1"/>
                <w:bCs w:val="1"/>
                <w:color w:val="auto"/>
              </w:rPr>
              <w:t>2013</w:t>
            </w:r>
          </w:p>
        </w:tc>
      </w:tr>
      <w:tr>
        <w:trPr>
          <w:trHeight w:val="33"/>
        </w:trPr>
        <w:tc>
          <w:tcPr>
            <w:tcW w:w="3640" w:type="dxa"/>
            <w:vAlign w:val="bottom"/>
            <w:tcBorders>
              <w:bottom w:val="single" w:sz="8" w:color="auto"/>
            </w:tcBorders>
          </w:tcPr>
          <w:p>
            <w:pPr>
              <w:spacing w:after="0"/>
              <w:rPr>
                <w:sz w:val="2"/>
                <w:szCs w:val="2"/>
                <w:color w:val="auto"/>
              </w:rPr>
            </w:pPr>
          </w:p>
        </w:tc>
        <w:tc>
          <w:tcPr>
            <w:tcW w:w="640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r>
      <w:tr>
        <w:trPr>
          <w:trHeight w:val="244"/>
        </w:trPr>
        <w:tc>
          <w:tcPr>
            <w:tcW w:w="3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Industrial &amp; Mobile</w:t>
            </w:r>
          </w:p>
        </w:tc>
        <w:tc>
          <w:tcPr>
            <w:tcW w:w="640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b w:val="1"/>
                <w:bCs w:val="1"/>
                <w:color w:val="auto"/>
              </w:rPr>
              <w:t>$649.0</w:t>
            </w:r>
          </w:p>
        </w:tc>
        <w:tc>
          <w:tcPr>
            <w:tcW w:w="13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$540.0</w:t>
            </w:r>
          </w:p>
        </w:tc>
      </w:tr>
      <w:tr>
        <w:trPr>
          <w:trHeight w:val="243"/>
        </w:trPr>
        <w:tc>
          <w:tcPr>
            <w:tcW w:w="3640" w:type="dxa"/>
            <w:vAlign w:val="bottom"/>
          </w:tcPr>
          <w:p>
            <w:pPr>
              <w:ind w:left="40"/>
              <w:spacing w:after="0"/>
              <w:rPr>
                <w:sz w:val="20"/>
                <w:szCs w:val="20"/>
                <w:color w:val="auto"/>
              </w:rPr>
            </w:pPr>
            <w:r>
              <w:rPr>
                <w:rFonts w:ascii="Arial" w:cs="Arial" w:eastAsia="Arial" w:hAnsi="Arial"/>
                <w:sz w:val="18"/>
                <w:szCs w:val="18"/>
                <w:color w:val="auto"/>
              </w:rPr>
              <w:t>Energy &amp; Distribution</w:t>
            </w:r>
          </w:p>
        </w:tc>
        <w:tc>
          <w:tcPr>
            <w:tcW w:w="6400" w:type="dxa"/>
            <w:vAlign w:val="bottom"/>
          </w:tcPr>
          <w:p>
            <w:pPr>
              <w:jc w:val="right"/>
              <w:ind w:right="113"/>
              <w:spacing w:after="0"/>
              <w:rPr>
                <w:sz w:val="20"/>
                <w:szCs w:val="20"/>
                <w:color w:val="auto"/>
              </w:rPr>
            </w:pPr>
            <w:r>
              <w:rPr>
                <w:rFonts w:ascii="Arial" w:cs="Arial" w:eastAsia="Arial" w:hAnsi="Arial"/>
                <w:sz w:val="18"/>
                <w:szCs w:val="18"/>
                <w:b w:val="1"/>
                <w:bCs w:val="1"/>
                <w:color w:val="auto"/>
              </w:rPr>
              <w:t>670.1</w:t>
            </w:r>
          </w:p>
        </w:tc>
        <w:tc>
          <w:tcPr>
            <w:tcW w:w="1380" w:type="dxa"/>
            <w:vAlign w:val="bottom"/>
          </w:tcPr>
          <w:p>
            <w:pPr>
              <w:jc w:val="right"/>
              <w:ind w:right="14"/>
              <w:spacing w:after="0"/>
              <w:rPr>
                <w:sz w:val="20"/>
                <w:szCs w:val="20"/>
                <w:color w:val="auto"/>
              </w:rPr>
            </w:pPr>
            <w:r>
              <w:rPr>
                <w:rFonts w:ascii="Arial" w:cs="Arial" w:eastAsia="Arial" w:hAnsi="Arial"/>
                <w:sz w:val="18"/>
                <w:szCs w:val="18"/>
                <w:color w:val="auto"/>
              </w:rPr>
              <w:t>538.8</w:t>
            </w:r>
          </w:p>
        </w:tc>
      </w:tr>
      <w:tr>
        <w:trPr>
          <w:trHeight w:val="27"/>
        </w:trPr>
        <w:tc>
          <w:tcPr>
            <w:tcW w:w="3640" w:type="dxa"/>
            <w:vAlign w:val="bottom"/>
            <w:tcBorders>
              <w:bottom w:val="single" w:sz="8" w:color="auto"/>
            </w:tcBorders>
          </w:tcPr>
          <w:p>
            <w:pPr>
              <w:spacing w:after="0"/>
              <w:rPr>
                <w:sz w:val="2"/>
                <w:szCs w:val="2"/>
                <w:color w:val="auto"/>
              </w:rPr>
            </w:pPr>
          </w:p>
        </w:tc>
        <w:tc>
          <w:tcPr>
            <w:tcW w:w="640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r>
      <w:tr>
        <w:trPr>
          <w:trHeight w:val="269"/>
        </w:trPr>
        <w:tc>
          <w:tcPr>
            <w:tcW w:w="3640" w:type="dxa"/>
            <w:vAlign w:val="bottom"/>
            <w:tcBorders>
              <w:bottom w:val="single" w:sz="8" w:color="CCEEFF"/>
            </w:tcBorders>
            <w:shd w:val="clear" w:color="auto" w:fill="CCEEFF"/>
          </w:tcPr>
          <w:p>
            <w:pPr>
              <w:spacing w:after="0"/>
              <w:rPr>
                <w:sz w:val="22"/>
                <w:szCs w:val="22"/>
                <w:color w:val="auto"/>
              </w:rPr>
            </w:pPr>
          </w:p>
        </w:tc>
        <w:tc>
          <w:tcPr>
            <w:tcW w:w="640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b w:val="1"/>
                <w:bCs w:val="1"/>
                <w:color w:val="auto"/>
              </w:rPr>
              <w:t>$1,319.1</w:t>
            </w:r>
          </w:p>
        </w:tc>
        <w:tc>
          <w:tcPr>
            <w:tcW w:w="13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$1,078.8</w:t>
            </w:r>
          </w:p>
        </w:tc>
      </w:tr>
      <w:tr>
        <w:trPr>
          <w:trHeight w:val="669"/>
        </w:trPr>
        <w:tc>
          <w:tcPr>
            <w:tcW w:w="3640" w:type="dxa"/>
            <w:vAlign w:val="bottom"/>
            <w:tcBorders>
              <w:top w:val="single" w:sz="8" w:color="auto"/>
            </w:tcBorders>
          </w:tcPr>
          <w:p>
            <w:pPr>
              <w:spacing w:after="0"/>
              <w:rPr>
                <w:sz w:val="24"/>
                <w:szCs w:val="24"/>
                <w:color w:val="auto"/>
              </w:rPr>
            </w:pPr>
          </w:p>
        </w:tc>
        <w:tc>
          <w:tcPr>
            <w:tcW w:w="6400" w:type="dxa"/>
            <w:vAlign w:val="bottom"/>
            <w:tcBorders>
              <w:top w:val="single" w:sz="8" w:color="auto"/>
            </w:tcBorders>
          </w:tcPr>
          <w:p>
            <w:pPr>
              <w:jc w:val="right"/>
              <w:ind w:right="4153"/>
              <w:spacing w:after="0"/>
              <w:rPr>
                <w:sz w:val="20"/>
                <w:szCs w:val="20"/>
                <w:color w:val="auto"/>
              </w:rPr>
            </w:pPr>
            <w:r>
              <w:rPr>
                <w:rFonts w:ascii="Arial" w:cs="Arial" w:eastAsia="Arial" w:hAnsi="Arial"/>
                <w:sz w:val="18"/>
                <w:szCs w:val="18"/>
                <w:color w:val="auto"/>
              </w:rPr>
              <w:t>16</w:t>
            </w:r>
          </w:p>
        </w:tc>
        <w:tc>
          <w:tcPr>
            <w:tcW w:w="1380" w:type="dxa"/>
            <w:vAlign w:val="bottom"/>
            <w:tcBorders>
              <w:top w:val="single" w:sz="8" w:color="auto"/>
            </w:tcBorders>
          </w:tcPr>
          <w:p>
            <w:pPr>
              <w:spacing w:after="0"/>
              <w:rPr>
                <w:sz w:val="24"/>
                <w:szCs w:val="24"/>
                <w:color w:val="auto"/>
              </w:rPr>
            </w:pPr>
          </w:p>
        </w:tc>
      </w:tr>
    </w:tbl>
    <w:p>
      <w:pPr>
        <w:sectPr>
          <w:pgSz w:w="11900" w:h="16838" w:orient="portrait"/>
          <w:cols w:equalWidth="0" w:num="1">
            <w:col w:w="11420"/>
          </w:cols>
          <w:pgMar w:left="240" w:top="584" w:right="239" w:bottom="1440" w:gutter="0" w:footer="0" w:header="0"/>
        </w:sectPr>
      </w:pPr>
    </w:p>
    <w:bookmarkStart w:id="18" w:name="page19"/>
    <w:bookmarkEnd w:id="18"/>
    <w:p>
      <w:pPr>
        <w:spacing w:after="0"/>
        <w:rPr>
          <w:sz w:val="20"/>
          <w:szCs w:val="20"/>
          <w:color w:val="auto"/>
        </w:rPr>
      </w:pPr>
      <w:r>
        <w:rPr>
          <w:rFonts w:ascii="Arial" w:cs="Arial" w:eastAsia="Arial" w:hAnsi="Arial"/>
          <w:sz w:val="23"/>
          <w:szCs w:val="23"/>
          <w:b w:val="1"/>
          <w:bCs w:val="1"/>
          <w:color w:val="auto"/>
        </w:rPr>
        <w:t>Note 13 - Income Taxes</w:t>
      </w:r>
    </w:p>
    <w:p>
      <w:pPr>
        <w:spacing w:after="0" w:line="19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TimkenSteel’s provision for income taxes in interim periods is computed by applying the appropriate estimated annual effective tax rates to income or loss before income taxes for the period. In addition, non-recurring or discrete items, including interest on prior-year tax liabilities, are recorded during the period(s) in which they occur.</w:t>
      </w:r>
    </w:p>
    <w:p>
      <w:pPr>
        <w:spacing w:after="0" w:line="141"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7300" w:type="dxa"/>
            <w:vAlign w:val="bottom"/>
            <w:gridSpan w:val="2"/>
          </w:tcPr>
          <w:p>
            <w:pPr>
              <w:ind w:left="5180"/>
              <w:spacing w:after="0"/>
              <w:rPr>
                <w:sz w:val="20"/>
                <w:szCs w:val="20"/>
                <w:color w:val="auto"/>
              </w:rPr>
            </w:pPr>
            <w:r>
              <w:rPr>
                <w:rFonts w:ascii="Arial" w:cs="Arial" w:eastAsia="Arial" w:hAnsi="Arial"/>
                <w:sz w:val="16"/>
                <w:szCs w:val="16"/>
                <w:b w:val="1"/>
                <w:bCs w:val="1"/>
                <w:color w:val="auto"/>
                <w:w w:val="92"/>
              </w:rPr>
              <w:t>Three Months Ended June 30,</w:t>
            </w:r>
          </w:p>
        </w:tc>
        <w:tc>
          <w:tcPr>
            <w:tcW w:w="980" w:type="dxa"/>
            <w:vAlign w:val="bottom"/>
          </w:tcPr>
          <w:p>
            <w:pPr>
              <w:spacing w:after="0"/>
              <w:rPr>
                <w:sz w:val="18"/>
                <w:szCs w:val="18"/>
                <w:color w:val="auto"/>
              </w:rPr>
            </w:pPr>
          </w:p>
        </w:tc>
        <w:tc>
          <w:tcPr>
            <w:tcW w:w="3140" w:type="dxa"/>
            <w:vAlign w:val="bottom"/>
            <w:gridSpan w:val="2"/>
          </w:tcPr>
          <w:p>
            <w:pPr>
              <w:jc w:val="right"/>
              <w:ind w:right="653"/>
              <w:spacing w:after="0"/>
              <w:rPr>
                <w:sz w:val="20"/>
                <w:szCs w:val="20"/>
                <w:color w:val="auto"/>
              </w:rPr>
            </w:pPr>
            <w:r>
              <w:rPr>
                <w:rFonts w:ascii="Arial" w:cs="Arial" w:eastAsia="Arial" w:hAnsi="Arial"/>
                <w:sz w:val="16"/>
                <w:szCs w:val="16"/>
                <w:b w:val="1"/>
                <w:bCs w:val="1"/>
                <w:color w:val="auto"/>
              </w:rPr>
              <w:t>Six Months Ended June 30,</w:t>
            </w:r>
          </w:p>
        </w:tc>
      </w:tr>
      <w:tr>
        <w:trPr>
          <w:trHeight w:val="33"/>
        </w:trPr>
        <w:tc>
          <w:tcPr>
            <w:tcW w:w="5520" w:type="dxa"/>
            <w:vAlign w:val="bottom"/>
            <w:tcBorders>
              <w:bottom w:val="single" w:sz="8" w:color="auto"/>
            </w:tcBorders>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r>
      <w:tr>
        <w:trPr>
          <w:trHeight w:val="231"/>
        </w:trPr>
        <w:tc>
          <w:tcPr>
            <w:tcW w:w="5520" w:type="dxa"/>
            <w:vAlign w:val="bottom"/>
          </w:tcPr>
          <w:p>
            <w:pPr>
              <w:ind w:left="5180"/>
              <w:spacing w:after="0"/>
              <w:rPr>
                <w:sz w:val="20"/>
                <w:szCs w:val="20"/>
                <w:color w:val="auto"/>
              </w:rPr>
            </w:pPr>
            <w:r>
              <w:rPr>
                <w:rFonts w:ascii="Arial" w:cs="Arial" w:eastAsia="Arial" w:hAnsi="Arial"/>
                <w:sz w:val="16"/>
                <w:szCs w:val="16"/>
                <w:b w:val="1"/>
                <w:bCs w:val="1"/>
                <w:color w:val="auto"/>
                <w:w w:val="89"/>
              </w:rPr>
              <w:t>2014</w:t>
            </w:r>
          </w:p>
        </w:tc>
        <w:tc>
          <w:tcPr>
            <w:tcW w:w="1780" w:type="dxa"/>
            <w:vAlign w:val="bottom"/>
          </w:tcPr>
          <w:p>
            <w:pPr>
              <w:jc w:val="right"/>
              <w:spacing w:after="0"/>
              <w:rPr>
                <w:sz w:val="20"/>
                <w:szCs w:val="20"/>
                <w:color w:val="auto"/>
              </w:rPr>
            </w:pPr>
            <w:r>
              <w:rPr>
                <w:rFonts w:ascii="Arial" w:cs="Arial" w:eastAsia="Arial" w:hAnsi="Arial"/>
                <w:sz w:val="16"/>
                <w:szCs w:val="16"/>
                <w:b w:val="1"/>
                <w:bCs w:val="1"/>
                <w:color w:val="auto"/>
              </w:rPr>
              <w:t>2013</w:t>
            </w:r>
          </w:p>
        </w:tc>
        <w:tc>
          <w:tcPr>
            <w:tcW w:w="980" w:type="dxa"/>
            <w:vAlign w:val="bottom"/>
          </w:tcPr>
          <w:p>
            <w:pPr>
              <w:spacing w:after="0"/>
              <w:rPr>
                <w:sz w:val="20"/>
                <w:szCs w:val="20"/>
                <w:color w:val="auto"/>
              </w:rPr>
            </w:pPr>
          </w:p>
        </w:tc>
        <w:tc>
          <w:tcPr>
            <w:tcW w:w="1760" w:type="dxa"/>
            <w:vAlign w:val="bottom"/>
          </w:tcPr>
          <w:p>
            <w:pPr>
              <w:jc w:val="right"/>
              <w:ind w:right="954"/>
              <w:spacing w:after="0"/>
              <w:rPr>
                <w:sz w:val="20"/>
                <w:szCs w:val="20"/>
                <w:color w:val="auto"/>
              </w:rPr>
            </w:pPr>
            <w:r>
              <w:rPr>
                <w:rFonts w:ascii="Arial" w:cs="Arial" w:eastAsia="Arial" w:hAnsi="Arial"/>
                <w:sz w:val="16"/>
                <w:szCs w:val="16"/>
                <w:b w:val="1"/>
                <w:bCs w:val="1"/>
                <w:color w:val="auto"/>
              </w:rPr>
              <w:t>2014</w:t>
            </w:r>
          </w:p>
        </w:tc>
        <w:tc>
          <w:tcPr>
            <w:tcW w:w="1380" w:type="dxa"/>
            <w:vAlign w:val="bottom"/>
          </w:tcPr>
          <w:p>
            <w:pPr>
              <w:jc w:val="right"/>
              <w:ind w:right="573"/>
              <w:spacing w:after="0"/>
              <w:rPr>
                <w:sz w:val="20"/>
                <w:szCs w:val="20"/>
                <w:color w:val="auto"/>
              </w:rPr>
            </w:pPr>
            <w:r>
              <w:rPr>
                <w:rFonts w:ascii="Arial" w:cs="Arial" w:eastAsia="Arial" w:hAnsi="Arial"/>
                <w:sz w:val="16"/>
                <w:szCs w:val="16"/>
                <w:b w:val="1"/>
                <w:bCs w:val="1"/>
                <w:color w:val="auto"/>
              </w:rPr>
              <w:t>2013</w:t>
            </w:r>
          </w:p>
        </w:tc>
      </w:tr>
      <w:tr>
        <w:trPr>
          <w:trHeight w:val="33"/>
        </w:trPr>
        <w:tc>
          <w:tcPr>
            <w:tcW w:w="5520" w:type="dxa"/>
            <w:vAlign w:val="bottom"/>
            <w:tcBorders>
              <w:bottom w:val="single" w:sz="8" w:color="auto"/>
            </w:tcBorders>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r>
      <w:tr>
        <w:trPr>
          <w:trHeight w:val="244"/>
        </w:trPr>
        <w:tc>
          <w:tcPr>
            <w:tcW w:w="55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for Income Taxes</w:t>
            </w:r>
          </w:p>
        </w:tc>
        <w:tc>
          <w:tcPr>
            <w:tcW w:w="1780" w:type="dxa"/>
            <w:vAlign w:val="bottom"/>
            <w:tcBorders>
              <w:bottom w:val="single" w:sz="8" w:color="CCEEFF"/>
            </w:tcBorders>
            <w:shd w:val="clear" w:color="auto" w:fill="CCEEFF"/>
          </w:tcPr>
          <w:p>
            <w:pPr>
              <w:jc w:val="right"/>
              <w:ind w:right="1253"/>
              <w:spacing w:after="0"/>
              <w:rPr>
                <w:sz w:val="20"/>
                <w:szCs w:val="20"/>
                <w:color w:val="auto"/>
              </w:rPr>
            </w:pPr>
            <w:r>
              <w:rPr>
                <w:rFonts w:ascii="Arial" w:cs="Arial" w:eastAsia="Arial" w:hAnsi="Arial"/>
                <w:sz w:val="18"/>
                <w:szCs w:val="18"/>
                <w:b w:val="1"/>
                <w:bCs w:val="1"/>
                <w:color w:val="auto"/>
                <w:w w:val="93"/>
              </w:rPr>
              <w:t>$15.8</w:t>
            </w:r>
          </w:p>
        </w:tc>
        <w:tc>
          <w:tcPr>
            <w:tcW w:w="980" w:type="dxa"/>
            <w:vAlign w:val="bottom"/>
            <w:tcBorders>
              <w:bottom w:val="single" w:sz="8" w:color="CCEEFF"/>
            </w:tcBorders>
            <w:shd w:val="clear" w:color="auto" w:fill="CCEEFF"/>
          </w:tcPr>
          <w:p>
            <w:pPr>
              <w:jc w:val="right"/>
              <w:ind w:right="470"/>
              <w:spacing w:after="0"/>
              <w:rPr>
                <w:sz w:val="20"/>
                <w:szCs w:val="20"/>
                <w:color w:val="auto"/>
              </w:rPr>
            </w:pPr>
            <w:r>
              <w:rPr>
                <w:rFonts w:ascii="Arial" w:cs="Arial" w:eastAsia="Arial" w:hAnsi="Arial"/>
                <w:sz w:val="18"/>
                <w:szCs w:val="18"/>
                <w:color w:val="auto"/>
                <w:w w:val="88"/>
              </w:rPr>
              <w:t>$13.4</w:t>
            </w:r>
          </w:p>
        </w:tc>
        <w:tc>
          <w:tcPr>
            <w:tcW w:w="1760" w:type="dxa"/>
            <w:vAlign w:val="bottom"/>
            <w:tcBorders>
              <w:bottom w:val="single" w:sz="8" w:color="CCEEFF"/>
            </w:tcBorders>
            <w:shd w:val="clear" w:color="auto" w:fill="CCEEFF"/>
          </w:tcPr>
          <w:p>
            <w:pPr>
              <w:jc w:val="right"/>
              <w:ind w:right="494"/>
              <w:spacing w:after="0"/>
              <w:rPr>
                <w:sz w:val="20"/>
                <w:szCs w:val="20"/>
                <w:color w:val="auto"/>
              </w:rPr>
            </w:pPr>
            <w:r>
              <w:rPr>
                <w:rFonts w:ascii="Arial" w:cs="Arial" w:eastAsia="Arial" w:hAnsi="Arial"/>
                <w:sz w:val="18"/>
                <w:szCs w:val="18"/>
                <w:b w:val="1"/>
                <w:bCs w:val="1"/>
                <w:color w:val="auto"/>
              </w:rPr>
              <w:t>$32.9</w:t>
            </w:r>
          </w:p>
        </w:tc>
        <w:tc>
          <w:tcPr>
            <w:tcW w:w="1380" w:type="dxa"/>
            <w:vAlign w:val="bottom"/>
            <w:tcBorders>
              <w:bottom w:val="single" w:sz="8" w:color="CCEEFF"/>
            </w:tcBorders>
            <w:shd w:val="clear" w:color="auto" w:fill="CCEEFF"/>
          </w:tcPr>
          <w:p>
            <w:pPr>
              <w:jc w:val="right"/>
              <w:ind w:right="93"/>
              <w:spacing w:after="0"/>
              <w:rPr>
                <w:sz w:val="20"/>
                <w:szCs w:val="20"/>
                <w:color w:val="auto"/>
              </w:rPr>
            </w:pPr>
            <w:r>
              <w:rPr>
                <w:rFonts w:ascii="Arial" w:cs="Arial" w:eastAsia="Arial" w:hAnsi="Arial"/>
                <w:sz w:val="18"/>
                <w:szCs w:val="18"/>
                <w:color w:val="auto"/>
              </w:rPr>
              <w:t>$24.6</w:t>
            </w:r>
          </w:p>
        </w:tc>
      </w:tr>
      <w:tr>
        <w:trPr>
          <w:trHeight w:val="243"/>
        </w:trPr>
        <w:tc>
          <w:tcPr>
            <w:tcW w:w="5520" w:type="dxa"/>
            <w:vAlign w:val="bottom"/>
          </w:tcPr>
          <w:p>
            <w:pPr>
              <w:ind w:left="40"/>
              <w:spacing w:after="0"/>
              <w:rPr>
                <w:sz w:val="20"/>
                <w:szCs w:val="20"/>
                <w:color w:val="auto"/>
              </w:rPr>
            </w:pPr>
            <w:r>
              <w:rPr>
                <w:rFonts w:ascii="Arial" w:cs="Arial" w:eastAsia="Arial" w:hAnsi="Arial"/>
                <w:sz w:val="18"/>
                <w:szCs w:val="18"/>
                <w:color w:val="auto"/>
              </w:rPr>
              <w:t>Effective Tax Rate</w:t>
            </w:r>
          </w:p>
        </w:tc>
        <w:tc>
          <w:tcPr>
            <w:tcW w:w="1780" w:type="dxa"/>
            <w:vAlign w:val="bottom"/>
          </w:tcPr>
          <w:p>
            <w:pPr>
              <w:jc w:val="right"/>
              <w:ind w:right="1073"/>
              <w:spacing w:after="0"/>
              <w:rPr>
                <w:sz w:val="20"/>
                <w:szCs w:val="20"/>
                <w:color w:val="auto"/>
              </w:rPr>
            </w:pPr>
            <w:r>
              <w:rPr>
                <w:rFonts w:ascii="Arial" w:cs="Arial" w:eastAsia="Arial" w:hAnsi="Arial"/>
                <w:sz w:val="18"/>
                <w:szCs w:val="18"/>
                <w:b w:val="1"/>
                <w:bCs w:val="1"/>
                <w:color w:val="auto"/>
              </w:rPr>
              <w:t>35.6%</w:t>
            </w:r>
          </w:p>
        </w:tc>
        <w:tc>
          <w:tcPr>
            <w:tcW w:w="980" w:type="dxa"/>
            <w:vAlign w:val="bottom"/>
          </w:tcPr>
          <w:p>
            <w:pPr>
              <w:jc w:val="right"/>
              <w:ind w:right="330"/>
              <w:spacing w:after="0"/>
              <w:rPr>
                <w:sz w:val="20"/>
                <w:szCs w:val="20"/>
                <w:color w:val="auto"/>
              </w:rPr>
            </w:pPr>
            <w:r>
              <w:rPr>
                <w:rFonts w:ascii="Arial" w:cs="Arial" w:eastAsia="Arial" w:hAnsi="Arial"/>
                <w:sz w:val="18"/>
                <w:szCs w:val="18"/>
                <w:color w:val="auto"/>
              </w:rPr>
              <w:t>34.6%</w:t>
            </w:r>
          </w:p>
        </w:tc>
        <w:tc>
          <w:tcPr>
            <w:tcW w:w="1760" w:type="dxa"/>
            <w:vAlign w:val="bottom"/>
          </w:tcPr>
          <w:p>
            <w:pPr>
              <w:jc w:val="right"/>
              <w:ind w:right="314"/>
              <w:spacing w:after="0"/>
              <w:rPr>
                <w:sz w:val="20"/>
                <w:szCs w:val="20"/>
                <w:color w:val="auto"/>
              </w:rPr>
            </w:pPr>
            <w:r>
              <w:rPr>
                <w:rFonts w:ascii="Arial" w:cs="Arial" w:eastAsia="Arial" w:hAnsi="Arial"/>
                <w:sz w:val="18"/>
                <w:szCs w:val="18"/>
                <w:b w:val="1"/>
                <w:bCs w:val="1"/>
                <w:color w:val="auto"/>
              </w:rPr>
              <w:t>34.6%</w:t>
            </w:r>
          </w:p>
        </w:tc>
        <w:tc>
          <w:tcPr>
            <w:tcW w:w="1380" w:type="dxa"/>
            <w:vAlign w:val="bottom"/>
          </w:tcPr>
          <w:p>
            <w:pPr>
              <w:jc w:val="right"/>
              <w:spacing w:after="0"/>
              <w:rPr>
                <w:sz w:val="20"/>
                <w:szCs w:val="20"/>
                <w:color w:val="auto"/>
              </w:rPr>
            </w:pPr>
            <w:r>
              <w:rPr>
                <w:rFonts w:ascii="Arial" w:cs="Arial" w:eastAsia="Arial" w:hAnsi="Arial"/>
                <w:sz w:val="18"/>
                <w:szCs w:val="18"/>
                <w:color w:val="auto"/>
              </w:rPr>
              <w:t>34.7%</w:t>
            </w:r>
          </w:p>
        </w:tc>
      </w:tr>
      <w:tr>
        <w:trPr>
          <w:trHeight w:val="27"/>
        </w:trPr>
        <w:tc>
          <w:tcPr>
            <w:tcW w:w="5520" w:type="dxa"/>
            <w:vAlign w:val="bottom"/>
            <w:tcBorders>
              <w:bottom w:val="single" w:sz="8" w:color="auto"/>
            </w:tcBorders>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The effective tax rate for the three months ended June 30, 2014 was higher than the U.S. federal statutory rate of 35% primarily due losses at foreign subsidiaries where no tax benefit could be recorded, U.S. state and local taxes and certain discrete tax expenses. This factor was partially offset by the U.S. manufacturing deduction and the effect of other permanent differences.</w:t>
      </w:r>
    </w:p>
    <w:p>
      <w:pPr>
        <w:spacing w:after="0" w:line="141" w:lineRule="exact"/>
        <w:rPr>
          <w:sz w:val="20"/>
          <w:szCs w:val="20"/>
          <w:color w:val="auto"/>
        </w:rPr>
      </w:pPr>
    </w:p>
    <w:p>
      <w:pPr>
        <w:ind w:left="660"/>
        <w:spacing w:after="0"/>
        <w:rPr>
          <w:sz w:val="20"/>
          <w:szCs w:val="20"/>
          <w:color w:val="auto"/>
        </w:rPr>
      </w:pPr>
      <w:r>
        <w:rPr>
          <w:rFonts w:ascii="Arial" w:cs="Arial" w:eastAsia="Arial" w:hAnsi="Arial"/>
          <w:sz w:val="17"/>
          <w:szCs w:val="17"/>
          <w:color w:val="auto"/>
        </w:rPr>
        <w:t>The effective tax rate for the three months ended June 30, 2013 was lower than the U.S. federal statutory rate of 35% primarily due to the U.S.</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manufacturing deduction and the U.S. research tax credit. These factors were partially offset by U.S. state and local taxes and certain discrete tax expenses.</w:t>
      </w:r>
    </w:p>
    <w:p>
      <w:pPr>
        <w:spacing w:after="0" w:line="193"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The effective tax rate for the first six months of 2014 was lower than the U.S. federal statutory rate of 35% primarily due to the U.S. manufacturing deduction. This factor was partially offset by losses at foreign subsidiaries where no tax benefit could be recorded, U.S. state and local taxes and certain discrete tax expenses.</w:t>
      </w:r>
    </w:p>
    <w:p>
      <w:pPr>
        <w:spacing w:after="0" w:line="141"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The effective tax rate for the first six months of 2013 was lower than the U.S. federal statutory rate of 35% primarily due to the U.S. manufacturing deduction and the U.S. research tax credit. These factors were partially offset by losses at foreign subsidiaries where no tax benefit could be recorded, U.S. state and local taxes and certain discrete tax expenses.</w:t>
      </w:r>
    </w:p>
    <w:p>
      <w:pPr>
        <w:spacing w:after="0" w:line="299"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14 - Relationship with Parent and Related Entities</w:t>
      </w:r>
    </w:p>
    <w:p>
      <w:pPr>
        <w:spacing w:after="0" w:line="199"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Historically, TimkenSteel has been managed and operated in the normal course of business with other affiliates of Timken. Transactions between Timken and TimkenSteel, with the exception of sales and purchase transactions and reimbursements for payments made to third-party service providers by Timken on TimkenSteel’s behalf, are reflected in equity in the Unaudited Consolidated Balance Sheets as Net Parent Investment and in the Unaudited Consolidated Statements of Cash Flows as a financing activity in Net transfers (to)/from Parent and affiliates.</w:t>
      </w:r>
    </w:p>
    <w:p>
      <w:pPr>
        <w:spacing w:after="0" w:line="1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Corporate Costs/Allocations</w:t>
      </w:r>
    </w:p>
    <w:p>
      <w:pPr>
        <w:spacing w:after="0" w:line="185"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8"/>
          <w:szCs w:val="18"/>
          <w:color w:val="auto"/>
        </w:rPr>
        <w:t>For the periods prior to April 1, 2014, the Unaudited Consolidated Financial Statements include corporate costs incurred by Timken for services that were provided to or on behalf of TimkenSteel, including but not limited to legal, treasury, corporate administration, technology and human resource services. These costs consist of allocated cost pools and direct costs. Corporate costs have been directly charged to, or allocated to, TimkenSteel using methods management believes are consistent and reasonable. TimkenSteel direct costs are incurred directly by TimkenSteel based on negotiated usage rates and dedicated employee assignments. These corporate charges and allocations have been deemed paid by TimkenSteel to Timken in the period in which the cost was recorded in the Unaudited Consolidated Statements of Income. Net charges from Timken for these services, reflected in selling, general and administrative expenses, were $7.4 million and $11.2 million for the six months ended June 30, 2014 and 2013, respectively. Effective April 1, 2014, TimkenSteel performed these functions using internal resources or services provided by third parties, certain of which were provided by Timken and directly charged to TimkenSteel for services provided. Timken will continue to provide such services during a transition period pursuant to a transition services agreement described below.</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Transactions with Other Timken Businesses</w:t>
      </w:r>
    </w:p>
    <w:p>
      <w:pPr>
        <w:spacing w:after="0" w:line="185"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Throughout the periods covered by the Unaudited Consolidated Financial Statements, TimkenSteel sold finished goods to Timken and its businesses. During the second quarter of 2014 and 2013, revenues from sales of products to Timken totaled $23.4 million, or 5.3% of net sales, and $18.8 million, or 5.3% of net sales, respectively. During the first six months of 2014 and 2013, revenues from related party sales of products totaled $46.0 million, or 5.5% of net sales, and $38.4 million, or 5.5% of net sales, respectively. Prior to the spinoff, TimkenSteel recorded related-party receivables from other Timken businesses as Accounts receivable due from related party in its Unaudited Consolidated Balance Sheets. Upon separation, outstanding amounts were reclassified to trade receivables.</w:t>
      </w: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742" w:right="239" w:bottom="1440" w:gutter="0" w:footer="0" w:header="0"/>
        </w:sectPr>
      </w:pPr>
    </w:p>
    <w:bookmarkStart w:id="19" w:name="page20"/>
    <w:bookmarkEnd w:id="19"/>
    <w:p>
      <w:pPr>
        <w:jc w:val="both"/>
        <w:ind w:firstLine="648"/>
        <w:spacing w:after="0" w:line="255" w:lineRule="auto"/>
        <w:rPr>
          <w:sz w:val="20"/>
          <w:szCs w:val="20"/>
          <w:color w:val="auto"/>
        </w:rPr>
      </w:pPr>
      <w:r>
        <w:rPr>
          <w:rFonts w:ascii="Arial" w:cs="Arial" w:eastAsia="Arial" w:hAnsi="Arial"/>
          <w:sz w:val="18"/>
          <w:szCs w:val="18"/>
          <w:color w:val="auto"/>
        </w:rPr>
        <w:t>TimkenSteel purchased material from a related party for approximately $0.4 million and $1.3 million during the second quarter of 2014 and 2013, respectively. TimkenSteel purchased material from a related party for approximately $1.0 million and $2.7 million during the first six months of 2014 and 2013, respectively. In addition, certain of TimkenSteel’s third-party service providers are paid by Timken on behalf of TimkenSteel. TimkenSteel subsequently reimburses Timken in cash for such payments. Prior to the spinoff, TimkenSteel recorded related-party payables to other Timken businesses as Accounts payable due to related party in its Unaudited Consolidated Balance Sheets. Upon separation, outstanding amounts were reclassified to trade payables.</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Material Agreements Between TimkenSteel and Timken</w:t>
      </w:r>
    </w:p>
    <w:p>
      <w:pPr>
        <w:spacing w:after="0" w:line="185"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On June 30, 2014, TimkenSteel entered into a separation and distribution agreement and several other agreements with Timken to effect the spinoff and to provide a framework for the relationship with Timken. These agreements govern the relationship between TimkenSteel and Timken subsequent to the completion of the spinoff and provide for the allocation between TimkenSteel and Timken of assets, liabilities and obligations attributable to periods prior to the spinoff. Because these agreements were entered into in the context of a related party transaction, the terms may not be comparable to terms that would be obtained in a transaction between unaffiliated parties.</w:t>
      </w:r>
    </w:p>
    <w:p>
      <w:pPr>
        <w:spacing w:after="0" w:line="144"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18"/>
          <w:szCs w:val="18"/>
          <w:b w:val="1"/>
          <w:bCs w:val="1"/>
          <w:color w:val="auto"/>
        </w:rPr>
        <w:t xml:space="preserve">Separation and Distribution Agreement </w:t>
      </w:r>
      <w:r>
        <w:rPr>
          <w:rFonts w:ascii="Arial" w:cs="Arial" w:eastAsia="Arial" w:hAnsi="Arial"/>
          <w:sz w:val="18"/>
          <w:szCs w:val="18"/>
          <w:color w:val="auto"/>
        </w:rPr>
        <w:t>— The separation and distribution agreement contains the key provisions relating to the spinoff, including</w:t>
      </w:r>
      <w:r>
        <w:rPr>
          <w:rFonts w:ascii="Arial" w:cs="Arial" w:eastAsia="Arial" w:hAnsi="Arial"/>
          <w:sz w:val="18"/>
          <w:szCs w:val="18"/>
          <w:b w:val="1"/>
          <w:bCs w:val="1"/>
          <w:color w:val="auto"/>
        </w:rPr>
        <w:t xml:space="preserve"> </w:t>
      </w:r>
      <w:r>
        <w:rPr>
          <w:rFonts w:ascii="Arial" w:cs="Arial" w:eastAsia="Arial" w:hAnsi="Arial"/>
          <w:sz w:val="18"/>
          <w:szCs w:val="18"/>
          <w:color w:val="auto"/>
        </w:rPr>
        <w:t>provisions relating to the principal intercompany transactions required to effect the spinoff, the conditions to the spinoff and provisions governing the relationships between TimkenSteel and Timken after the spinoff.</w:t>
      </w:r>
    </w:p>
    <w:p>
      <w:pPr>
        <w:spacing w:after="0" w:line="136"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b w:val="1"/>
          <w:bCs w:val="1"/>
          <w:color w:val="auto"/>
        </w:rPr>
        <w:t xml:space="preserve">Tax Sharing Agreement </w:t>
      </w:r>
      <w:r>
        <w:rPr>
          <w:rFonts w:ascii="Arial" w:cs="Arial" w:eastAsia="Arial" w:hAnsi="Arial"/>
          <w:sz w:val="18"/>
          <w:szCs w:val="18"/>
          <w:color w:val="auto"/>
        </w:rPr>
        <w:t>— The tax sharing agreement, which generally governs TimkenSteel’s and Timken’s respective rights, responsibilities and</w:t>
      </w:r>
      <w:r>
        <w:rPr>
          <w:rFonts w:ascii="Arial" w:cs="Arial" w:eastAsia="Arial" w:hAnsi="Arial"/>
          <w:sz w:val="18"/>
          <w:szCs w:val="18"/>
          <w:b w:val="1"/>
          <w:bCs w:val="1"/>
          <w:color w:val="auto"/>
        </w:rPr>
        <w:t xml:space="preserve"> </w:t>
      </w:r>
      <w:r>
        <w:rPr>
          <w:rFonts w:ascii="Arial" w:cs="Arial" w:eastAsia="Arial" w:hAnsi="Arial"/>
          <w:sz w:val="18"/>
          <w:szCs w:val="18"/>
          <w:color w:val="auto"/>
        </w:rPr>
        <w:t>obligations after the distribution with respect to taxes for any tax period ending on or before the distribution date, as well as tax periods beginning before and ending after the distribution date. Generally, TimkenSteel is liable for all pre-distribution U.S. federal income taxes, foreign income taxes and non-income taxes attributable to TimkenSteel’s business, and all other taxes attributable to TimkenSteel, paid after the distribution. In addition, the tax sharing agreement addresses the allocation of liability for taxes that are incurred as a result of restructuring activities undertaken to effectuate the distribution. The tax sharing agreement also provides that TimkenSteel is liable for taxes incurred by Timken that arise as a result of TimkenSteel’s taking or failing to take, as the case may be, certain actions that result in the distribution failing to meet the requirements of a tax-free distribution under Section 355 of the Internal Revenue Code of 1986, as amended.</w:t>
      </w:r>
    </w:p>
    <w:p>
      <w:pPr>
        <w:spacing w:after="0" w:line="145"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b w:val="1"/>
          <w:bCs w:val="1"/>
          <w:color w:val="auto"/>
        </w:rPr>
        <w:t xml:space="preserve">Employee Matters Agreement </w:t>
      </w:r>
      <w:r>
        <w:rPr>
          <w:rFonts w:ascii="Arial" w:cs="Arial" w:eastAsia="Arial" w:hAnsi="Arial"/>
          <w:sz w:val="16"/>
          <w:szCs w:val="16"/>
          <w:color w:val="auto"/>
        </w:rPr>
        <w:t>— TimkenSteel entered into an employee matters agreement with Timken, which generally provides that each of</w:t>
      </w:r>
      <w:r>
        <w:rPr>
          <w:rFonts w:ascii="Arial" w:cs="Arial" w:eastAsia="Arial" w:hAnsi="Arial"/>
          <w:sz w:val="16"/>
          <w:szCs w:val="16"/>
          <w:b w:val="1"/>
          <w:bCs w:val="1"/>
          <w:color w:val="auto"/>
        </w:rPr>
        <w:t xml:space="preserve"> </w:t>
      </w:r>
      <w:r>
        <w:rPr>
          <w:rFonts w:ascii="Arial" w:cs="Arial" w:eastAsia="Arial" w:hAnsi="Arial"/>
          <w:sz w:val="16"/>
          <w:szCs w:val="16"/>
          <w:color w:val="auto"/>
        </w:rPr>
        <w:t>TimkenSteel and Timken has responsibility for its own employees and compensation plans, subject to certain exceptions as described in the agreement. In general, prior to the spinoff, TimkenSteel employees participated in various retirement, health and welfare, and other employee benefit and compensation plans maintained by Timken. Following the spinoff (or earlier, in the case of the tax-qualified defined benefit plans and retiree medical plans), pursuant to the employee matters agreement, TimkenSteel employees and former employees generally participate in similar plans and arrangements established and maintained by TimkenSteel. The employee matters agreement provides for the bifurcation of equity awards as described above. Among other things, the employee matters agreement also provides for TimkenSteel’s assumption of certain employment-related contracts that its employees originally entered into with Timken, the allocation of certain employee liabilities and the cooperation between TimkenSteel and Timken in the sharing of employee information.</w:t>
      </w:r>
    </w:p>
    <w:p>
      <w:pPr>
        <w:spacing w:after="0" w:line="120"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18"/>
          <w:szCs w:val="18"/>
          <w:b w:val="1"/>
          <w:bCs w:val="1"/>
          <w:color w:val="auto"/>
        </w:rPr>
        <w:t xml:space="preserve">Transition Services Agreement </w:t>
      </w:r>
      <w:r>
        <w:rPr>
          <w:rFonts w:ascii="Arial" w:cs="Arial" w:eastAsia="Arial" w:hAnsi="Arial"/>
          <w:sz w:val="18"/>
          <w:szCs w:val="18"/>
          <w:color w:val="auto"/>
        </w:rPr>
        <w:t>— The transition services agreement governs the process under which TimkenSteel and Timken provides and/or</w:t>
      </w:r>
      <w:r>
        <w:rPr>
          <w:rFonts w:ascii="Arial" w:cs="Arial" w:eastAsia="Arial" w:hAnsi="Arial"/>
          <w:sz w:val="18"/>
          <w:szCs w:val="18"/>
          <w:b w:val="1"/>
          <w:bCs w:val="1"/>
          <w:color w:val="auto"/>
        </w:rPr>
        <w:t xml:space="preserve"> </w:t>
      </w:r>
      <w:r>
        <w:rPr>
          <w:rFonts w:ascii="Arial" w:cs="Arial" w:eastAsia="Arial" w:hAnsi="Arial"/>
          <w:sz w:val="18"/>
          <w:szCs w:val="18"/>
          <w:color w:val="auto"/>
        </w:rPr>
        <w:t>makes available various administrative services and assets to each other, during what is expected to be a period of 24 months or less beginning on the distribution date. Services to be provided by Timken to TimkenSteel include certain services related to engineering, finance, facilities, information technology and employee benefits. Services to be provided by TimkenSteel to Timken include certain services related to engineering, operations, finance, facilities and information technology.</w:t>
      </w:r>
    </w:p>
    <w:p>
      <w:pPr>
        <w:spacing w:after="0" w:line="39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584" w:right="239" w:bottom="1440" w:gutter="0" w:footer="0" w:header="0"/>
        </w:sectPr>
      </w:pPr>
    </w:p>
    <w:bookmarkStart w:id="20" w:name="page21"/>
    <w:bookmarkEnd w:id="20"/>
    <w:p>
      <w:pPr>
        <w:ind w:left="3200"/>
        <w:spacing w:after="0"/>
        <w:rPr>
          <w:sz w:val="20"/>
          <w:szCs w:val="20"/>
          <w:color w:val="auto"/>
        </w:rPr>
      </w:pPr>
      <w:r>
        <w:rPr>
          <w:rFonts w:ascii="Arial" w:cs="Arial" w:eastAsia="Arial" w:hAnsi="Arial"/>
          <w:sz w:val="18"/>
          <w:szCs w:val="18"/>
          <w:b w:val="1"/>
          <w:bCs w:val="1"/>
          <w:color w:val="auto"/>
        </w:rPr>
        <w:t>ITEM 2. MANAGEMENT’S DISCUSSION AND ANALYSIS OF</w:t>
      </w:r>
    </w:p>
    <w:p>
      <w:pPr>
        <w:spacing w:after="0" w:line="63" w:lineRule="exact"/>
        <w:rPr>
          <w:sz w:val="20"/>
          <w:szCs w:val="20"/>
          <w:color w:val="auto"/>
        </w:rPr>
      </w:pPr>
    </w:p>
    <w:p>
      <w:pPr>
        <w:ind w:left="3260"/>
        <w:spacing w:after="0"/>
        <w:rPr>
          <w:sz w:val="20"/>
          <w:szCs w:val="20"/>
          <w:color w:val="auto"/>
        </w:rPr>
      </w:pPr>
      <w:r>
        <w:rPr>
          <w:rFonts w:ascii="Arial" w:cs="Arial" w:eastAsia="Arial" w:hAnsi="Arial"/>
          <w:sz w:val="18"/>
          <w:szCs w:val="18"/>
          <w:b w:val="1"/>
          <w:bCs w:val="1"/>
          <w:color w:val="auto"/>
        </w:rPr>
        <w:t>FINANCIAL CONDITION AND RESULTS OF OPERATIONS</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20"/>
          <w:szCs w:val="20"/>
          <w:i w:val="1"/>
          <w:iCs w:val="1"/>
          <w:color w:val="auto"/>
        </w:rPr>
        <w:t>(dollars in millions, except per share data)</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Spinoff</w:t>
      </w:r>
    </w:p>
    <w:p>
      <w:pPr>
        <w:spacing w:after="0" w:line="189"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On June 30, 2014, we became an independent company as a result of the distribution by The Timken Company (Timken) of 100 percent of the outstanding common shares of TimkenSteel to Timken shareholders (the spinoff). Each Timken shareholder of record as of the close of business on June 23, 2014 (the Record Date) received one TimkenSteel common share for every two Timken common shares held as of the Record Date. The spinoff was completed on June 30, 2014 and was structured to be tax-free to both Timken and TimkenSteel shareholders.</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Overview</w:t>
      </w:r>
    </w:p>
    <w:p>
      <w:pPr>
        <w:spacing w:after="0" w:line="189"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6"/>
          <w:szCs w:val="16"/>
          <w:color w:val="auto"/>
        </w:rPr>
        <w:t>We believe, based on our knowledge of the steel industry, that we are the only focused special bar quality (SBQ) steel producer in North America and have the largest SBQ steel large bar (6 inch diameter and greater) production capacity among the North American steel producers. In addition, based on our internal estimates, we believe we have historically supplied, on average, approximately 40% of the seamless mechanical tube demand in North America.</w:t>
      </w:r>
    </w:p>
    <w:p>
      <w:pPr>
        <w:spacing w:after="0" w:line="106" w:lineRule="exact"/>
        <w:rPr>
          <w:sz w:val="20"/>
          <w:szCs w:val="20"/>
          <w:color w:val="auto"/>
        </w:rPr>
      </w:pPr>
    </w:p>
    <w:p>
      <w:pPr>
        <w:jc w:val="both"/>
        <w:ind w:firstLine="648"/>
        <w:spacing w:after="0" w:line="293" w:lineRule="auto"/>
        <w:rPr>
          <w:sz w:val="20"/>
          <w:szCs w:val="20"/>
          <w:color w:val="auto"/>
        </w:rPr>
      </w:pPr>
      <w:r>
        <w:rPr>
          <w:rFonts w:ascii="Arial" w:cs="Arial" w:eastAsia="Arial" w:hAnsi="Arial"/>
          <w:sz w:val="16"/>
          <w:szCs w:val="16"/>
          <w:color w:val="auto"/>
        </w:rPr>
        <w:t>We believe we are the leading manufacturer of SBQ steel large bars (6 inch in diameter and greater) and seamless mechanical tubing in North America and the only high volume steel manufacturer with capabilities of developing SBQ steel large bars up to sixteen inches in diameter. We believe the TimkenSteel business model is unique in our industry in that we have the flexibility to produce customized SBQ steel for our customers in high or low volume, as the situation dictates, whereas most producers of customized SBQ steel products generally produce in only either high or low volume, but not both. We focus on creating tailored products and services for our customers’ most demanding applications. Our engineers are experts in both materials and applications, so we can work closely with each customer to deliver flexible solutions related to our products as well as to their applications and supply chains.</w:t>
      </w:r>
    </w:p>
    <w:p>
      <w:pPr>
        <w:spacing w:after="0" w:line="124"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We manufacture alloy steel, as well as carbon and micro-alloy steel, with an annual melt capacity of approximately 2 million tons. Our portfolio includes SBQ bars, seamless mechanical tubing and precision steel components. In addition, we supply machining and thermal treatment services, as well as manage raw material recycling programs, which are done as a feeder system for our operations.</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Capital Investments</w:t>
      </w:r>
    </w:p>
    <w:p>
      <w:pPr>
        <w:spacing w:after="0" w:line="18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Our recent investments are expected to significantly strengthen our position as a leader in providing differentiated solutions for the energy, industrial and automotive market sectors, while enhancing our operational performance and customer service capabilities.</w:t>
      </w:r>
    </w:p>
    <w:p>
      <w:pPr>
        <w:spacing w:after="0" w:line="130"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On July 17, 2014, we announced plans to open an additional continuous heat-treat facility in the U.S. to produce more value-added steel for demanding applications. We are evaluating locations for the continuous thermal heat-treat operations and we plan to make that decision in the third quarter of 2014. We anticipate the facility to be fully operational within two years and have capacity for 50,000 process-tons annually of 4-inch to 13-inch bars and tubes. This facility would be larger than each of the company's three existing thermal treatment facilities in Canton, OH. The investment is expected to be approximately $40 million.</w:t>
      </w:r>
    </w:p>
    <w:p>
      <w:pPr>
        <w:spacing w:after="0" w:line="148"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In April 2012, we began construction on a vertical continuous caster at our Faircrest Steel plant based in Canton, Ohio. The new caster, combined with a recent investment in a new ladle refiner, will improve productivity, increase capacity and expand our product range, which will provide large bar capabilities unique in the United States. This project aims to primarily serve the energy and industrial market sectors. The continuous caster is expected to improve yield productivity by approximately 10% annually. When the caster is complete, the result is expected to be an additional 125,000 tons of annual production capacity. The total cost of the vertical continuous caster is expected to reach approximately $200 million. As of June 30, 2014, approximately $181 million of costs had been incurred related to the new caster. The caster is expected to begin production in the third quarter of 2014. The new ladle refiner became fully operational in May 2013 and has nearly doubled the refining capacity of the Faircrest Steel plant and has added annual ship ton capacity of approximately 40,000 tons.</w:t>
      </w:r>
    </w:p>
    <w:p>
      <w:pPr>
        <w:spacing w:after="0" w:line="152"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A $50 million steel tube intermediate finishing line (IFL), project was completed in February 2013. This investment was made to increase operational efficiency, quality and safety in our steel tube manufacturing operations. The new IFL incorporates the latest technology and employs lean processes, which have improved associate safety through reduced product handling and material movements and led to reduced in-process inventory. Customer service has been improved through a 65% reduction in</w:t>
      </w:r>
    </w:p>
    <w:p>
      <w:pPr>
        <w:spacing w:after="0" w:line="3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580" w:right="239" w:bottom="1440" w:gutter="0" w:footer="0" w:header="0"/>
        </w:sectPr>
      </w:pPr>
    </w:p>
    <w:bookmarkStart w:id="21" w:name="page22"/>
    <w:bookmarkEnd w:id="21"/>
    <w:p>
      <w:pPr>
        <w:jc w:val="both"/>
        <w:ind w:right="20"/>
        <w:spacing w:after="0" w:line="277" w:lineRule="auto"/>
        <w:rPr>
          <w:sz w:val="20"/>
          <w:szCs w:val="20"/>
          <w:color w:val="auto"/>
        </w:rPr>
      </w:pPr>
      <w:r>
        <w:rPr>
          <w:rFonts w:ascii="Arial" w:cs="Arial" w:eastAsia="Arial" w:hAnsi="Arial"/>
          <w:sz w:val="18"/>
          <w:szCs w:val="18"/>
          <w:color w:val="auto"/>
        </w:rPr>
        <w:t>steel tube finishing cycle time, while finishing labor productivity has increased by 40%. The IFL also incorporates an environmentally friendly water jet de-scaling spray system that replaces the former pickling process.</w:t>
      </w:r>
    </w:p>
    <w:p>
      <w:pPr>
        <w:spacing w:after="0" w:line="130"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An in-line forge press was completed in December 2012 at a cost of $35 million. The 3,300-ton forge press offers our customers sound-center engineered steel bars. The investment provides an opportunity to focus on new markets, adds additional capacity and operating efficiencies. The forge press uses an innovative large-bar forged-rolled process, which we developed and installed to enhance center soundness of a larger cross-section of our SBQ steel. Combined with our recent investment in an ultrasonic test large-bar inspection line, the new forging capabilities reinforces our position as a premier provider of sound-center large bars of up to 16 inches in diameter.</w:t>
      </w:r>
    </w:p>
    <w:p>
      <w:pPr>
        <w:spacing w:after="0" w:line="148"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These investments reinforce our position of offering what we believe to be the broadest SBQ steel large bar and seamless mechanical tubing steel capabilities in North America.</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Results of Operations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212090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3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860" w:type="dxa"/>
            <w:vAlign w:val="bottom"/>
          </w:tcPr>
          <w:p>
            <w:pPr>
              <w:spacing w:after="0"/>
              <w:rPr>
                <w:sz w:val="20"/>
                <w:szCs w:val="20"/>
                <w:color w:val="auto"/>
              </w:rPr>
            </w:pPr>
          </w:p>
        </w:tc>
        <w:tc>
          <w:tcPr>
            <w:tcW w:w="2260" w:type="dxa"/>
            <w:vAlign w:val="bottom"/>
          </w:tcPr>
          <w:p>
            <w:pPr>
              <w:spacing w:after="0"/>
              <w:rPr>
                <w:sz w:val="20"/>
                <w:szCs w:val="20"/>
                <w:color w:val="auto"/>
              </w:rPr>
            </w:pPr>
          </w:p>
        </w:tc>
        <w:tc>
          <w:tcPr>
            <w:tcW w:w="2960" w:type="dxa"/>
            <w:vAlign w:val="bottom"/>
            <w:gridSpan w:val="2"/>
          </w:tcPr>
          <w:p>
            <w:pPr>
              <w:jc w:val="right"/>
              <w:ind w:right="350"/>
              <w:spacing w:after="0"/>
              <w:rPr>
                <w:sz w:val="20"/>
                <w:szCs w:val="20"/>
                <w:color w:val="auto"/>
              </w:rPr>
            </w:pPr>
            <w:r>
              <w:rPr>
                <w:rFonts w:ascii="Arial" w:cs="Arial" w:eastAsia="Arial" w:hAnsi="Arial"/>
                <w:sz w:val="18"/>
                <w:szCs w:val="18"/>
                <w:b w:val="1"/>
                <w:bCs w:val="1"/>
                <w:color w:val="auto"/>
                <w:w w:val="97"/>
              </w:rPr>
              <w:t>Three Months Ended June 30,</w:t>
            </w:r>
          </w:p>
        </w:tc>
        <w:tc>
          <w:tcPr>
            <w:tcW w:w="1340" w:type="dxa"/>
            <w:vAlign w:val="bottom"/>
          </w:tcPr>
          <w:p>
            <w:pPr>
              <w:spacing w:after="0"/>
              <w:rPr>
                <w:sz w:val="20"/>
                <w:szCs w:val="20"/>
                <w:color w:val="auto"/>
              </w:rPr>
            </w:pPr>
          </w:p>
        </w:tc>
      </w:tr>
      <w:tr>
        <w:trPr>
          <w:trHeight w:val="27"/>
        </w:trPr>
        <w:tc>
          <w:tcPr>
            <w:tcW w:w="4860" w:type="dxa"/>
            <w:vAlign w:val="bottom"/>
            <w:tcBorders>
              <w:bottom w:val="single" w:sz="8" w:color="auto"/>
            </w:tcBorders>
          </w:tcPr>
          <w:p>
            <w:pPr>
              <w:spacing w:after="0"/>
              <w:rPr>
                <w:sz w:val="2"/>
                <w:szCs w:val="2"/>
                <w:color w:val="auto"/>
              </w:rPr>
            </w:pPr>
          </w:p>
        </w:tc>
        <w:tc>
          <w:tcPr>
            <w:tcW w:w="22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37"/>
        </w:trPr>
        <w:tc>
          <w:tcPr>
            <w:tcW w:w="4860" w:type="dxa"/>
            <w:vAlign w:val="bottom"/>
          </w:tcPr>
          <w:p>
            <w:pPr>
              <w:spacing w:after="0"/>
              <w:rPr>
                <w:sz w:val="20"/>
                <w:szCs w:val="20"/>
                <w:color w:val="auto"/>
              </w:rPr>
            </w:pPr>
          </w:p>
        </w:tc>
        <w:tc>
          <w:tcPr>
            <w:tcW w:w="2260" w:type="dxa"/>
            <w:vAlign w:val="bottom"/>
          </w:tcPr>
          <w:p>
            <w:pPr>
              <w:jc w:val="right"/>
              <w:ind w:right="630"/>
              <w:spacing w:after="0"/>
              <w:rPr>
                <w:sz w:val="20"/>
                <w:szCs w:val="20"/>
                <w:color w:val="auto"/>
              </w:rPr>
            </w:pPr>
            <w:r>
              <w:rPr>
                <w:rFonts w:ascii="Arial" w:cs="Arial" w:eastAsia="Arial" w:hAnsi="Arial"/>
                <w:sz w:val="18"/>
                <w:szCs w:val="18"/>
                <w:b w:val="1"/>
                <w:bCs w:val="1"/>
                <w:color w:val="auto"/>
              </w:rPr>
              <w:t>2014</w:t>
            </w:r>
          </w:p>
        </w:tc>
        <w:tc>
          <w:tcPr>
            <w:tcW w:w="1560" w:type="dxa"/>
            <w:vAlign w:val="bottom"/>
          </w:tcPr>
          <w:p>
            <w:pPr>
              <w:jc w:val="right"/>
              <w:ind w:right="630"/>
              <w:spacing w:after="0"/>
              <w:rPr>
                <w:sz w:val="20"/>
                <w:szCs w:val="20"/>
                <w:color w:val="auto"/>
              </w:rPr>
            </w:pPr>
            <w:r>
              <w:rPr>
                <w:rFonts w:ascii="Arial" w:cs="Arial" w:eastAsia="Arial" w:hAnsi="Arial"/>
                <w:sz w:val="18"/>
                <w:szCs w:val="18"/>
                <w:b w:val="1"/>
                <w:bCs w:val="1"/>
                <w:color w:val="auto"/>
              </w:rPr>
              <w:t>2013</w:t>
            </w:r>
          </w:p>
        </w:tc>
        <w:tc>
          <w:tcPr>
            <w:tcW w:w="1400" w:type="dxa"/>
            <w:vAlign w:val="bottom"/>
          </w:tcPr>
          <w:p>
            <w:pPr>
              <w:jc w:val="right"/>
              <w:ind w:right="350"/>
              <w:spacing w:after="0"/>
              <w:rPr>
                <w:sz w:val="20"/>
                <w:szCs w:val="20"/>
                <w:color w:val="auto"/>
              </w:rPr>
            </w:pPr>
            <w:r>
              <w:rPr>
                <w:rFonts w:ascii="Arial" w:cs="Arial" w:eastAsia="Arial" w:hAnsi="Arial"/>
                <w:sz w:val="18"/>
                <w:szCs w:val="18"/>
                <w:b w:val="1"/>
                <w:bCs w:val="1"/>
                <w:color w:val="auto"/>
              </w:rPr>
              <w:t>$ Change</w:t>
            </w:r>
          </w:p>
        </w:tc>
        <w:tc>
          <w:tcPr>
            <w:tcW w:w="1340" w:type="dxa"/>
            <w:vAlign w:val="bottom"/>
          </w:tcPr>
          <w:p>
            <w:pPr>
              <w:jc w:val="right"/>
              <w:ind w:right="190"/>
              <w:spacing w:after="0"/>
              <w:rPr>
                <w:sz w:val="20"/>
                <w:szCs w:val="20"/>
                <w:color w:val="auto"/>
              </w:rPr>
            </w:pPr>
            <w:r>
              <w:rPr>
                <w:rFonts w:ascii="Arial" w:cs="Arial" w:eastAsia="Arial" w:hAnsi="Arial"/>
                <w:sz w:val="18"/>
                <w:szCs w:val="18"/>
                <w:b w:val="1"/>
                <w:bCs w:val="1"/>
                <w:color w:val="auto"/>
              </w:rPr>
              <w:t>% Change</w:t>
            </w:r>
          </w:p>
        </w:tc>
      </w:tr>
      <w:tr>
        <w:trPr>
          <w:trHeight w:val="27"/>
        </w:trPr>
        <w:tc>
          <w:tcPr>
            <w:tcW w:w="4860" w:type="dxa"/>
            <w:vAlign w:val="bottom"/>
            <w:tcBorders>
              <w:bottom w:val="single" w:sz="8" w:color="auto"/>
            </w:tcBorders>
          </w:tcPr>
          <w:p>
            <w:pPr>
              <w:spacing w:after="0"/>
              <w:rPr>
                <w:sz w:val="2"/>
                <w:szCs w:val="2"/>
                <w:color w:val="auto"/>
              </w:rPr>
            </w:pPr>
          </w:p>
        </w:tc>
        <w:tc>
          <w:tcPr>
            <w:tcW w:w="22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44"/>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22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$442.2</w:t>
            </w:r>
          </w:p>
        </w:tc>
        <w:tc>
          <w:tcPr>
            <w:tcW w:w="15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$354.1</w:t>
            </w:r>
          </w:p>
        </w:tc>
        <w:tc>
          <w:tcPr>
            <w:tcW w:w="1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$88.1</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24.9%</w:t>
            </w:r>
          </w:p>
        </w:tc>
      </w:tr>
      <w:tr>
        <w:trPr>
          <w:trHeight w:val="243"/>
        </w:trPr>
        <w:tc>
          <w:tcPr>
            <w:tcW w:w="4860" w:type="dxa"/>
            <w:vAlign w:val="bottom"/>
          </w:tcPr>
          <w:p>
            <w:pPr>
              <w:ind w:left="40"/>
              <w:spacing w:after="0"/>
              <w:rPr>
                <w:sz w:val="20"/>
                <w:szCs w:val="20"/>
                <w:color w:val="auto"/>
              </w:rPr>
            </w:pPr>
            <w:r>
              <w:rPr>
                <w:rFonts w:ascii="Arial" w:cs="Arial" w:eastAsia="Arial" w:hAnsi="Arial"/>
                <w:sz w:val="18"/>
                <w:szCs w:val="18"/>
                <w:color w:val="auto"/>
              </w:rPr>
              <w:t>Net sales, excluding surcharges</w:t>
            </w:r>
          </w:p>
        </w:tc>
        <w:tc>
          <w:tcPr>
            <w:tcW w:w="2260" w:type="dxa"/>
            <w:vAlign w:val="bottom"/>
          </w:tcPr>
          <w:p>
            <w:pPr>
              <w:jc w:val="right"/>
              <w:ind w:right="290"/>
              <w:spacing w:after="0"/>
              <w:rPr>
                <w:sz w:val="20"/>
                <w:szCs w:val="20"/>
                <w:color w:val="auto"/>
              </w:rPr>
            </w:pPr>
            <w:r>
              <w:rPr>
                <w:rFonts w:ascii="Arial" w:cs="Arial" w:eastAsia="Arial" w:hAnsi="Arial"/>
                <w:sz w:val="18"/>
                <w:szCs w:val="18"/>
                <w:b w:val="1"/>
                <w:bCs w:val="1"/>
                <w:color w:val="auto"/>
              </w:rPr>
              <w:t>339.8</w:t>
            </w:r>
          </w:p>
        </w:tc>
        <w:tc>
          <w:tcPr>
            <w:tcW w:w="1560" w:type="dxa"/>
            <w:vAlign w:val="bottom"/>
          </w:tcPr>
          <w:p>
            <w:pPr>
              <w:jc w:val="right"/>
              <w:ind w:right="290"/>
              <w:spacing w:after="0"/>
              <w:rPr>
                <w:sz w:val="20"/>
                <w:szCs w:val="20"/>
                <w:color w:val="auto"/>
              </w:rPr>
            </w:pPr>
            <w:r>
              <w:rPr>
                <w:rFonts w:ascii="Arial" w:cs="Arial" w:eastAsia="Arial" w:hAnsi="Arial"/>
                <w:sz w:val="18"/>
                <w:szCs w:val="18"/>
                <w:color w:val="auto"/>
              </w:rPr>
              <w:t>276.2</w:t>
            </w:r>
          </w:p>
        </w:tc>
        <w:tc>
          <w:tcPr>
            <w:tcW w:w="1400" w:type="dxa"/>
            <w:vAlign w:val="bottom"/>
          </w:tcPr>
          <w:p>
            <w:pPr>
              <w:jc w:val="right"/>
              <w:ind w:right="150"/>
              <w:spacing w:after="0"/>
              <w:rPr>
                <w:sz w:val="20"/>
                <w:szCs w:val="20"/>
                <w:color w:val="auto"/>
              </w:rPr>
            </w:pPr>
            <w:r>
              <w:rPr>
                <w:rFonts w:ascii="Arial" w:cs="Arial" w:eastAsia="Arial" w:hAnsi="Arial"/>
                <w:sz w:val="18"/>
                <w:szCs w:val="18"/>
                <w:color w:val="auto"/>
              </w:rPr>
              <w:t>63.6</w:t>
            </w:r>
          </w:p>
        </w:tc>
        <w:tc>
          <w:tcPr>
            <w:tcW w:w="1340" w:type="dxa"/>
            <w:vAlign w:val="bottom"/>
          </w:tcPr>
          <w:p>
            <w:pPr>
              <w:jc w:val="right"/>
              <w:spacing w:after="0"/>
              <w:rPr>
                <w:sz w:val="20"/>
                <w:szCs w:val="20"/>
                <w:color w:val="auto"/>
              </w:rPr>
            </w:pPr>
            <w:r>
              <w:rPr>
                <w:rFonts w:ascii="Arial" w:cs="Arial" w:eastAsia="Arial" w:hAnsi="Arial"/>
                <w:sz w:val="18"/>
                <w:szCs w:val="18"/>
                <w:color w:val="auto"/>
              </w:rPr>
              <w:t>23.0%</w:t>
            </w:r>
          </w:p>
        </w:tc>
      </w:tr>
      <w:tr>
        <w:trPr>
          <w:trHeight w:val="27"/>
        </w:trPr>
        <w:tc>
          <w:tcPr>
            <w:tcW w:w="486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Gross profit</w:t>
            </w:r>
          </w:p>
        </w:tc>
        <w:tc>
          <w:tcPr>
            <w:tcW w:w="22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72.7</w:t>
            </w:r>
          </w:p>
        </w:tc>
        <w:tc>
          <w:tcPr>
            <w:tcW w:w="15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62.6</w:t>
            </w:r>
          </w:p>
        </w:tc>
        <w:tc>
          <w:tcPr>
            <w:tcW w:w="1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10.1</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16.1%</w:t>
            </w:r>
          </w:p>
        </w:tc>
      </w:tr>
      <w:tr>
        <w:trPr>
          <w:trHeight w:val="243"/>
        </w:trPr>
        <w:tc>
          <w:tcPr>
            <w:tcW w:w="4860" w:type="dxa"/>
            <w:vAlign w:val="bottom"/>
          </w:tcPr>
          <w:p>
            <w:pPr>
              <w:ind w:left="40"/>
              <w:spacing w:after="0"/>
              <w:rPr>
                <w:sz w:val="20"/>
                <w:szCs w:val="20"/>
                <w:color w:val="auto"/>
              </w:rPr>
            </w:pPr>
            <w:r>
              <w:rPr>
                <w:rFonts w:ascii="Arial" w:cs="Arial" w:eastAsia="Arial" w:hAnsi="Arial"/>
                <w:sz w:val="18"/>
                <w:szCs w:val="18"/>
                <w:color w:val="auto"/>
              </w:rPr>
              <w:t>Gross margin</w:t>
            </w:r>
          </w:p>
        </w:tc>
        <w:tc>
          <w:tcPr>
            <w:tcW w:w="2260" w:type="dxa"/>
            <w:vAlign w:val="bottom"/>
          </w:tcPr>
          <w:p>
            <w:pPr>
              <w:jc w:val="right"/>
              <w:ind w:right="110"/>
              <w:spacing w:after="0"/>
              <w:rPr>
                <w:sz w:val="20"/>
                <w:szCs w:val="20"/>
                <w:color w:val="auto"/>
              </w:rPr>
            </w:pPr>
            <w:r>
              <w:rPr>
                <w:rFonts w:ascii="Arial" w:cs="Arial" w:eastAsia="Arial" w:hAnsi="Arial"/>
                <w:sz w:val="18"/>
                <w:szCs w:val="18"/>
                <w:b w:val="1"/>
                <w:bCs w:val="1"/>
                <w:color w:val="auto"/>
              </w:rPr>
              <w:t>16.4%</w:t>
            </w:r>
          </w:p>
        </w:tc>
        <w:tc>
          <w:tcPr>
            <w:tcW w:w="1560" w:type="dxa"/>
            <w:vAlign w:val="bottom"/>
          </w:tcPr>
          <w:p>
            <w:pPr>
              <w:jc w:val="right"/>
              <w:ind w:right="130"/>
              <w:spacing w:after="0"/>
              <w:rPr>
                <w:sz w:val="20"/>
                <w:szCs w:val="20"/>
                <w:color w:val="auto"/>
              </w:rPr>
            </w:pPr>
            <w:r>
              <w:rPr>
                <w:rFonts w:ascii="Arial" w:cs="Arial" w:eastAsia="Arial" w:hAnsi="Arial"/>
                <w:sz w:val="18"/>
                <w:szCs w:val="18"/>
                <w:color w:val="auto"/>
              </w:rPr>
              <w:t>17.7%</w:t>
            </w:r>
          </w:p>
        </w:tc>
        <w:tc>
          <w:tcPr>
            <w:tcW w:w="1400" w:type="dxa"/>
            <w:vAlign w:val="bottom"/>
          </w:tcPr>
          <w:p>
            <w:pPr>
              <w:jc w:val="right"/>
              <w:ind w:right="150"/>
              <w:spacing w:after="0"/>
              <w:rPr>
                <w:sz w:val="20"/>
                <w:szCs w:val="20"/>
                <w:color w:val="auto"/>
              </w:rPr>
            </w:pPr>
            <w:r>
              <w:rPr>
                <w:rFonts w:ascii="Arial" w:cs="Arial" w:eastAsia="Arial" w:hAnsi="Arial"/>
                <w:sz w:val="18"/>
                <w:szCs w:val="18"/>
                <w:color w:val="auto"/>
              </w:rPr>
              <w:t>NM</w:t>
            </w:r>
          </w:p>
        </w:tc>
        <w:tc>
          <w:tcPr>
            <w:tcW w:w="1340" w:type="dxa"/>
            <w:vAlign w:val="bottom"/>
          </w:tcPr>
          <w:p>
            <w:pPr>
              <w:jc w:val="right"/>
              <w:spacing w:after="0"/>
              <w:rPr>
                <w:sz w:val="20"/>
                <w:szCs w:val="20"/>
                <w:color w:val="auto"/>
              </w:rPr>
            </w:pPr>
            <w:r>
              <w:rPr>
                <w:rFonts w:ascii="Arial" w:cs="Arial" w:eastAsia="Arial" w:hAnsi="Arial"/>
                <w:sz w:val="18"/>
                <w:szCs w:val="18"/>
                <w:color w:val="auto"/>
              </w:rPr>
              <w:t>(130) bps</w:t>
            </w:r>
          </w:p>
        </w:tc>
      </w:tr>
      <w:tr>
        <w:trPr>
          <w:trHeight w:val="27"/>
        </w:trPr>
        <w:tc>
          <w:tcPr>
            <w:tcW w:w="486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Selling, general and administrative expenses</w:t>
            </w:r>
          </w:p>
        </w:tc>
        <w:tc>
          <w:tcPr>
            <w:tcW w:w="22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26.1</w:t>
            </w:r>
          </w:p>
        </w:tc>
        <w:tc>
          <w:tcPr>
            <w:tcW w:w="15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23.7</w:t>
            </w:r>
          </w:p>
        </w:tc>
        <w:tc>
          <w:tcPr>
            <w:tcW w:w="1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2.4</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10.1%</w:t>
            </w:r>
          </w:p>
        </w:tc>
      </w:tr>
      <w:tr>
        <w:trPr>
          <w:trHeight w:val="243"/>
        </w:trPr>
        <w:tc>
          <w:tcPr>
            <w:tcW w:w="4860" w:type="dxa"/>
            <w:vAlign w:val="bottom"/>
          </w:tcPr>
          <w:p>
            <w:pPr>
              <w:ind w:left="40"/>
              <w:spacing w:after="0"/>
              <w:rPr>
                <w:sz w:val="20"/>
                <w:szCs w:val="20"/>
                <w:color w:val="auto"/>
              </w:rPr>
            </w:pPr>
            <w:r>
              <w:rPr>
                <w:rFonts w:ascii="Arial" w:cs="Arial" w:eastAsia="Arial" w:hAnsi="Arial"/>
                <w:sz w:val="18"/>
                <w:szCs w:val="18"/>
                <w:color w:val="auto"/>
              </w:rPr>
              <w:t>Net income</w:t>
            </w:r>
          </w:p>
        </w:tc>
        <w:tc>
          <w:tcPr>
            <w:tcW w:w="2260" w:type="dxa"/>
            <w:vAlign w:val="bottom"/>
          </w:tcPr>
          <w:p>
            <w:pPr>
              <w:jc w:val="right"/>
              <w:ind w:right="290"/>
              <w:spacing w:after="0"/>
              <w:rPr>
                <w:sz w:val="20"/>
                <w:szCs w:val="20"/>
                <w:color w:val="auto"/>
              </w:rPr>
            </w:pPr>
            <w:r>
              <w:rPr>
                <w:rFonts w:ascii="Arial" w:cs="Arial" w:eastAsia="Arial" w:hAnsi="Arial"/>
                <w:sz w:val="18"/>
                <w:szCs w:val="18"/>
                <w:b w:val="1"/>
                <w:bCs w:val="1"/>
                <w:color w:val="auto"/>
              </w:rPr>
              <w:t>28.6</w:t>
            </w:r>
          </w:p>
        </w:tc>
        <w:tc>
          <w:tcPr>
            <w:tcW w:w="1560" w:type="dxa"/>
            <w:vAlign w:val="bottom"/>
          </w:tcPr>
          <w:p>
            <w:pPr>
              <w:jc w:val="right"/>
              <w:ind w:right="290"/>
              <w:spacing w:after="0"/>
              <w:rPr>
                <w:sz w:val="20"/>
                <w:szCs w:val="20"/>
                <w:color w:val="auto"/>
              </w:rPr>
            </w:pPr>
            <w:r>
              <w:rPr>
                <w:rFonts w:ascii="Arial" w:cs="Arial" w:eastAsia="Arial" w:hAnsi="Arial"/>
                <w:sz w:val="18"/>
                <w:szCs w:val="18"/>
                <w:color w:val="auto"/>
              </w:rPr>
              <w:t>25.3</w:t>
            </w:r>
          </w:p>
        </w:tc>
        <w:tc>
          <w:tcPr>
            <w:tcW w:w="1400" w:type="dxa"/>
            <w:vAlign w:val="bottom"/>
          </w:tcPr>
          <w:p>
            <w:pPr>
              <w:jc w:val="right"/>
              <w:ind w:right="150"/>
              <w:spacing w:after="0"/>
              <w:rPr>
                <w:sz w:val="20"/>
                <w:szCs w:val="20"/>
                <w:color w:val="auto"/>
              </w:rPr>
            </w:pPr>
            <w:r>
              <w:rPr>
                <w:rFonts w:ascii="Arial" w:cs="Arial" w:eastAsia="Arial" w:hAnsi="Arial"/>
                <w:sz w:val="18"/>
                <w:szCs w:val="18"/>
                <w:color w:val="auto"/>
              </w:rPr>
              <w:t>3.3</w:t>
            </w:r>
          </w:p>
        </w:tc>
        <w:tc>
          <w:tcPr>
            <w:tcW w:w="1340" w:type="dxa"/>
            <w:vAlign w:val="bottom"/>
          </w:tcPr>
          <w:p>
            <w:pPr>
              <w:jc w:val="right"/>
              <w:spacing w:after="0"/>
              <w:rPr>
                <w:sz w:val="20"/>
                <w:szCs w:val="20"/>
                <w:color w:val="auto"/>
              </w:rPr>
            </w:pPr>
            <w:r>
              <w:rPr>
                <w:rFonts w:ascii="Arial" w:cs="Arial" w:eastAsia="Arial" w:hAnsi="Arial"/>
                <w:sz w:val="18"/>
                <w:szCs w:val="18"/>
                <w:color w:val="auto"/>
              </w:rPr>
              <w:t>13.0%</w:t>
            </w:r>
          </w:p>
        </w:tc>
      </w:tr>
      <w:tr>
        <w:trPr>
          <w:trHeight w:val="27"/>
        </w:trPr>
        <w:tc>
          <w:tcPr>
            <w:tcW w:w="486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Scrap index per ton</w:t>
            </w:r>
          </w:p>
        </w:tc>
        <w:tc>
          <w:tcPr>
            <w:tcW w:w="22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415</w:t>
            </w:r>
          </w:p>
        </w:tc>
        <w:tc>
          <w:tcPr>
            <w:tcW w:w="15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401</w:t>
            </w:r>
          </w:p>
        </w:tc>
        <w:tc>
          <w:tcPr>
            <w:tcW w:w="1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14</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w:t>
            </w:r>
          </w:p>
        </w:tc>
      </w:tr>
      <w:tr>
        <w:trPr>
          <w:trHeight w:val="243"/>
        </w:trPr>
        <w:tc>
          <w:tcPr>
            <w:tcW w:w="4860" w:type="dxa"/>
            <w:vAlign w:val="bottom"/>
          </w:tcPr>
          <w:p>
            <w:pPr>
              <w:ind w:left="40"/>
              <w:spacing w:after="0"/>
              <w:rPr>
                <w:sz w:val="20"/>
                <w:szCs w:val="20"/>
                <w:color w:val="auto"/>
              </w:rPr>
            </w:pPr>
            <w:r>
              <w:rPr>
                <w:rFonts w:ascii="Arial" w:cs="Arial" w:eastAsia="Arial" w:hAnsi="Arial"/>
                <w:sz w:val="18"/>
                <w:szCs w:val="18"/>
                <w:color w:val="auto"/>
              </w:rPr>
              <w:t>Shipments (in tons)</w:t>
            </w:r>
          </w:p>
        </w:tc>
        <w:tc>
          <w:tcPr>
            <w:tcW w:w="2260" w:type="dxa"/>
            <w:vAlign w:val="bottom"/>
          </w:tcPr>
          <w:p>
            <w:pPr>
              <w:jc w:val="right"/>
              <w:ind w:right="290"/>
              <w:spacing w:after="0"/>
              <w:rPr>
                <w:sz w:val="20"/>
                <w:szCs w:val="20"/>
                <w:color w:val="auto"/>
              </w:rPr>
            </w:pPr>
            <w:r>
              <w:rPr>
                <w:rFonts w:ascii="Arial" w:cs="Arial" w:eastAsia="Arial" w:hAnsi="Arial"/>
                <w:sz w:val="18"/>
                <w:szCs w:val="18"/>
                <w:b w:val="1"/>
                <w:bCs w:val="1"/>
                <w:color w:val="auto"/>
              </w:rPr>
              <w:t>289,463</w:t>
            </w:r>
          </w:p>
        </w:tc>
        <w:tc>
          <w:tcPr>
            <w:tcW w:w="1560" w:type="dxa"/>
            <w:vAlign w:val="bottom"/>
          </w:tcPr>
          <w:p>
            <w:pPr>
              <w:jc w:val="right"/>
              <w:ind w:right="290"/>
              <w:spacing w:after="0"/>
              <w:rPr>
                <w:sz w:val="20"/>
                <w:szCs w:val="20"/>
                <w:color w:val="auto"/>
              </w:rPr>
            </w:pPr>
            <w:r>
              <w:rPr>
                <w:rFonts w:ascii="Arial" w:cs="Arial" w:eastAsia="Arial" w:hAnsi="Arial"/>
                <w:sz w:val="18"/>
                <w:szCs w:val="18"/>
                <w:color w:val="auto"/>
              </w:rPr>
              <w:t>238,532</w:t>
            </w:r>
          </w:p>
        </w:tc>
        <w:tc>
          <w:tcPr>
            <w:tcW w:w="1400" w:type="dxa"/>
            <w:vAlign w:val="bottom"/>
          </w:tcPr>
          <w:p>
            <w:pPr>
              <w:jc w:val="right"/>
              <w:ind w:right="150"/>
              <w:spacing w:after="0"/>
              <w:rPr>
                <w:sz w:val="20"/>
                <w:szCs w:val="20"/>
                <w:color w:val="auto"/>
              </w:rPr>
            </w:pPr>
            <w:r>
              <w:rPr>
                <w:rFonts w:ascii="Arial" w:cs="Arial" w:eastAsia="Arial" w:hAnsi="Arial"/>
                <w:sz w:val="18"/>
                <w:szCs w:val="18"/>
                <w:color w:val="auto"/>
              </w:rPr>
              <w:t>50,931</w:t>
            </w:r>
          </w:p>
        </w:tc>
        <w:tc>
          <w:tcPr>
            <w:tcW w:w="1340" w:type="dxa"/>
            <w:vAlign w:val="bottom"/>
          </w:tcPr>
          <w:p>
            <w:pPr>
              <w:jc w:val="right"/>
              <w:spacing w:after="0"/>
              <w:rPr>
                <w:sz w:val="20"/>
                <w:szCs w:val="20"/>
                <w:color w:val="auto"/>
              </w:rPr>
            </w:pPr>
            <w:r>
              <w:rPr>
                <w:rFonts w:ascii="Arial" w:cs="Arial" w:eastAsia="Arial" w:hAnsi="Arial"/>
                <w:sz w:val="18"/>
                <w:szCs w:val="18"/>
                <w:color w:val="auto"/>
              </w:rPr>
              <w:t>21.4%</w:t>
            </w:r>
          </w:p>
        </w:tc>
      </w:tr>
      <w:tr>
        <w:trPr>
          <w:trHeight w:val="27"/>
        </w:trPr>
        <w:tc>
          <w:tcPr>
            <w:tcW w:w="486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82"/>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Average selling price per ton, including surcharges</w:t>
            </w:r>
          </w:p>
        </w:tc>
        <w:tc>
          <w:tcPr>
            <w:tcW w:w="22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$1,528</w:t>
            </w:r>
          </w:p>
        </w:tc>
        <w:tc>
          <w:tcPr>
            <w:tcW w:w="15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$1,484</w:t>
            </w:r>
          </w:p>
        </w:tc>
        <w:tc>
          <w:tcPr>
            <w:tcW w:w="1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$44</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w:t>
            </w:r>
          </w:p>
        </w:tc>
      </w:tr>
      <w:tr>
        <w:trPr>
          <w:trHeight w:val="135"/>
        </w:trPr>
        <w:tc>
          <w:tcPr>
            <w:tcW w:w="4860" w:type="dxa"/>
            <w:vAlign w:val="bottom"/>
            <w:tcBorders>
              <w:top w:val="single" w:sz="8" w:color="auto"/>
              <w:bottom w:val="single" w:sz="8" w:color="auto"/>
            </w:tcBorders>
          </w:tcPr>
          <w:p>
            <w:pPr>
              <w:spacing w:after="0"/>
              <w:rPr>
                <w:sz w:val="11"/>
                <w:szCs w:val="11"/>
                <w:color w:val="auto"/>
              </w:rPr>
            </w:pPr>
          </w:p>
        </w:tc>
        <w:tc>
          <w:tcPr>
            <w:tcW w:w="2260" w:type="dxa"/>
            <w:vAlign w:val="bottom"/>
            <w:tcBorders>
              <w:top w:val="single" w:sz="8" w:color="auto"/>
              <w:bottom w:val="single" w:sz="8" w:color="auto"/>
            </w:tcBorders>
          </w:tcPr>
          <w:p>
            <w:pPr>
              <w:spacing w:after="0"/>
              <w:rPr>
                <w:sz w:val="11"/>
                <w:szCs w:val="11"/>
                <w:color w:val="auto"/>
              </w:rPr>
            </w:pPr>
          </w:p>
        </w:tc>
        <w:tc>
          <w:tcPr>
            <w:tcW w:w="2960" w:type="dxa"/>
            <w:vAlign w:val="bottom"/>
            <w:tcBorders>
              <w:top w:val="single" w:sz="8" w:color="auto"/>
              <w:bottom w:val="single" w:sz="8" w:color="auto"/>
            </w:tcBorders>
            <w:gridSpan w:val="2"/>
          </w:tcPr>
          <w:p>
            <w:pPr>
              <w:spacing w:after="0"/>
              <w:rPr>
                <w:sz w:val="11"/>
                <w:szCs w:val="11"/>
                <w:color w:val="auto"/>
              </w:rPr>
            </w:pPr>
          </w:p>
        </w:tc>
        <w:tc>
          <w:tcPr>
            <w:tcW w:w="1340" w:type="dxa"/>
            <w:vAlign w:val="bottom"/>
            <w:tcBorders>
              <w:top w:val="single" w:sz="8" w:color="auto"/>
              <w:bottom w:val="single" w:sz="8" w:color="auto"/>
            </w:tcBorders>
          </w:tcPr>
          <w:p>
            <w:pPr>
              <w:spacing w:after="0"/>
              <w:rPr>
                <w:sz w:val="11"/>
                <w:szCs w:val="11"/>
                <w:color w:val="auto"/>
              </w:rPr>
            </w:pPr>
          </w:p>
        </w:tc>
      </w:tr>
      <w:tr>
        <w:trPr>
          <w:trHeight w:val="237"/>
        </w:trPr>
        <w:tc>
          <w:tcPr>
            <w:tcW w:w="4860" w:type="dxa"/>
            <w:vAlign w:val="bottom"/>
          </w:tcPr>
          <w:p>
            <w:pPr>
              <w:spacing w:after="0"/>
              <w:rPr>
                <w:sz w:val="20"/>
                <w:szCs w:val="20"/>
                <w:color w:val="auto"/>
              </w:rPr>
            </w:pPr>
          </w:p>
        </w:tc>
        <w:tc>
          <w:tcPr>
            <w:tcW w:w="2260" w:type="dxa"/>
            <w:vAlign w:val="bottom"/>
          </w:tcPr>
          <w:p>
            <w:pPr>
              <w:spacing w:after="0"/>
              <w:rPr>
                <w:sz w:val="20"/>
                <w:szCs w:val="20"/>
                <w:color w:val="auto"/>
              </w:rPr>
            </w:pPr>
          </w:p>
        </w:tc>
        <w:tc>
          <w:tcPr>
            <w:tcW w:w="2960" w:type="dxa"/>
            <w:vAlign w:val="bottom"/>
            <w:gridSpan w:val="2"/>
          </w:tcPr>
          <w:p>
            <w:pPr>
              <w:jc w:val="right"/>
              <w:ind w:right="470"/>
              <w:spacing w:after="0"/>
              <w:rPr>
                <w:sz w:val="20"/>
                <w:szCs w:val="20"/>
                <w:color w:val="auto"/>
              </w:rPr>
            </w:pPr>
            <w:r>
              <w:rPr>
                <w:rFonts w:ascii="Arial" w:cs="Arial" w:eastAsia="Arial" w:hAnsi="Arial"/>
                <w:sz w:val="18"/>
                <w:szCs w:val="18"/>
                <w:b w:val="1"/>
                <w:bCs w:val="1"/>
                <w:color w:val="auto"/>
              </w:rPr>
              <w:t>Six Months Ended June 30,</w:t>
            </w:r>
          </w:p>
        </w:tc>
        <w:tc>
          <w:tcPr>
            <w:tcW w:w="1340" w:type="dxa"/>
            <w:vAlign w:val="bottom"/>
          </w:tcPr>
          <w:p>
            <w:pPr>
              <w:spacing w:after="0"/>
              <w:rPr>
                <w:sz w:val="20"/>
                <w:szCs w:val="20"/>
                <w:color w:val="auto"/>
              </w:rPr>
            </w:pPr>
          </w:p>
        </w:tc>
      </w:tr>
      <w:tr>
        <w:trPr>
          <w:trHeight w:val="27"/>
        </w:trPr>
        <w:tc>
          <w:tcPr>
            <w:tcW w:w="4860" w:type="dxa"/>
            <w:vAlign w:val="bottom"/>
            <w:tcBorders>
              <w:bottom w:val="single" w:sz="8" w:color="auto"/>
            </w:tcBorders>
          </w:tcPr>
          <w:p>
            <w:pPr>
              <w:spacing w:after="0"/>
              <w:rPr>
                <w:sz w:val="2"/>
                <w:szCs w:val="2"/>
                <w:color w:val="auto"/>
              </w:rPr>
            </w:pPr>
          </w:p>
        </w:tc>
        <w:tc>
          <w:tcPr>
            <w:tcW w:w="22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37"/>
        </w:trPr>
        <w:tc>
          <w:tcPr>
            <w:tcW w:w="4860" w:type="dxa"/>
            <w:vAlign w:val="bottom"/>
          </w:tcPr>
          <w:p>
            <w:pPr>
              <w:spacing w:after="0"/>
              <w:rPr>
                <w:sz w:val="20"/>
                <w:szCs w:val="20"/>
                <w:color w:val="auto"/>
              </w:rPr>
            </w:pPr>
          </w:p>
        </w:tc>
        <w:tc>
          <w:tcPr>
            <w:tcW w:w="2260" w:type="dxa"/>
            <w:vAlign w:val="bottom"/>
          </w:tcPr>
          <w:p>
            <w:pPr>
              <w:jc w:val="right"/>
              <w:ind w:right="630"/>
              <w:spacing w:after="0"/>
              <w:rPr>
                <w:sz w:val="20"/>
                <w:szCs w:val="20"/>
                <w:color w:val="auto"/>
              </w:rPr>
            </w:pPr>
            <w:r>
              <w:rPr>
                <w:rFonts w:ascii="Arial" w:cs="Arial" w:eastAsia="Arial" w:hAnsi="Arial"/>
                <w:sz w:val="18"/>
                <w:szCs w:val="18"/>
                <w:b w:val="1"/>
                <w:bCs w:val="1"/>
                <w:color w:val="auto"/>
              </w:rPr>
              <w:t>2014</w:t>
            </w:r>
          </w:p>
        </w:tc>
        <w:tc>
          <w:tcPr>
            <w:tcW w:w="1560" w:type="dxa"/>
            <w:vAlign w:val="bottom"/>
          </w:tcPr>
          <w:p>
            <w:pPr>
              <w:jc w:val="right"/>
              <w:ind w:right="630"/>
              <w:spacing w:after="0"/>
              <w:rPr>
                <w:sz w:val="20"/>
                <w:szCs w:val="20"/>
                <w:color w:val="auto"/>
              </w:rPr>
            </w:pPr>
            <w:r>
              <w:rPr>
                <w:rFonts w:ascii="Arial" w:cs="Arial" w:eastAsia="Arial" w:hAnsi="Arial"/>
                <w:sz w:val="18"/>
                <w:szCs w:val="18"/>
                <w:b w:val="1"/>
                <w:bCs w:val="1"/>
                <w:color w:val="auto"/>
              </w:rPr>
              <w:t>2013</w:t>
            </w:r>
          </w:p>
        </w:tc>
        <w:tc>
          <w:tcPr>
            <w:tcW w:w="1400" w:type="dxa"/>
            <w:vAlign w:val="bottom"/>
          </w:tcPr>
          <w:p>
            <w:pPr>
              <w:jc w:val="right"/>
              <w:ind w:right="350"/>
              <w:spacing w:after="0"/>
              <w:rPr>
                <w:sz w:val="20"/>
                <w:szCs w:val="20"/>
                <w:color w:val="auto"/>
              </w:rPr>
            </w:pPr>
            <w:r>
              <w:rPr>
                <w:rFonts w:ascii="Arial" w:cs="Arial" w:eastAsia="Arial" w:hAnsi="Arial"/>
                <w:sz w:val="18"/>
                <w:szCs w:val="18"/>
                <w:b w:val="1"/>
                <w:bCs w:val="1"/>
                <w:color w:val="auto"/>
              </w:rPr>
              <w:t>$ Change</w:t>
            </w:r>
          </w:p>
        </w:tc>
        <w:tc>
          <w:tcPr>
            <w:tcW w:w="1340" w:type="dxa"/>
            <w:vAlign w:val="bottom"/>
          </w:tcPr>
          <w:p>
            <w:pPr>
              <w:jc w:val="right"/>
              <w:ind w:right="190"/>
              <w:spacing w:after="0"/>
              <w:rPr>
                <w:sz w:val="20"/>
                <w:szCs w:val="20"/>
                <w:color w:val="auto"/>
              </w:rPr>
            </w:pPr>
            <w:r>
              <w:rPr>
                <w:rFonts w:ascii="Arial" w:cs="Arial" w:eastAsia="Arial" w:hAnsi="Arial"/>
                <w:sz w:val="18"/>
                <w:szCs w:val="18"/>
                <w:b w:val="1"/>
                <w:bCs w:val="1"/>
                <w:color w:val="auto"/>
              </w:rPr>
              <w:t>% Change</w:t>
            </w:r>
          </w:p>
        </w:tc>
      </w:tr>
      <w:tr>
        <w:trPr>
          <w:trHeight w:val="27"/>
        </w:trPr>
        <w:tc>
          <w:tcPr>
            <w:tcW w:w="4860" w:type="dxa"/>
            <w:vAlign w:val="bottom"/>
            <w:tcBorders>
              <w:bottom w:val="single" w:sz="8" w:color="auto"/>
            </w:tcBorders>
          </w:tcPr>
          <w:p>
            <w:pPr>
              <w:spacing w:after="0"/>
              <w:rPr>
                <w:sz w:val="2"/>
                <w:szCs w:val="2"/>
                <w:color w:val="auto"/>
              </w:rPr>
            </w:pPr>
          </w:p>
        </w:tc>
        <w:tc>
          <w:tcPr>
            <w:tcW w:w="22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44"/>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22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$831.7</w:t>
            </w:r>
          </w:p>
        </w:tc>
        <w:tc>
          <w:tcPr>
            <w:tcW w:w="15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$700.4</w:t>
            </w:r>
          </w:p>
        </w:tc>
        <w:tc>
          <w:tcPr>
            <w:tcW w:w="1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$131.3</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18.7%</w:t>
            </w:r>
          </w:p>
        </w:tc>
      </w:tr>
      <w:tr>
        <w:trPr>
          <w:trHeight w:val="243"/>
        </w:trPr>
        <w:tc>
          <w:tcPr>
            <w:tcW w:w="4860" w:type="dxa"/>
            <w:vAlign w:val="bottom"/>
          </w:tcPr>
          <w:p>
            <w:pPr>
              <w:ind w:left="40"/>
              <w:spacing w:after="0"/>
              <w:rPr>
                <w:sz w:val="20"/>
                <w:szCs w:val="20"/>
                <w:color w:val="auto"/>
              </w:rPr>
            </w:pPr>
            <w:r>
              <w:rPr>
                <w:rFonts w:ascii="Arial" w:cs="Arial" w:eastAsia="Arial" w:hAnsi="Arial"/>
                <w:sz w:val="18"/>
                <w:szCs w:val="18"/>
                <w:color w:val="auto"/>
              </w:rPr>
              <w:t>Net sales, excluding surcharges</w:t>
            </w:r>
          </w:p>
        </w:tc>
        <w:tc>
          <w:tcPr>
            <w:tcW w:w="2260" w:type="dxa"/>
            <w:vAlign w:val="bottom"/>
          </w:tcPr>
          <w:p>
            <w:pPr>
              <w:jc w:val="right"/>
              <w:ind w:right="290"/>
              <w:spacing w:after="0"/>
              <w:rPr>
                <w:sz w:val="20"/>
                <w:szCs w:val="20"/>
                <w:color w:val="auto"/>
              </w:rPr>
            </w:pPr>
            <w:r>
              <w:rPr>
                <w:rFonts w:ascii="Arial" w:cs="Arial" w:eastAsia="Arial" w:hAnsi="Arial"/>
                <w:sz w:val="18"/>
                <w:szCs w:val="18"/>
                <w:b w:val="1"/>
                <w:bCs w:val="1"/>
                <w:color w:val="auto"/>
              </w:rPr>
              <w:t>639.8</w:t>
            </w:r>
          </w:p>
        </w:tc>
        <w:tc>
          <w:tcPr>
            <w:tcW w:w="1560" w:type="dxa"/>
            <w:vAlign w:val="bottom"/>
          </w:tcPr>
          <w:p>
            <w:pPr>
              <w:jc w:val="right"/>
              <w:ind w:right="290"/>
              <w:spacing w:after="0"/>
              <w:rPr>
                <w:sz w:val="20"/>
                <w:szCs w:val="20"/>
                <w:color w:val="auto"/>
              </w:rPr>
            </w:pPr>
            <w:r>
              <w:rPr>
                <w:rFonts w:ascii="Arial" w:cs="Arial" w:eastAsia="Arial" w:hAnsi="Arial"/>
                <w:sz w:val="18"/>
                <w:szCs w:val="18"/>
                <w:color w:val="auto"/>
              </w:rPr>
              <w:t>549.8</w:t>
            </w:r>
          </w:p>
        </w:tc>
        <w:tc>
          <w:tcPr>
            <w:tcW w:w="1400" w:type="dxa"/>
            <w:vAlign w:val="bottom"/>
          </w:tcPr>
          <w:p>
            <w:pPr>
              <w:jc w:val="right"/>
              <w:ind w:right="150"/>
              <w:spacing w:after="0"/>
              <w:rPr>
                <w:sz w:val="20"/>
                <w:szCs w:val="20"/>
                <w:color w:val="auto"/>
              </w:rPr>
            </w:pPr>
            <w:r>
              <w:rPr>
                <w:rFonts w:ascii="Arial" w:cs="Arial" w:eastAsia="Arial" w:hAnsi="Arial"/>
                <w:sz w:val="18"/>
                <w:szCs w:val="18"/>
                <w:color w:val="auto"/>
              </w:rPr>
              <w:t>90.0</w:t>
            </w:r>
          </w:p>
        </w:tc>
        <w:tc>
          <w:tcPr>
            <w:tcW w:w="1340" w:type="dxa"/>
            <w:vAlign w:val="bottom"/>
          </w:tcPr>
          <w:p>
            <w:pPr>
              <w:jc w:val="right"/>
              <w:spacing w:after="0"/>
              <w:rPr>
                <w:sz w:val="20"/>
                <w:szCs w:val="20"/>
                <w:color w:val="auto"/>
              </w:rPr>
            </w:pPr>
            <w:r>
              <w:rPr>
                <w:rFonts w:ascii="Arial" w:cs="Arial" w:eastAsia="Arial" w:hAnsi="Arial"/>
                <w:sz w:val="18"/>
                <w:szCs w:val="18"/>
                <w:color w:val="auto"/>
              </w:rPr>
              <w:t>16.4%</w:t>
            </w:r>
          </w:p>
        </w:tc>
      </w:tr>
      <w:tr>
        <w:trPr>
          <w:trHeight w:val="27"/>
        </w:trPr>
        <w:tc>
          <w:tcPr>
            <w:tcW w:w="486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Gross profit</w:t>
            </w:r>
          </w:p>
        </w:tc>
        <w:tc>
          <w:tcPr>
            <w:tcW w:w="22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146.2</w:t>
            </w:r>
          </w:p>
        </w:tc>
        <w:tc>
          <w:tcPr>
            <w:tcW w:w="15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117.3</w:t>
            </w:r>
          </w:p>
        </w:tc>
        <w:tc>
          <w:tcPr>
            <w:tcW w:w="1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28.9</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24.6%</w:t>
            </w:r>
          </w:p>
        </w:tc>
      </w:tr>
      <w:tr>
        <w:trPr>
          <w:trHeight w:val="243"/>
        </w:trPr>
        <w:tc>
          <w:tcPr>
            <w:tcW w:w="4860" w:type="dxa"/>
            <w:vAlign w:val="bottom"/>
          </w:tcPr>
          <w:p>
            <w:pPr>
              <w:ind w:left="40"/>
              <w:spacing w:after="0"/>
              <w:rPr>
                <w:sz w:val="20"/>
                <w:szCs w:val="20"/>
                <w:color w:val="auto"/>
              </w:rPr>
            </w:pPr>
            <w:r>
              <w:rPr>
                <w:rFonts w:ascii="Arial" w:cs="Arial" w:eastAsia="Arial" w:hAnsi="Arial"/>
                <w:sz w:val="18"/>
                <w:szCs w:val="18"/>
                <w:color w:val="auto"/>
              </w:rPr>
              <w:t>Gross margin</w:t>
            </w:r>
          </w:p>
        </w:tc>
        <w:tc>
          <w:tcPr>
            <w:tcW w:w="2260" w:type="dxa"/>
            <w:vAlign w:val="bottom"/>
          </w:tcPr>
          <w:p>
            <w:pPr>
              <w:jc w:val="right"/>
              <w:ind w:right="110"/>
              <w:spacing w:after="0"/>
              <w:rPr>
                <w:sz w:val="20"/>
                <w:szCs w:val="20"/>
                <w:color w:val="auto"/>
              </w:rPr>
            </w:pPr>
            <w:r>
              <w:rPr>
                <w:rFonts w:ascii="Arial" w:cs="Arial" w:eastAsia="Arial" w:hAnsi="Arial"/>
                <w:sz w:val="18"/>
                <w:szCs w:val="18"/>
                <w:b w:val="1"/>
                <w:bCs w:val="1"/>
                <w:color w:val="auto"/>
              </w:rPr>
              <w:t>17.6%</w:t>
            </w:r>
          </w:p>
        </w:tc>
        <w:tc>
          <w:tcPr>
            <w:tcW w:w="1560" w:type="dxa"/>
            <w:vAlign w:val="bottom"/>
          </w:tcPr>
          <w:p>
            <w:pPr>
              <w:jc w:val="right"/>
              <w:ind w:right="130"/>
              <w:spacing w:after="0"/>
              <w:rPr>
                <w:sz w:val="20"/>
                <w:szCs w:val="20"/>
                <w:color w:val="auto"/>
              </w:rPr>
            </w:pPr>
            <w:r>
              <w:rPr>
                <w:rFonts w:ascii="Arial" w:cs="Arial" w:eastAsia="Arial" w:hAnsi="Arial"/>
                <w:sz w:val="18"/>
                <w:szCs w:val="18"/>
                <w:color w:val="auto"/>
              </w:rPr>
              <w:t>16.7%</w:t>
            </w:r>
          </w:p>
        </w:tc>
        <w:tc>
          <w:tcPr>
            <w:tcW w:w="1400" w:type="dxa"/>
            <w:vAlign w:val="bottom"/>
          </w:tcPr>
          <w:p>
            <w:pPr>
              <w:jc w:val="right"/>
              <w:ind w:right="150"/>
              <w:spacing w:after="0"/>
              <w:rPr>
                <w:sz w:val="20"/>
                <w:szCs w:val="20"/>
                <w:color w:val="auto"/>
              </w:rPr>
            </w:pPr>
            <w:r>
              <w:rPr>
                <w:rFonts w:ascii="Arial" w:cs="Arial" w:eastAsia="Arial" w:hAnsi="Arial"/>
                <w:sz w:val="18"/>
                <w:szCs w:val="18"/>
                <w:color w:val="auto"/>
              </w:rPr>
              <w:t>NM</w:t>
            </w:r>
          </w:p>
        </w:tc>
        <w:tc>
          <w:tcPr>
            <w:tcW w:w="1340" w:type="dxa"/>
            <w:vAlign w:val="bottom"/>
          </w:tcPr>
          <w:p>
            <w:pPr>
              <w:jc w:val="right"/>
              <w:spacing w:after="0"/>
              <w:rPr>
                <w:sz w:val="20"/>
                <w:szCs w:val="20"/>
                <w:color w:val="auto"/>
              </w:rPr>
            </w:pPr>
            <w:r>
              <w:rPr>
                <w:rFonts w:ascii="Arial" w:cs="Arial" w:eastAsia="Arial" w:hAnsi="Arial"/>
                <w:sz w:val="18"/>
                <w:szCs w:val="18"/>
                <w:color w:val="auto"/>
              </w:rPr>
              <w:t>90 bps</w:t>
            </w:r>
          </w:p>
        </w:tc>
      </w:tr>
      <w:tr>
        <w:trPr>
          <w:trHeight w:val="27"/>
        </w:trPr>
        <w:tc>
          <w:tcPr>
            <w:tcW w:w="486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Selling, general and administrative expenses</w:t>
            </w:r>
          </w:p>
        </w:tc>
        <w:tc>
          <w:tcPr>
            <w:tcW w:w="22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50.4</w:t>
            </w:r>
          </w:p>
        </w:tc>
        <w:tc>
          <w:tcPr>
            <w:tcW w:w="15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46.1</w:t>
            </w:r>
          </w:p>
        </w:tc>
        <w:tc>
          <w:tcPr>
            <w:tcW w:w="1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4.3</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9.3%</w:t>
            </w:r>
          </w:p>
        </w:tc>
      </w:tr>
      <w:tr>
        <w:trPr>
          <w:trHeight w:val="243"/>
        </w:trPr>
        <w:tc>
          <w:tcPr>
            <w:tcW w:w="4860" w:type="dxa"/>
            <w:vAlign w:val="bottom"/>
          </w:tcPr>
          <w:p>
            <w:pPr>
              <w:ind w:left="40"/>
              <w:spacing w:after="0"/>
              <w:rPr>
                <w:sz w:val="20"/>
                <w:szCs w:val="20"/>
                <w:color w:val="auto"/>
              </w:rPr>
            </w:pPr>
            <w:r>
              <w:rPr>
                <w:rFonts w:ascii="Arial" w:cs="Arial" w:eastAsia="Arial" w:hAnsi="Arial"/>
                <w:sz w:val="18"/>
                <w:szCs w:val="18"/>
                <w:color w:val="auto"/>
              </w:rPr>
              <w:t>Net income</w:t>
            </w:r>
          </w:p>
        </w:tc>
        <w:tc>
          <w:tcPr>
            <w:tcW w:w="2260" w:type="dxa"/>
            <w:vAlign w:val="bottom"/>
          </w:tcPr>
          <w:p>
            <w:pPr>
              <w:jc w:val="right"/>
              <w:ind w:right="290"/>
              <w:spacing w:after="0"/>
              <w:rPr>
                <w:sz w:val="20"/>
                <w:szCs w:val="20"/>
                <w:color w:val="auto"/>
              </w:rPr>
            </w:pPr>
            <w:r>
              <w:rPr>
                <w:rFonts w:ascii="Arial" w:cs="Arial" w:eastAsia="Arial" w:hAnsi="Arial"/>
                <w:sz w:val="18"/>
                <w:szCs w:val="18"/>
                <w:b w:val="1"/>
                <w:bCs w:val="1"/>
                <w:color w:val="auto"/>
              </w:rPr>
              <w:t>62.3</w:t>
            </w:r>
          </w:p>
        </w:tc>
        <w:tc>
          <w:tcPr>
            <w:tcW w:w="1560" w:type="dxa"/>
            <w:vAlign w:val="bottom"/>
          </w:tcPr>
          <w:p>
            <w:pPr>
              <w:jc w:val="right"/>
              <w:ind w:right="290"/>
              <w:spacing w:after="0"/>
              <w:rPr>
                <w:sz w:val="20"/>
                <w:szCs w:val="20"/>
                <w:color w:val="auto"/>
              </w:rPr>
            </w:pPr>
            <w:r>
              <w:rPr>
                <w:rFonts w:ascii="Arial" w:cs="Arial" w:eastAsia="Arial" w:hAnsi="Arial"/>
                <w:sz w:val="18"/>
                <w:szCs w:val="18"/>
                <w:color w:val="auto"/>
              </w:rPr>
              <w:t>46.3</w:t>
            </w:r>
          </w:p>
        </w:tc>
        <w:tc>
          <w:tcPr>
            <w:tcW w:w="1400" w:type="dxa"/>
            <w:vAlign w:val="bottom"/>
          </w:tcPr>
          <w:p>
            <w:pPr>
              <w:jc w:val="right"/>
              <w:ind w:right="150"/>
              <w:spacing w:after="0"/>
              <w:rPr>
                <w:sz w:val="20"/>
                <w:szCs w:val="20"/>
                <w:color w:val="auto"/>
              </w:rPr>
            </w:pPr>
            <w:r>
              <w:rPr>
                <w:rFonts w:ascii="Arial" w:cs="Arial" w:eastAsia="Arial" w:hAnsi="Arial"/>
                <w:sz w:val="18"/>
                <w:szCs w:val="18"/>
                <w:color w:val="auto"/>
              </w:rPr>
              <w:t>16.0</w:t>
            </w:r>
          </w:p>
        </w:tc>
        <w:tc>
          <w:tcPr>
            <w:tcW w:w="1340" w:type="dxa"/>
            <w:vAlign w:val="bottom"/>
          </w:tcPr>
          <w:p>
            <w:pPr>
              <w:jc w:val="right"/>
              <w:spacing w:after="0"/>
              <w:rPr>
                <w:sz w:val="20"/>
                <w:szCs w:val="20"/>
                <w:color w:val="auto"/>
              </w:rPr>
            </w:pPr>
            <w:r>
              <w:rPr>
                <w:rFonts w:ascii="Arial" w:cs="Arial" w:eastAsia="Arial" w:hAnsi="Arial"/>
                <w:sz w:val="18"/>
                <w:szCs w:val="18"/>
                <w:color w:val="auto"/>
              </w:rPr>
              <w:t>34.6%</w:t>
            </w:r>
          </w:p>
        </w:tc>
      </w:tr>
      <w:tr>
        <w:trPr>
          <w:trHeight w:val="27"/>
        </w:trPr>
        <w:tc>
          <w:tcPr>
            <w:tcW w:w="486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Scrap index per ton</w:t>
            </w:r>
          </w:p>
        </w:tc>
        <w:tc>
          <w:tcPr>
            <w:tcW w:w="22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415</w:t>
            </w:r>
          </w:p>
        </w:tc>
        <w:tc>
          <w:tcPr>
            <w:tcW w:w="15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401</w:t>
            </w:r>
          </w:p>
        </w:tc>
        <w:tc>
          <w:tcPr>
            <w:tcW w:w="1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14</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w:t>
            </w:r>
          </w:p>
        </w:tc>
      </w:tr>
      <w:tr>
        <w:trPr>
          <w:trHeight w:val="243"/>
        </w:trPr>
        <w:tc>
          <w:tcPr>
            <w:tcW w:w="4860" w:type="dxa"/>
            <w:vAlign w:val="bottom"/>
          </w:tcPr>
          <w:p>
            <w:pPr>
              <w:ind w:left="40"/>
              <w:spacing w:after="0"/>
              <w:rPr>
                <w:sz w:val="20"/>
                <w:szCs w:val="20"/>
                <w:color w:val="auto"/>
              </w:rPr>
            </w:pPr>
            <w:r>
              <w:rPr>
                <w:rFonts w:ascii="Arial" w:cs="Arial" w:eastAsia="Arial" w:hAnsi="Arial"/>
                <w:sz w:val="18"/>
                <w:szCs w:val="18"/>
                <w:color w:val="auto"/>
              </w:rPr>
              <w:t>Shipments (in tons)</w:t>
            </w:r>
          </w:p>
        </w:tc>
        <w:tc>
          <w:tcPr>
            <w:tcW w:w="2260" w:type="dxa"/>
            <w:vAlign w:val="bottom"/>
          </w:tcPr>
          <w:p>
            <w:pPr>
              <w:jc w:val="right"/>
              <w:ind w:right="290"/>
              <w:spacing w:after="0"/>
              <w:rPr>
                <w:sz w:val="20"/>
                <w:szCs w:val="20"/>
                <w:color w:val="auto"/>
              </w:rPr>
            </w:pPr>
            <w:r>
              <w:rPr>
                <w:rFonts w:ascii="Arial" w:cs="Arial" w:eastAsia="Arial" w:hAnsi="Arial"/>
                <w:sz w:val="18"/>
                <w:szCs w:val="18"/>
                <w:b w:val="1"/>
                <w:bCs w:val="1"/>
                <w:color w:val="auto"/>
              </w:rPr>
              <w:t>539,336</w:t>
            </w:r>
          </w:p>
        </w:tc>
        <w:tc>
          <w:tcPr>
            <w:tcW w:w="1560" w:type="dxa"/>
            <w:vAlign w:val="bottom"/>
          </w:tcPr>
          <w:p>
            <w:pPr>
              <w:jc w:val="right"/>
              <w:ind w:right="290"/>
              <w:spacing w:after="0"/>
              <w:rPr>
                <w:sz w:val="20"/>
                <w:szCs w:val="20"/>
                <w:color w:val="auto"/>
              </w:rPr>
            </w:pPr>
            <w:r>
              <w:rPr>
                <w:rFonts w:ascii="Arial" w:cs="Arial" w:eastAsia="Arial" w:hAnsi="Arial"/>
                <w:sz w:val="18"/>
                <w:szCs w:val="18"/>
                <w:color w:val="auto"/>
              </w:rPr>
              <w:t>471,315</w:t>
            </w:r>
          </w:p>
        </w:tc>
        <w:tc>
          <w:tcPr>
            <w:tcW w:w="1400" w:type="dxa"/>
            <w:vAlign w:val="bottom"/>
          </w:tcPr>
          <w:p>
            <w:pPr>
              <w:jc w:val="right"/>
              <w:ind w:right="150"/>
              <w:spacing w:after="0"/>
              <w:rPr>
                <w:sz w:val="20"/>
                <w:szCs w:val="20"/>
                <w:color w:val="auto"/>
              </w:rPr>
            </w:pPr>
            <w:r>
              <w:rPr>
                <w:rFonts w:ascii="Arial" w:cs="Arial" w:eastAsia="Arial" w:hAnsi="Arial"/>
                <w:sz w:val="18"/>
                <w:szCs w:val="18"/>
                <w:color w:val="auto"/>
              </w:rPr>
              <w:t>68,021</w:t>
            </w:r>
          </w:p>
        </w:tc>
        <w:tc>
          <w:tcPr>
            <w:tcW w:w="1340" w:type="dxa"/>
            <w:vAlign w:val="bottom"/>
          </w:tcPr>
          <w:p>
            <w:pPr>
              <w:jc w:val="right"/>
              <w:spacing w:after="0"/>
              <w:rPr>
                <w:sz w:val="20"/>
                <w:szCs w:val="20"/>
                <w:color w:val="auto"/>
              </w:rPr>
            </w:pPr>
            <w:r>
              <w:rPr>
                <w:rFonts w:ascii="Arial" w:cs="Arial" w:eastAsia="Arial" w:hAnsi="Arial"/>
                <w:sz w:val="18"/>
                <w:szCs w:val="18"/>
                <w:color w:val="auto"/>
              </w:rPr>
              <w:t>14.4%</w:t>
            </w:r>
          </w:p>
        </w:tc>
      </w:tr>
      <w:tr>
        <w:trPr>
          <w:trHeight w:val="27"/>
        </w:trPr>
        <w:tc>
          <w:tcPr>
            <w:tcW w:w="486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Average selling price per ton, including surcharges</w:t>
            </w:r>
          </w:p>
        </w:tc>
        <w:tc>
          <w:tcPr>
            <w:tcW w:w="22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$1,542</w:t>
            </w:r>
          </w:p>
        </w:tc>
        <w:tc>
          <w:tcPr>
            <w:tcW w:w="15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$1,486</w:t>
            </w:r>
          </w:p>
        </w:tc>
        <w:tc>
          <w:tcPr>
            <w:tcW w:w="1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$56</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w:t>
            </w:r>
          </w:p>
        </w:tc>
      </w:tr>
      <w:tr>
        <w:trPr>
          <w:trHeight w:val="27"/>
        </w:trPr>
        <w:tc>
          <w:tcPr>
            <w:tcW w:w="4860" w:type="dxa"/>
            <w:vAlign w:val="bottom"/>
            <w:shd w:val="clear" w:color="auto" w:fill="000000"/>
          </w:tcPr>
          <w:p>
            <w:pPr>
              <w:spacing w:after="0"/>
              <w:rPr>
                <w:sz w:val="2"/>
                <w:szCs w:val="2"/>
                <w:color w:val="auto"/>
              </w:rPr>
            </w:pPr>
          </w:p>
        </w:tc>
        <w:tc>
          <w:tcPr>
            <w:tcW w:w="2260" w:type="dxa"/>
            <w:vAlign w:val="bottom"/>
            <w:shd w:val="clear" w:color="auto" w:fill="000000"/>
          </w:tcPr>
          <w:p>
            <w:pPr>
              <w:spacing w:after="0"/>
              <w:rPr>
                <w:sz w:val="2"/>
                <w:szCs w:val="2"/>
                <w:color w:val="auto"/>
              </w:rPr>
            </w:pPr>
          </w:p>
        </w:tc>
        <w:tc>
          <w:tcPr>
            <w:tcW w:w="1560" w:type="dxa"/>
            <w:vAlign w:val="bottom"/>
            <w:shd w:val="clear" w:color="auto" w:fill="000000"/>
          </w:tcPr>
          <w:p>
            <w:pPr>
              <w:spacing w:after="0"/>
              <w:rPr>
                <w:sz w:val="2"/>
                <w:szCs w:val="2"/>
                <w:color w:val="auto"/>
              </w:rPr>
            </w:pPr>
          </w:p>
        </w:tc>
        <w:tc>
          <w:tcPr>
            <w:tcW w:w="1400" w:type="dxa"/>
            <w:vAlign w:val="bottom"/>
            <w:shd w:val="clear" w:color="auto" w:fill="000000"/>
          </w:tcPr>
          <w:p>
            <w:pPr>
              <w:spacing w:after="0"/>
              <w:rPr>
                <w:sz w:val="2"/>
                <w:szCs w:val="2"/>
                <w:color w:val="auto"/>
              </w:rPr>
            </w:pPr>
          </w:p>
        </w:tc>
        <w:tc>
          <w:tcPr>
            <w:tcW w:w="1340" w:type="dxa"/>
            <w:vAlign w:val="bottom"/>
            <w:shd w:val="clear" w:color="auto" w:fill="000000"/>
          </w:tcPr>
          <w:p>
            <w:pPr>
              <w:spacing w:after="0"/>
              <w:rPr>
                <w:sz w:val="2"/>
                <w:szCs w:val="2"/>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Sales</w:t>
      </w:r>
    </w:p>
    <w:p>
      <w:pPr>
        <w:spacing w:after="0" w:line="18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Net sales for the second quarter of 2014 were $442.2 million, an increase of $88.1 million, or 25%, compared to the second quarter of 2013. Excluding surcharges, net sales increased $63.6 million, or 23%. The increase was primarily due to higher volume. The increase in volume was driven by a 21% improvement in tons shipped, led by the industrial and energy end-market sectors.</w:t>
      </w:r>
    </w:p>
    <w:p>
      <w:pPr>
        <w:spacing w:after="0" w:line="141"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Net sales for the six months ended June 30, 2014 were $831.7 million, an increase of $131.3 million, or 19%, compared to the six months ended June 30, 2013. Excluding surcharges, net sales increased $90.0 million, or 16%. The increase was primarily due to higher volume. The increase in volume was driven by a 14% improvement in tons shipped, led by the industrial and energy end-market sectors.</w:t>
      </w: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584" w:right="239" w:bottom="1440" w:gutter="0" w:footer="0" w:header="0"/>
        </w:sectPr>
      </w:pPr>
    </w:p>
    <w:bookmarkStart w:id="22" w:name="page23"/>
    <w:bookmarkEnd w:id="22"/>
    <w:p>
      <w:pPr>
        <w:spacing w:after="0"/>
        <w:rPr>
          <w:sz w:val="20"/>
          <w:szCs w:val="20"/>
          <w:color w:val="auto"/>
        </w:rPr>
      </w:pPr>
      <w:r>
        <w:rPr>
          <w:rFonts w:ascii="Arial" w:cs="Arial" w:eastAsia="Arial" w:hAnsi="Arial"/>
          <w:sz w:val="18"/>
          <w:szCs w:val="18"/>
          <w:b w:val="1"/>
          <w:bCs w:val="1"/>
          <w:color w:val="auto"/>
        </w:rPr>
        <w:t>Gross Profit</w:t>
      </w:r>
    </w:p>
    <w:p>
      <w:pPr>
        <w:spacing w:after="0" w:line="18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Gross profit for the second quarter of 2014 was $72.7 million, an increase of $10.1 million, or 16%, compared to the second quarter of 2013. The gross profit increase resulted from higher sales volume, better manufacturing utilization and lower last-in, first-out (LIFO) expense. These items were partially offset by higher expense associated with the timing of inventory reductions and asset and inventory adjustments.</w:t>
      </w:r>
    </w:p>
    <w:p>
      <w:pPr>
        <w:spacing w:after="0" w:line="141"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6"/>
          <w:szCs w:val="16"/>
          <w:color w:val="auto"/>
        </w:rPr>
        <w:t>Gross profit for the six months ended June 30, 2014 was $146.2 million, an increase of $28.9 million, or 25%, compared to the six months ended June 30, 2013. Higher gross profit resulted from higher sales volume, favorable mix, and better manufacturing utilization. These items were partially offset by higher expense associated with the timing of inventory reductions and asset and inventory adjustments, as well as higher LIFO expense.</w:t>
      </w:r>
    </w:p>
    <w:p>
      <w:pPr>
        <w:spacing w:after="0" w:line="106"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Our surcharge mechanism is designed to mitigate the impact of increases or decreases in raw material costs, although generally with a lag effect. This timing effect can result in raw material costs being over- or under-recovered in certain periods. While the surcharge generally protects gross profit, it had the effect of diluting gross margin as a percent of sales.</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Selling, General and Administrative Expenses</w:t>
      </w:r>
    </w:p>
    <w:p>
      <w:pPr>
        <w:spacing w:after="0" w:line="189"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Selling, general and administrative (SG&amp;A), expenses were up $2.4 million, or 10%, in the second quarter of 2014 compared to the second quarter of 2013. The increase was primarily driven by higher incentive compensation expense.</w:t>
      </w:r>
    </w:p>
    <w:p>
      <w:pPr>
        <w:spacing w:after="0" w:line="130"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SG&amp;A expenses for the six months ended June 30, 2014 increased $4.3 million, or 9%, compared to the six months ended June 30, 2013. The increase was primarily due to higher incentive compensation expense as well corporate shared services costs allocated from Timken recorded in the first quarter of 2014.</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Provision for Income Taxes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214630</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000" w:type="dxa"/>
            <w:vAlign w:val="bottom"/>
          </w:tcPr>
          <w:p>
            <w:pPr>
              <w:spacing w:after="0"/>
              <w:rPr>
                <w:sz w:val="20"/>
                <w:szCs w:val="20"/>
                <w:color w:val="auto"/>
              </w:rPr>
            </w:pPr>
          </w:p>
        </w:tc>
        <w:tc>
          <w:tcPr>
            <w:tcW w:w="3120" w:type="dxa"/>
            <w:vAlign w:val="bottom"/>
          </w:tcPr>
          <w:p>
            <w:pPr>
              <w:spacing w:after="0"/>
              <w:rPr>
                <w:sz w:val="20"/>
                <w:szCs w:val="20"/>
                <w:color w:val="auto"/>
              </w:rPr>
            </w:pPr>
          </w:p>
        </w:tc>
        <w:tc>
          <w:tcPr>
            <w:tcW w:w="2960" w:type="dxa"/>
            <w:vAlign w:val="bottom"/>
            <w:gridSpan w:val="2"/>
          </w:tcPr>
          <w:p>
            <w:pPr>
              <w:jc w:val="right"/>
              <w:ind w:right="350"/>
              <w:spacing w:after="0"/>
              <w:rPr>
                <w:sz w:val="20"/>
                <w:szCs w:val="20"/>
                <w:color w:val="auto"/>
              </w:rPr>
            </w:pPr>
            <w:r>
              <w:rPr>
                <w:rFonts w:ascii="Arial" w:cs="Arial" w:eastAsia="Arial" w:hAnsi="Arial"/>
                <w:sz w:val="18"/>
                <w:szCs w:val="18"/>
                <w:b w:val="1"/>
                <w:bCs w:val="1"/>
                <w:color w:val="auto"/>
                <w:w w:val="97"/>
              </w:rPr>
              <w:t>Three Months Ended June 30,</w:t>
            </w:r>
          </w:p>
        </w:tc>
        <w:tc>
          <w:tcPr>
            <w:tcW w:w="1340" w:type="dxa"/>
            <w:vAlign w:val="bottom"/>
          </w:tcPr>
          <w:p>
            <w:pPr>
              <w:spacing w:after="0"/>
              <w:rPr>
                <w:sz w:val="20"/>
                <w:szCs w:val="20"/>
                <w:color w:val="auto"/>
              </w:rPr>
            </w:pPr>
          </w:p>
        </w:tc>
      </w:tr>
      <w:tr>
        <w:trPr>
          <w:trHeight w:val="27"/>
        </w:trPr>
        <w:tc>
          <w:tcPr>
            <w:tcW w:w="4000" w:type="dxa"/>
            <w:vAlign w:val="bottom"/>
            <w:tcBorders>
              <w:bottom w:val="single" w:sz="8" w:color="auto"/>
            </w:tcBorders>
          </w:tcPr>
          <w:p>
            <w:pPr>
              <w:spacing w:after="0"/>
              <w:rPr>
                <w:sz w:val="2"/>
                <w:szCs w:val="2"/>
                <w:color w:val="auto"/>
              </w:rPr>
            </w:pPr>
          </w:p>
        </w:tc>
        <w:tc>
          <w:tcPr>
            <w:tcW w:w="312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37"/>
        </w:trPr>
        <w:tc>
          <w:tcPr>
            <w:tcW w:w="4000" w:type="dxa"/>
            <w:vAlign w:val="bottom"/>
          </w:tcPr>
          <w:p>
            <w:pPr>
              <w:spacing w:after="0"/>
              <w:rPr>
                <w:sz w:val="20"/>
                <w:szCs w:val="20"/>
                <w:color w:val="auto"/>
              </w:rPr>
            </w:pPr>
          </w:p>
        </w:tc>
        <w:tc>
          <w:tcPr>
            <w:tcW w:w="3120" w:type="dxa"/>
            <w:vAlign w:val="bottom"/>
          </w:tcPr>
          <w:p>
            <w:pPr>
              <w:jc w:val="right"/>
              <w:ind w:right="630"/>
              <w:spacing w:after="0"/>
              <w:rPr>
                <w:sz w:val="20"/>
                <w:szCs w:val="20"/>
                <w:color w:val="auto"/>
              </w:rPr>
            </w:pPr>
            <w:r>
              <w:rPr>
                <w:rFonts w:ascii="Arial" w:cs="Arial" w:eastAsia="Arial" w:hAnsi="Arial"/>
                <w:sz w:val="18"/>
                <w:szCs w:val="18"/>
                <w:b w:val="1"/>
                <w:bCs w:val="1"/>
                <w:color w:val="auto"/>
              </w:rPr>
              <w:t>2014</w:t>
            </w:r>
          </w:p>
        </w:tc>
        <w:tc>
          <w:tcPr>
            <w:tcW w:w="1560" w:type="dxa"/>
            <w:vAlign w:val="bottom"/>
          </w:tcPr>
          <w:p>
            <w:pPr>
              <w:jc w:val="right"/>
              <w:ind w:right="630"/>
              <w:spacing w:after="0"/>
              <w:rPr>
                <w:sz w:val="20"/>
                <w:szCs w:val="20"/>
                <w:color w:val="auto"/>
              </w:rPr>
            </w:pPr>
            <w:r>
              <w:rPr>
                <w:rFonts w:ascii="Arial" w:cs="Arial" w:eastAsia="Arial" w:hAnsi="Arial"/>
                <w:sz w:val="18"/>
                <w:szCs w:val="18"/>
                <w:b w:val="1"/>
                <w:bCs w:val="1"/>
                <w:color w:val="auto"/>
              </w:rPr>
              <w:t>2013</w:t>
            </w:r>
          </w:p>
        </w:tc>
        <w:tc>
          <w:tcPr>
            <w:tcW w:w="1400" w:type="dxa"/>
            <w:vAlign w:val="bottom"/>
          </w:tcPr>
          <w:p>
            <w:pPr>
              <w:jc w:val="right"/>
              <w:ind w:right="350"/>
              <w:spacing w:after="0"/>
              <w:rPr>
                <w:sz w:val="20"/>
                <w:szCs w:val="20"/>
                <w:color w:val="auto"/>
              </w:rPr>
            </w:pPr>
            <w:r>
              <w:rPr>
                <w:rFonts w:ascii="Arial" w:cs="Arial" w:eastAsia="Arial" w:hAnsi="Arial"/>
                <w:sz w:val="18"/>
                <w:szCs w:val="18"/>
                <w:b w:val="1"/>
                <w:bCs w:val="1"/>
                <w:color w:val="auto"/>
              </w:rPr>
              <w:t>$ Change</w:t>
            </w:r>
          </w:p>
        </w:tc>
        <w:tc>
          <w:tcPr>
            <w:tcW w:w="1340" w:type="dxa"/>
            <w:vAlign w:val="bottom"/>
          </w:tcPr>
          <w:p>
            <w:pPr>
              <w:jc w:val="right"/>
              <w:ind w:right="190"/>
              <w:spacing w:after="0"/>
              <w:rPr>
                <w:sz w:val="20"/>
                <w:szCs w:val="20"/>
                <w:color w:val="auto"/>
              </w:rPr>
            </w:pPr>
            <w:r>
              <w:rPr>
                <w:rFonts w:ascii="Arial" w:cs="Arial" w:eastAsia="Arial" w:hAnsi="Arial"/>
                <w:sz w:val="18"/>
                <w:szCs w:val="18"/>
                <w:b w:val="1"/>
                <w:bCs w:val="1"/>
                <w:color w:val="auto"/>
              </w:rPr>
              <w:t>% Change</w:t>
            </w:r>
          </w:p>
        </w:tc>
      </w:tr>
      <w:tr>
        <w:trPr>
          <w:trHeight w:val="27"/>
        </w:trPr>
        <w:tc>
          <w:tcPr>
            <w:tcW w:w="4000" w:type="dxa"/>
            <w:vAlign w:val="bottom"/>
            <w:tcBorders>
              <w:bottom w:val="single" w:sz="8" w:color="auto"/>
            </w:tcBorders>
          </w:tcPr>
          <w:p>
            <w:pPr>
              <w:spacing w:after="0"/>
              <w:rPr>
                <w:sz w:val="2"/>
                <w:szCs w:val="2"/>
                <w:color w:val="auto"/>
              </w:rPr>
            </w:pPr>
          </w:p>
        </w:tc>
        <w:tc>
          <w:tcPr>
            <w:tcW w:w="312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44"/>
        </w:trPr>
        <w:tc>
          <w:tcPr>
            <w:tcW w:w="4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for income taxes</w:t>
            </w:r>
          </w:p>
        </w:tc>
        <w:tc>
          <w:tcPr>
            <w:tcW w:w="312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$15.8</w:t>
            </w:r>
          </w:p>
        </w:tc>
        <w:tc>
          <w:tcPr>
            <w:tcW w:w="15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$13.4</w:t>
            </w:r>
          </w:p>
        </w:tc>
        <w:tc>
          <w:tcPr>
            <w:tcW w:w="1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$2.4</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17.9%</w:t>
            </w:r>
          </w:p>
        </w:tc>
      </w:tr>
      <w:tr>
        <w:trPr>
          <w:trHeight w:val="243"/>
        </w:trPr>
        <w:tc>
          <w:tcPr>
            <w:tcW w:w="4000" w:type="dxa"/>
            <w:vAlign w:val="bottom"/>
          </w:tcPr>
          <w:p>
            <w:pPr>
              <w:ind w:left="40"/>
              <w:spacing w:after="0"/>
              <w:rPr>
                <w:sz w:val="20"/>
                <w:szCs w:val="20"/>
                <w:color w:val="auto"/>
              </w:rPr>
            </w:pPr>
            <w:r>
              <w:rPr>
                <w:rFonts w:ascii="Arial" w:cs="Arial" w:eastAsia="Arial" w:hAnsi="Arial"/>
                <w:sz w:val="18"/>
                <w:szCs w:val="18"/>
                <w:color w:val="auto"/>
              </w:rPr>
              <w:t>Effective tax rate</w:t>
            </w:r>
          </w:p>
        </w:tc>
        <w:tc>
          <w:tcPr>
            <w:tcW w:w="3120" w:type="dxa"/>
            <w:vAlign w:val="bottom"/>
          </w:tcPr>
          <w:p>
            <w:pPr>
              <w:jc w:val="right"/>
              <w:ind w:right="110"/>
              <w:spacing w:after="0"/>
              <w:rPr>
                <w:sz w:val="20"/>
                <w:szCs w:val="20"/>
                <w:color w:val="auto"/>
              </w:rPr>
            </w:pPr>
            <w:r>
              <w:rPr>
                <w:rFonts w:ascii="Arial" w:cs="Arial" w:eastAsia="Arial" w:hAnsi="Arial"/>
                <w:sz w:val="18"/>
                <w:szCs w:val="18"/>
                <w:b w:val="1"/>
                <w:bCs w:val="1"/>
                <w:color w:val="auto"/>
              </w:rPr>
              <w:t>35.6%</w:t>
            </w:r>
          </w:p>
        </w:tc>
        <w:tc>
          <w:tcPr>
            <w:tcW w:w="1560" w:type="dxa"/>
            <w:vAlign w:val="bottom"/>
          </w:tcPr>
          <w:p>
            <w:pPr>
              <w:jc w:val="right"/>
              <w:ind w:right="130"/>
              <w:spacing w:after="0"/>
              <w:rPr>
                <w:sz w:val="20"/>
                <w:szCs w:val="20"/>
                <w:color w:val="auto"/>
              </w:rPr>
            </w:pPr>
            <w:r>
              <w:rPr>
                <w:rFonts w:ascii="Arial" w:cs="Arial" w:eastAsia="Arial" w:hAnsi="Arial"/>
                <w:sz w:val="18"/>
                <w:szCs w:val="18"/>
                <w:color w:val="auto"/>
              </w:rPr>
              <w:t>34.6%</w:t>
            </w:r>
          </w:p>
        </w:tc>
        <w:tc>
          <w:tcPr>
            <w:tcW w:w="1400" w:type="dxa"/>
            <w:vAlign w:val="bottom"/>
          </w:tcPr>
          <w:p>
            <w:pPr>
              <w:jc w:val="right"/>
              <w:ind w:right="150"/>
              <w:spacing w:after="0"/>
              <w:rPr>
                <w:sz w:val="20"/>
                <w:szCs w:val="20"/>
                <w:color w:val="auto"/>
              </w:rPr>
            </w:pPr>
            <w:r>
              <w:rPr>
                <w:rFonts w:ascii="Arial" w:cs="Arial" w:eastAsia="Arial" w:hAnsi="Arial"/>
                <w:sz w:val="18"/>
                <w:szCs w:val="18"/>
                <w:color w:val="auto"/>
              </w:rPr>
              <w:t>NM</w:t>
            </w:r>
          </w:p>
        </w:tc>
        <w:tc>
          <w:tcPr>
            <w:tcW w:w="1340" w:type="dxa"/>
            <w:vAlign w:val="bottom"/>
          </w:tcPr>
          <w:p>
            <w:pPr>
              <w:jc w:val="right"/>
              <w:spacing w:after="0"/>
              <w:rPr>
                <w:sz w:val="20"/>
                <w:szCs w:val="20"/>
                <w:color w:val="auto"/>
              </w:rPr>
            </w:pPr>
            <w:r>
              <w:rPr>
                <w:rFonts w:ascii="Arial" w:cs="Arial" w:eastAsia="Arial" w:hAnsi="Arial"/>
                <w:sz w:val="18"/>
                <w:szCs w:val="18"/>
                <w:color w:val="auto"/>
              </w:rPr>
              <w:t>100 bps</w:t>
            </w:r>
          </w:p>
        </w:tc>
      </w:tr>
      <w:tr>
        <w:trPr>
          <w:trHeight w:val="34"/>
        </w:trPr>
        <w:tc>
          <w:tcPr>
            <w:tcW w:w="4000" w:type="dxa"/>
            <w:vAlign w:val="bottom"/>
            <w:tcBorders>
              <w:bottom w:val="single" w:sz="8" w:color="auto"/>
            </w:tcBorders>
          </w:tcPr>
          <w:p>
            <w:pPr>
              <w:spacing w:after="0"/>
              <w:rPr>
                <w:sz w:val="2"/>
                <w:szCs w:val="2"/>
                <w:color w:val="auto"/>
              </w:rPr>
            </w:pPr>
          </w:p>
        </w:tc>
        <w:tc>
          <w:tcPr>
            <w:tcW w:w="3120" w:type="dxa"/>
            <w:vAlign w:val="bottom"/>
            <w:tcBorders>
              <w:bottom w:val="single" w:sz="8" w:color="auto"/>
            </w:tcBorders>
          </w:tcPr>
          <w:p>
            <w:pPr>
              <w:spacing w:after="0"/>
              <w:rPr>
                <w:sz w:val="2"/>
                <w:szCs w:val="2"/>
                <w:color w:val="auto"/>
              </w:rPr>
            </w:pPr>
          </w:p>
        </w:tc>
        <w:tc>
          <w:tcPr>
            <w:tcW w:w="2960" w:type="dxa"/>
            <w:vAlign w:val="bottom"/>
            <w:tcBorders>
              <w:bottom w:val="single" w:sz="8" w:color="auto"/>
            </w:tcBorders>
            <w:gridSpan w:val="2"/>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135"/>
        </w:trPr>
        <w:tc>
          <w:tcPr>
            <w:tcW w:w="4000" w:type="dxa"/>
            <w:vAlign w:val="bottom"/>
            <w:tcBorders>
              <w:bottom w:val="single" w:sz="8" w:color="auto"/>
            </w:tcBorders>
          </w:tcPr>
          <w:p>
            <w:pPr>
              <w:spacing w:after="0"/>
              <w:rPr>
                <w:sz w:val="11"/>
                <w:szCs w:val="11"/>
                <w:color w:val="auto"/>
              </w:rPr>
            </w:pPr>
          </w:p>
        </w:tc>
        <w:tc>
          <w:tcPr>
            <w:tcW w:w="3120" w:type="dxa"/>
            <w:vAlign w:val="bottom"/>
            <w:tcBorders>
              <w:bottom w:val="single" w:sz="8" w:color="auto"/>
            </w:tcBorders>
          </w:tcPr>
          <w:p>
            <w:pPr>
              <w:spacing w:after="0"/>
              <w:rPr>
                <w:sz w:val="11"/>
                <w:szCs w:val="11"/>
                <w:color w:val="auto"/>
              </w:rPr>
            </w:pPr>
          </w:p>
        </w:tc>
        <w:tc>
          <w:tcPr>
            <w:tcW w:w="2960" w:type="dxa"/>
            <w:vAlign w:val="bottom"/>
            <w:tcBorders>
              <w:bottom w:val="single" w:sz="8" w:color="auto"/>
            </w:tcBorders>
            <w:gridSpan w:val="2"/>
          </w:tcPr>
          <w:p>
            <w:pPr>
              <w:spacing w:after="0"/>
              <w:rPr>
                <w:sz w:val="11"/>
                <w:szCs w:val="11"/>
                <w:color w:val="auto"/>
              </w:rPr>
            </w:pPr>
          </w:p>
        </w:tc>
        <w:tc>
          <w:tcPr>
            <w:tcW w:w="1340" w:type="dxa"/>
            <w:vAlign w:val="bottom"/>
            <w:tcBorders>
              <w:bottom w:val="single" w:sz="8" w:color="auto"/>
            </w:tcBorders>
          </w:tcPr>
          <w:p>
            <w:pPr>
              <w:spacing w:after="0"/>
              <w:rPr>
                <w:sz w:val="11"/>
                <w:szCs w:val="11"/>
                <w:color w:val="auto"/>
              </w:rPr>
            </w:pPr>
          </w:p>
        </w:tc>
      </w:tr>
      <w:tr>
        <w:trPr>
          <w:trHeight w:val="237"/>
        </w:trPr>
        <w:tc>
          <w:tcPr>
            <w:tcW w:w="4000" w:type="dxa"/>
            <w:vAlign w:val="bottom"/>
          </w:tcPr>
          <w:p>
            <w:pPr>
              <w:spacing w:after="0"/>
              <w:rPr>
                <w:sz w:val="20"/>
                <w:szCs w:val="20"/>
                <w:color w:val="auto"/>
              </w:rPr>
            </w:pPr>
          </w:p>
        </w:tc>
        <w:tc>
          <w:tcPr>
            <w:tcW w:w="3120" w:type="dxa"/>
            <w:vAlign w:val="bottom"/>
          </w:tcPr>
          <w:p>
            <w:pPr>
              <w:spacing w:after="0"/>
              <w:rPr>
                <w:sz w:val="20"/>
                <w:szCs w:val="20"/>
                <w:color w:val="auto"/>
              </w:rPr>
            </w:pPr>
          </w:p>
        </w:tc>
        <w:tc>
          <w:tcPr>
            <w:tcW w:w="2960" w:type="dxa"/>
            <w:vAlign w:val="bottom"/>
            <w:gridSpan w:val="2"/>
          </w:tcPr>
          <w:p>
            <w:pPr>
              <w:jc w:val="right"/>
              <w:ind w:right="470"/>
              <w:spacing w:after="0"/>
              <w:rPr>
                <w:sz w:val="20"/>
                <w:szCs w:val="20"/>
                <w:color w:val="auto"/>
              </w:rPr>
            </w:pPr>
            <w:r>
              <w:rPr>
                <w:rFonts w:ascii="Arial" w:cs="Arial" w:eastAsia="Arial" w:hAnsi="Arial"/>
                <w:sz w:val="18"/>
                <w:szCs w:val="18"/>
                <w:b w:val="1"/>
                <w:bCs w:val="1"/>
                <w:color w:val="auto"/>
              </w:rPr>
              <w:t>Six Months Ended June 30,</w:t>
            </w:r>
          </w:p>
        </w:tc>
        <w:tc>
          <w:tcPr>
            <w:tcW w:w="1340" w:type="dxa"/>
            <w:vAlign w:val="bottom"/>
          </w:tcPr>
          <w:p>
            <w:pPr>
              <w:spacing w:after="0"/>
              <w:rPr>
                <w:sz w:val="20"/>
                <w:szCs w:val="20"/>
                <w:color w:val="auto"/>
              </w:rPr>
            </w:pPr>
          </w:p>
        </w:tc>
      </w:tr>
      <w:tr>
        <w:trPr>
          <w:trHeight w:val="27"/>
        </w:trPr>
        <w:tc>
          <w:tcPr>
            <w:tcW w:w="4000" w:type="dxa"/>
            <w:vAlign w:val="bottom"/>
            <w:tcBorders>
              <w:bottom w:val="single" w:sz="8" w:color="auto"/>
            </w:tcBorders>
          </w:tcPr>
          <w:p>
            <w:pPr>
              <w:spacing w:after="0"/>
              <w:rPr>
                <w:sz w:val="2"/>
                <w:szCs w:val="2"/>
                <w:color w:val="auto"/>
              </w:rPr>
            </w:pPr>
          </w:p>
        </w:tc>
        <w:tc>
          <w:tcPr>
            <w:tcW w:w="312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37"/>
        </w:trPr>
        <w:tc>
          <w:tcPr>
            <w:tcW w:w="4000" w:type="dxa"/>
            <w:vAlign w:val="bottom"/>
          </w:tcPr>
          <w:p>
            <w:pPr>
              <w:spacing w:after="0"/>
              <w:rPr>
                <w:sz w:val="20"/>
                <w:szCs w:val="20"/>
                <w:color w:val="auto"/>
              </w:rPr>
            </w:pPr>
          </w:p>
        </w:tc>
        <w:tc>
          <w:tcPr>
            <w:tcW w:w="3120" w:type="dxa"/>
            <w:vAlign w:val="bottom"/>
          </w:tcPr>
          <w:p>
            <w:pPr>
              <w:jc w:val="right"/>
              <w:ind w:right="630"/>
              <w:spacing w:after="0"/>
              <w:rPr>
                <w:sz w:val="20"/>
                <w:szCs w:val="20"/>
                <w:color w:val="auto"/>
              </w:rPr>
            </w:pPr>
            <w:r>
              <w:rPr>
                <w:rFonts w:ascii="Arial" w:cs="Arial" w:eastAsia="Arial" w:hAnsi="Arial"/>
                <w:sz w:val="18"/>
                <w:szCs w:val="18"/>
                <w:b w:val="1"/>
                <w:bCs w:val="1"/>
                <w:color w:val="auto"/>
              </w:rPr>
              <w:t>2014</w:t>
            </w:r>
          </w:p>
        </w:tc>
        <w:tc>
          <w:tcPr>
            <w:tcW w:w="1560" w:type="dxa"/>
            <w:vAlign w:val="bottom"/>
          </w:tcPr>
          <w:p>
            <w:pPr>
              <w:jc w:val="right"/>
              <w:ind w:right="630"/>
              <w:spacing w:after="0"/>
              <w:rPr>
                <w:sz w:val="20"/>
                <w:szCs w:val="20"/>
                <w:color w:val="auto"/>
              </w:rPr>
            </w:pPr>
            <w:r>
              <w:rPr>
                <w:rFonts w:ascii="Arial" w:cs="Arial" w:eastAsia="Arial" w:hAnsi="Arial"/>
                <w:sz w:val="18"/>
                <w:szCs w:val="18"/>
                <w:b w:val="1"/>
                <w:bCs w:val="1"/>
                <w:color w:val="auto"/>
              </w:rPr>
              <w:t>2013</w:t>
            </w:r>
          </w:p>
        </w:tc>
        <w:tc>
          <w:tcPr>
            <w:tcW w:w="1400" w:type="dxa"/>
            <w:vAlign w:val="bottom"/>
          </w:tcPr>
          <w:p>
            <w:pPr>
              <w:jc w:val="right"/>
              <w:ind w:right="350"/>
              <w:spacing w:after="0"/>
              <w:rPr>
                <w:sz w:val="20"/>
                <w:szCs w:val="20"/>
                <w:color w:val="auto"/>
              </w:rPr>
            </w:pPr>
            <w:r>
              <w:rPr>
                <w:rFonts w:ascii="Arial" w:cs="Arial" w:eastAsia="Arial" w:hAnsi="Arial"/>
                <w:sz w:val="18"/>
                <w:szCs w:val="18"/>
                <w:b w:val="1"/>
                <w:bCs w:val="1"/>
                <w:color w:val="auto"/>
              </w:rPr>
              <w:t>$ Change</w:t>
            </w:r>
          </w:p>
        </w:tc>
        <w:tc>
          <w:tcPr>
            <w:tcW w:w="1340" w:type="dxa"/>
            <w:vAlign w:val="bottom"/>
          </w:tcPr>
          <w:p>
            <w:pPr>
              <w:jc w:val="right"/>
              <w:ind w:right="190"/>
              <w:spacing w:after="0"/>
              <w:rPr>
                <w:sz w:val="20"/>
                <w:szCs w:val="20"/>
                <w:color w:val="auto"/>
              </w:rPr>
            </w:pPr>
            <w:r>
              <w:rPr>
                <w:rFonts w:ascii="Arial" w:cs="Arial" w:eastAsia="Arial" w:hAnsi="Arial"/>
                <w:sz w:val="18"/>
                <w:szCs w:val="18"/>
                <w:b w:val="1"/>
                <w:bCs w:val="1"/>
                <w:color w:val="auto"/>
              </w:rPr>
              <w:t>% Change</w:t>
            </w:r>
          </w:p>
        </w:tc>
      </w:tr>
      <w:tr>
        <w:trPr>
          <w:trHeight w:val="27"/>
        </w:trPr>
        <w:tc>
          <w:tcPr>
            <w:tcW w:w="4000" w:type="dxa"/>
            <w:vAlign w:val="bottom"/>
            <w:tcBorders>
              <w:bottom w:val="single" w:sz="8" w:color="auto"/>
            </w:tcBorders>
          </w:tcPr>
          <w:p>
            <w:pPr>
              <w:spacing w:after="0"/>
              <w:rPr>
                <w:sz w:val="2"/>
                <w:szCs w:val="2"/>
                <w:color w:val="auto"/>
              </w:rPr>
            </w:pPr>
          </w:p>
        </w:tc>
        <w:tc>
          <w:tcPr>
            <w:tcW w:w="312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44"/>
        </w:trPr>
        <w:tc>
          <w:tcPr>
            <w:tcW w:w="4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for income taxes</w:t>
            </w:r>
          </w:p>
        </w:tc>
        <w:tc>
          <w:tcPr>
            <w:tcW w:w="312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$32.9</w:t>
            </w:r>
          </w:p>
        </w:tc>
        <w:tc>
          <w:tcPr>
            <w:tcW w:w="15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$24.6</w:t>
            </w:r>
          </w:p>
        </w:tc>
        <w:tc>
          <w:tcPr>
            <w:tcW w:w="1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$8.3</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33.7%</w:t>
            </w:r>
          </w:p>
        </w:tc>
      </w:tr>
      <w:tr>
        <w:trPr>
          <w:trHeight w:val="243"/>
        </w:trPr>
        <w:tc>
          <w:tcPr>
            <w:tcW w:w="4000" w:type="dxa"/>
            <w:vAlign w:val="bottom"/>
          </w:tcPr>
          <w:p>
            <w:pPr>
              <w:ind w:left="40"/>
              <w:spacing w:after="0"/>
              <w:rPr>
                <w:sz w:val="20"/>
                <w:szCs w:val="20"/>
                <w:color w:val="auto"/>
              </w:rPr>
            </w:pPr>
            <w:r>
              <w:rPr>
                <w:rFonts w:ascii="Arial" w:cs="Arial" w:eastAsia="Arial" w:hAnsi="Arial"/>
                <w:sz w:val="18"/>
                <w:szCs w:val="18"/>
                <w:color w:val="auto"/>
              </w:rPr>
              <w:t>Effective tax rate</w:t>
            </w:r>
          </w:p>
        </w:tc>
        <w:tc>
          <w:tcPr>
            <w:tcW w:w="3120" w:type="dxa"/>
            <w:vAlign w:val="bottom"/>
          </w:tcPr>
          <w:p>
            <w:pPr>
              <w:jc w:val="right"/>
              <w:ind w:right="110"/>
              <w:spacing w:after="0"/>
              <w:rPr>
                <w:sz w:val="20"/>
                <w:szCs w:val="20"/>
                <w:color w:val="auto"/>
              </w:rPr>
            </w:pPr>
            <w:r>
              <w:rPr>
                <w:rFonts w:ascii="Arial" w:cs="Arial" w:eastAsia="Arial" w:hAnsi="Arial"/>
                <w:sz w:val="18"/>
                <w:szCs w:val="18"/>
                <w:b w:val="1"/>
                <w:bCs w:val="1"/>
                <w:color w:val="auto"/>
              </w:rPr>
              <w:t>34.6%</w:t>
            </w:r>
          </w:p>
        </w:tc>
        <w:tc>
          <w:tcPr>
            <w:tcW w:w="1560" w:type="dxa"/>
            <w:vAlign w:val="bottom"/>
          </w:tcPr>
          <w:p>
            <w:pPr>
              <w:jc w:val="right"/>
              <w:ind w:right="130"/>
              <w:spacing w:after="0"/>
              <w:rPr>
                <w:sz w:val="20"/>
                <w:szCs w:val="20"/>
                <w:color w:val="auto"/>
              </w:rPr>
            </w:pPr>
            <w:r>
              <w:rPr>
                <w:rFonts w:ascii="Arial" w:cs="Arial" w:eastAsia="Arial" w:hAnsi="Arial"/>
                <w:sz w:val="18"/>
                <w:szCs w:val="18"/>
                <w:color w:val="auto"/>
              </w:rPr>
              <w:t>34.7%</w:t>
            </w:r>
          </w:p>
        </w:tc>
        <w:tc>
          <w:tcPr>
            <w:tcW w:w="1400" w:type="dxa"/>
            <w:vAlign w:val="bottom"/>
          </w:tcPr>
          <w:p>
            <w:pPr>
              <w:jc w:val="right"/>
              <w:ind w:right="150"/>
              <w:spacing w:after="0"/>
              <w:rPr>
                <w:sz w:val="20"/>
                <w:szCs w:val="20"/>
                <w:color w:val="auto"/>
              </w:rPr>
            </w:pPr>
            <w:r>
              <w:rPr>
                <w:rFonts w:ascii="Arial" w:cs="Arial" w:eastAsia="Arial" w:hAnsi="Arial"/>
                <w:sz w:val="18"/>
                <w:szCs w:val="18"/>
                <w:color w:val="auto"/>
              </w:rPr>
              <w:t>NM</w:t>
            </w:r>
          </w:p>
        </w:tc>
        <w:tc>
          <w:tcPr>
            <w:tcW w:w="1340" w:type="dxa"/>
            <w:vAlign w:val="bottom"/>
          </w:tcPr>
          <w:p>
            <w:pPr>
              <w:jc w:val="right"/>
              <w:spacing w:after="0"/>
              <w:rPr>
                <w:sz w:val="20"/>
                <w:szCs w:val="20"/>
                <w:color w:val="auto"/>
              </w:rPr>
            </w:pPr>
            <w:r>
              <w:rPr>
                <w:rFonts w:ascii="Arial" w:cs="Arial" w:eastAsia="Arial" w:hAnsi="Arial"/>
                <w:sz w:val="18"/>
                <w:szCs w:val="18"/>
                <w:color w:val="auto"/>
              </w:rPr>
              <w:t>(10) bps</w:t>
            </w:r>
          </w:p>
        </w:tc>
      </w:tr>
      <w:tr>
        <w:trPr>
          <w:trHeight w:val="34"/>
        </w:trPr>
        <w:tc>
          <w:tcPr>
            <w:tcW w:w="4000" w:type="dxa"/>
            <w:vAlign w:val="bottom"/>
            <w:tcBorders>
              <w:bottom w:val="single" w:sz="8" w:color="auto"/>
            </w:tcBorders>
          </w:tcPr>
          <w:p>
            <w:pPr>
              <w:spacing w:after="0"/>
              <w:rPr>
                <w:sz w:val="2"/>
                <w:szCs w:val="2"/>
                <w:color w:val="auto"/>
              </w:rPr>
            </w:pPr>
          </w:p>
        </w:tc>
        <w:tc>
          <w:tcPr>
            <w:tcW w:w="312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increase in the effective tax rate in the second quarter of 2014 compared to the second quarter of 2013 was primarily due to higher U.S. state and local taxes and the expiration of the U.S. research and experimentation credit.</w:t>
      </w: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580" w:right="239" w:bottom="1440" w:gutter="0" w:footer="0" w:header="0"/>
        </w:sectPr>
      </w:pPr>
    </w:p>
    <w:bookmarkStart w:id="23" w:name="page24"/>
    <w:bookmarkEnd w:id="23"/>
    <w:p>
      <w:pPr>
        <w:spacing w:after="0"/>
        <w:rPr>
          <w:sz w:val="20"/>
          <w:szCs w:val="20"/>
          <w:color w:val="auto"/>
        </w:rPr>
      </w:pPr>
      <w:r>
        <w:rPr>
          <w:rFonts w:ascii="Arial" w:cs="Arial" w:eastAsia="Arial" w:hAnsi="Arial"/>
          <w:sz w:val="18"/>
          <w:szCs w:val="18"/>
          <w:b w:val="1"/>
          <w:bCs w:val="1"/>
          <w:color w:val="auto"/>
        </w:rPr>
        <w:t>Business Segments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214630</wp:posOffset>
            </wp:positionV>
            <wp:extent cx="72466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860" w:type="dxa"/>
            <w:vAlign w:val="bottom"/>
          </w:tcPr>
          <w:p>
            <w:pPr>
              <w:ind w:left="40"/>
              <w:spacing w:after="0"/>
              <w:rPr>
                <w:sz w:val="20"/>
                <w:szCs w:val="20"/>
                <w:color w:val="auto"/>
              </w:rPr>
            </w:pPr>
            <w:r>
              <w:rPr>
                <w:rFonts w:ascii="Arial" w:cs="Arial" w:eastAsia="Arial" w:hAnsi="Arial"/>
                <w:sz w:val="18"/>
                <w:szCs w:val="18"/>
                <w:b w:val="1"/>
                <w:bCs w:val="1"/>
                <w:color w:val="auto"/>
              </w:rPr>
              <w:t>Industrial &amp; Mobile</w:t>
            </w:r>
          </w:p>
        </w:tc>
        <w:tc>
          <w:tcPr>
            <w:tcW w:w="2260" w:type="dxa"/>
            <w:vAlign w:val="bottom"/>
          </w:tcPr>
          <w:p>
            <w:pPr>
              <w:spacing w:after="0"/>
              <w:rPr>
                <w:sz w:val="20"/>
                <w:szCs w:val="20"/>
                <w:color w:val="auto"/>
              </w:rPr>
            </w:pPr>
          </w:p>
        </w:tc>
        <w:tc>
          <w:tcPr>
            <w:tcW w:w="3000" w:type="dxa"/>
            <w:vAlign w:val="bottom"/>
            <w:gridSpan w:val="2"/>
          </w:tcPr>
          <w:p>
            <w:pPr>
              <w:jc w:val="right"/>
              <w:ind w:right="390"/>
              <w:spacing w:after="0"/>
              <w:rPr>
                <w:sz w:val="20"/>
                <w:szCs w:val="20"/>
                <w:color w:val="auto"/>
              </w:rPr>
            </w:pPr>
            <w:r>
              <w:rPr>
                <w:rFonts w:ascii="Arial" w:cs="Arial" w:eastAsia="Arial" w:hAnsi="Arial"/>
                <w:sz w:val="18"/>
                <w:szCs w:val="18"/>
                <w:b w:val="1"/>
                <w:bCs w:val="1"/>
                <w:color w:val="auto"/>
                <w:w w:val="97"/>
              </w:rPr>
              <w:t>Three Months Ended June 30,</w:t>
            </w:r>
          </w:p>
        </w:tc>
        <w:tc>
          <w:tcPr>
            <w:tcW w:w="1300" w:type="dxa"/>
            <w:vAlign w:val="bottom"/>
          </w:tcPr>
          <w:p>
            <w:pPr>
              <w:spacing w:after="0"/>
              <w:rPr>
                <w:sz w:val="20"/>
                <w:szCs w:val="20"/>
                <w:color w:val="auto"/>
              </w:rPr>
            </w:pPr>
          </w:p>
        </w:tc>
      </w:tr>
      <w:tr>
        <w:trPr>
          <w:trHeight w:val="27"/>
        </w:trPr>
        <w:tc>
          <w:tcPr>
            <w:tcW w:w="4860" w:type="dxa"/>
            <w:vAlign w:val="bottom"/>
            <w:tcBorders>
              <w:bottom w:val="single" w:sz="8" w:color="auto"/>
            </w:tcBorders>
          </w:tcPr>
          <w:p>
            <w:pPr>
              <w:spacing w:after="0"/>
              <w:rPr>
                <w:sz w:val="2"/>
                <w:szCs w:val="2"/>
                <w:color w:val="auto"/>
              </w:rPr>
            </w:pPr>
          </w:p>
        </w:tc>
        <w:tc>
          <w:tcPr>
            <w:tcW w:w="22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37"/>
        </w:trPr>
        <w:tc>
          <w:tcPr>
            <w:tcW w:w="4860" w:type="dxa"/>
            <w:vAlign w:val="bottom"/>
          </w:tcPr>
          <w:p>
            <w:pPr>
              <w:spacing w:after="0"/>
              <w:rPr>
                <w:sz w:val="20"/>
                <w:szCs w:val="20"/>
                <w:color w:val="auto"/>
              </w:rPr>
            </w:pPr>
          </w:p>
        </w:tc>
        <w:tc>
          <w:tcPr>
            <w:tcW w:w="2260" w:type="dxa"/>
            <w:vAlign w:val="bottom"/>
          </w:tcPr>
          <w:p>
            <w:pPr>
              <w:jc w:val="right"/>
              <w:ind w:right="610"/>
              <w:spacing w:after="0"/>
              <w:rPr>
                <w:sz w:val="20"/>
                <w:szCs w:val="20"/>
                <w:color w:val="auto"/>
              </w:rPr>
            </w:pPr>
            <w:r>
              <w:rPr>
                <w:rFonts w:ascii="Arial" w:cs="Arial" w:eastAsia="Arial" w:hAnsi="Arial"/>
                <w:sz w:val="18"/>
                <w:szCs w:val="18"/>
                <w:b w:val="1"/>
                <w:bCs w:val="1"/>
                <w:color w:val="auto"/>
              </w:rPr>
              <w:t>2014</w:t>
            </w:r>
          </w:p>
        </w:tc>
        <w:tc>
          <w:tcPr>
            <w:tcW w:w="1560" w:type="dxa"/>
            <w:vAlign w:val="bottom"/>
          </w:tcPr>
          <w:p>
            <w:pPr>
              <w:jc w:val="right"/>
              <w:ind w:right="630"/>
              <w:spacing w:after="0"/>
              <w:rPr>
                <w:sz w:val="20"/>
                <w:szCs w:val="20"/>
                <w:color w:val="auto"/>
              </w:rPr>
            </w:pPr>
            <w:r>
              <w:rPr>
                <w:rFonts w:ascii="Arial" w:cs="Arial" w:eastAsia="Arial" w:hAnsi="Arial"/>
                <w:sz w:val="18"/>
                <w:szCs w:val="18"/>
                <w:b w:val="1"/>
                <w:bCs w:val="1"/>
                <w:color w:val="auto"/>
              </w:rPr>
              <w:t>2013</w:t>
            </w:r>
          </w:p>
        </w:tc>
        <w:tc>
          <w:tcPr>
            <w:tcW w:w="1440" w:type="dxa"/>
            <w:vAlign w:val="bottom"/>
          </w:tcPr>
          <w:p>
            <w:pPr>
              <w:jc w:val="right"/>
              <w:ind w:right="390"/>
              <w:spacing w:after="0"/>
              <w:rPr>
                <w:sz w:val="20"/>
                <w:szCs w:val="20"/>
                <w:color w:val="auto"/>
              </w:rPr>
            </w:pPr>
            <w:r>
              <w:rPr>
                <w:rFonts w:ascii="Arial" w:cs="Arial" w:eastAsia="Arial" w:hAnsi="Arial"/>
                <w:sz w:val="18"/>
                <w:szCs w:val="18"/>
                <w:b w:val="1"/>
                <w:bCs w:val="1"/>
                <w:color w:val="auto"/>
              </w:rPr>
              <w:t>$ Change</w:t>
            </w:r>
          </w:p>
        </w:tc>
        <w:tc>
          <w:tcPr>
            <w:tcW w:w="1300" w:type="dxa"/>
            <w:vAlign w:val="bottom"/>
          </w:tcPr>
          <w:p>
            <w:pPr>
              <w:jc w:val="right"/>
              <w:ind w:right="170"/>
              <w:spacing w:after="0"/>
              <w:rPr>
                <w:sz w:val="20"/>
                <w:szCs w:val="20"/>
                <w:color w:val="auto"/>
              </w:rPr>
            </w:pPr>
            <w:r>
              <w:rPr>
                <w:rFonts w:ascii="Arial" w:cs="Arial" w:eastAsia="Arial" w:hAnsi="Arial"/>
                <w:sz w:val="18"/>
                <w:szCs w:val="18"/>
                <w:b w:val="1"/>
                <w:bCs w:val="1"/>
                <w:color w:val="auto"/>
              </w:rPr>
              <w:t>% Change</w:t>
            </w:r>
          </w:p>
        </w:tc>
      </w:tr>
      <w:tr>
        <w:trPr>
          <w:trHeight w:val="27"/>
        </w:trPr>
        <w:tc>
          <w:tcPr>
            <w:tcW w:w="4860" w:type="dxa"/>
            <w:vAlign w:val="bottom"/>
            <w:tcBorders>
              <w:bottom w:val="single" w:sz="8" w:color="auto"/>
            </w:tcBorders>
          </w:tcPr>
          <w:p>
            <w:pPr>
              <w:spacing w:after="0"/>
              <w:rPr>
                <w:sz w:val="2"/>
                <w:szCs w:val="2"/>
                <w:color w:val="auto"/>
              </w:rPr>
            </w:pPr>
          </w:p>
        </w:tc>
        <w:tc>
          <w:tcPr>
            <w:tcW w:w="22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44"/>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22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$254.7</w:t>
            </w:r>
          </w:p>
        </w:tc>
        <w:tc>
          <w:tcPr>
            <w:tcW w:w="156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$224.0</w:t>
            </w:r>
          </w:p>
        </w:tc>
        <w:tc>
          <w:tcPr>
            <w:tcW w:w="144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$30.7</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13.7%</w:t>
            </w:r>
          </w:p>
        </w:tc>
      </w:tr>
      <w:tr>
        <w:trPr>
          <w:trHeight w:val="243"/>
        </w:trPr>
        <w:tc>
          <w:tcPr>
            <w:tcW w:w="4860" w:type="dxa"/>
            <w:vAlign w:val="bottom"/>
          </w:tcPr>
          <w:p>
            <w:pPr>
              <w:ind w:left="40"/>
              <w:spacing w:after="0"/>
              <w:rPr>
                <w:sz w:val="20"/>
                <w:szCs w:val="20"/>
                <w:color w:val="auto"/>
              </w:rPr>
            </w:pPr>
            <w:r>
              <w:rPr>
                <w:rFonts w:ascii="Arial" w:cs="Arial" w:eastAsia="Arial" w:hAnsi="Arial"/>
                <w:sz w:val="18"/>
                <w:szCs w:val="18"/>
                <w:color w:val="auto"/>
              </w:rPr>
              <w:t>Net sales, excluding surcharges</w:t>
            </w:r>
          </w:p>
        </w:tc>
        <w:tc>
          <w:tcPr>
            <w:tcW w:w="2260" w:type="dxa"/>
            <w:vAlign w:val="bottom"/>
          </w:tcPr>
          <w:p>
            <w:pPr>
              <w:jc w:val="right"/>
              <w:ind w:right="290"/>
              <w:spacing w:after="0"/>
              <w:rPr>
                <w:sz w:val="20"/>
                <w:szCs w:val="20"/>
                <w:color w:val="auto"/>
              </w:rPr>
            </w:pPr>
            <w:r>
              <w:rPr>
                <w:rFonts w:ascii="Arial" w:cs="Arial" w:eastAsia="Arial" w:hAnsi="Arial"/>
                <w:sz w:val="18"/>
                <w:szCs w:val="18"/>
                <w:b w:val="1"/>
                <w:bCs w:val="1"/>
                <w:color w:val="auto"/>
              </w:rPr>
              <w:t>197.9</w:t>
            </w:r>
          </w:p>
        </w:tc>
        <w:tc>
          <w:tcPr>
            <w:tcW w:w="1560" w:type="dxa"/>
            <w:vAlign w:val="bottom"/>
          </w:tcPr>
          <w:p>
            <w:pPr>
              <w:jc w:val="right"/>
              <w:ind w:right="270"/>
              <w:spacing w:after="0"/>
              <w:rPr>
                <w:sz w:val="20"/>
                <w:szCs w:val="20"/>
                <w:color w:val="auto"/>
              </w:rPr>
            </w:pPr>
            <w:r>
              <w:rPr>
                <w:rFonts w:ascii="Arial" w:cs="Arial" w:eastAsia="Arial" w:hAnsi="Arial"/>
                <w:sz w:val="18"/>
                <w:szCs w:val="18"/>
                <w:color w:val="auto"/>
              </w:rPr>
              <w:t>176.5</w:t>
            </w:r>
          </w:p>
        </w:tc>
        <w:tc>
          <w:tcPr>
            <w:tcW w:w="1440" w:type="dxa"/>
            <w:vAlign w:val="bottom"/>
          </w:tcPr>
          <w:p>
            <w:pPr>
              <w:jc w:val="right"/>
              <w:ind w:right="170"/>
              <w:spacing w:after="0"/>
              <w:rPr>
                <w:sz w:val="20"/>
                <w:szCs w:val="20"/>
                <w:color w:val="auto"/>
              </w:rPr>
            </w:pPr>
            <w:r>
              <w:rPr>
                <w:rFonts w:ascii="Arial" w:cs="Arial" w:eastAsia="Arial" w:hAnsi="Arial"/>
                <w:sz w:val="18"/>
                <w:szCs w:val="18"/>
                <w:color w:val="auto"/>
              </w:rPr>
              <w:t>21.4</w:t>
            </w: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12.1%</w:t>
            </w:r>
          </w:p>
        </w:tc>
      </w:tr>
      <w:tr>
        <w:trPr>
          <w:trHeight w:val="27"/>
        </w:trPr>
        <w:tc>
          <w:tcPr>
            <w:tcW w:w="486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EBIT</w:t>
            </w:r>
          </w:p>
        </w:tc>
        <w:tc>
          <w:tcPr>
            <w:tcW w:w="22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20.8</w:t>
            </w:r>
          </w:p>
        </w:tc>
        <w:tc>
          <w:tcPr>
            <w:tcW w:w="156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25.3</w:t>
            </w:r>
          </w:p>
        </w:tc>
        <w:tc>
          <w:tcPr>
            <w:tcW w:w="144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(4.5)</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(17.8)%</w:t>
            </w:r>
          </w:p>
        </w:tc>
      </w:tr>
      <w:tr>
        <w:trPr>
          <w:trHeight w:val="243"/>
        </w:trPr>
        <w:tc>
          <w:tcPr>
            <w:tcW w:w="4860" w:type="dxa"/>
            <w:vAlign w:val="bottom"/>
          </w:tcPr>
          <w:p>
            <w:pPr>
              <w:ind w:left="40"/>
              <w:spacing w:after="0"/>
              <w:rPr>
                <w:sz w:val="20"/>
                <w:szCs w:val="20"/>
                <w:color w:val="auto"/>
              </w:rPr>
            </w:pPr>
            <w:r>
              <w:rPr>
                <w:rFonts w:ascii="Arial" w:cs="Arial" w:eastAsia="Arial" w:hAnsi="Arial"/>
                <w:sz w:val="18"/>
                <w:szCs w:val="18"/>
                <w:color w:val="auto"/>
              </w:rPr>
              <w:t>EBIT margin</w:t>
            </w:r>
          </w:p>
        </w:tc>
        <w:tc>
          <w:tcPr>
            <w:tcW w:w="2260" w:type="dxa"/>
            <w:vAlign w:val="bottom"/>
          </w:tcPr>
          <w:p>
            <w:pPr>
              <w:jc w:val="right"/>
              <w:ind w:right="110"/>
              <w:spacing w:after="0"/>
              <w:rPr>
                <w:sz w:val="20"/>
                <w:szCs w:val="20"/>
                <w:color w:val="auto"/>
              </w:rPr>
            </w:pPr>
            <w:r>
              <w:rPr>
                <w:rFonts w:ascii="Arial" w:cs="Arial" w:eastAsia="Arial" w:hAnsi="Arial"/>
                <w:sz w:val="18"/>
                <w:szCs w:val="18"/>
                <w:b w:val="1"/>
                <w:bCs w:val="1"/>
                <w:color w:val="auto"/>
              </w:rPr>
              <w:t>8.2%</w:t>
            </w:r>
          </w:p>
        </w:tc>
        <w:tc>
          <w:tcPr>
            <w:tcW w:w="1560" w:type="dxa"/>
            <w:vAlign w:val="bottom"/>
          </w:tcPr>
          <w:p>
            <w:pPr>
              <w:jc w:val="right"/>
              <w:ind w:right="130"/>
              <w:spacing w:after="0"/>
              <w:rPr>
                <w:sz w:val="20"/>
                <w:szCs w:val="20"/>
                <w:color w:val="auto"/>
              </w:rPr>
            </w:pPr>
            <w:r>
              <w:rPr>
                <w:rFonts w:ascii="Arial" w:cs="Arial" w:eastAsia="Arial" w:hAnsi="Arial"/>
                <w:sz w:val="18"/>
                <w:szCs w:val="18"/>
                <w:color w:val="auto"/>
              </w:rPr>
              <w:t>11.3%</w:t>
            </w:r>
          </w:p>
        </w:tc>
        <w:tc>
          <w:tcPr>
            <w:tcW w:w="1440" w:type="dxa"/>
            <w:vAlign w:val="bottom"/>
          </w:tcPr>
          <w:p>
            <w:pPr>
              <w:jc w:val="right"/>
              <w:ind w:right="170"/>
              <w:spacing w:after="0"/>
              <w:rPr>
                <w:sz w:val="20"/>
                <w:szCs w:val="20"/>
                <w:color w:val="auto"/>
              </w:rPr>
            </w:pPr>
            <w:r>
              <w:rPr>
                <w:rFonts w:ascii="Arial" w:cs="Arial" w:eastAsia="Arial" w:hAnsi="Arial"/>
                <w:sz w:val="18"/>
                <w:szCs w:val="18"/>
                <w:color w:val="auto"/>
              </w:rPr>
              <w:t>NM</w:t>
            </w: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(310) bps</w:t>
            </w:r>
          </w:p>
        </w:tc>
      </w:tr>
      <w:tr>
        <w:trPr>
          <w:trHeight w:val="27"/>
        </w:trPr>
        <w:tc>
          <w:tcPr>
            <w:tcW w:w="486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Shipments (in tons)</w:t>
            </w:r>
          </w:p>
        </w:tc>
        <w:tc>
          <w:tcPr>
            <w:tcW w:w="22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169,002</w:t>
            </w:r>
          </w:p>
        </w:tc>
        <w:tc>
          <w:tcPr>
            <w:tcW w:w="156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154,337</w:t>
            </w:r>
          </w:p>
        </w:tc>
        <w:tc>
          <w:tcPr>
            <w:tcW w:w="144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14,665</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9.5%</w:t>
            </w:r>
          </w:p>
        </w:tc>
      </w:tr>
      <w:tr>
        <w:trPr>
          <w:trHeight w:val="243"/>
        </w:trPr>
        <w:tc>
          <w:tcPr>
            <w:tcW w:w="4860" w:type="dxa"/>
            <w:vAlign w:val="bottom"/>
          </w:tcPr>
          <w:p>
            <w:pPr>
              <w:ind w:left="40"/>
              <w:spacing w:after="0"/>
              <w:rPr>
                <w:sz w:val="20"/>
                <w:szCs w:val="20"/>
                <w:color w:val="auto"/>
              </w:rPr>
            </w:pPr>
            <w:r>
              <w:rPr>
                <w:rFonts w:ascii="Arial" w:cs="Arial" w:eastAsia="Arial" w:hAnsi="Arial"/>
                <w:sz w:val="18"/>
                <w:szCs w:val="18"/>
                <w:color w:val="auto"/>
              </w:rPr>
              <w:t>Average selling price per ton, including surcharges</w:t>
            </w:r>
          </w:p>
        </w:tc>
        <w:tc>
          <w:tcPr>
            <w:tcW w:w="2260" w:type="dxa"/>
            <w:vAlign w:val="bottom"/>
          </w:tcPr>
          <w:p>
            <w:pPr>
              <w:jc w:val="right"/>
              <w:ind w:right="290"/>
              <w:spacing w:after="0"/>
              <w:rPr>
                <w:sz w:val="20"/>
                <w:szCs w:val="20"/>
                <w:color w:val="auto"/>
              </w:rPr>
            </w:pPr>
            <w:r>
              <w:rPr>
                <w:rFonts w:ascii="Arial" w:cs="Arial" w:eastAsia="Arial" w:hAnsi="Arial"/>
                <w:sz w:val="18"/>
                <w:szCs w:val="18"/>
                <w:b w:val="1"/>
                <w:bCs w:val="1"/>
                <w:color w:val="auto"/>
              </w:rPr>
              <w:t>$1,507</w:t>
            </w:r>
          </w:p>
        </w:tc>
        <w:tc>
          <w:tcPr>
            <w:tcW w:w="1560" w:type="dxa"/>
            <w:vAlign w:val="bottom"/>
          </w:tcPr>
          <w:p>
            <w:pPr>
              <w:jc w:val="right"/>
              <w:ind w:right="270"/>
              <w:spacing w:after="0"/>
              <w:rPr>
                <w:sz w:val="20"/>
                <w:szCs w:val="20"/>
                <w:color w:val="auto"/>
              </w:rPr>
            </w:pPr>
            <w:r>
              <w:rPr>
                <w:rFonts w:ascii="Arial" w:cs="Arial" w:eastAsia="Arial" w:hAnsi="Arial"/>
                <w:sz w:val="18"/>
                <w:szCs w:val="18"/>
                <w:color w:val="auto"/>
              </w:rPr>
              <w:t>$1,451</w:t>
            </w:r>
          </w:p>
        </w:tc>
        <w:tc>
          <w:tcPr>
            <w:tcW w:w="1440" w:type="dxa"/>
            <w:vAlign w:val="bottom"/>
          </w:tcPr>
          <w:p>
            <w:pPr>
              <w:jc w:val="right"/>
              <w:ind w:right="170"/>
              <w:spacing w:after="0"/>
              <w:rPr>
                <w:sz w:val="20"/>
                <w:szCs w:val="20"/>
                <w:color w:val="auto"/>
              </w:rPr>
            </w:pPr>
            <w:r>
              <w:rPr>
                <w:rFonts w:ascii="Arial" w:cs="Arial" w:eastAsia="Arial" w:hAnsi="Arial"/>
                <w:sz w:val="18"/>
                <w:szCs w:val="18"/>
                <w:color w:val="auto"/>
              </w:rPr>
              <w:t>$56</w:t>
            </w: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3.9%</w:t>
            </w:r>
          </w:p>
        </w:tc>
      </w:tr>
      <w:tr>
        <w:trPr>
          <w:trHeight w:val="27"/>
        </w:trPr>
        <w:tc>
          <w:tcPr>
            <w:tcW w:w="4860" w:type="dxa"/>
            <w:vAlign w:val="bottom"/>
            <w:tcBorders>
              <w:bottom w:val="single" w:sz="8" w:color="auto"/>
            </w:tcBorders>
          </w:tcPr>
          <w:p>
            <w:pPr>
              <w:spacing w:after="0"/>
              <w:rPr>
                <w:sz w:val="2"/>
                <w:szCs w:val="2"/>
                <w:color w:val="auto"/>
              </w:rPr>
            </w:pPr>
          </w:p>
        </w:tc>
        <w:tc>
          <w:tcPr>
            <w:tcW w:w="2260" w:type="dxa"/>
            <w:vAlign w:val="bottom"/>
            <w:tcBorders>
              <w:bottom w:val="single" w:sz="8" w:color="auto"/>
            </w:tcBorders>
          </w:tcPr>
          <w:p>
            <w:pPr>
              <w:spacing w:after="0"/>
              <w:rPr>
                <w:sz w:val="2"/>
                <w:szCs w:val="2"/>
                <w:color w:val="auto"/>
              </w:rPr>
            </w:pPr>
          </w:p>
        </w:tc>
        <w:tc>
          <w:tcPr>
            <w:tcW w:w="3000" w:type="dxa"/>
            <w:vAlign w:val="bottom"/>
            <w:tcBorders>
              <w:bottom w:val="single" w:sz="8" w:color="auto"/>
            </w:tcBorders>
            <w:gridSpan w:val="2"/>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129"/>
        </w:trPr>
        <w:tc>
          <w:tcPr>
            <w:tcW w:w="4860" w:type="dxa"/>
            <w:vAlign w:val="bottom"/>
            <w:tcBorders>
              <w:bottom w:val="single" w:sz="8" w:color="auto"/>
            </w:tcBorders>
          </w:tcPr>
          <w:p>
            <w:pPr>
              <w:spacing w:after="0"/>
              <w:rPr>
                <w:sz w:val="11"/>
                <w:szCs w:val="11"/>
                <w:color w:val="auto"/>
              </w:rPr>
            </w:pPr>
          </w:p>
        </w:tc>
        <w:tc>
          <w:tcPr>
            <w:tcW w:w="2260" w:type="dxa"/>
            <w:vAlign w:val="bottom"/>
            <w:tcBorders>
              <w:bottom w:val="single" w:sz="8" w:color="auto"/>
            </w:tcBorders>
          </w:tcPr>
          <w:p>
            <w:pPr>
              <w:spacing w:after="0"/>
              <w:rPr>
                <w:sz w:val="11"/>
                <w:szCs w:val="11"/>
                <w:color w:val="auto"/>
              </w:rPr>
            </w:pPr>
          </w:p>
        </w:tc>
        <w:tc>
          <w:tcPr>
            <w:tcW w:w="3000" w:type="dxa"/>
            <w:vAlign w:val="bottom"/>
            <w:tcBorders>
              <w:bottom w:val="single" w:sz="8" w:color="auto"/>
            </w:tcBorders>
            <w:gridSpan w:val="2"/>
          </w:tcPr>
          <w:p>
            <w:pPr>
              <w:spacing w:after="0"/>
              <w:rPr>
                <w:sz w:val="11"/>
                <w:szCs w:val="11"/>
                <w:color w:val="auto"/>
              </w:rPr>
            </w:pPr>
          </w:p>
        </w:tc>
        <w:tc>
          <w:tcPr>
            <w:tcW w:w="1300" w:type="dxa"/>
            <w:vAlign w:val="bottom"/>
            <w:tcBorders>
              <w:bottom w:val="single" w:sz="8" w:color="auto"/>
            </w:tcBorders>
          </w:tcPr>
          <w:p>
            <w:pPr>
              <w:spacing w:after="0"/>
              <w:rPr>
                <w:sz w:val="11"/>
                <w:szCs w:val="11"/>
                <w:color w:val="auto"/>
              </w:rPr>
            </w:pPr>
          </w:p>
        </w:tc>
      </w:tr>
      <w:tr>
        <w:trPr>
          <w:trHeight w:val="237"/>
        </w:trPr>
        <w:tc>
          <w:tcPr>
            <w:tcW w:w="4860" w:type="dxa"/>
            <w:vAlign w:val="bottom"/>
          </w:tcPr>
          <w:p>
            <w:pPr>
              <w:ind w:left="40"/>
              <w:spacing w:after="0"/>
              <w:rPr>
                <w:sz w:val="20"/>
                <w:szCs w:val="20"/>
                <w:color w:val="auto"/>
              </w:rPr>
            </w:pPr>
            <w:r>
              <w:rPr>
                <w:rFonts w:ascii="Arial" w:cs="Arial" w:eastAsia="Arial" w:hAnsi="Arial"/>
                <w:sz w:val="18"/>
                <w:szCs w:val="18"/>
                <w:b w:val="1"/>
                <w:bCs w:val="1"/>
                <w:color w:val="auto"/>
              </w:rPr>
              <w:t>Industrial &amp; Mobile</w:t>
            </w:r>
          </w:p>
        </w:tc>
        <w:tc>
          <w:tcPr>
            <w:tcW w:w="2260" w:type="dxa"/>
            <w:vAlign w:val="bottom"/>
          </w:tcPr>
          <w:p>
            <w:pPr>
              <w:spacing w:after="0"/>
              <w:rPr>
                <w:sz w:val="20"/>
                <w:szCs w:val="20"/>
                <w:color w:val="auto"/>
              </w:rPr>
            </w:pPr>
          </w:p>
        </w:tc>
        <w:tc>
          <w:tcPr>
            <w:tcW w:w="3000" w:type="dxa"/>
            <w:vAlign w:val="bottom"/>
            <w:gridSpan w:val="2"/>
          </w:tcPr>
          <w:p>
            <w:pPr>
              <w:jc w:val="right"/>
              <w:ind w:right="510"/>
              <w:spacing w:after="0"/>
              <w:rPr>
                <w:sz w:val="20"/>
                <w:szCs w:val="20"/>
                <w:color w:val="auto"/>
              </w:rPr>
            </w:pPr>
            <w:r>
              <w:rPr>
                <w:rFonts w:ascii="Arial" w:cs="Arial" w:eastAsia="Arial" w:hAnsi="Arial"/>
                <w:sz w:val="18"/>
                <w:szCs w:val="18"/>
                <w:b w:val="1"/>
                <w:bCs w:val="1"/>
                <w:color w:val="auto"/>
              </w:rPr>
              <w:t>Six Months Ended June 30,</w:t>
            </w:r>
          </w:p>
        </w:tc>
        <w:tc>
          <w:tcPr>
            <w:tcW w:w="1300" w:type="dxa"/>
            <w:vAlign w:val="bottom"/>
          </w:tcPr>
          <w:p>
            <w:pPr>
              <w:spacing w:after="0"/>
              <w:rPr>
                <w:sz w:val="20"/>
                <w:szCs w:val="20"/>
                <w:color w:val="auto"/>
              </w:rPr>
            </w:pPr>
          </w:p>
        </w:tc>
      </w:tr>
      <w:tr>
        <w:trPr>
          <w:trHeight w:val="27"/>
        </w:trPr>
        <w:tc>
          <w:tcPr>
            <w:tcW w:w="4860" w:type="dxa"/>
            <w:vAlign w:val="bottom"/>
            <w:tcBorders>
              <w:bottom w:val="single" w:sz="8" w:color="auto"/>
            </w:tcBorders>
          </w:tcPr>
          <w:p>
            <w:pPr>
              <w:spacing w:after="0"/>
              <w:rPr>
                <w:sz w:val="2"/>
                <w:szCs w:val="2"/>
                <w:color w:val="auto"/>
              </w:rPr>
            </w:pPr>
          </w:p>
        </w:tc>
        <w:tc>
          <w:tcPr>
            <w:tcW w:w="22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37"/>
        </w:trPr>
        <w:tc>
          <w:tcPr>
            <w:tcW w:w="4860" w:type="dxa"/>
            <w:vAlign w:val="bottom"/>
          </w:tcPr>
          <w:p>
            <w:pPr>
              <w:spacing w:after="0"/>
              <w:rPr>
                <w:sz w:val="20"/>
                <w:szCs w:val="20"/>
                <w:color w:val="auto"/>
              </w:rPr>
            </w:pPr>
          </w:p>
        </w:tc>
        <w:tc>
          <w:tcPr>
            <w:tcW w:w="2260" w:type="dxa"/>
            <w:vAlign w:val="bottom"/>
          </w:tcPr>
          <w:p>
            <w:pPr>
              <w:jc w:val="right"/>
              <w:ind w:right="630"/>
              <w:spacing w:after="0"/>
              <w:rPr>
                <w:sz w:val="20"/>
                <w:szCs w:val="20"/>
                <w:color w:val="auto"/>
              </w:rPr>
            </w:pPr>
            <w:r>
              <w:rPr>
                <w:rFonts w:ascii="Arial" w:cs="Arial" w:eastAsia="Arial" w:hAnsi="Arial"/>
                <w:sz w:val="18"/>
                <w:szCs w:val="18"/>
                <w:b w:val="1"/>
                <w:bCs w:val="1"/>
                <w:color w:val="auto"/>
              </w:rPr>
              <w:t>2014</w:t>
            </w:r>
          </w:p>
        </w:tc>
        <w:tc>
          <w:tcPr>
            <w:tcW w:w="1560" w:type="dxa"/>
            <w:vAlign w:val="bottom"/>
          </w:tcPr>
          <w:p>
            <w:pPr>
              <w:jc w:val="right"/>
              <w:ind w:right="630"/>
              <w:spacing w:after="0"/>
              <w:rPr>
                <w:sz w:val="20"/>
                <w:szCs w:val="20"/>
                <w:color w:val="auto"/>
              </w:rPr>
            </w:pPr>
            <w:r>
              <w:rPr>
                <w:rFonts w:ascii="Arial" w:cs="Arial" w:eastAsia="Arial" w:hAnsi="Arial"/>
                <w:sz w:val="18"/>
                <w:szCs w:val="18"/>
                <w:b w:val="1"/>
                <w:bCs w:val="1"/>
                <w:color w:val="auto"/>
              </w:rPr>
              <w:t>2013</w:t>
            </w:r>
          </w:p>
        </w:tc>
        <w:tc>
          <w:tcPr>
            <w:tcW w:w="1440" w:type="dxa"/>
            <w:vAlign w:val="bottom"/>
          </w:tcPr>
          <w:p>
            <w:pPr>
              <w:jc w:val="right"/>
              <w:ind w:right="390"/>
              <w:spacing w:after="0"/>
              <w:rPr>
                <w:sz w:val="20"/>
                <w:szCs w:val="20"/>
                <w:color w:val="auto"/>
              </w:rPr>
            </w:pPr>
            <w:r>
              <w:rPr>
                <w:rFonts w:ascii="Arial" w:cs="Arial" w:eastAsia="Arial" w:hAnsi="Arial"/>
                <w:sz w:val="18"/>
                <w:szCs w:val="18"/>
                <w:b w:val="1"/>
                <w:bCs w:val="1"/>
                <w:color w:val="auto"/>
              </w:rPr>
              <w:t>$ Change</w:t>
            </w:r>
          </w:p>
        </w:tc>
        <w:tc>
          <w:tcPr>
            <w:tcW w:w="1300" w:type="dxa"/>
            <w:vAlign w:val="bottom"/>
          </w:tcPr>
          <w:p>
            <w:pPr>
              <w:jc w:val="right"/>
              <w:ind w:right="190"/>
              <w:spacing w:after="0"/>
              <w:rPr>
                <w:sz w:val="20"/>
                <w:szCs w:val="20"/>
                <w:color w:val="auto"/>
              </w:rPr>
            </w:pPr>
            <w:r>
              <w:rPr>
                <w:rFonts w:ascii="Arial" w:cs="Arial" w:eastAsia="Arial" w:hAnsi="Arial"/>
                <w:sz w:val="18"/>
                <w:szCs w:val="18"/>
                <w:b w:val="1"/>
                <w:bCs w:val="1"/>
                <w:color w:val="auto"/>
              </w:rPr>
              <w:t>% Change</w:t>
            </w:r>
          </w:p>
        </w:tc>
      </w:tr>
      <w:tr>
        <w:trPr>
          <w:trHeight w:val="27"/>
        </w:trPr>
        <w:tc>
          <w:tcPr>
            <w:tcW w:w="4860" w:type="dxa"/>
            <w:vAlign w:val="bottom"/>
            <w:tcBorders>
              <w:bottom w:val="single" w:sz="8" w:color="auto"/>
            </w:tcBorders>
          </w:tcPr>
          <w:p>
            <w:pPr>
              <w:spacing w:after="0"/>
              <w:rPr>
                <w:sz w:val="2"/>
                <w:szCs w:val="2"/>
                <w:color w:val="auto"/>
              </w:rPr>
            </w:pPr>
          </w:p>
        </w:tc>
        <w:tc>
          <w:tcPr>
            <w:tcW w:w="22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44"/>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22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$486.5</w:t>
            </w:r>
          </w:p>
        </w:tc>
        <w:tc>
          <w:tcPr>
            <w:tcW w:w="15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$441.8</w:t>
            </w:r>
          </w:p>
        </w:tc>
        <w:tc>
          <w:tcPr>
            <w:tcW w:w="144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rPr>
              <w:t>$44.7</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10.1%</w:t>
            </w:r>
          </w:p>
        </w:tc>
      </w:tr>
      <w:tr>
        <w:trPr>
          <w:trHeight w:val="243"/>
        </w:trPr>
        <w:tc>
          <w:tcPr>
            <w:tcW w:w="4860" w:type="dxa"/>
            <w:vAlign w:val="bottom"/>
          </w:tcPr>
          <w:p>
            <w:pPr>
              <w:ind w:left="40"/>
              <w:spacing w:after="0"/>
              <w:rPr>
                <w:sz w:val="20"/>
                <w:szCs w:val="20"/>
                <w:color w:val="auto"/>
              </w:rPr>
            </w:pPr>
            <w:r>
              <w:rPr>
                <w:rFonts w:ascii="Arial" w:cs="Arial" w:eastAsia="Arial" w:hAnsi="Arial"/>
                <w:sz w:val="18"/>
                <w:szCs w:val="18"/>
                <w:color w:val="auto"/>
              </w:rPr>
              <w:t>Net sales, excluding surcharges</w:t>
            </w:r>
          </w:p>
        </w:tc>
        <w:tc>
          <w:tcPr>
            <w:tcW w:w="2260" w:type="dxa"/>
            <w:vAlign w:val="bottom"/>
          </w:tcPr>
          <w:p>
            <w:pPr>
              <w:jc w:val="right"/>
              <w:ind w:right="290"/>
              <w:spacing w:after="0"/>
              <w:rPr>
                <w:sz w:val="20"/>
                <w:szCs w:val="20"/>
                <w:color w:val="auto"/>
              </w:rPr>
            </w:pPr>
            <w:r>
              <w:rPr>
                <w:rFonts w:ascii="Arial" w:cs="Arial" w:eastAsia="Arial" w:hAnsi="Arial"/>
                <w:sz w:val="18"/>
                <w:szCs w:val="18"/>
                <w:b w:val="1"/>
                <w:bCs w:val="1"/>
                <w:color w:val="auto"/>
              </w:rPr>
              <w:t>377.2</w:t>
            </w:r>
          </w:p>
        </w:tc>
        <w:tc>
          <w:tcPr>
            <w:tcW w:w="1560" w:type="dxa"/>
            <w:vAlign w:val="bottom"/>
          </w:tcPr>
          <w:p>
            <w:pPr>
              <w:jc w:val="right"/>
              <w:ind w:right="290"/>
              <w:spacing w:after="0"/>
              <w:rPr>
                <w:sz w:val="20"/>
                <w:szCs w:val="20"/>
                <w:color w:val="auto"/>
              </w:rPr>
            </w:pPr>
            <w:r>
              <w:rPr>
                <w:rFonts w:ascii="Arial" w:cs="Arial" w:eastAsia="Arial" w:hAnsi="Arial"/>
                <w:sz w:val="18"/>
                <w:szCs w:val="18"/>
                <w:color w:val="auto"/>
              </w:rPr>
              <w:t>350.0</w:t>
            </w:r>
          </w:p>
        </w:tc>
        <w:tc>
          <w:tcPr>
            <w:tcW w:w="1440" w:type="dxa"/>
            <w:vAlign w:val="bottom"/>
          </w:tcPr>
          <w:p>
            <w:pPr>
              <w:jc w:val="right"/>
              <w:ind w:right="190"/>
              <w:spacing w:after="0"/>
              <w:rPr>
                <w:sz w:val="20"/>
                <w:szCs w:val="20"/>
                <w:color w:val="auto"/>
              </w:rPr>
            </w:pPr>
            <w:r>
              <w:rPr>
                <w:rFonts w:ascii="Arial" w:cs="Arial" w:eastAsia="Arial" w:hAnsi="Arial"/>
                <w:sz w:val="18"/>
                <w:szCs w:val="18"/>
                <w:color w:val="auto"/>
              </w:rPr>
              <w:t>27.2</w:t>
            </w:r>
          </w:p>
        </w:tc>
        <w:tc>
          <w:tcPr>
            <w:tcW w:w="1300" w:type="dxa"/>
            <w:vAlign w:val="bottom"/>
          </w:tcPr>
          <w:p>
            <w:pPr>
              <w:jc w:val="right"/>
              <w:spacing w:after="0"/>
              <w:rPr>
                <w:sz w:val="20"/>
                <w:szCs w:val="20"/>
                <w:color w:val="auto"/>
              </w:rPr>
            </w:pPr>
            <w:r>
              <w:rPr>
                <w:rFonts w:ascii="Arial" w:cs="Arial" w:eastAsia="Arial" w:hAnsi="Arial"/>
                <w:sz w:val="18"/>
                <w:szCs w:val="18"/>
                <w:color w:val="auto"/>
              </w:rPr>
              <w:t>7.8%</w:t>
            </w:r>
          </w:p>
        </w:tc>
      </w:tr>
      <w:tr>
        <w:trPr>
          <w:trHeight w:val="27"/>
        </w:trPr>
        <w:tc>
          <w:tcPr>
            <w:tcW w:w="486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EBIT</w:t>
            </w:r>
          </w:p>
        </w:tc>
        <w:tc>
          <w:tcPr>
            <w:tcW w:w="22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47.8</w:t>
            </w:r>
          </w:p>
        </w:tc>
        <w:tc>
          <w:tcPr>
            <w:tcW w:w="15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46.8</w:t>
            </w:r>
          </w:p>
        </w:tc>
        <w:tc>
          <w:tcPr>
            <w:tcW w:w="144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rPr>
              <w:t>1.0</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w:t>
            </w:r>
          </w:p>
        </w:tc>
      </w:tr>
      <w:tr>
        <w:trPr>
          <w:trHeight w:val="243"/>
        </w:trPr>
        <w:tc>
          <w:tcPr>
            <w:tcW w:w="4860" w:type="dxa"/>
            <w:vAlign w:val="bottom"/>
          </w:tcPr>
          <w:p>
            <w:pPr>
              <w:ind w:left="40"/>
              <w:spacing w:after="0"/>
              <w:rPr>
                <w:sz w:val="20"/>
                <w:szCs w:val="20"/>
                <w:color w:val="auto"/>
              </w:rPr>
            </w:pPr>
            <w:r>
              <w:rPr>
                <w:rFonts w:ascii="Arial" w:cs="Arial" w:eastAsia="Arial" w:hAnsi="Arial"/>
                <w:sz w:val="18"/>
                <w:szCs w:val="18"/>
                <w:color w:val="auto"/>
              </w:rPr>
              <w:t>EBIT margin</w:t>
            </w:r>
          </w:p>
        </w:tc>
        <w:tc>
          <w:tcPr>
            <w:tcW w:w="2260" w:type="dxa"/>
            <w:vAlign w:val="bottom"/>
          </w:tcPr>
          <w:p>
            <w:pPr>
              <w:jc w:val="right"/>
              <w:ind w:right="110"/>
              <w:spacing w:after="0"/>
              <w:rPr>
                <w:sz w:val="20"/>
                <w:szCs w:val="20"/>
                <w:color w:val="auto"/>
              </w:rPr>
            </w:pPr>
            <w:r>
              <w:rPr>
                <w:rFonts w:ascii="Arial" w:cs="Arial" w:eastAsia="Arial" w:hAnsi="Arial"/>
                <w:sz w:val="18"/>
                <w:szCs w:val="18"/>
                <w:b w:val="1"/>
                <w:bCs w:val="1"/>
                <w:color w:val="auto"/>
              </w:rPr>
              <w:t>9.8%</w:t>
            </w:r>
          </w:p>
        </w:tc>
        <w:tc>
          <w:tcPr>
            <w:tcW w:w="1560" w:type="dxa"/>
            <w:vAlign w:val="bottom"/>
          </w:tcPr>
          <w:p>
            <w:pPr>
              <w:jc w:val="right"/>
              <w:ind w:right="130"/>
              <w:spacing w:after="0"/>
              <w:rPr>
                <w:sz w:val="20"/>
                <w:szCs w:val="20"/>
                <w:color w:val="auto"/>
              </w:rPr>
            </w:pPr>
            <w:r>
              <w:rPr>
                <w:rFonts w:ascii="Arial" w:cs="Arial" w:eastAsia="Arial" w:hAnsi="Arial"/>
                <w:sz w:val="18"/>
                <w:szCs w:val="18"/>
                <w:color w:val="auto"/>
              </w:rPr>
              <w:t>10.6%</w:t>
            </w:r>
          </w:p>
        </w:tc>
        <w:tc>
          <w:tcPr>
            <w:tcW w:w="1440" w:type="dxa"/>
            <w:vAlign w:val="bottom"/>
          </w:tcPr>
          <w:p>
            <w:pPr>
              <w:jc w:val="right"/>
              <w:ind w:right="190"/>
              <w:spacing w:after="0"/>
              <w:rPr>
                <w:sz w:val="20"/>
                <w:szCs w:val="20"/>
                <w:color w:val="auto"/>
              </w:rPr>
            </w:pPr>
            <w:r>
              <w:rPr>
                <w:rFonts w:ascii="Arial" w:cs="Arial" w:eastAsia="Arial" w:hAnsi="Arial"/>
                <w:sz w:val="18"/>
                <w:szCs w:val="18"/>
                <w:color w:val="auto"/>
              </w:rPr>
              <w:t>NM</w:t>
            </w:r>
          </w:p>
        </w:tc>
        <w:tc>
          <w:tcPr>
            <w:tcW w:w="1300" w:type="dxa"/>
            <w:vAlign w:val="bottom"/>
          </w:tcPr>
          <w:p>
            <w:pPr>
              <w:jc w:val="right"/>
              <w:spacing w:after="0"/>
              <w:rPr>
                <w:sz w:val="20"/>
                <w:szCs w:val="20"/>
                <w:color w:val="auto"/>
              </w:rPr>
            </w:pPr>
            <w:r>
              <w:rPr>
                <w:rFonts w:ascii="Arial" w:cs="Arial" w:eastAsia="Arial" w:hAnsi="Arial"/>
                <w:sz w:val="18"/>
                <w:szCs w:val="18"/>
                <w:color w:val="auto"/>
              </w:rPr>
              <w:t>(80) bps</w:t>
            </w:r>
          </w:p>
        </w:tc>
      </w:tr>
      <w:tr>
        <w:trPr>
          <w:trHeight w:val="27"/>
        </w:trPr>
        <w:tc>
          <w:tcPr>
            <w:tcW w:w="486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Shipments (in tons)</w:t>
            </w:r>
          </w:p>
        </w:tc>
        <w:tc>
          <w:tcPr>
            <w:tcW w:w="22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322,789</w:t>
            </w:r>
          </w:p>
        </w:tc>
        <w:tc>
          <w:tcPr>
            <w:tcW w:w="15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305,071</w:t>
            </w:r>
          </w:p>
        </w:tc>
        <w:tc>
          <w:tcPr>
            <w:tcW w:w="144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rPr>
              <w:t>17,718</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w:t>
            </w:r>
          </w:p>
        </w:tc>
      </w:tr>
      <w:tr>
        <w:trPr>
          <w:trHeight w:val="243"/>
        </w:trPr>
        <w:tc>
          <w:tcPr>
            <w:tcW w:w="4860" w:type="dxa"/>
            <w:vAlign w:val="bottom"/>
          </w:tcPr>
          <w:p>
            <w:pPr>
              <w:ind w:left="40"/>
              <w:spacing w:after="0"/>
              <w:rPr>
                <w:sz w:val="20"/>
                <w:szCs w:val="20"/>
                <w:color w:val="auto"/>
              </w:rPr>
            </w:pPr>
            <w:r>
              <w:rPr>
                <w:rFonts w:ascii="Arial" w:cs="Arial" w:eastAsia="Arial" w:hAnsi="Arial"/>
                <w:sz w:val="18"/>
                <w:szCs w:val="18"/>
                <w:color w:val="auto"/>
              </w:rPr>
              <w:t>Average selling price per ton, including surcharges</w:t>
            </w:r>
          </w:p>
        </w:tc>
        <w:tc>
          <w:tcPr>
            <w:tcW w:w="2260" w:type="dxa"/>
            <w:vAlign w:val="bottom"/>
          </w:tcPr>
          <w:p>
            <w:pPr>
              <w:jc w:val="right"/>
              <w:ind w:right="290"/>
              <w:spacing w:after="0"/>
              <w:rPr>
                <w:sz w:val="20"/>
                <w:szCs w:val="20"/>
                <w:color w:val="auto"/>
              </w:rPr>
            </w:pPr>
            <w:r>
              <w:rPr>
                <w:rFonts w:ascii="Arial" w:cs="Arial" w:eastAsia="Arial" w:hAnsi="Arial"/>
                <w:sz w:val="18"/>
                <w:szCs w:val="18"/>
                <w:b w:val="1"/>
                <w:bCs w:val="1"/>
                <w:color w:val="auto"/>
              </w:rPr>
              <w:t>$1,507</w:t>
            </w:r>
          </w:p>
        </w:tc>
        <w:tc>
          <w:tcPr>
            <w:tcW w:w="1560" w:type="dxa"/>
            <w:vAlign w:val="bottom"/>
          </w:tcPr>
          <w:p>
            <w:pPr>
              <w:jc w:val="right"/>
              <w:ind w:right="290"/>
              <w:spacing w:after="0"/>
              <w:rPr>
                <w:sz w:val="20"/>
                <w:szCs w:val="20"/>
                <w:color w:val="auto"/>
              </w:rPr>
            </w:pPr>
            <w:r>
              <w:rPr>
                <w:rFonts w:ascii="Arial" w:cs="Arial" w:eastAsia="Arial" w:hAnsi="Arial"/>
                <w:sz w:val="18"/>
                <w:szCs w:val="18"/>
                <w:color w:val="auto"/>
              </w:rPr>
              <w:t>$1,448</w:t>
            </w:r>
          </w:p>
        </w:tc>
        <w:tc>
          <w:tcPr>
            <w:tcW w:w="1440" w:type="dxa"/>
            <w:vAlign w:val="bottom"/>
          </w:tcPr>
          <w:p>
            <w:pPr>
              <w:jc w:val="right"/>
              <w:ind w:right="190"/>
              <w:spacing w:after="0"/>
              <w:rPr>
                <w:sz w:val="20"/>
                <w:szCs w:val="20"/>
                <w:color w:val="auto"/>
              </w:rPr>
            </w:pPr>
            <w:r>
              <w:rPr>
                <w:rFonts w:ascii="Arial" w:cs="Arial" w:eastAsia="Arial" w:hAnsi="Arial"/>
                <w:sz w:val="18"/>
                <w:szCs w:val="18"/>
                <w:color w:val="auto"/>
              </w:rPr>
              <w:t>$59</w:t>
            </w:r>
          </w:p>
        </w:tc>
        <w:tc>
          <w:tcPr>
            <w:tcW w:w="1300" w:type="dxa"/>
            <w:vAlign w:val="bottom"/>
          </w:tcPr>
          <w:p>
            <w:pPr>
              <w:jc w:val="right"/>
              <w:spacing w:after="0"/>
              <w:rPr>
                <w:sz w:val="20"/>
                <w:szCs w:val="20"/>
                <w:color w:val="auto"/>
              </w:rPr>
            </w:pPr>
            <w:r>
              <w:rPr>
                <w:rFonts w:ascii="Arial" w:cs="Arial" w:eastAsia="Arial" w:hAnsi="Arial"/>
                <w:sz w:val="18"/>
                <w:szCs w:val="18"/>
                <w:color w:val="auto"/>
              </w:rPr>
              <w:t>4.1%</w:t>
            </w:r>
          </w:p>
        </w:tc>
      </w:tr>
      <w:tr>
        <w:trPr>
          <w:trHeight w:val="27"/>
        </w:trPr>
        <w:tc>
          <w:tcPr>
            <w:tcW w:w="4860" w:type="dxa"/>
            <w:vAlign w:val="bottom"/>
            <w:tcBorders>
              <w:bottom w:val="single" w:sz="8" w:color="auto"/>
            </w:tcBorders>
          </w:tcPr>
          <w:p>
            <w:pPr>
              <w:spacing w:after="0"/>
              <w:rPr>
                <w:sz w:val="2"/>
                <w:szCs w:val="2"/>
                <w:color w:val="auto"/>
              </w:rPr>
            </w:pPr>
          </w:p>
        </w:tc>
        <w:tc>
          <w:tcPr>
            <w:tcW w:w="22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Industrial &amp; Mobile segment sales increased 14% in the second quarter of 2014 compared to the second quarter of 2013. Excluding surcharges, net sales increased 12%. The increase was driven by strong demand in the industrial market sector, slightly offset by lower automotive shipments. Total shipments increased 10% to 169,002 tons.</w:t>
      </w:r>
    </w:p>
    <w:p>
      <w:pPr>
        <w:spacing w:after="0" w:line="141"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During the first six months of 2014, Industrial &amp; Mobile segment sales were $486.5 million, an increase of 10% from the first six months of 2013. Excluding surcharges, net sales increased 8%. The increase was driven by strong demand in the industrial market sector, slightly offset by lower automotive shipments. Total shipments increased 6% to 322,789 tons.</w:t>
      </w:r>
    </w:p>
    <w:p>
      <w:pPr>
        <w:spacing w:after="0" w:line="141" w:lineRule="exact"/>
        <w:rPr>
          <w:sz w:val="20"/>
          <w:szCs w:val="20"/>
          <w:color w:val="auto"/>
        </w:rPr>
      </w:pPr>
    </w:p>
    <w:p>
      <w:pPr>
        <w:jc w:val="both"/>
        <w:ind w:firstLine="648"/>
        <w:spacing w:after="0" w:line="342" w:lineRule="auto"/>
        <w:rPr>
          <w:sz w:val="20"/>
          <w:szCs w:val="20"/>
          <w:color w:val="auto"/>
        </w:rPr>
      </w:pPr>
      <w:r>
        <w:rPr>
          <w:rFonts w:ascii="Arial" w:cs="Arial" w:eastAsia="Arial" w:hAnsi="Arial"/>
          <w:sz w:val="16"/>
          <w:szCs w:val="16"/>
          <w:color w:val="auto"/>
        </w:rPr>
        <w:t>EBIT decreased by $4.5 million in the second quarter of 2014 compared to the same period in 2013 due to higher costs associated with the timing of inventory reductions and asset and inventory adjustments, which were partially offset by higher volume, favorable mix, and better manufacturing utilization.</w:t>
      </w:r>
    </w:p>
    <w:p>
      <w:pPr>
        <w:spacing w:after="0" w:line="83"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EBIT increased by 2% during the six months ended June 30, 2014 compared to the six months ended June 30, 2013 due to higher volume, favorable mix, and better manufacturing utilization, partially offset by higher raw material costs, LIFO expense, and due to higher costs associated with the timing of inventory reductions and asset and inventory adjustments.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184150</wp:posOffset>
            </wp:positionV>
            <wp:extent cx="721233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12330" cy="8890"/>
                    </a:xfrm>
                    <a:prstGeom prst="rect">
                      <a:avLst/>
                    </a:prstGeom>
                    <a:noFill/>
                  </pic:spPr>
                </pic:pic>
              </a:graphicData>
            </a:graphic>
          </wp:anchor>
        </w:drawing>
      </w:r>
    </w:p>
    <w:p>
      <w:pPr>
        <w:spacing w:after="0" w:line="292" w:lineRule="exact"/>
        <w:rPr>
          <w:sz w:val="20"/>
          <w:szCs w:val="20"/>
          <w:color w:val="auto"/>
        </w:rPr>
      </w:pPr>
    </w:p>
    <w:tbl>
      <w:tblPr>
        <w:tblLayout w:type="fixed"/>
        <w:tblInd w:w="40" w:type="dxa"/>
        <w:tblCellMar>
          <w:top w:w="0" w:type="dxa"/>
          <w:left w:w="0" w:type="dxa"/>
          <w:bottom w:w="0" w:type="dxa"/>
          <w:right w:w="0" w:type="dxa"/>
        </w:tblCellMar>
      </w:tblPr>
      <w:tr>
        <w:trPr>
          <w:trHeight w:val="234"/>
        </w:trPr>
        <w:tc>
          <w:tcPr>
            <w:tcW w:w="4640" w:type="dxa"/>
            <w:vAlign w:val="bottom"/>
          </w:tcPr>
          <w:p>
            <w:pPr>
              <w:ind w:left="20"/>
              <w:spacing w:after="0"/>
              <w:rPr>
                <w:sz w:val="20"/>
                <w:szCs w:val="20"/>
                <w:color w:val="auto"/>
              </w:rPr>
            </w:pPr>
            <w:r>
              <w:rPr>
                <w:rFonts w:ascii="Arial" w:cs="Arial" w:eastAsia="Arial" w:hAnsi="Arial"/>
                <w:sz w:val="18"/>
                <w:szCs w:val="18"/>
                <w:b w:val="1"/>
                <w:bCs w:val="1"/>
                <w:color w:val="auto"/>
              </w:rPr>
              <w:t>Energy &amp; Distribution</w:t>
            </w:r>
          </w:p>
        </w:tc>
        <w:tc>
          <w:tcPr>
            <w:tcW w:w="2420" w:type="dxa"/>
            <w:vAlign w:val="bottom"/>
          </w:tcPr>
          <w:p>
            <w:pPr>
              <w:spacing w:after="0"/>
              <w:rPr>
                <w:sz w:val="20"/>
                <w:szCs w:val="20"/>
                <w:color w:val="auto"/>
              </w:rPr>
            </w:pPr>
          </w:p>
        </w:tc>
        <w:tc>
          <w:tcPr>
            <w:tcW w:w="2960" w:type="dxa"/>
            <w:vAlign w:val="bottom"/>
            <w:gridSpan w:val="2"/>
          </w:tcPr>
          <w:p>
            <w:pPr>
              <w:jc w:val="right"/>
              <w:ind w:right="350"/>
              <w:spacing w:after="0"/>
              <w:rPr>
                <w:sz w:val="20"/>
                <w:szCs w:val="20"/>
                <w:color w:val="auto"/>
              </w:rPr>
            </w:pPr>
            <w:r>
              <w:rPr>
                <w:rFonts w:ascii="Arial" w:cs="Arial" w:eastAsia="Arial" w:hAnsi="Arial"/>
                <w:sz w:val="18"/>
                <w:szCs w:val="18"/>
                <w:b w:val="1"/>
                <w:bCs w:val="1"/>
                <w:color w:val="auto"/>
                <w:w w:val="97"/>
              </w:rPr>
              <w:t>Three Months Ended June 30,</w:t>
            </w:r>
          </w:p>
        </w:tc>
        <w:tc>
          <w:tcPr>
            <w:tcW w:w="1340" w:type="dxa"/>
            <w:vAlign w:val="bottom"/>
          </w:tcPr>
          <w:p>
            <w:pPr>
              <w:spacing w:after="0"/>
              <w:rPr>
                <w:sz w:val="20"/>
                <w:szCs w:val="20"/>
                <w:color w:val="auto"/>
              </w:rPr>
            </w:pPr>
          </w:p>
        </w:tc>
      </w:tr>
      <w:tr>
        <w:trPr>
          <w:trHeight w:val="27"/>
        </w:trPr>
        <w:tc>
          <w:tcPr>
            <w:tcW w:w="4640" w:type="dxa"/>
            <w:vAlign w:val="bottom"/>
            <w:tcBorders>
              <w:bottom w:val="single" w:sz="8" w:color="auto"/>
            </w:tcBorders>
          </w:tcPr>
          <w:p>
            <w:pPr>
              <w:spacing w:after="0"/>
              <w:rPr>
                <w:sz w:val="2"/>
                <w:szCs w:val="2"/>
                <w:color w:val="auto"/>
              </w:rPr>
            </w:pPr>
          </w:p>
        </w:tc>
        <w:tc>
          <w:tcPr>
            <w:tcW w:w="242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37"/>
        </w:trPr>
        <w:tc>
          <w:tcPr>
            <w:tcW w:w="4640" w:type="dxa"/>
            <w:vAlign w:val="bottom"/>
          </w:tcPr>
          <w:p>
            <w:pPr>
              <w:spacing w:after="0"/>
              <w:rPr>
                <w:sz w:val="20"/>
                <w:szCs w:val="20"/>
                <w:color w:val="auto"/>
              </w:rPr>
            </w:pPr>
          </w:p>
        </w:tc>
        <w:tc>
          <w:tcPr>
            <w:tcW w:w="2420" w:type="dxa"/>
            <w:vAlign w:val="bottom"/>
          </w:tcPr>
          <w:p>
            <w:pPr>
              <w:jc w:val="right"/>
              <w:ind w:right="610"/>
              <w:spacing w:after="0"/>
              <w:rPr>
                <w:sz w:val="20"/>
                <w:szCs w:val="20"/>
                <w:color w:val="auto"/>
              </w:rPr>
            </w:pPr>
            <w:r>
              <w:rPr>
                <w:rFonts w:ascii="Arial" w:cs="Arial" w:eastAsia="Arial" w:hAnsi="Arial"/>
                <w:sz w:val="18"/>
                <w:szCs w:val="18"/>
                <w:b w:val="1"/>
                <w:bCs w:val="1"/>
                <w:color w:val="auto"/>
              </w:rPr>
              <w:t>2014</w:t>
            </w:r>
          </w:p>
        </w:tc>
        <w:tc>
          <w:tcPr>
            <w:tcW w:w="1560" w:type="dxa"/>
            <w:vAlign w:val="bottom"/>
          </w:tcPr>
          <w:p>
            <w:pPr>
              <w:jc w:val="right"/>
              <w:ind w:right="630"/>
              <w:spacing w:after="0"/>
              <w:rPr>
                <w:sz w:val="20"/>
                <w:szCs w:val="20"/>
                <w:color w:val="auto"/>
              </w:rPr>
            </w:pPr>
            <w:r>
              <w:rPr>
                <w:rFonts w:ascii="Arial" w:cs="Arial" w:eastAsia="Arial" w:hAnsi="Arial"/>
                <w:sz w:val="18"/>
                <w:szCs w:val="18"/>
                <w:b w:val="1"/>
                <w:bCs w:val="1"/>
                <w:color w:val="auto"/>
              </w:rPr>
              <w:t>2013</w:t>
            </w:r>
          </w:p>
        </w:tc>
        <w:tc>
          <w:tcPr>
            <w:tcW w:w="1400" w:type="dxa"/>
            <w:vAlign w:val="bottom"/>
          </w:tcPr>
          <w:p>
            <w:pPr>
              <w:jc w:val="right"/>
              <w:ind w:right="350"/>
              <w:spacing w:after="0"/>
              <w:rPr>
                <w:sz w:val="20"/>
                <w:szCs w:val="20"/>
                <w:color w:val="auto"/>
              </w:rPr>
            </w:pPr>
            <w:r>
              <w:rPr>
                <w:rFonts w:ascii="Arial" w:cs="Arial" w:eastAsia="Arial" w:hAnsi="Arial"/>
                <w:sz w:val="18"/>
                <w:szCs w:val="18"/>
                <w:b w:val="1"/>
                <w:bCs w:val="1"/>
                <w:color w:val="auto"/>
              </w:rPr>
              <w:t>$ Change</w:t>
            </w:r>
          </w:p>
        </w:tc>
        <w:tc>
          <w:tcPr>
            <w:tcW w:w="1340" w:type="dxa"/>
            <w:vAlign w:val="bottom"/>
          </w:tcPr>
          <w:p>
            <w:pPr>
              <w:jc w:val="right"/>
              <w:ind w:right="190"/>
              <w:spacing w:after="0"/>
              <w:rPr>
                <w:sz w:val="20"/>
                <w:szCs w:val="20"/>
                <w:color w:val="auto"/>
              </w:rPr>
            </w:pPr>
            <w:r>
              <w:rPr>
                <w:rFonts w:ascii="Arial" w:cs="Arial" w:eastAsia="Arial" w:hAnsi="Arial"/>
                <w:sz w:val="18"/>
                <w:szCs w:val="18"/>
                <w:b w:val="1"/>
                <w:bCs w:val="1"/>
                <w:color w:val="auto"/>
              </w:rPr>
              <w:t>% Change</w:t>
            </w:r>
          </w:p>
        </w:tc>
      </w:tr>
      <w:tr>
        <w:trPr>
          <w:trHeight w:val="27"/>
        </w:trPr>
        <w:tc>
          <w:tcPr>
            <w:tcW w:w="4640" w:type="dxa"/>
            <w:vAlign w:val="bottom"/>
            <w:tcBorders>
              <w:bottom w:val="single" w:sz="8" w:color="auto"/>
            </w:tcBorders>
          </w:tcPr>
          <w:p>
            <w:pPr>
              <w:spacing w:after="0"/>
              <w:rPr>
                <w:sz w:val="2"/>
                <w:szCs w:val="2"/>
                <w:color w:val="auto"/>
              </w:rPr>
            </w:pPr>
          </w:p>
        </w:tc>
        <w:tc>
          <w:tcPr>
            <w:tcW w:w="242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44"/>
        </w:trPr>
        <w:tc>
          <w:tcPr>
            <w:tcW w:w="46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sales</w:t>
            </w:r>
          </w:p>
        </w:tc>
        <w:tc>
          <w:tcPr>
            <w:tcW w:w="242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$187.5</w:t>
            </w:r>
          </w:p>
        </w:tc>
        <w:tc>
          <w:tcPr>
            <w:tcW w:w="15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$130.1</w:t>
            </w:r>
          </w:p>
        </w:tc>
        <w:tc>
          <w:tcPr>
            <w:tcW w:w="1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$57.4</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44.1%</w:t>
            </w:r>
          </w:p>
        </w:tc>
      </w:tr>
      <w:tr>
        <w:trPr>
          <w:trHeight w:val="243"/>
        </w:trPr>
        <w:tc>
          <w:tcPr>
            <w:tcW w:w="4640" w:type="dxa"/>
            <w:vAlign w:val="bottom"/>
          </w:tcPr>
          <w:p>
            <w:pPr>
              <w:ind w:left="20"/>
              <w:spacing w:after="0"/>
              <w:rPr>
                <w:sz w:val="20"/>
                <w:szCs w:val="20"/>
                <w:color w:val="auto"/>
              </w:rPr>
            </w:pPr>
            <w:r>
              <w:rPr>
                <w:rFonts w:ascii="Arial" w:cs="Arial" w:eastAsia="Arial" w:hAnsi="Arial"/>
                <w:sz w:val="18"/>
                <w:szCs w:val="18"/>
                <w:color w:val="auto"/>
              </w:rPr>
              <w:t>Net sales, excluding surcharges</w:t>
            </w:r>
          </w:p>
        </w:tc>
        <w:tc>
          <w:tcPr>
            <w:tcW w:w="2420" w:type="dxa"/>
            <w:vAlign w:val="bottom"/>
          </w:tcPr>
          <w:p>
            <w:pPr>
              <w:jc w:val="right"/>
              <w:ind w:right="290"/>
              <w:spacing w:after="0"/>
              <w:rPr>
                <w:sz w:val="20"/>
                <w:szCs w:val="20"/>
                <w:color w:val="auto"/>
              </w:rPr>
            </w:pPr>
            <w:r>
              <w:rPr>
                <w:rFonts w:ascii="Arial" w:cs="Arial" w:eastAsia="Arial" w:hAnsi="Arial"/>
                <w:sz w:val="18"/>
                <w:szCs w:val="18"/>
                <w:b w:val="1"/>
                <w:bCs w:val="1"/>
                <w:color w:val="auto"/>
              </w:rPr>
              <w:t>141.9</w:t>
            </w:r>
          </w:p>
        </w:tc>
        <w:tc>
          <w:tcPr>
            <w:tcW w:w="1560" w:type="dxa"/>
            <w:vAlign w:val="bottom"/>
          </w:tcPr>
          <w:p>
            <w:pPr>
              <w:jc w:val="right"/>
              <w:ind w:right="290"/>
              <w:spacing w:after="0"/>
              <w:rPr>
                <w:sz w:val="20"/>
                <w:szCs w:val="20"/>
                <w:color w:val="auto"/>
              </w:rPr>
            </w:pPr>
            <w:r>
              <w:rPr>
                <w:rFonts w:ascii="Arial" w:cs="Arial" w:eastAsia="Arial" w:hAnsi="Arial"/>
                <w:sz w:val="18"/>
                <w:szCs w:val="18"/>
                <w:color w:val="auto"/>
              </w:rPr>
              <w:t>99.7</w:t>
            </w:r>
          </w:p>
        </w:tc>
        <w:tc>
          <w:tcPr>
            <w:tcW w:w="1400" w:type="dxa"/>
            <w:vAlign w:val="bottom"/>
          </w:tcPr>
          <w:p>
            <w:pPr>
              <w:jc w:val="right"/>
              <w:ind w:right="150"/>
              <w:spacing w:after="0"/>
              <w:rPr>
                <w:sz w:val="20"/>
                <w:szCs w:val="20"/>
                <w:color w:val="auto"/>
              </w:rPr>
            </w:pPr>
            <w:r>
              <w:rPr>
                <w:rFonts w:ascii="Arial" w:cs="Arial" w:eastAsia="Arial" w:hAnsi="Arial"/>
                <w:sz w:val="18"/>
                <w:szCs w:val="18"/>
                <w:color w:val="auto"/>
              </w:rPr>
              <w:t>42.2</w:t>
            </w:r>
          </w:p>
        </w:tc>
        <w:tc>
          <w:tcPr>
            <w:tcW w:w="1340" w:type="dxa"/>
            <w:vAlign w:val="bottom"/>
          </w:tcPr>
          <w:p>
            <w:pPr>
              <w:jc w:val="right"/>
              <w:spacing w:after="0"/>
              <w:rPr>
                <w:sz w:val="20"/>
                <w:szCs w:val="20"/>
                <w:color w:val="auto"/>
              </w:rPr>
            </w:pPr>
            <w:r>
              <w:rPr>
                <w:rFonts w:ascii="Arial" w:cs="Arial" w:eastAsia="Arial" w:hAnsi="Arial"/>
                <w:sz w:val="18"/>
                <w:szCs w:val="18"/>
                <w:color w:val="auto"/>
              </w:rPr>
              <w:t>42.3%</w:t>
            </w:r>
          </w:p>
        </w:tc>
      </w:tr>
      <w:tr>
        <w:trPr>
          <w:trHeight w:val="27"/>
        </w:trPr>
        <w:tc>
          <w:tcPr>
            <w:tcW w:w="4640" w:type="dxa"/>
            <w:vAlign w:val="bottom"/>
          </w:tcPr>
          <w:p>
            <w:pPr>
              <w:spacing w:after="0"/>
              <w:rPr>
                <w:sz w:val="2"/>
                <w:szCs w:val="2"/>
                <w:color w:val="auto"/>
              </w:rPr>
            </w:pPr>
          </w:p>
        </w:tc>
        <w:tc>
          <w:tcPr>
            <w:tcW w:w="24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46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EBIT</w:t>
            </w:r>
          </w:p>
        </w:tc>
        <w:tc>
          <w:tcPr>
            <w:tcW w:w="242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31.2</w:t>
            </w:r>
          </w:p>
        </w:tc>
        <w:tc>
          <w:tcPr>
            <w:tcW w:w="15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19.3</w:t>
            </w:r>
          </w:p>
        </w:tc>
        <w:tc>
          <w:tcPr>
            <w:tcW w:w="1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11.9</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61.7%</w:t>
            </w:r>
          </w:p>
        </w:tc>
      </w:tr>
      <w:tr>
        <w:trPr>
          <w:trHeight w:val="243"/>
        </w:trPr>
        <w:tc>
          <w:tcPr>
            <w:tcW w:w="4640" w:type="dxa"/>
            <w:vAlign w:val="bottom"/>
          </w:tcPr>
          <w:p>
            <w:pPr>
              <w:ind w:left="20"/>
              <w:spacing w:after="0"/>
              <w:rPr>
                <w:sz w:val="20"/>
                <w:szCs w:val="20"/>
                <w:color w:val="auto"/>
              </w:rPr>
            </w:pPr>
            <w:r>
              <w:rPr>
                <w:rFonts w:ascii="Arial" w:cs="Arial" w:eastAsia="Arial" w:hAnsi="Arial"/>
                <w:sz w:val="18"/>
                <w:szCs w:val="18"/>
                <w:color w:val="auto"/>
              </w:rPr>
              <w:t>EBIT margin</w:t>
            </w:r>
          </w:p>
        </w:tc>
        <w:tc>
          <w:tcPr>
            <w:tcW w:w="2420" w:type="dxa"/>
            <w:vAlign w:val="bottom"/>
          </w:tcPr>
          <w:p>
            <w:pPr>
              <w:jc w:val="right"/>
              <w:ind w:right="110"/>
              <w:spacing w:after="0"/>
              <w:rPr>
                <w:sz w:val="20"/>
                <w:szCs w:val="20"/>
                <w:color w:val="auto"/>
              </w:rPr>
            </w:pPr>
            <w:r>
              <w:rPr>
                <w:rFonts w:ascii="Arial" w:cs="Arial" w:eastAsia="Arial" w:hAnsi="Arial"/>
                <w:sz w:val="18"/>
                <w:szCs w:val="18"/>
                <w:b w:val="1"/>
                <w:bCs w:val="1"/>
                <w:color w:val="auto"/>
              </w:rPr>
              <w:t>16.6%</w:t>
            </w:r>
          </w:p>
        </w:tc>
        <w:tc>
          <w:tcPr>
            <w:tcW w:w="1560" w:type="dxa"/>
            <w:vAlign w:val="bottom"/>
          </w:tcPr>
          <w:p>
            <w:pPr>
              <w:jc w:val="right"/>
              <w:ind w:right="130"/>
              <w:spacing w:after="0"/>
              <w:rPr>
                <w:sz w:val="20"/>
                <w:szCs w:val="20"/>
                <w:color w:val="auto"/>
              </w:rPr>
            </w:pPr>
            <w:r>
              <w:rPr>
                <w:rFonts w:ascii="Arial" w:cs="Arial" w:eastAsia="Arial" w:hAnsi="Arial"/>
                <w:sz w:val="18"/>
                <w:szCs w:val="18"/>
                <w:color w:val="auto"/>
              </w:rPr>
              <w:t>14.8%</w:t>
            </w:r>
          </w:p>
        </w:tc>
        <w:tc>
          <w:tcPr>
            <w:tcW w:w="1400" w:type="dxa"/>
            <w:vAlign w:val="bottom"/>
          </w:tcPr>
          <w:p>
            <w:pPr>
              <w:jc w:val="right"/>
              <w:ind w:right="150"/>
              <w:spacing w:after="0"/>
              <w:rPr>
                <w:sz w:val="20"/>
                <w:szCs w:val="20"/>
                <w:color w:val="auto"/>
              </w:rPr>
            </w:pPr>
            <w:r>
              <w:rPr>
                <w:rFonts w:ascii="Arial" w:cs="Arial" w:eastAsia="Arial" w:hAnsi="Arial"/>
                <w:sz w:val="18"/>
                <w:szCs w:val="18"/>
                <w:color w:val="auto"/>
              </w:rPr>
              <w:t>NM</w:t>
            </w:r>
          </w:p>
        </w:tc>
        <w:tc>
          <w:tcPr>
            <w:tcW w:w="1340" w:type="dxa"/>
            <w:vAlign w:val="bottom"/>
          </w:tcPr>
          <w:p>
            <w:pPr>
              <w:jc w:val="right"/>
              <w:spacing w:after="0"/>
              <w:rPr>
                <w:sz w:val="20"/>
                <w:szCs w:val="20"/>
                <w:color w:val="auto"/>
              </w:rPr>
            </w:pPr>
            <w:r>
              <w:rPr>
                <w:rFonts w:ascii="Arial" w:cs="Arial" w:eastAsia="Arial" w:hAnsi="Arial"/>
                <w:sz w:val="18"/>
                <w:szCs w:val="18"/>
                <w:color w:val="auto"/>
              </w:rPr>
              <w:t>180 bps</w:t>
            </w:r>
          </w:p>
        </w:tc>
      </w:tr>
      <w:tr>
        <w:trPr>
          <w:trHeight w:val="27"/>
        </w:trPr>
        <w:tc>
          <w:tcPr>
            <w:tcW w:w="4640" w:type="dxa"/>
            <w:vAlign w:val="bottom"/>
          </w:tcPr>
          <w:p>
            <w:pPr>
              <w:spacing w:after="0"/>
              <w:rPr>
                <w:sz w:val="2"/>
                <w:szCs w:val="2"/>
                <w:color w:val="auto"/>
              </w:rPr>
            </w:pPr>
          </w:p>
        </w:tc>
        <w:tc>
          <w:tcPr>
            <w:tcW w:w="24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46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Shipments (in tons)</w:t>
            </w:r>
          </w:p>
        </w:tc>
        <w:tc>
          <w:tcPr>
            <w:tcW w:w="242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120,461</w:t>
            </w:r>
          </w:p>
        </w:tc>
        <w:tc>
          <w:tcPr>
            <w:tcW w:w="15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84,194</w:t>
            </w:r>
          </w:p>
        </w:tc>
        <w:tc>
          <w:tcPr>
            <w:tcW w:w="1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36,267</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43.1%</w:t>
            </w:r>
          </w:p>
        </w:tc>
      </w:tr>
      <w:tr>
        <w:trPr>
          <w:trHeight w:val="243"/>
        </w:trPr>
        <w:tc>
          <w:tcPr>
            <w:tcW w:w="4640" w:type="dxa"/>
            <w:vAlign w:val="bottom"/>
          </w:tcPr>
          <w:p>
            <w:pPr>
              <w:ind w:left="20"/>
              <w:spacing w:after="0"/>
              <w:rPr>
                <w:sz w:val="20"/>
                <w:szCs w:val="20"/>
                <w:color w:val="auto"/>
              </w:rPr>
            </w:pPr>
            <w:r>
              <w:rPr>
                <w:rFonts w:ascii="Arial" w:cs="Arial" w:eastAsia="Arial" w:hAnsi="Arial"/>
                <w:sz w:val="18"/>
                <w:szCs w:val="18"/>
                <w:color w:val="auto"/>
              </w:rPr>
              <w:t>Average selling price per ton, including surcharges</w:t>
            </w:r>
          </w:p>
        </w:tc>
        <w:tc>
          <w:tcPr>
            <w:tcW w:w="2420" w:type="dxa"/>
            <w:vAlign w:val="bottom"/>
          </w:tcPr>
          <w:p>
            <w:pPr>
              <w:jc w:val="right"/>
              <w:ind w:right="290"/>
              <w:spacing w:after="0"/>
              <w:rPr>
                <w:sz w:val="20"/>
                <w:szCs w:val="20"/>
                <w:color w:val="auto"/>
              </w:rPr>
            </w:pPr>
            <w:r>
              <w:rPr>
                <w:rFonts w:ascii="Arial" w:cs="Arial" w:eastAsia="Arial" w:hAnsi="Arial"/>
                <w:sz w:val="18"/>
                <w:szCs w:val="18"/>
                <w:b w:val="1"/>
                <w:bCs w:val="1"/>
                <w:color w:val="auto"/>
              </w:rPr>
              <w:t>$1,557</w:t>
            </w:r>
          </w:p>
        </w:tc>
        <w:tc>
          <w:tcPr>
            <w:tcW w:w="1560" w:type="dxa"/>
            <w:vAlign w:val="bottom"/>
          </w:tcPr>
          <w:p>
            <w:pPr>
              <w:jc w:val="right"/>
              <w:ind w:right="290"/>
              <w:spacing w:after="0"/>
              <w:rPr>
                <w:sz w:val="20"/>
                <w:szCs w:val="20"/>
                <w:color w:val="auto"/>
              </w:rPr>
            </w:pPr>
            <w:r>
              <w:rPr>
                <w:rFonts w:ascii="Arial" w:cs="Arial" w:eastAsia="Arial" w:hAnsi="Arial"/>
                <w:sz w:val="18"/>
                <w:szCs w:val="18"/>
                <w:color w:val="auto"/>
              </w:rPr>
              <w:t>$1,545</w:t>
            </w:r>
          </w:p>
        </w:tc>
        <w:tc>
          <w:tcPr>
            <w:tcW w:w="1400" w:type="dxa"/>
            <w:vAlign w:val="bottom"/>
          </w:tcPr>
          <w:p>
            <w:pPr>
              <w:jc w:val="right"/>
              <w:ind w:right="150"/>
              <w:spacing w:after="0"/>
              <w:rPr>
                <w:sz w:val="20"/>
                <w:szCs w:val="20"/>
                <w:color w:val="auto"/>
              </w:rPr>
            </w:pPr>
            <w:r>
              <w:rPr>
                <w:rFonts w:ascii="Arial" w:cs="Arial" w:eastAsia="Arial" w:hAnsi="Arial"/>
                <w:sz w:val="18"/>
                <w:szCs w:val="18"/>
                <w:color w:val="auto"/>
              </w:rPr>
              <w:t>$12</w:t>
            </w:r>
          </w:p>
        </w:tc>
        <w:tc>
          <w:tcPr>
            <w:tcW w:w="1340" w:type="dxa"/>
            <w:vAlign w:val="bottom"/>
          </w:tcPr>
          <w:p>
            <w:pPr>
              <w:jc w:val="right"/>
              <w:spacing w:after="0"/>
              <w:rPr>
                <w:sz w:val="20"/>
                <w:szCs w:val="20"/>
                <w:color w:val="auto"/>
              </w:rPr>
            </w:pPr>
            <w:r>
              <w:rPr>
                <w:rFonts w:ascii="Arial" w:cs="Arial" w:eastAsia="Arial" w:hAnsi="Arial"/>
                <w:sz w:val="18"/>
                <w:szCs w:val="18"/>
                <w:color w:val="auto"/>
              </w:rPr>
              <w:t>0.8%</w:t>
            </w:r>
          </w:p>
        </w:tc>
      </w:tr>
      <w:tr>
        <w:trPr>
          <w:trHeight w:val="34"/>
        </w:trPr>
        <w:tc>
          <w:tcPr>
            <w:tcW w:w="4640" w:type="dxa"/>
            <w:vAlign w:val="bottom"/>
            <w:tcBorders>
              <w:bottom w:val="single" w:sz="8" w:color="auto"/>
            </w:tcBorders>
          </w:tcPr>
          <w:p>
            <w:pPr>
              <w:spacing w:after="0"/>
              <w:rPr>
                <w:sz w:val="2"/>
                <w:szCs w:val="2"/>
                <w:color w:val="auto"/>
              </w:rPr>
            </w:pPr>
          </w:p>
        </w:tc>
        <w:tc>
          <w:tcPr>
            <w:tcW w:w="242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675"/>
        </w:trPr>
        <w:tc>
          <w:tcPr>
            <w:tcW w:w="4640" w:type="dxa"/>
            <w:vAlign w:val="bottom"/>
          </w:tcPr>
          <w:p>
            <w:pPr>
              <w:spacing w:after="0"/>
              <w:rPr>
                <w:sz w:val="24"/>
                <w:szCs w:val="24"/>
                <w:color w:val="auto"/>
              </w:rPr>
            </w:pPr>
          </w:p>
        </w:tc>
        <w:tc>
          <w:tcPr>
            <w:tcW w:w="2420" w:type="dxa"/>
            <w:vAlign w:val="bottom"/>
          </w:tcPr>
          <w:p>
            <w:pPr>
              <w:jc w:val="right"/>
              <w:ind w:right="1210"/>
              <w:spacing w:after="0"/>
              <w:rPr>
                <w:sz w:val="20"/>
                <w:szCs w:val="20"/>
                <w:color w:val="auto"/>
              </w:rPr>
            </w:pPr>
            <w:r>
              <w:rPr>
                <w:rFonts w:ascii="Arial" w:cs="Arial" w:eastAsia="Arial" w:hAnsi="Arial"/>
                <w:sz w:val="18"/>
                <w:szCs w:val="18"/>
                <w:color w:val="auto"/>
              </w:rPr>
              <w:t>22</w:t>
            </w:r>
          </w:p>
        </w:tc>
        <w:tc>
          <w:tcPr>
            <w:tcW w:w="15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340" w:type="dxa"/>
            <w:vAlign w:val="bottom"/>
          </w:tcPr>
          <w:p>
            <w:pPr>
              <w:spacing w:after="0"/>
              <w:rPr>
                <w:sz w:val="24"/>
                <w:szCs w:val="24"/>
                <w:color w:val="auto"/>
              </w:rPr>
            </w:pPr>
          </w:p>
        </w:tc>
      </w:tr>
    </w:tbl>
    <w:p>
      <w:pPr>
        <w:sectPr>
          <w:pgSz w:w="11900" w:h="16838" w:orient="portrait"/>
          <w:cols w:equalWidth="0" w:num="1">
            <w:col w:w="11420"/>
          </w:cols>
          <w:pgMar w:left="240" w:top="580" w:right="239" w:bottom="1440" w:gutter="0" w:footer="0" w:header="0"/>
        </w:sectPr>
      </w:pPr>
    </w:p>
    <w:bookmarkStart w:id="24" w:name="page25"/>
    <w:bookmarkEnd w:id="24"/>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157480</wp:posOffset>
            </wp:positionH>
            <wp:positionV relativeFrom="page">
              <wp:posOffset>466090</wp:posOffset>
            </wp:positionV>
            <wp:extent cx="72466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34"/>
        </w:trPr>
        <w:tc>
          <w:tcPr>
            <w:tcW w:w="4860" w:type="dxa"/>
            <w:vAlign w:val="bottom"/>
          </w:tcPr>
          <w:p>
            <w:pPr>
              <w:ind w:left="40"/>
              <w:spacing w:after="0"/>
              <w:rPr>
                <w:sz w:val="20"/>
                <w:szCs w:val="20"/>
                <w:color w:val="auto"/>
              </w:rPr>
            </w:pPr>
            <w:r>
              <w:rPr>
                <w:rFonts w:ascii="Arial" w:cs="Arial" w:eastAsia="Arial" w:hAnsi="Arial"/>
                <w:sz w:val="18"/>
                <w:szCs w:val="18"/>
                <w:b w:val="1"/>
                <w:bCs w:val="1"/>
                <w:color w:val="auto"/>
              </w:rPr>
              <w:t>Energy &amp; Distribution</w:t>
            </w:r>
          </w:p>
        </w:tc>
        <w:tc>
          <w:tcPr>
            <w:tcW w:w="2300" w:type="dxa"/>
            <w:vAlign w:val="bottom"/>
          </w:tcPr>
          <w:p>
            <w:pPr>
              <w:spacing w:after="0"/>
              <w:rPr>
                <w:sz w:val="20"/>
                <w:szCs w:val="20"/>
                <w:color w:val="auto"/>
              </w:rPr>
            </w:pPr>
          </w:p>
        </w:tc>
        <w:tc>
          <w:tcPr>
            <w:tcW w:w="2920" w:type="dxa"/>
            <w:vAlign w:val="bottom"/>
            <w:gridSpan w:val="2"/>
          </w:tcPr>
          <w:p>
            <w:pPr>
              <w:jc w:val="right"/>
              <w:ind w:right="470"/>
              <w:spacing w:after="0"/>
              <w:rPr>
                <w:sz w:val="20"/>
                <w:szCs w:val="20"/>
                <w:color w:val="auto"/>
              </w:rPr>
            </w:pPr>
            <w:r>
              <w:rPr>
                <w:rFonts w:ascii="Arial" w:cs="Arial" w:eastAsia="Arial" w:hAnsi="Arial"/>
                <w:sz w:val="18"/>
                <w:szCs w:val="18"/>
                <w:b w:val="1"/>
                <w:bCs w:val="1"/>
                <w:color w:val="auto"/>
              </w:rPr>
              <w:t>Six Months Ended June 30,</w:t>
            </w:r>
          </w:p>
        </w:tc>
        <w:tc>
          <w:tcPr>
            <w:tcW w:w="1340" w:type="dxa"/>
            <w:vAlign w:val="bottom"/>
          </w:tcPr>
          <w:p>
            <w:pPr>
              <w:spacing w:after="0"/>
              <w:rPr>
                <w:sz w:val="20"/>
                <w:szCs w:val="20"/>
                <w:color w:val="auto"/>
              </w:rPr>
            </w:pPr>
          </w:p>
        </w:tc>
      </w:tr>
      <w:tr>
        <w:trPr>
          <w:trHeight w:val="27"/>
        </w:trPr>
        <w:tc>
          <w:tcPr>
            <w:tcW w:w="4860" w:type="dxa"/>
            <w:vAlign w:val="bottom"/>
            <w:tcBorders>
              <w:bottom w:val="single" w:sz="8" w:color="auto"/>
            </w:tcBorders>
          </w:tcPr>
          <w:p>
            <w:pPr>
              <w:spacing w:after="0"/>
              <w:rPr>
                <w:sz w:val="2"/>
                <w:szCs w:val="2"/>
                <w:color w:val="auto"/>
              </w:rPr>
            </w:pPr>
          </w:p>
        </w:tc>
        <w:tc>
          <w:tcPr>
            <w:tcW w:w="230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37"/>
        </w:trPr>
        <w:tc>
          <w:tcPr>
            <w:tcW w:w="4860" w:type="dxa"/>
            <w:vAlign w:val="bottom"/>
          </w:tcPr>
          <w:p>
            <w:pPr>
              <w:spacing w:after="0"/>
              <w:rPr>
                <w:sz w:val="20"/>
                <w:szCs w:val="20"/>
                <w:color w:val="auto"/>
              </w:rPr>
            </w:pPr>
          </w:p>
        </w:tc>
        <w:tc>
          <w:tcPr>
            <w:tcW w:w="2300" w:type="dxa"/>
            <w:vAlign w:val="bottom"/>
          </w:tcPr>
          <w:p>
            <w:pPr>
              <w:jc w:val="right"/>
              <w:ind w:right="670"/>
              <w:spacing w:after="0"/>
              <w:rPr>
                <w:sz w:val="20"/>
                <w:szCs w:val="20"/>
                <w:color w:val="auto"/>
              </w:rPr>
            </w:pPr>
            <w:r>
              <w:rPr>
                <w:rFonts w:ascii="Arial" w:cs="Arial" w:eastAsia="Arial" w:hAnsi="Arial"/>
                <w:sz w:val="18"/>
                <w:szCs w:val="18"/>
                <w:b w:val="1"/>
                <w:bCs w:val="1"/>
                <w:color w:val="auto"/>
              </w:rPr>
              <w:t>2014</w:t>
            </w:r>
          </w:p>
        </w:tc>
        <w:tc>
          <w:tcPr>
            <w:tcW w:w="1520" w:type="dxa"/>
            <w:vAlign w:val="bottom"/>
          </w:tcPr>
          <w:p>
            <w:pPr>
              <w:jc w:val="right"/>
              <w:ind w:right="630"/>
              <w:spacing w:after="0"/>
              <w:rPr>
                <w:sz w:val="20"/>
                <w:szCs w:val="20"/>
                <w:color w:val="auto"/>
              </w:rPr>
            </w:pPr>
            <w:r>
              <w:rPr>
                <w:rFonts w:ascii="Arial" w:cs="Arial" w:eastAsia="Arial" w:hAnsi="Arial"/>
                <w:sz w:val="18"/>
                <w:szCs w:val="18"/>
                <w:b w:val="1"/>
                <w:bCs w:val="1"/>
                <w:color w:val="auto"/>
              </w:rPr>
              <w:t>2013</w:t>
            </w:r>
          </w:p>
        </w:tc>
        <w:tc>
          <w:tcPr>
            <w:tcW w:w="1400" w:type="dxa"/>
            <w:vAlign w:val="bottom"/>
          </w:tcPr>
          <w:p>
            <w:pPr>
              <w:jc w:val="right"/>
              <w:ind w:right="350"/>
              <w:spacing w:after="0"/>
              <w:rPr>
                <w:sz w:val="20"/>
                <w:szCs w:val="20"/>
                <w:color w:val="auto"/>
              </w:rPr>
            </w:pPr>
            <w:r>
              <w:rPr>
                <w:rFonts w:ascii="Arial" w:cs="Arial" w:eastAsia="Arial" w:hAnsi="Arial"/>
                <w:sz w:val="18"/>
                <w:szCs w:val="18"/>
                <w:b w:val="1"/>
                <w:bCs w:val="1"/>
                <w:color w:val="auto"/>
              </w:rPr>
              <w:t>$ Change</w:t>
            </w:r>
          </w:p>
        </w:tc>
        <w:tc>
          <w:tcPr>
            <w:tcW w:w="1340" w:type="dxa"/>
            <w:vAlign w:val="bottom"/>
          </w:tcPr>
          <w:p>
            <w:pPr>
              <w:jc w:val="right"/>
              <w:ind w:right="190"/>
              <w:spacing w:after="0"/>
              <w:rPr>
                <w:sz w:val="20"/>
                <w:szCs w:val="20"/>
                <w:color w:val="auto"/>
              </w:rPr>
            </w:pPr>
            <w:r>
              <w:rPr>
                <w:rFonts w:ascii="Arial" w:cs="Arial" w:eastAsia="Arial" w:hAnsi="Arial"/>
                <w:sz w:val="18"/>
                <w:szCs w:val="18"/>
                <w:b w:val="1"/>
                <w:bCs w:val="1"/>
                <w:color w:val="auto"/>
              </w:rPr>
              <w:t>% Change</w:t>
            </w:r>
          </w:p>
        </w:tc>
      </w:tr>
      <w:tr>
        <w:trPr>
          <w:trHeight w:val="27"/>
        </w:trPr>
        <w:tc>
          <w:tcPr>
            <w:tcW w:w="4860" w:type="dxa"/>
            <w:vAlign w:val="bottom"/>
            <w:tcBorders>
              <w:bottom w:val="single" w:sz="8" w:color="auto"/>
            </w:tcBorders>
          </w:tcPr>
          <w:p>
            <w:pPr>
              <w:spacing w:after="0"/>
              <w:rPr>
                <w:sz w:val="2"/>
                <w:szCs w:val="2"/>
                <w:color w:val="auto"/>
              </w:rPr>
            </w:pPr>
          </w:p>
        </w:tc>
        <w:tc>
          <w:tcPr>
            <w:tcW w:w="230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44"/>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2300" w:type="dxa"/>
            <w:vAlign w:val="bottom"/>
            <w:tcBorders>
              <w:bottom w:val="single" w:sz="8" w:color="CCEEFF"/>
            </w:tcBorders>
            <w:shd w:val="clear" w:color="auto" w:fill="CCEEFF"/>
          </w:tcPr>
          <w:p>
            <w:pPr>
              <w:jc w:val="right"/>
              <w:ind w:right="330"/>
              <w:spacing w:after="0"/>
              <w:rPr>
                <w:sz w:val="20"/>
                <w:szCs w:val="20"/>
                <w:color w:val="auto"/>
              </w:rPr>
            </w:pPr>
            <w:r>
              <w:rPr>
                <w:rFonts w:ascii="Arial" w:cs="Arial" w:eastAsia="Arial" w:hAnsi="Arial"/>
                <w:sz w:val="18"/>
                <w:szCs w:val="18"/>
                <w:b w:val="1"/>
                <w:bCs w:val="1"/>
                <w:color w:val="auto"/>
              </w:rPr>
              <w:t>$345.2</w:t>
            </w:r>
          </w:p>
        </w:tc>
        <w:tc>
          <w:tcPr>
            <w:tcW w:w="152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$258.6</w:t>
            </w:r>
          </w:p>
        </w:tc>
        <w:tc>
          <w:tcPr>
            <w:tcW w:w="1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$86.6</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33.5%</w:t>
            </w:r>
          </w:p>
        </w:tc>
      </w:tr>
      <w:tr>
        <w:trPr>
          <w:trHeight w:val="243"/>
        </w:trPr>
        <w:tc>
          <w:tcPr>
            <w:tcW w:w="4860" w:type="dxa"/>
            <w:vAlign w:val="bottom"/>
          </w:tcPr>
          <w:p>
            <w:pPr>
              <w:ind w:left="40"/>
              <w:spacing w:after="0"/>
              <w:rPr>
                <w:sz w:val="20"/>
                <w:szCs w:val="20"/>
                <w:color w:val="auto"/>
              </w:rPr>
            </w:pPr>
            <w:r>
              <w:rPr>
                <w:rFonts w:ascii="Arial" w:cs="Arial" w:eastAsia="Arial" w:hAnsi="Arial"/>
                <w:sz w:val="18"/>
                <w:szCs w:val="18"/>
                <w:color w:val="auto"/>
              </w:rPr>
              <w:t>Net sales, excluding surcharges</w:t>
            </w:r>
          </w:p>
        </w:tc>
        <w:tc>
          <w:tcPr>
            <w:tcW w:w="2300" w:type="dxa"/>
            <w:vAlign w:val="bottom"/>
          </w:tcPr>
          <w:p>
            <w:pPr>
              <w:jc w:val="right"/>
              <w:ind w:right="330"/>
              <w:spacing w:after="0"/>
              <w:rPr>
                <w:sz w:val="20"/>
                <w:szCs w:val="20"/>
                <w:color w:val="auto"/>
              </w:rPr>
            </w:pPr>
            <w:r>
              <w:rPr>
                <w:rFonts w:ascii="Arial" w:cs="Arial" w:eastAsia="Arial" w:hAnsi="Arial"/>
                <w:sz w:val="18"/>
                <w:szCs w:val="18"/>
                <w:b w:val="1"/>
                <w:bCs w:val="1"/>
                <w:color w:val="auto"/>
              </w:rPr>
              <w:t>262.6</w:t>
            </w:r>
          </w:p>
        </w:tc>
        <w:tc>
          <w:tcPr>
            <w:tcW w:w="1520" w:type="dxa"/>
            <w:vAlign w:val="bottom"/>
          </w:tcPr>
          <w:p>
            <w:pPr>
              <w:jc w:val="right"/>
              <w:ind w:right="290"/>
              <w:spacing w:after="0"/>
              <w:rPr>
                <w:sz w:val="20"/>
                <w:szCs w:val="20"/>
                <w:color w:val="auto"/>
              </w:rPr>
            </w:pPr>
            <w:r>
              <w:rPr>
                <w:rFonts w:ascii="Arial" w:cs="Arial" w:eastAsia="Arial" w:hAnsi="Arial"/>
                <w:sz w:val="18"/>
                <w:szCs w:val="18"/>
                <w:color w:val="auto"/>
              </w:rPr>
              <w:t>199.8</w:t>
            </w:r>
          </w:p>
        </w:tc>
        <w:tc>
          <w:tcPr>
            <w:tcW w:w="1400" w:type="dxa"/>
            <w:vAlign w:val="bottom"/>
          </w:tcPr>
          <w:p>
            <w:pPr>
              <w:jc w:val="right"/>
              <w:ind w:right="150"/>
              <w:spacing w:after="0"/>
              <w:rPr>
                <w:sz w:val="20"/>
                <w:szCs w:val="20"/>
                <w:color w:val="auto"/>
              </w:rPr>
            </w:pPr>
            <w:r>
              <w:rPr>
                <w:rFonts w:ascii="Arial" w:cs="Arial" w:eastAsia="Arial" w:hAnsi="Arial"/>
                <w:sz w:val="18"/>
                <w:szCs w:val="18"/>
                <w:color w:val="auto"/>
              </w:rPr>
              <w:t>62.8</w:t>
            </w:r>
          </w:p>
        </w:tc>
        <w:tc>
          <w:tcPr>
            <w:tcW w:w="1340" w:type="dxa"/>
            <w:vAlign w:val="bottom"/>
          </w:tcPr>
          <w:p>
            <w:pPr>
              <w:jc w:val="right"/>
              <w:spacing w:after="0"/>
              <w:rPr>
                <w:sz w:val="20"/>
                <w:szCs w:val="20"/>
                <w:color w:val="auto"/>
              </w:rPr>
            </w:pPr>
            <w:r>
              <w:rPr>
                <w:rFonts w:ascii="Arial" w:cs="Arial" w:eastAsia="Arial" w:hAnsi="Arial"/>
                <w:sz w:val="18"/>
                <w:szCs w:val="18"/>
                <w:color w:val="auto"/>
              </w:rPr>
              <w:t>31.4%</w:t>
            </w:r>
          </w:p>
        </w:tc>
      </w:tr>
      <w:tr>
        <w:trPr>
          <w:trHeight w:val="27"/>
        </w:trPr>
        <w:tc>
          <w:tcPr>
            <w:tcW w:w="4860" w:type="dxa"/>
            <w:vAlign w:val="bottom"/>
          </w:tcPr>
          <w:p>
            <w:pPr>
              <w:spacing w:after="0"/>
              <w:rPr>
                <w:sz w:val="2"/>
                <w:szCs w:val="2"/>
                <w:color w:val="auto"/>
              </w:rPr>
            </w:pPr>
          </w:p>
        </w:tc>
        <w:tc>
          <w:tcPr>
            <w:tcW w:w="230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EBIT</w:t>
            </w:r>
          </w:p>
        </w:tc>
        <w:tc>
          <w:tcPr>
            <w:tcW w:w="2300" w:type="dxa"/>
            <w:vAlign w:val="bottom"/>
            <w:tcBorders>
              <w:bottom w:val="single" w:sz="8" w:color="CCEEFF"/>
            </w:tcBorders>
            <w:shd w:val="clear" w:color="auto" w:fill="CCEEFF"/>
          </w:tcPr>
          <w:p>
            <w:pPr>
              <w:jc w:val="right"/>
              <w:ind w:right="330"/>
              <w:spacing w:after="0"/>
              <w:rPr>
                <w:sz w:val="20"/>
                <w:szCs w:val="20"/>
                <w:color w:val="auto"/>
              </w:rPr>
            </w:pPr>
            <w:r>
              <w:rPr>
                <w:rFonts w:ascii="Arial" w:cs="Arial" w:eastAsia="Arial" w:hAnsi="Arial"/>
                <w:sz w:val="18"/>
                <w:szCs w:val="18"/>
                <w:b w:val="1"/>
                <w:bCs w:val="1"/>
                <w:color w:val="auto"/>
              </w:rPr>
              <w:t>62.4</w:t>
            </w:r>
          </w:p>
        </w:tc>
        <w:tc>
          <w:tcPr>
            <w:tcW w:w="152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35.3</w:t>
            </w:r>
          </w:p>
        </w:tc>
        <w:tc>
          <w:tcPr>
            <w:tcW w:w="1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27.1</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76.8%</w:t>
            </w:r>
          </w:p>
        </w:tc>
      </w:tr>
      <w:tr>
        <w:trPr>
          <w:trHeight w:val="243"/>
        </w:trPr>
        <w:tc>
          <w:tcPr>
            <w:tcW w:w="4860" w:type="dxa"/>
            <w:vAlign w:val="bottom"/>
          </w:tcPr>
          <w:p>
            <w:pPr>
              <w:ind w:left="40"/>
              <w:spacing w:after="0"/>
              <w:rPr>
                <w:sz w:val="20"/>
                <w:szCs w:val="20"/>
                <w:color w:val="auto"/>
              </w:rPr>
            </w:pPr>
            <w:r>
              <w:rPr>
                <w:rFonts w:ascii="Arial" w:cs="Arial" w:eastAsia="Arial" w:hAnsi="Arial"/>
                <w:sz w:val="18"/>
                <w:szCs w:val="18"/>
                <w:color w:val="auto"/>
              </w:rPr>
              <w:t>EBIT margin</w:t>
            </w:r>
          </w:p>
        </w:tc>
        <w:tc>
          <w:tcPr>
            <w:tcW w:w="2300" w:type="dxa"/>
            <w:vAlign w:val="bottom"/>
          </w:tcPr>
          <w:p>
            <w:pPr>
              <w:jc w:val="right"/>
              <w:ind w:right="150"/>
              <w:spacing w:after="0"/>
              <w:rPr>
                <w:sz w:val="20"/>
                <w:szCs w:val="20"/>
                <w:color w:val="auto"/>
              </w:rPr>
            </w:pPr>
            <w:r>
              <w:rPr>
                <w:rFonts w:ascii="Arial" w:cs="Arial" w:eastAsia="Arial" w:hAnsi="Arial"/>
                <w:sz w:val="18"/>
                <w:szCs w:val="18"/>
                <w:b w:val="1"/>
                <w:bCs w:val="1"/>
                <w:color w:val="auto"/>
              </w:rPr>
              <w:t>18.1%</w:t>
            </w:r>
          </w:p>
        </w:tc>
        <w:tc>
          <w:tcPr>
            <w:tcW w:w="1520" w:type="dxa"/>
            <w:vAlign w:val="bottom"/>
          </w:tcPr>
          <w:p>
            <w:pPr>
              <w:jc w:val="right"/>
              <w:ind w:right="130"/>
              <w:spacing w:after="0"/>
              <w:rPr>
                <w:sz w:val="20"/>
                <w:szCs w:val="20"/>
                <w:color w:val="auto"/>
              </w:rPr>
            </w:pPr>
            <w:r>
              <w:rPr>
                <w:rFonts w:ascii="Arial" w:cs="Arial" w:eastAsia="Arial" w:hAnsi="Arial"/>
                <w:sz w:val="18"/>
                <w:szCs w:val="18"/>
                <w:color w:val="auto"/>
              </w:rPr>
              <w:t>13.7%</w:t>
            </w:r>
          </w:p>
        </w:tc>
        <w:tc>
          <w:tcPr>
            <w:tcW w:w="1400" w:type="dxa"/>
            <w:vAlign w:val="bottom"/>
          </w:tcPr>
          <w:p>
            <w:pPr>
              <w:jc w:val="right"/>
              <w:ind w:right="150"/>
              <w:spacing w:after="0"/>
              <w:rPr>
                <w:sz w:val="20"/>
                <w:szCs w:val="20"/>
                <w:color w:val="auto"/>
              </w:rPr>
            </w:pPr>
            <w:r>
              <w:rPr>
                <w:rFonts w:ascii="Arial" w:cs="Arial" w:eastAsia="Arial" w:hAnsi="Arial"/>
                <w:sz w:val="18"/>
                <w:szCs w:val="18"/>
                <w:color w:val="auto"/>
              </w:rPr>
              <w:t>NM</w:t>
            </w:r>
          </w:p>
        </w:tc>
        <w:tc>
          <w:tcPr>
            <w:tcW w:w="1340" w:type="dxa"/>
            <w:vAlign w:val="bottom"/>
          </w:tcPr>
          <w:p>
            <w:pPr>
              <w:jc w:val="right"/>
              <w:spacing w:after="0"/>
              <w:rPr>
                <w:sz w:val="20"/>
                <w:szCs w:val="20"/>
                <w:color w:val="auto"/>
              </w:rPr>
            </w:pPr>
            <w:r>
              <w:rPr>
                <w:rFonts w:ascii="Arial" w:cs="Arial" w:eastAsia="Arial" w:hAnsi="Arial"/>
                <w:sz w:val="18"/>
                <w:szCs w:val="18"/>
                <w:color w:val="auto"/>
              </w:rPr>
              <w:t>440 bps</w:t>
            </w:r>
          </w:p>
        </w:tc>
      </w:tr>
      <w:tr>
        <w:trPr>
          <w:trHeight w:val="27"/>
        </w:trPr>
        <w:tc>
          <w:tcPr>
            <w:tcW w:w="4860" w:type="dxa"/>
            <w:vAlign w:val="bottom"/>
          </w:tcPr>
          <w:p>
            <w:pPr>
              <w:spacing w:after="0"/>
              <w:rPr>
                <w:sz w:val="2"/>
                <w:szCs w:val="2"/>
                <w:color w:val="auto"/>
              </w:rPr>
            </w:pPr>
          </w:p>
        </w:tc>
        <w:tc>
          <w:tcPr>
            <w:tcW w:w="230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Shipments (in tons)</w:t>
            </w:r>
          </w:p>
        </w:tc>
        <w:tc>
          <w:tcPr>
            <w:tcW w:w="2300" w:type="dxa"/>
            <w:vAlign w:val="bottom"/>
            <w:tcBorders>
              <w:bottom w:val="single" w:sz="8" w:color="CCEEFF"/>
            </w:tcBorders>
            <w:shd w:val="clear" w:color="auto" w:fill="CCEEFF"/>
          </w:tcPr>
          <w:p>
            <w:pPr>
              <w:jc w:val="right"/>
              <w:ind w:right="330"/>
              <w:spacing w:after="0"/>
              <w:rPr>
                <w:sz w:val="20"/>
                <w:szCs w:val="20"/>
                <w:color w:val="auto"/>
              </w:rPr>
            </w:pPr>
            <w:r>
              <w:rPr>
                <w:rFonts w:ascii="Arial" w:cs="Arial" w:eastAsia="Arial" w:hAnsi="Arial"/>
                <w:sz w:val="18"/>
                <w:szCs w:val="18"/>
                <w:b w:val="1"/>
                <w:bCs w:val="1"/>
                <w:color w:val="auto"/>
              </w:rPr>
              <w:t>216,547</w:t>
            </w:r>
          </w:p>
        </w:tc>
        <w:tc>
          <w:tcPr>
            <w:tcW w:w="152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166,244</w:t>
            </w:r>
          </w:p>
        </w:tc>
        <w:tc>
          <w:tcPr>
            <w:tcW w:w="1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50,303</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30.3%</w:t>
            </w:r>
          </w:p>
        </w:tc>
      </w:tr>
      <w:tr>
        <w:trPr>
          <w:trHeight w:val="243"/>
        </w:trPr>
        <w:tc>
          <w:tcPr>
            <w:tcW w:w="4860" w:type="dxa"/>
            <w:vAlign w:val="bottom"/>
          </w:tcPr>
          <w:p>
            <w:pPr>
              <w:ind w:left="40"/>
              <w:spacing w:after="0"/>
              <w:rPr>
                <w:sz w:val="20"/>
                <w:szCs w:val="20"/>
                <w:color w:val="auto"/>
              </w:rPr>
            </w:pPr>
            <w:r>
              <w:rPr>
                <w:rFonts w:ascii="Arial" w:cs="Arial" w:eastAsia="Arial" w:hAnsi="Arial"/>
                <w:sz w:val="18"/>
                <w:szCs w:val="18"/>
                <w:color w:val="auto"/>
              </w:rPr>
              <w:t>Average selling price per ton, including surcharges</w:t>
            </w:r>
          </w:p>
        </w:tc>
        <w:tc>
          <w:tcPr>
            <w:tcW w:w="2300" w:type="dxa"/>
            <w:vAlign w:val="bottom"/>
          </w:tcPr>
          <w:p>
            <w:pPr>
              <w:jc w:val="right"/>
              <w:ind w:right="330"/>
              <w:spacing w:after="0"/>
              <w:rPr>
                <w:sz w:val="20"/>
                <w:szCs w:val="20"/>
                <w:color w:val="auto"/>
              </w:rPr>
            </w:pPr>
            <w:r>
              <w:rPr>
                <w:rFonts w:ascii="Arial" w:cs="Arial" w:eastAsia="Arial" w:hAnsi="Arial"/>
                <w:sz w:val="18"/>
                <w:szCs w:val="18"/>
                <w:b w:val="1"/>
                <w:bCs w:val="1"/>
                <w:color w:val="auto"/>
              </w:rPr>
              <w:t>$1,594</w:t>
            </w:r>
          </w:p>
        </w:tc>
        <w:tc>
          <w:tcPr>
            <w:tcW w:w="1520" w:type="dxa"/>
            <w:vAlign w:val="bottom"/>
          </w:tcPr>
          <w:p>
            <w:pPr>
              <w:jc w:val="right"/>
              <w:ind w:right="290"/>
              <w:spacing w:after="0"/>
              <w:rPr>
                <w:sz w:val="20"/>
                <w:szCs w:val="20"/>
                <w:color w:val="auto"/>
              </w:rPr>
            </w:pPr>
            <w:r>
              <w:rPr>
                <w:rFonts w:ascii="Arial" w:cs="Arial" w:eastAsia="Arial" w:hAnsi="Arial"/>
                <w:sz w:val="18"/>
                <w:szCs w:val="18"/>
                <w:color w:val="auto"/>
              </w:rPr>
              <w:t>$1,556</w:t>
            </w:r>
          </w:p>
        </w:tc>
        <w:tc>
          <w:tcPr>
            <w:tcW w:w="1400" w:type="dxa"/>
            <w:vAlign w:val="bottom"/>
          </w:tcPr>
          <w:p>
            <w:pPr>
              <w:jc w:val="right"/>
              <w:ind w:right="150"/>
              <w:spacing w:after="0"/>
              <w:rPr>
                <w:sz w:val="20"/>
                <w:szCs w:val="20"/>
                <w:color w:val="auto"/>
              </w:rPr>
            </w:pPr>
            <w:r>
              <w:rPr>
                <w:rFonts w:ascii="Arial" w:cs="Arial" w:eastAsia="Arial" w:hAnsi="Arial"/>
                <w:sz w:val="18"/>
                <w:szCs w:val="18"/>
                <w:color w:val="auto"/>
              </w:rPr>
              <w:t>$38</w:t>
            </w:r>
          </w:p>
        </w:tc>
        <w:tc>
          <w:tcPr>
            <w:tcW w:w="134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34"/>
        </w:trPr>
        <w:tc>
          <w:tcPr>
            <w:tcW w:w="4860" w:type="dxa"/>
            <w:vAlign w:val="bottom"/>
            <w:tcBorders>
              <w:bottom w:val="single" w:sz="8" w:color="auto"/>
            </w:tcBorders>
          </w:tcPr>
          <w:p>
            <w:pPr>
              <w:spacing w:after="0"/>
              <w:rPr>
                <w:sz w:val="2"/>
                <w:szCs w:val="2"/>
                <w:color w:val="auto"/>
              </w:rPr>
            </w:pPr>
          </w:p>
        </w:tc>
        <w:tc>
          <w:tcPr>
            <w:tcW w:w="230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Energy &amp; Distribution segment sales increased 44% in the second quarter of 2014 compared to the second quarter of 2013. Excluding surcharges, net sales increased by 42%. The increase was driven by higher volume. The volume increase was driven by strong demand from the energy end markets and the distribution channel.</w:t>
      </w:r>
    </w:p>
    <w:p>
      <w:pPr>
        <w:spacing w:after="0" w:line="141"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Energy &amp; Distribution segment sales increased 33% during the six months ended June 30, 2014 compared to the six months ended June 30, 2013. Excluding surcharges, net sales increased 31%. The increase was driven by higher shipments to the distribution market resulting from strong end market energy demand.</w:t>
      </w:r>
    </w:p>
    <w:p>
      <w:pPr>
        <w:spacing w:after="0" w:line="141"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EBIT increased by $11.9 million in the second quarter of 2014 compared to the same period in 2013 primarily due to higher volume, favorable mix and better manufacturing utilization, partially offset the timing of inventory reductions and asset and inventory adjustments.</w:t>
      </w:r>
    </w:p>
    <w:p>
      <w:pPr>
        <w:spacing w:after="0" w:line="130"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EBIT increased 77% during the six months ended June 30, 2014 compared to the six months ended June 30, 2013. The increase was driven by higher volume, favorable mix, and better manufacturing utilization, partially offset by higher raw material costs, LIFO expense, the timing of inventory reductions and asset and inventory adjustments.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184150</wp:posOffset>
            </wp:positionV>
            <wp:extent cx="72466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9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260" w:type="dxa"/>
            <w:vAlign w:val="bottom"/>
          </w:tcPr>
          <w:p>
            <w:pPr>
              <w:ind w:left="40"/>
              <w:spacing w:after="0"/>
              <w:rPr>
                <w:sz w:val="20"/>
                <w:szCs w:val="20"/>
                <w:color w:val="auto"/>
              </w:rPr>
            </w:pPr>
            <w:r>
              <w:rPr>
                <w:rFonts w:ascii="Arial" w:cs="Arial" w:eastAsia="Arial" w:hAnsi="Arial"/>
                <w:sz w:val="18"/>
                <w:szCs w:val="18"/>
                <w:b w:val="1"/>
                <w:bCs w:val="1"/>
                <w:color w:val="auto"/>
              </w:rPr>
              <w:t>Corporate</w:t>
            </w:r>
          </w:p>
        </w:tc>
        <w:tc>
          <w:tcPr>
            <w:tcW w:w="2860" w:type="dxa"/>
            <w:vAlign w:val="bottom"/>
          </w:tcPr>
          <w:p>
            <w:pPr>
              <w:spacing w:after="0"/>
              <w:rPr>
                <w:sz w:val="20"/>
                <w:szCs w:val="20"/>
                <w:color w:val="auto"/>
              </w:rPr>
            </w:pPr>
          </w:p>
        </w:tc>
        <w:tc>
          <w:tcPr>
            <w:tcW w:w="2960" w:type="dxa"/>
            <w:vAlign w:val="bottom"/>
            <w:gridSpan w:val="2"/>
          </w:tcPr>
          <w:p>
            <w:pPr>
              <w:jc w:val="right"/>
              <w:ind w:right="350"/>
              <w:spacing w:after="0"/>
              <w:rPr>
                <w:sz w:val="20"/>
                <w:szCs w:val="20"/>
                <w:color w:val="auto"/>
              </w:rPr>
            </w:pPr>
            <w:r>
              <w:rPr>
                <w:rFonts w:ascii="Arial" w:cs="Arial" w:eastAsia="Arial" w:hAnsi="Arial"/>
                <w:sz w:val="18"/>
                <w:szCs w:val="18"/>
                <w:b w:val="1"/>
                <w:bCs w:val="1"/>
                <w:color w:val="auto"/>
                <w:w w:val="97"/>
              </w:rPr>
              <w:t>Three Months Ended June 30,</w:t>
            </w:r>
          </w:p>
        </w:tc>
        <w:tc>
          <w:tcPr>
            <w:tcW w:w="1340" w:type="dxa"/>
            <w:vAlign w:val="bottom"/>
          </w:tcPr>
          <w:p>
            <w:pPr>
              <w:spacing w:after="0"/>
              <w:rPr>
                <w:sz w:val="20"/>
                <w:szCs w:val="20"/>
                <w:color w:val="auto"/>
              </w:rPr>
            </w:pPr>
          </w:p>
        </w:tc>
      </w:tr>
      <w:tr>
        <w:trPr>
          <w:trHeight w:val="27"/>
        </w:trPr>
        <w:tc>
          <w:tcPr>
            <w:tcW w:w="4260" w:type="dxa"/>
            <w:vAlign w:val="bottom"/>
            <w:tcBorders>
              <w:bottom w:val="single" w:sz="8" w:color="auto"/>
            </w:tcBorders>
          </w:tcPr>
          <w:p>
            <w:pPr>
              <w:spacing w:after="0"/>
              <w:rPr>
                <w:sz w:val="2"/>
                <w:szCs w:val="2"/>
                <w:color w:val="auto"/>
              </w:rPr>
            </w:pPr>
          </w:p>
        </w:tc>
        <w:tc>
          <w:tcPr>
            <w:tcW w:w="28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37"/>
        </w:trPr>
        <w:tc>
          <w:tcPr>
            <w:tcW w:w="4260" w:type="dxa"/>
            <w:vAlign w:val="bottom"/>
          </w:tcPr>
          <w:p>
            <w:pPr>
              <w:spacing w:after="0"/>
              <w:rPr>
                <w:sz w:val="20"/>
                <w:szCs w:val="20"/>
                <w:color w:val="auto"/>
              </w:rPr>
            </w:pPr>
          </w:p>
        </w:tc>
        <w:tc>
          <w:tcPr>
            <w:tcW w:w="2860" w:type="dxa"/>
            <w:vAlign w:val="bottom"/>
          </w:tcPr>
          <w:p>
            <w:pPr>
              <w:jc w:val="right"/>
              <w:ind w:right="630"/>
              <w:spacing w:after="0"/>
              <w:rPr>
                <w:sz w:val="20"/>
                <w:szCs w:val="20"/>
                <w:color w:val="auto"/>
              </w:rPr>
            </w:pPr>
            <w:r>
              <w:rPr>
                <w:rFonts w:ascii="Arial" w:cs="Arial" w:eastAsia="Arial" w:hAnsi="Arial"/>
                <w:sz w:val="18"/>
                <w:szCs w:val="18"/>
                <w:b w:val="1"/>
                <w:bCs w:val="1"/>
                <w:color w:val="auto"/>
              </w:rPr>
              <w:t>2014</w:t>
            </w:r>
          </w:p>
        </w:tc>
        <w:tc>
          <w:tcPr>
            <w:tcW w:w="1560" w:type="dxa"/>
            <w:vAlign w:val="bottom"/>
          </w:tcPr>
          <w:p>
            <w:pPr>
              <w:jc w:val="right"/>
              <w:ind w:right="630"/>
              <w:spacing w:after="0"/>
              <w:rPr>
                <w:sz w:val="20"/>
                <w:szCs w:val="20"/>
                <w:color w:val="auto"/>
              </w:rPr>
            </w:pPr>
            <w:r>
              <w:rPr>
                <w:rFonts w:ascii="Arial" w:cs="Arial" w:eastAsia="Arial" w:hAnsi="Arial"/>
                <w:sz w:val="18"/>
                <w:szCs w:val="18"/>
                <w:b w:val="1"/>
                <w:bCs w:val="1"/>
                <w:color w:val="auto"/>
              </w:rPr>
              <w:t>2013</w:t>
            </w:r>
          </w:p>
        </w:tc>
        <w:tc>
          <w:tcPr>
            <w:tcW w:w="1400" w:type="dxa"/>
            <w:vAlign w:val="bottom"/>
          </w:tcPr>
          <w:p>
            <w:pPr>
              <w:jc w:val="right"/>
              <w:ind w:right="350"/>
              <w:spacing w:after="0"/>
              <w:rPr>
                <w:sz w:val="20"/>
                <w:szCs w:val="20"/>
                <w:color w:val="auto"/>
              </w:rPr>
            </w:pPr>
            <w:r>
              <w:rPr>
                <w:rFonts w:ascii="Arial" w:cs="Arial" w:eastAsia="Arial" w:hAnsi="Arial"/>
                <w:sz w:val="18"/>
                <w:szCs w:val="18"/>
                <w:b w:val="1"/>
                <w:bCs w:val="1"/>
                <w:color w:val="auto"/>
              </w:rPr>
              <w:t>$ Change</w:t>
            </w:r>
          </w:p>
        </w:tc>
        <w:tc>
          <w:tcPr>
            <w:tcW w:w="1340" w:type="dxa"/>
            <w:vAlign w:val="bottom"/>
          </w:tcPr>
          <w:p>
            <w:pPr>
              <w:jc w:val="right"/>
              <w:ind w:right="190"/>
              <w:spacing w:after="0"/>
              <w:rPr>
                <w:sz w:val="20"/>
                <w:szCs w:val="20"/>
                <w:color w:val="auto"/>
              </w:rPr>
            </w:pPr>
            <w:r>
              <w:rPr>
                <w:rFonts w:ascii="Arial" w:cs="Arial" w:eastAsia="Arial" w:hAnsi="Arial"/>
                <w:sz w:val="18"/>
                <w:szCs w:val="18"/>
                <w:b w:val="1"/>
                <w:bCs w:val="1"/>
                <w:color w:val="auto"/>
              </w:rPr>
              <w:t>% Change</w:t>
            </w:r>
          </w:p>
        </w:tc>
      </w:tr>
      <w:tr>
        <w:trPr>
          <w:trHeight w:val="27"/>
        </w:trPr>
        <w:tc>
          <w:tcPr>
            <w:tcW w:w="4260" w:type="dxa"/>
            <w:vAlign w:val="bottom"/>
            <w:tcBorders>
              <w:bottom w:val="single" w:sz="8" w:color="auto"/>
            </w:tcBorders>
          </w:tcPr>
          <w:p>
            <w:pPr>
              <w:spacing w:after="0"/>
              <w:rPr>
                <w:sz w:val="2"/>
                <w:szCs w:val="2"/>
                <w:color w:val="auto"/>
              </w:rPr>
            </w:pPr>
          </w:p>
        </w:tc>
        <w:tc>
          <w:tcPr>
            <w:tcW w:w="28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44"/>
        </w:trPr>
        <w:tc>
          <w:tcPr>
            <w:tcW w:w="4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Corporate expenses</w:t>
            </w:r>
          </w:p>
        </w:tc>
        <w:tc>
          <w:tcPr>
            <w:tcW w:w="28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$6.9</w:t>
            </w:r>
          </w:p>
        </w:tc>
        <w:tc>
          <w:tcPr>
            <w:tcW w:w="15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$5.9</w:t>
            </w:r>
          </w:p>
        </w:tc>
        <w:tc>
          <w:tcPr>
            <w:tcW w:w="1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$1.0</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16.9%</w:t>
            </w:r>
          </w:p>
        </w:tc>
      </w:tr>
      <w:tr>
        <w:trPr>
          <w:trHeight w:val="243"/>
        </w:trPr>
        <w:tc>
          <w:tcPr>
            <w:tcW w:w="4260" w:type="dxa"/>
            <w:vAlign w:val="bottom"/>
          </w:tcPr>
          <w:p>
            <w:pPr>
              <w:ind w:left="40"/>
              <w:spacing w:after="0"/>
              <w:rPr>
                <w:sz w:val="20"/>
                <w:szCs w:val="20"/>
                <w:color w:val="auto"/>
              </w:rPr>
            </w:pPr>
            <w:r>
              <w:rPr>
                <w:rFonts w:ascii="Arial" w:cs="Arial" w:eastAsia="Arial" w:hAnsi="Arial"/>
                <w:sz w:val="18"/>
                <w:szCs w:val="18"/>
                <w:color w:val="auto"/>
              </w:rPr>
              <w:t>Corporate expenses % to net sales</w:t>
            </w:r>
          </w:p>
        </w:tc>
        <w:tc>
          <w:tcPr>
            <w:tcW w:w="2860" w:type="dxa"/>
            <w:vAlign w:val="bottom"/>
          </w:tcPr>
          <w:p>
            <w:pPr>
              <w:jc w:val="right"/>
              <w:ind w:right="110"/>
              <w:spacing w:after="0"/>
              <w:rPr>
                <w:sz w:val="20"/>
                <w:szCs w:val="20"/>
                <w:color w:val="auto"/>
              </w:rPr>
            </w:pPr>
            <w:r>
              <w:rPr>
                <w:rFonts w:ascii="Arial" w:cs="Arial" w:eastAsia="Arial" w:hAnsi="Arial"/>
                <w:sz w:val="18"/>
                <w:szCs w:val="18"/>
                <w:b w:val="1"/>
                <w:bCs w:val="1"/>
                <w:color w:val="auto"/>
              </w:rPr>
              <w:t>1.6%</w:t>
            </w:r>
          </w:p>
        </w:tc>
        <w:tc>
          <w:tcPr>
            <w:tcW w:w="1560" w:type="dxa"/>
            <w:vAlign w:val="bottom"/>
          </w:tcPr>
          <w:p>
            <w:pPr>
              <w:jc w:val="right"/>
              <w:ind w:right="130"/>
              <w:spacing w:after="0"/>
              <w:rPr>
                <w:sz w:val="20"/>
                <w:szCs w:val="20"/>
                <w:color w:val="auto"/>
              </w:rPr>
            </w:pPr>
            <w:r>
              <w:rPr>
                <w:rFonts w:ascii="Arial" w:cs="Arial" w:eastAsia="Arial" w:hAnsi="Arial"/>
                <w:sz w:val="18"/>
                <w:szCs w:val="18"/>
                <w:color w:val="auto"/>
              </w:rPr>
              <w:t>1.7%</w:t>
            </w:r>
          </w:p>
        </w:tc>
        <w:tc>
          <w:tcPr>
            <w:tcW w:w="1400" w:type="dxa"/>
            <w:vAlign w:val="bottom"/>
          </w:tcPr>
          <w:p>
            <w:pPr>
              <w:jc w:val="right"/>
              <w:ind w:right="150"/>
              <w:spacing w:after="0"/>
              <w:rPr>
                <w:sz w:val="20"/>
                <w:szCs w:val="20"/>
                <w:color w:val="auto"/>
              </w:rPr>
            </w:pPr>
            <w:r>
              <w:rPr>
                <w:rFonts w:ascii="Arial" w:cs="Arial" w:eastAsia="Arial" w:hAnsi="Arial"/>
                <w:sz w:val="18"/>
                <w:szCs w:val="18"/>
                <w:color w:val="auto"/>
              </w:rPr>
              <w:t>NM</w:t>
            </w:r>
          </w:p>
        </w:tc>
        <w:tc>
          <w:tcPr>
            <w:tcW w:w="1340" w:type="dxa"/>
            <w:vAlign w:val="bottom"/>
          </w:tcPr>
          <w:p>
            <w:pPr>
              <w:jc w:val="right"/>
              <w:spacing w:after="0"/>
              <w:rPr>
                <w:sz w:val="20"/>
                <w:szCs w:val="20"/>
                <w:color w:val="auto"/>
              </w:rPr>
            </w:pPr>
            <w:r>
              <w:rPr>
                <w:rFonts w:ascii="Arial" w:cs="Arial" w:eastAsia="Arial" w:hAnsi="Arial"/>
                <w:sz w:val="18"/>
                <w:szCs w:val="18"/>
                <w:color w:val="auto"/>
              </w:rPr>
              <w:t>(10) bps</w:t>
            </w:r>
          </w:p>
        </w:tc>
      </w:tr>
      <w:tr>
        <w:trPr>
          <w:trHeight w:val="34"/>
        </w:trPr>
        <w:tc>
          <w:tcPr>
            <w:tcW w:w="4260" w:type="dxa"/>
            <w:vAlign w:val="bottom"/>
            <w:tcBorders>
              <w:bottom w:val="single" w:sz="8" w:color="auto"/>
            </w:tcBorders>
          </w:tcPr>
          <w:p>
            <w:pPr>
              <w:spacing w:after="0"/>
              <w:rPr>
                <w:sz w:val="2"/>
                <w:szCs w:val="2"/>
                <w:color w:val="auto"/>
              </w:rPr>
            </w:pPr>
          </w:p>
        </w:tc>
        <w:tc>
          <w:tcPr>
            <w:tcW w:w="2860" w:type="dxa"/>
            <w:vAlign w:val="bottom"/>
            <w:tcBorders>
              <w:bottom w:val="single" w:sz="8" w:color="auto"/>
            </w:tcBorders>
          </w:tcPr>
          <w:p>
            <w:pPr>
              <w:spacing w:after="0"/>
              <w:rPr>
                <w:sz w:val="2"/>
                <w:szCs w:val="2"/>
                <w:color w:val="auto"/>
              </w:rPr>
            </w:pPr>
          </w:p>
        </w:tc>
        <w:tc>
          <w:tcPr>
            <w:tcW w:w="2960" w:type="dxa"/>
            <w:vAlign w:val="bottom"/>
            <w:tcBorders>
              <w:bottom w:val="single" w:sz="8" w:color="auto"/>
            </w:tcBorders>
            <w:gridSpan w:val="2"/>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135"/>
        </w:trPr>
        <w:tc>
          <w:tcPr>
            <w:tcW w:w="4260" w:type="dxa"/>
            <w:vAlign w:val="bottom"/>
            <w:tcBorders>
              <w:bottom w:val="single" w:sz="8" w:color="auto"/>
            </w:tcBorders>
          </w:tcPr>
          <w:p>
            <w:pPr>
              <w:spacing w:after="0"/>
              <w:rPr>
                <w:sz w:val="11"/>
                <w:szCs w:val="11"/>
                <w:color w:val="auto"/>
              </w:rPr>
            </w:pPr>
          </w:p>
        </w:tc>
        <w:tc>
          <w:tcPr>
            <w:tcW w:w="2860" w:type="dxa"/>
            <w:vAlign w:val="bottom"/>
            <w:tcBorders>
              <w:bottom w:val="single" w:sz="8" w:color="auto"/>
            </w:tcBorders>
          </w:tcPr>
          <w:p>
            <w:pPr>
              <w:spacing w:after="0"/>
              <w:rPr>
                <w:sz w:val="11"/>
                <w:szCs w:val="11"/>
                <w:color w:val="auto"/>
              </w:rPr>
            </w:pPr>
          </w:p>
        </w:tc>
        <w:tc>
          <w:tcPr>
            <w:tcW w:w="2960" w:type="dxa"/>
            <w:vAlign w:val="bottom"/>
            <w:tcBorders>
              <w:bottom w:val="single" w:sz="8" w:color="auto"/>
            </w:tcBorders>
            <w:gridSpan w:val="2"/>
          </w:tcPr>
          <w:p>
            <w:pPr>
              <w:spacing w:after="0"/>
              <w:rPr>
                <w:sz w:val="11"/>
                <w:szCs w:val="11"/>
                <w:color w:val="auto"/>
              </w:rPr>
            </w:pPr>
          </w:p>
        </w:tc>
        <w:tc>
          <w:tcPr>
            <w:tcW w:w="1340" w:type="dxa"/>
            <w:vAlign w:val="bottom"/>
            <w:tcBorders>
              <w:bottom w:val="single" w:sz="8" w:color="auto"/>
            </w:tcBorders>
          </w:tcPr>
          <w:p>
            <w:pPr>
              <w:spacing w:after="0"/>
              <w:rPr>
                <w:sz w:val="11"/>
                <w:szCs w:val="11"/>
                <w:color w:val="auto"/>
              </w:rPr>
            </w:pPr>
          </w:p>
        </w:tc>
      </w:tr>
      <w:tr>
        <w:trPr>
          <w:trHeight w:val="237"/>
        </w:trPr>
        <w:tc>
          <w:tcPr>
            <w:tcW w:w="4260" w:type="dxa"/>
            <w:vAlign w:val="bottom"/>
          </w:tcPr>
          <w:p>
            <w:pPr>
              <w:ind w:left="40"/>
              <w:spacing w:after="0"/>
              <w:rPr>
                <w:sz w:val="20"/>
                <w:szCs w:val="20"/>
                <w:color w:val="auto"/>
              </w:rPr>
            </w:pPr>
            <w:r>
              <w:rPr>
                <w:rFonts w:ascii="Arial" w:cs="Arial" w:eastAsia="Arial" w:hAnsi="Arial"/>
                <w:sz w:val="18"/>
                <w:szCs w:val="18"/>
                <w:b w:val="1"/>
                <w:bCs w:val="1"/>
                <w:color w:val="auto"/>
              </w:rPr>
              <w:t>Corporate</w:t>
            </w:r>
          </w:p>
        </w:tc>
        <w:tc>
          <w:tcPr>
            <w:tcW w:w="2860" w:type="dxa"/>
            <w:vAlign w:val="bottom"/>
          </w:tcPr>
          <w:p>
            <w:pPr>
              <w:spacing w:after="0"/>
              <w:rPr>
                <w:sz w:val="20"/>
                <w:szCs w:val="20"/>
                <w:color w:val="auto"/>
              </w:rPr>
            </w:pPr>
          </w:p>
        </w:tc>
        <w:tc>
          <w:tcPr>
            <w:tcW w:w="2960" w:type="dxa"/>
            <w:vAlign w:val="bottom"/>
            <w:gridSpan w:val="2"/>
          </w:tcPr>
          <w:p>
            <w:pPr>
              <w:jc w:val="right"/>
              <w:ind w:right="470"/>
              <w:spacing w:after="0"/>
              <w:rPr>
                <w:sz w:val="20"/>
                <w:szCs w:val="20"/>
                <w:color w:val="auto"/>
              </w:rPr>
            </w:pPr>
            <w:r>
              <w:rPr>
                <w:rFonts w:ascii="Arial" w:cs="Arial" w:eastAsia="Arial" w:hAnsi="Arial"/>
                <w:sz w:val="18"/>
                <w:szCs w:val="18"/>
                <w:b w:val="1"/>
                <w:bCs w:val="1"/>
                <w:color w:val="auto"/>
              </w:rPr>
              <w:t>Six Months Ended June 30,</w:t>
            </w:r>
          </w:p>
        </w:tc>
        <w:tc>
          <w:tcPr>
            <w:tcW w:w="1340" w:type="dxa"/>
            <w:vAlign w:val="bottom"/>
          </w:tcPr>
          <w:p>
            <w:pPr>
              <w:spacing w:after="0"/>
              <w:rPr>
                <w:sz w:val="20"/>
                <w:szCs w:val="20"/>
                <w:color w:val="auto"/>
              </w:rPr>
            </w:pPr>
          </w:p>
        </w:tc>
      </w:tr>
      <w:tr>
        <w:trPr>
          <w:trHeight w:val="27"/>
        </w:trPr>
        <w:tc>
          <w:tcPr>
            <w:tcW w:w="4260" w:type="dxa"/>
            <w:vAlign w:val="bottom"/>
            <w:tcBorders>
              <w:bottom w:val="single" w:sz="8" w:color="auto"/>
            </w:tcBorders>
          </w:tcPr>
          <w:p>
            <w:pPr>
              <w:spacing w:after="0"/>
              <w:rPr>
                <w:sz w:val="2"/>
                <w:szCs w:val="2"/>
                <w:color w:val="auto"/>
              </w:rPr>
            </w:pPr>
          </w:p>
        </w:tc>
        <w:tc>
          <w:tcPr>
            <w:tcW w:w="28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37"/>
        </w:trPr>
        <w:tc>
          <w:tcPr>
            <w:tcW w:w="4260" w:type="dxa"/>
            <w:vAlign w:val="bottom"/>
          </w:tcPr>
          <w:p>
            <w:pPr>
              <w:spacing w:after="0"/>
              <w:rPr>
                <w:sz w:val="20"/>
                <w:szCs w:val="20"/>
                <w:color w:val="auto"/>
              </w:rPr>
            </w:pPr>
          </w:p>
        </w:tc>
        <w:tc>
          <w:tcPr>
            <w:tcW w:w="2860" w:type="dxa"/>
            <w:vAlign w:val="bottom"/>
          </w:tcPr>
          <w:p>
            <w:pPr>
              <w:jc w:val="right"/>
              <w:ind w:right="630"/>
              <w:spacing w:after="0"/>
              <w:rPr>
                <w:sz w:val="20"/>
                <w:szCs w:val="20"/>
                <w:color w:val="auto"/>
              </w:rPr>
            </w:pPr>
            <w:r>
              <w:rPr>
                <w:rFonts w:ascii="Arial" w:cs="Arial" w:eastAsia="Arial" w:hAnsi="Arial"/>
                <w:sz w:val="18"/>
                <w:szCs w:val="18"/>
                <w:b w:val="1"/>
                <w:bCs w:val="1"/>
                <w:color w:val="auto"/>
              </w:rPr>
              <w:t>2014</w:t>
            </w:r>
          </w:p>
        </w:tc>
        <w:tc>
          <w:tcPr>
            <w:tcW w:w="1560" w:type="dxa"/>
            <w:vAlign w:val="bottom"/>
          </w:tcPr>
          <w:p>
            <w:pPr>
              <w:jc w:val="right"/>
              <w:ind w:right="630"/>
              <w:spacing w:after="0"/>
              <w:rPr>
                <w:sz w:val="20"/>
                <w:szCs w:val="20"/>
                <w:color w:val="auto"/>
              </w:rPr>
            </w:pPr>
            <w:r>
              <w:rPr>
                <w:rFonts w:ascii="Arial" w:cs="Arial" w:eastAsia="Arial" w:hAnsi="Arial"/>
                <w:sz w:val="18"/>
                <w:szCs w:val="18"/>
                <w:b w:val="1"/>
                <w:bCs w:val="1"/>
                <w:color w:val="auto"/>
              </w:rPr>
              <w:t>2013</w:t>
            </w:r>
          </w:p>
        </w:tc>
        <w:tc>
          <w:tcPr>
            <w:tcW w:w="1400" w:type="dxa"/>
            <w:vAlign w:val="bottom"/>
          </w:tcPr>
          <w:p>
            <w:pPr>
              <w:jc w:val="right"/>
              <w:ind w:right="350"/>
              <w:spacing w:after="0"/>
              <w:rPr>
                <w:sz w:val="20"/>
                <w:szCs w:val="20"/>
                <w:color w:val="auto"/>
              </w:rPr>
            </w:pPr>
            <w:r>
              <w:rPr>
                <w:rFonts w:ascii="Arial" w:cs="Arial" w:eastAsia="Arial" w:hAnsi="Arial"/>
                <w:sz w:val="18"/>
                <w:szCs w:val="18"/>
                <w:b w:val="1"/>
                <w:bCs w:val="1"/>
                <w:color w:val="auto"/>
              </w:rPr>
              <w:t>$ Change</w:t>
            </w:r>
          </w:p>
        </w:tc>
        <w:tc>
          <w:tcPr>
            <w:tcW w:w="1340" w:type="dxa"/>
            <w:vAlign w:val="bottom"/>
          </w:tcPr>
          <w:p>
            <w:pPr>
              <w:jc w:val="right"/>
              <w:ind w:right="190"/>
              <w:spacing w:after="0"/>
              <w:rPr>
                <w:sz w:val="20"/>
                <w:szCs w:val="20"/>
                <w:color w:val="auto"/>
              </w:rPr>
            </w:pPr>
            <w:r>
              <w:rPr>
                <w:rFonts w:ascii="Arial" w:cs="Arial" w:eastAsia="Arial" w:hAnsi="Arial"/>
                <w:sz w:val="18"/>
                <w:szCs w:val="18"/>
                <w:b w:val="1"/>
                <w:bCs w:val="1"/>
                <w:color w:val="auto"/>
              </w:rPr>
              <w:t>% Change</w:t>
            </w:r>
          </w:p>
        </w:tc>
      </w:tr>
      <w:tr>
        <w:trPr>
          <w:trHeight w:val="27"/>
        </w:trPr>
        <w:tc>
          <w:tcPr>
            <w:tcW w:w="4260" w:type="dxa"/>
            <w:vAlign w:val="bottom"/>
            <w:tcBorders>
              <w:bottom w:val="single" w:sz="8" w:color="auto"/>
            </w:tcBorders>
          </w:tcPr>
          <w:p>
            <w:pPr>
              <w:spacing w:after="0"/>
              <w:rPr>
                <w:sz w:val="2"/>
                <w:szCs w:val="2"/>
                <w:color w:val="auto"/>
              </w:rPr>
            </w:pPr>
          </w:p>
        </w:tc>
        <w:tc>
          <w:tcPr>
            <w:tcW w:w="28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44"/>
        </w:trPr>
        <w:tc>
          <w:tcPr>
            <w:tcW w:w="4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Corporate expenses</w:t>
            </w:r>
          </w:p>
        </w:tc>
        <w:tc>
          <w:tcPr>
            <w:tcW w:w="28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$14.3</w:t>
            </w:r>
          </w:p>
        </w:tc>
        <w:tc>
          <w:tcPr>
            <w:tcW w:w="15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$11.2</w:t>
            </w:r>
          </w:p>
        </w:tc>
        <w:tc>
          <w:tcPr>
            <w:tcW w:w="1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b w:val="1"/>
                <w:bCs w:val="1"/>
                <w:color w:val="auto"/>
              </w:rPr>
              <w:t>$3.1</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27.7%</w:t>
            </w:r>
          </w:p>
        </w:tc>
      </w:tr>
      <w:tr>
        <w:trPr>
          <w:trHeight w:val="243"/>
        </w:trPr>
        <w:tc>
          <w:tcPr>
            <w:tcW w:w="4260" w:type="dxa"/>
            <w:vAlign w:val="bottom"/>
          </w:tcPr>
          <w:p>
            <w:pPr>
              <w:ind w:left="40"/>
              <w:spacing w:after="0"/>
              <w:rPr>
                <w:sz w:val="20"/>
                <w:szCs w:val="20"/>
                <w:color w:val="auto"/>
              </w:rPr>
            </w:pPr>
            <w:r>
              <w:rPr>
                <w:rFonts w:ascii="Arial" w:cs="Arial" w:eastAsia="Arial" w:hAnsi="Arial"/>
                <w:sz w:val="18"/>
                <w:szCs w:val="18"/>
                <w:color w:val="auto"/>
              </w:rPr>
              <w:t>Corporate expenses % to net sales</w:t>
            </w:r>
          </w:p>
        </w:tc>
        <w:tc>
          <w:tcPr>
            <w:tcW w:w="2860" w:type="dxa"/>
            <w:vAlign w:val="bottom"/>
          </w:tcPr>
          <w:p>
            <w:pPr>
              <w:jc w:val="right"/>
              <w:ind w:right="110"/>
              <w:spacing w:after="0"/>
              <w:rPr>
                <w:sz w:val="20"/>
                <w:szCs w:val="20"/>
                <w:color w:val="auto"/>
              </w:rPr>
            </w:pPr>
            <w:r>
              <w:rPr>
                <w:rFonts w:ascii="Arial" w:cs="Arial" w:eastAsia="Arial" w:hAnsi="Arial"/>
                <w:sz w:val="18"/>
                <w:szCs w:val="18"/>
                <w:b w:val="1"/>
                <w:bCs w:val="1"/>
                <w:color w:val="auto"/>
              </w:rPr>
              <w:t>1.7%</w:t>
            </w:r>
          </w:p>
        </w:tc>
        <w:tc>
          <w:tcPr>
            <w:tcW w:w="1560" w:type="dxa"/>
            <w:vAlign w:val="bottom"/>
          </w:tcPr>
          <w:p>
            <w:pPr>
              <w:jc w:val="right"/>
              <w:ind w:right="130"/>
              <w:spacing w:after="0"/>
              <w:rPr>
                <w:sz w:val="20"/>
                <w:szCs w:val="20"/>
                <w:color w:val="auto"/>
              </w:rPr>
            </w:pPr>
            <w:r>
              <w:rPr>
                <w:rFonts w:ascii="Arial" w:cs="Arial" w:eastAsia="Arial" w:hAnsi="Arial"/>
                <w:sz w:val="18"/>
                <w:szCs w:val="18"/>
                <w:color w:val="auto"/>
              </w:rPr>
              <w:t>1.6%</w:t>
            </w:r>
          </w:p>
        </w:tc>
        <w:tc>
          <w:tcPr>
            <w:tcW w:w="1400" w:type="dxa"/>
            <w:vAlign w:val="bottom"/>
          </w:tcPr>
          <w:p>
            <w:pPr>
              <w:jc w:val="right"/>
              <w:ind w:right="150"/>
              <w:spacing w:after="0"/>
              <w:rPr>
                <w:sz w:val="20"/>
                <w:szCs w:val="20"/>
                <w:color w:val="auto"/>
              </w:rPr>
            </w:pPr>
            <w:r>
              <w:rPr>
                <w:rFonts w:ascii="Arial" w:cs="Arial" w:eastAsia="Arial" w:hAnsi="Arial"/>
                <w:sz w:val="18"/>
                <w:szCs w:val="18"/>
                <w:b w:val="1"/>
                <w:bCs w:val="1"/>
                <w:color w:val="auto"/>
              </w:rPr>
              <w:t>NM</w:t>
            </w:r>
          </w:p>
        </w:tc>
        <w:tc>
          <w:tcPr>
            <w:tcW w:w="1340" w:type="dxa"/>
            <w:vAlign w:val="bottom"/>
          </w:tcPr>
          <w:p>
            <w:pPr>
              <w:jc w:val="right"/>
              <w:spacing w:after="0"/>
              <w:rPr>
                <w:sz w:val="20"/>
                <w:szCs w:val="20"/>
                <w:color w:val="auto"/>
              </w:rPr>
            </w:pPr>
            <w:r>
              <w:rPr>
                <w:rFonts w:ascii="Arial" w:cs="Arial" w:eastAsia="Arial" w:hAnsi="Arial"/>
                <w:sz w:val="18"/>
                <w:szCs w:val="18"/>
                <w:color w:val="auto"/>
              </w:rPr>
              <w:t>10 bps</w:t>
            </w:r>
          </w:p>
        </w:tc>
      </w:tr>
      <w:tr>
        <w:trPr>
          <w:trHeight w:val="34"/>
        </w:trPr>
        <w:tc>
          <w:tcPr>
            <w:tcW w:w="4260" w:type="dxa"/>
            <w:vAlign w:val="bottom"/>
            <w:tcBorders>
              <w:bottom w:val="single" w:sz="8" w:color="auto"/>
            </w:tcBorders>
          </w:tcPr>
          <w:p>
            <w:pPr>
              <w:spacing w:after="0"/>
              <w:rPr>
                <w:sz w:val="2"/>
                <w:szCs w:val="2"/>
                <w:color w:val="auto"/>
              </w:rPr>
            </w:pPr>
          </w:p>
        </w:tc>
        <w:tc>
          <w:tcPr>
            <w:tcW w:w="28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Corporate expenses increased $1.0 million for the second quarter of 2014 compared to the second quarter of 2013. Corporate expenses increased $3.1 million in the first six months of 2014 when compared to the first six months of 2013. The increase was primarily driven by corporate shared services costs allocated from Timken recorded in the first quarter of 2014.</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Non-GAAP Financial Measures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Net Sales, Excluding Surcharges</w:t>
      </w:r>
    </w:p>
    <w:p>
      <w:pPr>
        <w:spacing w:after="0" w:line="185"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This Management’s Discussion and Analysis of Financial Condition and Results of Operations includes discussions of net sales adjusted to exclude raw material surcharges, which represents a financial measure that has not been determined in accordance with accounting principles generally accepted in the United States (U.S. GAAP). Generally, as we experience fluctuations in our costs, we reflect them as price increases or surcharges to our customers with the goal of being essentially cost neutral. However, even if we are able to pass these steel surcharges or price increases on to our customers, there may be a time lag between the time a cost increase goes into effect and our ability to implement surcharges or price increases. We believe presenting net sales to exclude surcharges provides a more consistent basis for comparing our core operating results.</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756" w:right="239" w:bottom="1440" w:gutter="0" w:footer="0" w:header="0"/>
        </w:sectPr>
      </w:pPr>
    </w:p>
    <w:bookmarkStart w:id="25" w:name="page26"/>
    <w:bookmarkEnd w:id="25"/>
    <w:tbl>
      <w:tblPr>
        <w:tblLayout w:type="fixed"/>
        <w:tblInd w:w="0" w:type="dxa"/>
        <w:tblCellMar>
          <w:top w:w="0" w:type="dxa"/>
          <w:left w:w="0" w:type="dxa"/>
          <w:bottom w:w="0" w:type="dxa"/>
          <w:right w:w="0" w:type="dxa"/>
        </w:tblCellMar>
      </w:tblPr>
      <w:tr>
        <w:trPr>
          <w:trHeight w:val="234"/>
        </w:trPr>
        <w:tc>
          <w:tcPr>
            <w:tcW w:w="4000" w:type="dxa"/>
            <w:vAlign w:val="bottom"/>
          </w:tcPr>
          <w:p>
            <w:pPr>
              <w:ind w:left="40"/>
              <w:spacing w:after="0"/>
              <w:rPr>
                <w:sz w:val="20"/>
                <w:szCs w:val="20"/>
                <w:color w:val="auto"/>
              </w:rPr>
            </w:pPr>
            <w:r>
              <w:rPr>
                <w:rFonts w:ascii="Arial" w:cs="Arial" w:eastAsia="Arial" w:hAnsi="Arial"/>
                <w:sz w:val="18"/>
                <w:szCs w:val="18"/>
                <w:b w:val="1"/>
                <w:bCs w:val="1"/>
                <w:color w:val="auto"/>
              </w:rPr>
              <w:t>TimkenSteel</w:t>
            </w:r>
          </w:p>
        </w:tc>
        <w:tc>
          <w:tcPr>
            <w:tcW w:w="4560" w:type="dxa"/>
            <w:vAlign w:val="bottom"/>
            <w:gridSpan w:val="2"/>
          </w:tcPr>
          <w:p>
            <w:pPr>
              <w:jc w:val="right"/>
              <w:ind w:right="692"/>
              <w:spacing w:after="0"/>
              <w:rPr>
                <w:sz w:val="20"/>
                <w:szCs w:val="20"/>
                <w:color w:val="auto"/>
              </w:rPr>
            </w:pPr>
            <w:r>
              <w:rPr>
                <w:rFonts w:ascii="Arial" w:cs="Arial" w:eastAsia="Arial" w:hAnsi="Arial"/>
                <w:sz w:val="16"/>
                <w:szCs w:val="16"/>
                <w:b w:val="1"/>
                <w:bCs w:val="1"/>
                <w:color w:val="auto"/>
              </w:rPr>
              <w:t>Three Months Ended June 30,</w:t>
            </w:r>
          </w:p>
        </w:tc>
        <w:tc>
          <w:tcPr>
            <w:tcW w:w="2860" w:type="dxa"/>
            <w:vAlign w:val="bottom"/>
            <w:gridSpan w:val="2"/>
          </w:tcPr>
          <w:p>
            <w:pPr>
              <w:ind w:left="420"/>
              <w:spacing w:after="0"/>
              <w:rPr>
                <w:sz w:val="20"/>
                <w:szCs w:val="20"/>
                <w:color w:val="auto"/>
              </w:rPr>
            </w:pPr>
            <w:r>
              <w:rPr>
                <w:rFonts w:ascii="Arial" w:cs="Arial" w:eastAsia="Arial" w:hAnsi="Arial"/>
                <w:sz w:val="16"/>
                <w:szCs w:val="16"/>
                <w:b w:val="1"/>
                <w:bCs w:val="1"/>
                <w:color w:val="auto"/>
              </w:rPr>
              <w:t>Six Months Ended June 30,</w:t>
            </w:r>
          </w:p>
        </w:tc>
      </w:tr>
      <w:tr>
        <w:trPr>
          <w:trHeight w:val="27"/>
        </w:trPr>
        <w:tc>
          <w:tcPr>
            <w:tcW w:w="4000" w:type="dxa"/>
            <w:vAlign w:val="bottom"/>
            <w:tcBorders>
              <w:bottom w:val="single" w:sz="8" w:color="auto"/>
            </w:tcBorders>
          </w:tcPr>
          <w:p>
            <w:pPr>
              <w:spacing w:after="0"/>
              <w:rPr>
                <w:sz w:val="2"/>
                <w:szCs w:val="2"/>
                <w:color w:val="auto"/>
              </w:rPr>
            </w:pPr>
          </w:p>
        </w:tc>
        <w:tc>
          <w:tcPr>
            <w:tcW w:w="294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31"/>
        </w:trPr>
        <w:tc>
          <w:tcPr>
            <w:tcW w:w="4000" w:type="dxa"/>
            <w:vAlign w:val="bottom"/>
          </w:tcPr>
          <w:p>
            <w:pPr>
              <w:spacing w:after="0"/>
              <w:rPr>
                <w:sz w:val="20"/>
                <w:szCs w:val="20"/>
                <w:color w:val="auto"/>
              </w:rPr>
            </w:pPr>
          </w:p>
        </w:tc>
        <w:tc>
          <w:tcPr>
            <w:tcW w:w="2940" w:type="dxa"/>
            <w:vAlign w:val="bottom"/>
          </w:tcPr>
          <w:p>
            <w:pPr>
              <w:jc w:val="right"/>
              <w:ind w:right="794"/>
              <w:spacing w:after="0"/>
              <w:rPr>
                <w:sz w:val="20"/>
                <w:szCs w:val="20"/>
                <w:color w:val="auto"/>
              </w:rPr>
            </w:pPr>
            <w:r>
              <w:rPr>
                <w:rFonts w:ascii="Arial" w:cs="Arial" w:eastAsia="Arial" w:hAnsi="Arial"/>
                <w:sz w:val="16"/>
                <w:szCs w:val="16"/>
                <w:b w:val="1"/>
                <w:bCs w:val="1"/>
                <w:color w:val="auto"/>
              </w:rPr>
              <w:t>2014</w:t>
            </w:r>
          </w:p>
        </w:tc>
        <w:tc>
          <w:tcPr>
            <w:tcW w:w="1620" w:type="dxa"/>
            <w:vAlign w:val="bottom"/>
          </w:tcPr>
          <w:p>
            <w:pPr>
              <w:jc w:val="right"/>
              <w:ind w:right="792"/>
              <w:spacing w:after="0"/>
              <w:rPr>
                <w:sz w:val="20"/>
                <w:szCs w:val="20"/>
                <w:color w:val="auto"/>
              </w:rPr>
            </w:pPr>
            <w:r>
              <w:rPr>
                <w:rFonts w:ascii="Arial" w:cs="Arial" w:eastAsia="Arial" w:hAnsi="Arial"/>
                <w:sz w:val="16"/>
                <w:szCs w:val="16"/>
                <w:b w:val="1"/>
                <w:bCs w:val="1"/>
                <w:color w:val="auto"/>
              </w:rPr>
              <w:t>2013</w:t>
            </w:r>
          </w:p>
        </w:tc>
        <w:tc>
          <w:tcPr>
            <w:tcW w:w="1580" w:type="dxa"/>
            <w:vAlign w:val="bottom"/>
          </w:tcPr>
          <w:p>
            <w:pPr>
              <w:ind w:left="400"/>
              <w:spacing w:after="0"/>
              <w:rPr>
                <w:sz w:val="20"/>
                <w:szCs w:val="20"/>
                <w:color w:val="auto"/>
              </w:rPr>
            </w:pPr>
            <w:r>
              <w:rPr>
                <w:rFonts w:ascii="Arial" w:cs="Arial" w:eastAsia="Arial" w:hAnsi="Arial"/>
                <w:sz w:val="16"/>
                <w:szCs w:val="16"/>
                <w:b w:val="1"/>
                <w:bCs w:val="1"/>
                <w:color w:val="auto"/>
              </w:rPr>
              <w:t>2014</w:t>
            </w:r>
          </w:p>
        </w:tc>
        <w:tc>
          <w:tcPr>
            <w:tcW w:w="1280" w:type="dxa"/>
            <w:vAlign w:val="bottom"/>
          </w:tcPr>
          <w:p>
            <w:pPr>
              <w:jc w:val="right"/>
              <w:ind w:right="472"/>
              <w:spacing w:after="0"/>
              <w:rPr>
                <w:sz w:val="20"/>
                <w:szCs w:val="20"/>
                <w:color w:val="auto"/>
              </w:rPr>
            </w:pPr>
            <w:r>
              <w:rPr>
                <w:rFonts w:ascii="Arial" w:cs="Arial" w:eastAsia="Arial" w:hAnsi="Arial"/>
                <w:sz w:val="16"/>
                <w:szCs w:val="16"/>
                <w:b w:val="1"/>
                <w:bCs w:val="1"/>
                <w:color w:val="auto"/>
              </w:rPr>
              <w:t>2013</w:t>
            </w:r>
          </w:p>
        </w:tc>
      </w:tr>
      <w:tr>
        <w:trPr>
          <w:trHeight w:val="33"/>
        </w:trPr>
        <w:tc>
          <w:tcPr>
            <w:tcW w:w="4000" w:type="dxa"/>
            <w:vAlign w:val="bottom"/>
            <w:tcBorders>
              <w:bottom w:val="single" w:sz="8" w:color="auto"/>
            </w:tcBorders>
          </w:tcPr>
          <w:p>
            <w:pPr>
              <w:spacing w:after="0"/>
              <w:rPr>
                <w:sz w:val="2"/>
                <w:szCs w:val="2"/>
                <w:color w:val="auto"/>
              </w:rPr>
            </w:pPr>
          </w:p>
        </w:tc>
        <w:tc>
          <w:tcPr>
            <w:tcW w:w="294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44"/>
        </w:trPr>
        <w:tc>
          <w:tcPr>
            <w:tcW w:w="4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2940" w:type="dxa"/>
            <w:vAlign w:val="bottom"/>
            <w:tcBorders>
              <w:bottom w:val="single" w:sz="8" w:color="CCEEFF"/>
            </w:tcBorders>
            <w:shd w:val="clear" w:color="auto" w:fill="CCEEFF"/>
          </w:tcPr>
          <w:p>
            <w:pPr>
              <w:jc w:val="right"/>
              <w:ind w:right="314"/>
              <w:spacing w:after="0"/>
              <w:rPr>
                <w:sz w:val="20"/>
                <w:szCs w:val="20"/>
                <w:color w:val="auto"/>
              </w:rPr>
            </w:pPr>
            <w:r>
              <w:rPr>
                <w:rFonts w:ascii="Arial" w:cs="Arial" w:eastAsia="Arial" w:hAnsi="Arial"/>
                <w:sz w:val="18"/>
                <w:szCs w:val="18"/>
                <w:b w:val="1"/>
                <w:bCs w:val="1"/>
                <w:color w:val="auto"/>
              </w:rPr>
              <w:t>$442.2</w:t>
            </w:r>
          </w:p>
        </w:tc>
        <w:tc>
          <w:tcPr>
            <w:tcW w:w="1620" w:type="dxa"/>
            <w:vAlign w:val="bottom"/>
            <w:tcBorders>
              <w:bottom w:val="single" w:sz="8" w:color="CCEEFF"/>
            </w:tcBorders>
            <w:shd w:val="clear" w:color="auto" w:fill="CCEEFF"/>
          </w:tcPr>
          <w:p>
            <w:pPr>
              <w:jc w:val="right"/>
              <w:ind w:right="312"/>
              <w:spacing w:after="0"/>
              <w:rPr>
                <w:sz w:val="20"/>
                <w:szCs w:val="20"/>
                <w:color w:val="auto"/>
              </w:rPr>
            </w:pPr>
            <w:r>
              <w:rPr>
                <w:rFonts w:ascii="Arial" w:cs="Arial" w:eastAsia="Arial" w:hAnsi="Arial"/>
                <w:sz w:val="18"/>
                <w:szCs w:val="18"/>
                <w:color w:val="auto"/>
              </w:rPr>
              <w:t>$354.1</w:t>
            </w:r>
          </w:p>
        </w:tc>
        <w:tc>
          <w:tcPr>
            <w:tcW w:w="1580" w:type="dxa"/>
            <w:vAlign w:val="bottom"/>
            <w:tcBorders>
              <w:bottom w:val="single" w:sz="8" w:color="CCEEFF"/>
            </w:tcBorders>
            <w:shd w:val="clear" w:color="auto" w:fill="CCEEFF"/>
          </w:tcPr>
          <w:p>
            <w:pPr>
              <w:jc w:val="right"/>
              <w:ind w:right="314"/>
              <w:spacing w:after="0"/>
              <w:rPr>
                <w:sz w:val="20"/>
                <w:szCs w:val="20"/>
                <w:color w:val="auto"/>
              </w:rPr>
            </w:pPr>
            <w:r>
              <w:rPr>
                <w:rFonts w:ascii="Arial" w:cs="Arial" w:eastAsia="Arial" w:hAnsi="Arial"/>
                <w:sz w:val="18"/>
                <w:szCs w:val="18"/>
                <w:b w:val="1"/>
                <w:bCs w:val="1"/>
                <w:color w:val="auto"/>
              </w:rPr>
              <w:t>$831.7</w:t>
            </w:r>
          </w:p>
        </w:tc>
        <w:tc>
          <w:tcPr>
            <w:tcW w:w="12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$700.4</w:t>
            </w:r>
          </w:p>
        </w:tc>
      </w:tr>
      <w:tr>
        <w:trPr>
          <w:trHeight w:val="243"/>
        </w:trPr>
        <w:tc>
          <w:tcPr>
            <w:tcW w:w="4000" w:type="dxa"/>
            <w:vAlign w:val="bottom"/>
          </w:tcPr>
          <w:p>
            <w:pPr>
              <w:ind w:left="40"/>
              <w:spacing w:after="0"/>
              <w:rPr>
                <w:sz w:val="20"/>
                <w:szCs w:val="20"/>
                <w:color w:val="auto"/>
              </w:rPr>
            </w:pPr>
            <w:r>
              <w:rPr>
                <w:rFonts w:ascii="Arial" w:cs="Arial" w:eastAsia="Arial" w:hAnsi="Arial"/>
                <w:sz w:val="18"/>
                <w:szCs w:val="18"/>
                <w:color w:val="auto"/>
              </w:rPr>
              <w:t>Less: surcharge revenue</w:t>
            </w:r>
          </w:p>
        </w:tc>
        <w:tc>
          <w:tcPr>
            <w:tcW w:w="2940" w:type="dxa"/>
            <w:vAlign w:val="bottom"/>
          </w:tcPr>
          <w:p>
            <w:pPr>
              <w:jc w:val="right"/>
              <w:ind w:right="314"/>
              <w:spacing w:after="0"/>
              <w:rPr>
                <w:sz w:val="20"/>
                <w:szCs w:val="20"/>
                <w:color w:val="auto"/>
              </w:rPr>
            </w:pPr>
            <w:r>
              <w:rPr>
                <w:rFonts w:ascii="Arial" w:cs="Arial" w:eastAsia="Arial" w:hAnsi="Arial"/>
                <w:sz w:val="18"/>
                <w:szCs w:val="18"/>
                <w:b w:val="1"/>
                <w:bCs w:val="1"/>
                <w:color w:val="auto"/>
              </w:rPr>
              <w:t>102.4</w:t>
            </w:r>
          </w:p>
        </w:tc>
        <w:tc>
          <w:tcPr>
            <w:tcW w:w="1620" w:type="dxa"/>
            <w:vAlign w:val="bottom"/>
          </w:tcPr>
          <w:p>
            <w:pPr>
              <w:jc w:val="right"/>
              <w:ind w:right="312"/>
              <w:spacing w:after="0"/>
              <w:rPr>
                <w:sz w:val="20"/>
                <w:szCs w:val="20"/>
                <w:color w:val="auto"/>
              </w:rPr>
            </w:pPr>
            <w:r>
              <w:rPr>
                <w:rFonts w:ascii="Arial" w:cs="Arial" w:eastAsia="Arial" w:hAnsi="Arial"/>
                <w:sz w:val="18"/>
                <w:szCs w:val="18"/>
                <w:color w:val="auto"/>
              </w:rPr>
              <w:t>77.9</w:t>
            </w:r>
          </w:p>
        </w:tc>
        <w:tc>
          <w:tcPr>
            <w:tcW w:w="1580" w:type="dxa"/>
            <w:vAlign w:val="bottom"/>
          </w:tcPr>
          <w:p>
            <w:pPr>
              <w:jc w:val="right"/>
              <w:ind w:right="314"/>
              <w:spacing w:after="0"/>
              <w:rPr>
                <w:sz w:val="20"/>
                <w:szCs w:val="20"/>
                <w:color w:val="auto"/>
              </w:rPr>
            </w:pPr>
            <w:r>
              <w:rPr>
                <w:rFonts w:ascii="Arial" w:cs="Arial" w:eastAsia="Arial" w:hAnsi="Arial"/>
                <w:sz w:val="18"/>
                <w:szCs w:val="18"/>
                <w:b w:val="1"/>
                <w:bCs w:val="1"/>
                <w:color w:val="auto"/>
              </w:rPr>
              <w:t>191.9</w:t>
            </w:r>
          </w:p>
        </w:tc>
        <w:tc>
          <w:tcPr>
            <w:tcW w:w="1280" w:type="dxa"/>
            <w:vAlign w:val="bottom"/>
          </w:tcPr>
          <w:p>
            <w:pPr>
              <w:jc w:val="right"/>
              <w:ind w:right="12"/>
              <w:spacing w:after="0"/>
              <w:rPr>
                <w:sz w:val="20"/>
                <w:szCs w:val="20"/>
                <w:color w:val="auto"/>
              </w:rPr>
            </w:pPr>
            <w:r>
              <w:rPr>
                <w:rFonts w:ascii="Arial" w:cs="Arial" w:eastAsia="Arial" w:hAnsi="Arial"/>
                <w:sz w:val="18"/>
                <w:szCs w:val="18"/>
                <w:color w:val="auto"/>
              </w:rPr>
              <w:t>150.6</w:t>
            </w:r>
          </w:p>
        </w:tc>
      </w:tr>
      <w:tr>
        <w:trPr>
          <w:trHeight w:val="27"/>
        </w:trPr>
        <w:tc>
          <w:tcPr>
            <w:tcW w:w="4000" w:type="dxa"/>
            <w:vAlign w:val="bottom"/>
            <w:tcBorders>
              <w:bottom w:val="single" w:sz="8" w:color="auto"/>
            </w:tcBorders>
          </w:tcPr>
          <w:p>
            <w:pPr>
              <w:spacing w:after="0"/>
              <w:rPr>
                <w:sz w:val="2"/>
                <w:szCs w:val="2"/>
                <w:color w:val="auto"/>
              </w:rPr>
            </w:pPr>
          </w:p>
        </w:tc>
        <w:tc>
          <w:tcPr>
            <w:tcW w:w="294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69"/>
        </w:trPr>
        <w:tc>
          <w:tcPr>
            <w:tcW w:w="4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 excluding surcharges</w:t>
            </w:r>
          </w:p>
        </w:tc>
        <w:tc>
          <w:tcPr>
            <w:tcW w:w="2940" w:type="dxa"/>
            <w:vAlign w:val="bottom"/>
            <w:tcBorders>
              <w:bottom w:val="single" w:sz="8" w:color="CCEEFF"/>
            </w:tcBorders>
            <w:shd w:val="clear" w:color="auto" w:fill="CCEEFF"/>
          </w:tcPr>
          <w:p>
            <w:pPr>
              <w:jc w:val="right"/>
              <w:ind w:right="314"/>
              <w:spacing w:after="0"/>
              <w:rPr>
                <w:sz w:val="20"/>
                <w:szCs w:val="20"/>
                <w:color w:val="auto"/>
              </w:rPr>
            </w:pPr>
            <w:r>
              <w:rPr>
                <w:rFonts w:ascii="Arial" w:cs="Arial" w:eastAsia="Arial" w:hAnsi="Arial"/>
                <w:sz w:val="18"/>
                <w:szCs w:val="18"/>
                <w:b w:val="1"/>
                <w:bCs w:val="1"/>
                <w:color w:val="auto"/>
              </w:rPr>
              <w:t>$339.8</w:t>
            </w:r>
          </w:p>
        </w:tc>
        <w:tc>
          <w:tcPr>
            <w:tcW w:w="1620" w:type="dxa"/>
            <w:vAlign w:val="bottom"/>
            <w:tcBorders>
              <w:bottom w:val="single" w:sz="8" w:color="CCEEFF"/>
            </w:tcBorders>
            <w:shd w:val="clear" w:color="auto" w:fill="CCEEFF"/>
          </w:tcPr>
          <w:p>
            <w:pPr>
              <w:jc w:val="right"/>
              <w:ind w:right="312"/>
              <w:spacing w:after="0"/>
              <w:rPr>
                <w:sz w:val="20"/>
                <w:szCs w:val="20"/>
                <w:color w:val="auto"/>
              </w:rPr>
            </w:pPr>
            <w:r>
              <w:rPr>
                <w:rFonts w:ascii="Arial" w:cs="Arial" w:eastAsia="Arial" w:hAnsi="Arial"/>
                <w:sz w:val="18"/>
                <w:szCs w:val="18"/>
                <w:color w:val="auto"/>
              </w:rPr>
              <w:t>$276.2</w:t>
            </w:r>
          </w:p>
        </w:tc>
        <w:tc>
          <w:tcPr>
            <w:tcW w:w="1580" w:type="dxa"/>
            <w:vAlign w:val="bottom"/>
            <w:tcBorders>
              <w:bottom w:val="single" w:sz="8" w:color="CCEEFF"/>
            </w:tcBorders>
            <w:shd w:val="clear" w:color="auto" w:fill="CCEEFF"/>
          </w:tcPr>
          <w:p>
            <w:pPr>
              <w:jc w:val="right"/>
              <w:ind w:right="314"/>
              <w:spacing w:after="0"/>
              <w:rPr>
                <w:sz w:val="20"/>
                <w:szCs w:val="20"/>
                <w:color w:val="auto"/>
              </w:rPr>
            </w:pPr>
            <w:r>
              <w:rPr>
                <w:rFonts w:ascii="Arial" w:cs="Arial" w:eastAsia="Arial" w:hAnsi="Arial"/>
                <w:sz w:val="18"/>
                <w:szCs w:val="18"/>
                <w:b w:val="1"/>
                <w:bCs w:val="1"/>
                <w:color w:val="auto"/>
              </w:rPr>
              <w:t>$639.8</w:t>
            </w:r>
          </w:p>
        </w:tc>
        <w:tc>
          <w:tcPr>
            <w:tcW w:w="12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$549.8</w:t>
            </w:r>
          </w:p>
        </w:tc>
      </w:tr>
      <w:tr>
        <w:trPr>
          <w:trHeight w:val="345"/>
        </w:trPr>
        <w:tc>
          <w:tcPr>
            <w:tcW w:w="4000" w:type="dxa"/>
            <w:vAlign w:val="bottom"/>
            <w:tcBorders>
              <w:top w:val="single" w:sz="8" w:color="auto"/>
              <w:bottom w:val="single" w:sz="8" w:color="auto"/>
            </w:tcBorders>
          </w:tcPr>
          <w:p>
            <w:pPr>
              <w:spacing w:after="0"/>
              <w:rPr>
                <w:sz w:val="24"/>
                <w:szCs w:val="24"/>
                <w:color w:val="auto"/>
              </w:rPr>
            </w:pPr>
          </w:p>
        </w:tc>
        <w:tc>
          <w:tcPr>
            <w:tcW w:w="4560" w:type="dxa"/>
            <w:vAlign w:val="bottom"/>
            <w:tcBorders>
              <w:top w:val="single" w:sz="8" w:color="auto"/>
              <w:bottom w:val="single" w:sz="8" w:color="auto"/>
            </w:tcBorders>
            <w:gridSpan w:val="2"/>
          </w:tcPr>
          <w:p>
            <w:pPr>
              <w:spacing w:after="0"/>
              <w:rPr>
                <w:sz w:val="24"/>
                <w:szCs w:val="24"/>
                <w:color w:val="auto"/>
              </w:rPr>
            </w:pPr>
          </w:p>
        </w:tc>
        <w:tc>
          <w:tcPr>
            <w:tcW w:w="2860" w:type="dxa"/>
            <w:vAlign w:val="bottom"/>
            <w:tcBorders>
              <w:top w:val="single" w:sz="8" w:color="auto"/>
              <w:bottom w:val="single" w:sz="8" w:color="auto"/>
            </w:tcBorders>
            <w:gridSpan w:val="2"/>
          </w:tcPr>
          <w:p>
            <w:pPr>
              <w:spacing w:after="0"/>
              <w:rPr>
                <w:sz w:val="24"/>
                <w:szCs w:val="24"/>
                <w:color w:val="auto"/>
              </w:rPr>
            </w:pPr>
          </w:p>
        </w:tc>
      </w:tr>
      <w:tr>
        <w:trPr>
          <w:trHeight w:val="237"/>
        </w:trPr>
        <w:tc>
          <w:tcPr>
            <w:tcW w:w="4000" w:type="dxa"/>
            <w:vAlign w:val="bottom"/>
          </w:tcPr>
          <w:p>
            <w:pPr>
              <w:ind w:left="40"/>
              <w:spacing w:after="0"/>
              <w:rPr>
                <w:sz w:val="20"/>
                <w:szCs w:val="20"/>
                <w:color w:val="auto"/>
              </w:rPr>
            </w:pPr>
            <w:r>
              <w:rPr>
                <w:rFonts w:ascii="Arial" w:cs="Arial" w:eastAsia="Arial" w:hAnsi="Arial"/>
                <w:sz w:val="18"/>
                <w:szCs w:val="18"/>
                <w:b w:val="1"/>
                <w:bCs w:val="1"/>
                <w:color w:val="auto"/>
              </w:rPr>
              <w:t>Industrial &amp; Mobile</w:t>
            </w:r>
          </w:p>
        </w:tc>
        <w:tc>
          <w:tcPr>
            <w:tcW w:w="4560" w:type="dxa"/>
            <w:vAlign w:val="bottom"/>
            <w:gridSpan w:val="2"/>
          </w:tcPr>
          <w:p>
            <w:pPr>
              <w:jc w:val="right"/>
              <w:ind w:right="692"/>
              <w:spacing w:after="0"/>
              <w:rPr>
                <w:sz w:val="20"/>
                <w:szCs w:val="20"/>
                <w:color w:val="auto"/>
              </w:rPr>
            </w:pPr>
            <w:r>
              <w:rPr>
                <w:rFonts w:ascii="Arial" w:cs="Arial" w:eastAsia="Arial" w:hAnsi="Arial"/>
                <w:sz w:val="16"/>
                <w:szCs w:val="16"/>
                <w:b w:val="1"/>
                <w:bCs w:val="1"/>
                <w:color w:val="auto"/>
              </w:rPr>
              <w:t>Three Months Ended June 30,</w:t>
            </w:r>
          </w:p>
        </w:tc>
        <w:tc>
          <w:tcPr>
            <w:tcW w:w="2860" w:type="dxa"/>
            <w:vAlign w:val="bottom"/>
            <w:gridSpan w:val="2"/>
          </w:tcPr>
          <w:p>
            <w:pPr>
              <w:ind w:left="420"/>
              <w:spacing w:after="0"/>
              <w:rPr>
                <w:sz w:val="20"/>
                <w:szCs w:val="20"/>
                <w:color w:val="auto"/>
              </w:rPr>
            </w:pPr>
            <w:r>
              <w:rPr>
                <w:rFonts w:ascii="Arial" w:cs="Arial" w:eastAsia="Arial" w:hAnsi="Arial"/>
                <w:sz w:val="16"/>
                <w:szCs w:val="16"/>
                <w:b w:val="1"/>
                <w:bCs w:val="1"/>
                <w:color w:val="auto"/>
              </w:rPr>
              <w:t>Six Months Ended June 30,</w:t>
            </w:r>
          </w:p>
        </w:tc>
      </w:tr>
      <w:tr>
        <w:trPr>
          <w:trHeight w:val="27"/>
        </w:trPr>
        <w:tc>
          <w:tcPr>
            <w:tcW w:w="4000" w:type="dxa"/>
            <w:vAlign w:val="bottom"/>
            <w:tcBorders>
              <w:bottom w:val="single" w:sz="8" w:color="auto"/>
            </w:tcBorders>
          </w:tcPr>
          <w:p>
            <w:pPr>
              <w:spacing w:after="0"/>
              <w:rPr>
                <w:sz w:val="2"/>
                <w:szCs w:val="2"/>
                <w:color w:val="auto"/>
              </w:rPr>
            </w:pPr>
          </w:p>
        </w:tc>
        <w:tc>
          <w:tcPr>
            <w:tcW w:w="294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31"/>
        </w:trPr>
        <w:tc>
          <w:tcPr>
            <w:tcW w:w="4000" w:type="dxa"/>
            <w:vAlign w:val="bottom"/>
          </w:tcPr>
          <w:p>
            <w:pPr>
              <w:spacing w:after="0"/>
              <w:rPr>
                <w:sz w:val="20"/>
                <w:szCs w:val="20"/>
                <w:color w:val="auto"/>
              </w:rPr>
            </w:pPr>
          </w:p>
        </w:tc>
        <w:tc>
          <w:tcPr>
            <w:tcW w:w="2940" w:type="dxa"/>
            <w:vAlign w:val="bottom"/>
          </w:tcPr>
          <w:p>
            <w:pPr>
              <w:jc w:val="right"/>
              <w:ind w:right="794"/>
              <w:spacing w:after="0"/>
              <w:rPr>
                <w:sz w:val="20"/>
                <w:szCs w:val="20"/>
                <w:color w:val="auto"/>
              </w:rPr>
            </w:pPr>
            <w:r>
              <w:rPr>
                <w:rFonts w:ascii="Arial" w:cs="Arial" w:eastAsia="Arial" w:hAnsi="Arial"/>
                <w:sz w:val="16"/>
                <w:szCs w:val="16"/>
                <w:b w:val="1"/>
                <w:bCs w:val="1"/>
                <w:color w:val="auto"/>
              </w:rPr>
              <w:t>2014</w:t>
            </w:r>
          </w:p>
        </w:tc>
        <w:tc>
          <w:tcPr>
            <w:tcW w:w="1620" w:type="dxa"/>
            <w:vAlign w:val="bottom"/>
          </w:tcPr>
          <w:p>
            <w:pPr>
              <w:jc w:val="right"/>
              <w:ind w:right="792"/>
              <w:spacing w:after="0"/>
              <w:rPr>
                <w:sz w:val="20"/>
                <w:szCs w:val="20"/>
                <w:color w:val="auto"/>
              </w:rPr>
            </w:pPr>
            <w:r>
              <w:rPr>
                <w:rFonts w:ascii="Arial" w:cs="Arial" w:eastAsia="Arial" w:hAnsi="Arial"/>
                <w:sz w:val="16"/>
                <w:szCs w:val="16"/>
                <w:b w:val="1"/>
                <w:bCs w:val="1"/>
                <w:color w:val="auto"/>
              </w:rPr>
              <w:t>2013</w:t>
            </w:r>
          </w:p>
        </w:tc>
        <w:tc>
          <w:tcPr>
            <w:tcW w:w="1580" w:type="dxa"/>
            <w:vAlign w:val="bottom"/>
          </w:tcPr>
          <w:p>
            <w:pPr>
              <w:ind w:left="400"/>
              <w:spacing w:after="0"/>
              <w:rPr>
                <w:sz w:val="20"/>
                <w:szCs w:val="20"/>
                <w:color w:val="auto"/>
              </w:rPr>
            </w:pPr>
            <w:r>
              <w:rPr>
                <w:rFonts w:ascii="Arial" w:cs="Arial" w:eastAsia="Arial" w:hAnsi="Arial"/>
                <w:sz w:val="16"/>
                <w:szCs w:val="16"/>
                <w:b w:val="1"/>
                <w:bCs w:val="1"/>
                <w:color w:val="auto"/>
              </w:rPr>
              <w:t>2014</w:t>
            </w:r>
          </w:p>
        </w:tc>
        <w:tc>
          <w:tcPr>
            <w:tcW w:w="1280" w:type="dxa"/>
            <w:vAlign w:val="bottom"/>
          </w:tcPr>
          <w:p>
            <w:pPr>
              <w:jc w:val="right"/>
              <w:ind w:right="472"/>
              <w:spacing w:after="0"/>
              <w:rPr>
                <w:sz w:val="20"/>
                <w:szCs w:val="20"/>
                <w:color w:val="auto"/>
              </w:rPr>
            </w:pPr>
            <w:r>
              <w:rPr>
                <w:rFonts w:ascii="Arial" w:cs="Arial" w:eastAsia="Arial" w:hAnsi="Arial"/>
                <w:sz w:val="16"/>
                <w:szCs w:val="16"/>
                <w:b w:val="1"/>
                <w:bCs w:val="1"/>
                <w:color w:val="auto"/>
              </w:rPr>
              <w:t>2013</w:t>
            </w:r>
          </w:p>
        </w:tc>
      </w:tr>
      <w:tr>
        <w:trPr>
          <w:trHeight w:val="33"/>
        </w:trPr>
        <w:tc>
          <w:tcPr>
            <w:tcW w:w="4000" w:type="dxa"/>
            <w:vAlign w:val="bottom"/>
            <w:tcBorders>
              <w:bottom w:val="single" w:sz="8" w:color="auto"/>
            </w:tcBorders>
          </w:tcPr>
          <w:p>
            <w:pPr>
              <w:spacing w:after="0"/>
              <w:rPr>
                <w:sz w:val="2"/>
                <w:szCs w:val="2"/>
                <w:color w:val="auto"/>
              </w:rPr>
            </w:pPr>
          </w:p>
        </w:tc>
        <w:tc>
          <w:tcPr>
            <w:tcW w:w="294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44"/>
        </w:trPr>
        <w:tc>
          <w:tcPr>
            <w:tcW w:w="4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2940" w:type="dxa"/>
            <w:vAlign w:val="bottom"/>
            <w:tcBorders>
              <w:bottom w:val="single" w:sz="8" w:color="CCEEFF"/>
            </w:tcBorders>
            <w:shd w:val="clear" w:color="auto" w:fill="CCEEFF"/>
          </w:tcPr>
          <w:p>
            <w:pPr>
              <w:jc w:val="right"/>
              <w:ind w:right="314"/>
              <w:spacing w:after="0"/>
              <w:rPr>
                <w:sz w:val="20"/>
                <w:szCs w:val="20"/>
                <w:color w:val="auto"/>
              </w:rPr>
            </w:pPr>
            <w:r>
              <w:rPr>
                <w:rFonts w:ascii="Arial" w:cs="Arial" w:eastAsia="Arial" w:hAnsi="Arial"/>
                <w:sz w:val="18"/>
                <w:szCs w:val="18"/>
                <w:b w:val="1"/>
                <w:bCs w:val="1"/>
                <w:color w:val="auto"/>
              </w:rPr>
              <w:t>$254.7</w:t>
            </w:r>
          </w:p>
        </w:tc>
        <w:tc>
          <w:tcPr>
            <w:tcW w:w="1620" w:type="dxa"/>
            <w:vAlign w:val="bottom"/>
            <w:tcBorders>
              <w:bottom w:val="single" w:sz="8" w:color="CCEEFF"/>
            </w:tcBorders>
            <w:shd w:val="clear" w:color="auto" w:fill="CCEEFF"/>
          </w:tcPr>
          <w:p>
            <w:pPr>
              <w:jc w:val="right"/>
              <w:ind w:right="312"/>
              <w:spacing w:after="0"/>
              <w:rPr>
                <w:sz w:val="20"/>
                <w:szCs w:val="20"/>
                <w:color w:val="auto"/>
              </w:rPr>
            </w:pPr>
            <w:r>
              <w:rPr>
                <w:rFonts w:ascii="Arial" w:cs="Arial" w:eastAsia="Arial" w:hAnsi="Arial"/>
                <w:sz w:val="18"/>
                <w:szCs w:val="18"/>
                <w:color w:val="auto"/>
              </w:rPr>
              <w:t>$224.0</w:t>
            </w:r>
          </w:p>
        </w:tc>
        <w:tc>
          <w:tcPr>
            <w:tcW w:w="1580" w:type="dxa"/>
            <w:vAlign w:val="bottom"/>
            <w:tcBorders>
              <w:bottom w:val="single" w:sz="8" w:color="CCEEFF"/>
            </w:tcBorders>
            <w:shd w:val="clear" w:color="auto" w:fill="CCEEFF"/>
          </w:tcPr>
          <w:p>
            <w:pPr>
              <w:jc w:val="right"/>
              <w:ind w:right="314"/>
              <w:spacing w:after="0"/>
              <w:rPr>
                <w:sz w:val="20"/>
                <w:szCs w:val="20"/>
                <w:color w:val="auto"/>
              </w:rPr>
            </w:pPr>
            <w:r>
              <w:rPr>
                <w:rFonts w:ascii="Arial" w:cs="Arial" w:eastAsia="Arial" w:hAnsi="Arial"/>
                <w:sz w:val="18"/>
                <w:szCs w:val="18"/>
                <w:b w:val="1"/>
                <w:bCs w:val="1"/>
                <w:color w:val="auto"/>
              </w:rPr>
              <w:t>$486.5</w:t>
            </w:r>
          </w:p>
        </w:tc>
        <w:tc>
          <w:tcPr>
            <w:tcW w:w="12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$441.8</w:t>
            </w:r>
          </w:p>
        </w:tc>
      </w:tr>
      <w:tr>
        <w:trPr>
          <w:trHeight w:val="243"/>
        </w:trPr>
        <w:tc>
          <w:tcPr>
            <w:tcW w:w="4000" w:type="dxa"/>
            <w:vAlign w:val="bottom"/>
          </w:tcPr>
          <w:p>
            <w:pPr>
              <w:ind w:left="40"/>
              <w:spacing w:after="0"/>
              <w:rPr>
                <w:sz w:val="20"/>
                <w:szCs w:val="20"/>
                <w:color w:val="auto"/>
              </w:rPr>
            </w:pPr>
            <w:r>
              <w:rPr>
                <w:rFonts w:ascii="Arial" w:cs="Arial" w:eastAsia="Arial" w:hAnsi="Arial"/>
                <w:sz w:val="18"/>
                <w:szCs w:val="18"/>
                <w:color w:val="auto"/>
              </w:rPr>
              <w:t>Less: surcharge revenue</w:t>
            </w:r>
          </w:p>
        </w:tc>
        <w:tc>
          <w:tcPr>
            <w:tcW w:w="2940" w:type="dxa"/>
            <w:vAlign w:val="bottom"/>
          </w:tcPr>
          <w:p>
            <w:pPr>
              <w:jc w:val="right"/>
              <w:ind w:right="314"/>
              <w:spacing w:after="0"/>
              <w:rPr>
                <w:sz w:val="20"/>
                <w:szCs w:val="20"/>
                <w:color w:val="auto"/>
              </w:rPr>
            </w:pPr>
            <w:r>
              <w:rPr>
                <w:rFonts w:ascii="Arial" w:cs="Arial" w:eastAsia="Arial" w:hAnsi="Arial"/>
                <w:sz w:val="18"/>
                <w:szCs w:val="18"/>
                <w:b w:val="1"/>
                <w:bCs w:val="1"/>
                <w:color w:val="auto"/>
              </w:rPr>
              <w:t>56.8</w:t>
            </w:r>
          </w:p>
        </w:tc>
        <w:tc>
          <w:tcPr>
            <w:tcW w:w="1620" w:type="dxa"/>
            <w:vAlign w:val="bottom"/>
          </w:tcPr>
          <w:p>
            <w:pPr>
              <w:jc w:val="right"/>
              <w:ind w:right="312"/>
              <w:spacing w:after="0"/>
              <w:rPr>
                <w:sz w:val="20"/>
                <w:szCs w:val="20"/>
                <w:color w:val="auto"/>
              </w:rPr>
            </w:pPr>
            <w:r>
              <w:rPr>
                <w:rFonts w:ascii="Arial" w:cs="Arial" w:eastAsia="Arial" w:hAnsi="Arial"/>
                <w:sz w:val="18"/>
                <w:szCs w:val="18"/>
                <w:color w:val="auto"/>
              </w:rPr>
              <w:t>47.5</w:t>
            </w:r>
          </w:p>
        </w:tc>
        <w:tc>
          <w:tcPr>
            <w:tcW w:w="1580" w:type="dxa"/>
            <w:vAlign w:val="bottom"/>
          </w:tcPr>
          <w:p>
            <w:pPr>
              <w:jc w:val="right"/>
              <w:ind w:right="314"/>
              <w:spacing w:after="0"/>
              <w:rPr>
                <w:sz w:val="20"/>
                <w:szCs w:val="20"/>
                <w:color w:val="auto"/>
              </w:rPr>
            </w:pPr>
            <w:r>
              <w:rPr>
                <w:rFonts w:ascii="Arial" w:cs="Arial" w:eastAsia="Arial" w:hAnsi="Arial"/>
                <w:sz w:val="18"/>
                <w:szCs w:val="18"/>
                <w:b w:val="1"/>
                <w:bCs w:val="1"/>
                <w:color w:val="auto"/>
              </w:rPr>
              <w:t>109.3</w:t>
            </w:r>
          </w:p>
        </w:tc>
        <w:tc>
          <w:tcPr>
            <w:tcW w:w="1280" w:type="dxa"/>
            <w:vAlign w:val="bottom"/>
          </w:tcPr>
          <w:p>
            <w:pPr>
              <w:jc w:val="right"/>
              <w:ind w:right="12"/>
              <w:spacing w:after="0"/>
              <w:rPr>
                <w:sz w:val="20"/>
                <w:szCs w:val="20"/>
                <w:color w:val="auto"/>
              </w:rPr>
            </w:pPr>
            <w:r>
              <w:rPr>
                <w:rFonts w:ascii="Arial" w:cs="Arial" w:eastAsia="Arial" w:hAnsi="Arial"/>
                <w:sz w:val="18"/>
                <w:szCs w:val="18"/>
                <w:color w:val="auto"/>
              </w:rPr>
              <w:t>91.8</w:t>
            </w:r>
          </w:p>
        </w:tc>
      </w:tr>
      <w:tr>
        <w:trPr>
          <w:trHeight w:val="27"/>
        </w:trPr>
        <w:tc>
          <w:tcPr>
            <w:tcW w:w="4000" w:type="dxa"/>
            <w:vAlign w:val="bottom"/>
            <w:tcBorders>
              <w:bottom w:val="single" w:sz="8" w:color="auto"/>
            </w:tcBorders>
          </w:tcPr>
          <w:p>
            <w:pPr>
              <w:spacing w:after="0"/>
              <w:rPr>
                <w:sz w:val="2"/>
                <w:szCs w:val="2"/>
                <w:color w:val="auto"/>
              </w:rPr>
            </w:pPr>
          </w:p>
        </w:tc>
        <w:tc>
          <w:tcPr>
            <w:tcW w:w="294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69"/>
        </w:trPr>
        <w:tc>
          <w:tcPr>
            <w:tcW w:w="4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 excluding surcharges</w:t>
            </w:r>
          </w:p>
        </w:tc>
        <w:tc>
          <w:tcPr>
            <w:tcW w:w="2940" w:type="dxa"/>
            <w:vAlign w:val="bottom"/>
            <w:tcBorders>
              <w:bottom w:val="single" w:sz="8" w:color="CCEEFF"/>
            </w:tcBorders>
            <w:shd w:val="clear" w:color="auto" w:fill="CCEEFF"/>
          </w:tcPr>
          <w:p>
            <w:pPr>
              <w:jc w:val="right"/>
              <w:ind w:right="314"/>
              <w:spacing w:after="0"/>
              <w:rPr>
                <w:sz w:val="20"/>
                <w:szCs w:val="20"/>
                <w:color w:val="auto"/>
              </w:rPr>
            </w:pPr>
            <w:r>
              <w:rPr>
                <w:rFonts w:ascii="Arial" w:cs="Arial" w:eastAsia="Arial" w:hAnsi="Arial"/>
                <w:sz w:val="18"/>
                <w:szCs w:val="18"/>
                <w:b w:val="1"/>
                <w:bCs w:val="1"/>
                <w:color w:val="auto"/>
              </w:rPr>
              <w:t>$197.9</w:t>
            </w:r>
          </w:p>
        </w:tc>
        <w:tc>
          <w:tcPr>
            <w:tcW w:w="1620" w:type="dxa"/>
            <w:vAlign w:val="bottom"/>
            <w:tcBorders>
              <w:bottom w:val="single" w:sz="8" w:color="CCEEFF"/>
            </w:tcBorders>
            <w:shd w:val="clear" w:color="auto" w:fill="CCEEFF"/>
          </w:tcPr>
          <w:p>
            <w:pPr>
              <w:jc w:val="right"/>
              <w:ind w:right="312"/>
              <w:spacing w:after="0"/>
              <w:rPr>
                <w:sz w:val="20"/>
                <w:szCs w:val="20"/>
                <w:color w:val="auto"/>
              </w:rPr>
            </w:pPr>
            <w:r>
              <w:rPr>
                <w:rFonts w:ascii="Arial" w:cs="Arial" w:eastAsia="Arial" w:hAnsi="Arial"/>
                <w:sz w:val="18"/>
                <w:szCs w:val="18"/>
                <w:color w:val="auto"/>
              </w:rPr>
              <w:t>$176.5</w:t>
            </w:r>
          </w:p>
        </w:tc>
        <w:tc>
          <w:tcPr>
            <w:tcW w:w="1580" w:type="dxa"/>
            <w:vAlign w:val="bottom"/>
            <w:tcBorders>
              <w:bottom w:val="single" w:sz="8" w:color="CCEEFF"/>
            </w:tcBorders>
            <w:shd w:val="clear" w:color="auto" w:fill="CCEEFF"/>
          </w:tcPr>
          <w:p>
            <w:pPr>
              <w:jc w:val="right"/>
              <w:ind w:right="314"/>
              <w:spacing w:after="0"/>
              <w:rPr>
                <w:sz w:val="20"/>
                <w:szCs w:val="20"/>
                <w:color w:val="auto"/>
              </w:rPr>
            </w:pPr>
            <w:r>
              <w:rPr>
                <w:rFonts w:ascii="Arial" w:cs="Arial" w:eastAsia="Arial" w:hAnsi="Arial"/>
                <w:sz w:val="18"/>
                <w:szCs w:val="18"/>
                <w:b w:val="1"/>
                <w:bCs w:val="1"/>
                <w:color w:val="auto"/>
              </w:rPr>
              <w:t>$377.2</w:t>
            </w:r>
          </w:p>
        </w:tc>
        <w:tc>
          <w:tcPr>
            <w:tcW w:w="12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$350.0</w:t>
            </w:r>
          </w:p>
        </w:tc>
      </w:tr>
      <w:tr>
        <w:trPr>
          <w:trHeight w:val="345"/>
        </w:trPr>
        <w:tc>
          <w:tcPr>
            <w:tcW w:w="4000" w:type="dxa"/>
            <w:vAlign w:val="bottom"/>
            <w:tcBorders>
              <w:top w:val="single" w:sz="8" w:color="auto"/>
              <w:bottom w:val="single" w:sz="8" w:color="auto"/>
            </w:tcBorders>
          </w:tcPr>
          <w:p>
            <w:pPr>
              <w:spacing w:after="0"/>
              <w:rPr>
                <w:sz w:val="24"/>
                <w:szCs w:val="24"/>
                <w:color w:val="auto"/>
              </w:rPr>
            </w:pPr>
          </w:p>
        </w:tc>
        <w:tc>
          <w:tcPr>
            <w:tcW w:w="4560" w:type="dxa"/>
            <w:vAlign w:val="bottom"/>
            <w:tcBorders>
              <w:top w:val="single" w:sz="8" w:color="auto"/>
              <w:bottom w:val="single" w:sz="8" w:color="auto"/>
            </w:tcBorders>
            <w:gridSpan w:val="2"/>
          </w:tcPr>
          <w:p>
            <w:pPr>
              <w:spacing w:after="0"/>
              <w:rPr>
                <w:sz w:val="24"/>
                <w:szCs w:val="24"/>
                <w:color w:val="auto"/>
              </w:rPr>
            </w:pPr>
          </w:p>
        </w:tc>
        <w:tc>
          <w:tcPr>
            <w:tcW w:w="2860" w:type="dxa"/>
            <w:vAlign w:val="bottom"/>
            <w:tcBorders>
              <w:top w:val="single" w:sz="8" w:color="auto"/>
              <w:bottom w:val="single" w:sz="8" w:color="auto"/>
            </w:tcBorders>
            <w:gridSpan w:val="2"/>
          </w:tcPr>
          <w:p>
            <w:pPr>
              <w:spacing w:after="0"/>
              <w:rPr>
                <w:sz w:val="24"/>
                <w:szCs w:val="24"/>
                <w:color w:val="auto"/>
              </w:rPr>
            </w:pPr>
          </w:p>
        </w:tc>
      </w:tr>
      <w:tr>
        <w:trPr>
          <w:trHeight w:val="237"/>
        </w:trPr>
        <w:tc>
          <w:tcPr>
            <w:tcW w:w="4000" w:type="dxa"/>
            <w:vAlign w:val="bottom"/>
          </w:tcPr>
          <w:p>
            <w:pPr>
              <w:ind w:left="40"/>
              <w:spacing w:after="0"/>
              <w:rPr>
                <w:sz w:val="20"/>
                <w:szCs w:val="20"/>
                <w:color w:val="auto"/>
              </w:rPr>
            </w:pPr>
            <w:r>
              <w:rPr>
                <w:rFonts w:ascii="Arial" w:cs="Arial" w:eastAsia="Arial" w:hAnsi="Arial"/>
                <w:sz w:val="18"/>
                <w:szCs w:val="18"/>
                <w:b w:val="1"/>
                <w:bCs w:val="1"/>
                <w:color w:val="auto"/>
              </w:rPr>
              <w:t>Energy &amp; Distribution</w:t>
            </w:r>
          </w:p>
        </w:tc>
        <w:tc>
          <w:tcPr>
            <w:tcW w:w="4560" w:type="dxa"/>
            <w:vAlign w:val="bottom"/>
            <w:gridSpan w:val="2"/>
          </w:tcPr>
          <w:p>
            <w:pPr>
              <w:jc w:val="right"/>
              <w:ind w:right="692"/>
              <w:spacing w:after="0"/>
              <w:rPr>
                <w:sz w:val="20"/>
                <w:szCs w:val="20"/>
                <w:color w:val="auto"/>
              </w:rPr>
            </w:pPr>
            <w:r>
              <w:rPr>
                <w:rFonts w:ascii="Arial" w:cs="Arial" w:eastAsia="Arial" w:hAnsi="Arial"/>
                <w:sz w:val="16"/>
                <w:szCs w:val="16"/>
                <w:b w:val="1"/>
                <w:bCs w:val="1"/>
                <w:color w:val="auto"/>
              </w:rPr>
              <w:t>Three Months Ended June 30,</w:t>
            </w:r>
          </w:p>
        </w:tc>
        <w:tc>
          <w:tcPr>
            <w:tcW w:w="2860" w:type="dxa"/>
            <w:vAlign w:val="bottom"/>
            <w:gridSpan w:val="2"/>
          </w:tcPr>
          <w:p>
            <w:pPr>
              <w:ind w:left="420"/>
              <w:spacing w:after="0"/>
              <w:rPr>
                <w:sz w:val="20"/>
                <w:szCs w:val="20"/>
                <w:color w:val="auto"/>
              </w:rPr>
            </w:pPr>
            <w:r>
              <w:rPr>
                <w:rFonts w:ascii="Arial" w:cs="Arial" w:eastAsia="Arial" w:hAnsi="Arial"/>
                <w:sz w:val="16"/>
                <w:szCs w:val="16"/>
                <w:b w:val="1"/>
                <w:bCs w:val="1"/>
                <w:color w:val="auto"/>
              </w:rPr>
              <w:t>Six Months Ended June 30,</w:t>
            </w:r>
          </w:p>
        </w:tc>
      </w:tr>
      <w:tr>
        <w:trPr>
          <w:trHeight w:val="27"/>
        </w:trPr>
        <w:tc>
          <w:tcPr>
            <w:tcW w:w="4000" w:type="dxa"/>
            <w:vAlign w:val="bottom"/>
            <w:tcBorders>
              <w:bottom w:val="single" w:sz="8" w:color="auto"/>
            </w:tcBorders>
          </w:tcPr>
          <w:p>
            <w:pPr>
              <w:spacing w:after="0"/>
              <w:rPr>
                <w:sz w:val="2"/>
                <w:szCs w:val="2"/>
                <w:color w:val="auto"/>
              </w:rPr>
            </w:pPr>
          </w:p>
        </w:tc>
        <w:tc>
          <w:tcPr>
            <w:tcW w:w="294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31"/>
        </w:trPr>
        <w:tc>
          <w:tcPr>
            <w:tcW w:w="4000" w:type="dxa"/>
            <w:vAlign w:val="bottom"/>
          </w:tcPr>
          <w:p>
            <w:pPr>
              <w:spacing w:after="0"/>
              <w:rPr>
                <w:sz w:val="20"/>
                <w:szCs w:val="20"/>
                <w:color w:val="auto"/>
              </w:rPr>
            </w:pPr>
          </w:p>
        </w:tc>
        <w:tc>
          <w:tcPr>
            <w:tcW w:w="2940" w:type="dxa"/>
            <w:vAlign w:val="bottom"/>
          </w:tcPr>
          <w:p>
            <w:pPr>
              <w:jc w:val="right"/>
              <w:ind w:right="794"/>
              <w:spacing w:after="0"/>
              <w:rPr>
                <w:sz w:val="20"/>
                <w:szCs w:val="20"/>
                <w:color w:val="auto"/>
              </w:rPr>
            </w:pPr>
            <w:r>
              <w:rPr>
                <w:rFonts w:ascii="Arial" w:cs="Arial" w:eastAsia="Arial" w:hAnsi="Arial"/>
                <w:sz w:val="16"/>
                <w:szCs w:val="16"/>
                <w:b w:val="1"/>
                <w:bCs w:val="1"/>
                <w:color w:val="auto"/>
              </w:rPr>
              <w:t>2014</w:t>
            </w:r>
          </w:p>
        </w:tc>
        <w:tc>
          <w:tcPr>
            <w:tcW w:w="1620" w:type="dxa"/>
            <w:vAlign w:val="bottom"/>
          </w:tcPr>
          <w:p>
            <w:pPr>
              <w:jc w:val="right"/>
              <w:ind w:right="792"/>
              <w:spacing w:after="0"/>
              <w:rPr>
                <w:sz w:val="20"/>
                <w:szCs w:val="20"/>
                <w:color w:val="auto"/>
              </w:rPr>
            </w:pPr>
            <w:r>
              <w:rPr>
                <w:rFonts w:ascii="Arial" w:cs="Arial" w:eastAsia="Arial" w:hAnsi="Arial"/>
                <w:sz w:val="16"/>
                <w:szCs w:val="16"/>
                <w:b w:val="1"/>
                <w:bCs w:val="1"/>
                <w:color w:val="auto"/>
              </w:rPr>
              <w:t>2013</w:t>
            </w:r>
          </w:p>
        </w:tc>
        <w:tc>
          <w:tcPr>
            <w:tcW w:w="1580" w:type="dxa"/>
            <w:vAlign w:val="bottom"/>
          </w:tcPr>
          <w:p>
            <w:pPr>
              <w:ind w:left="400"/>
              <w:spacing w:after="0"/>
              <w:rPr>
                <w:sz w:val="20"/>
                <w:szCs w:val="20"/>
                <w:color w:val="auto"/>
              </w:rPr>
            </w:pPr>
            <w:r>
              <w:rPr>
                <w:rFonts w:ascii="Arial" w:cs="Arial" w:eastAsia="Arial" w:hAnsi="Arial"/>
                <w:sz w:val="16"/>
                <w:szCs w:val="16"/>
                <w:b w:val="1"/>
                <w:bCs w:val="1"/>
                <w:color w:val="auto"/>
              </w:rPr>
              <w:t>2014</w:t>
            </w:r>
          </w:p>
        </w:tc>
        <w:tc>
          <w:tcPr>
            <w:tcW w:w="1280" w:type="dxa"/>
            <w:vAlign w:val="bottom"/>
          </w:tcPr>
          <w:p>
            <w:pPr>
              <w:jc w:val="right"/>
              <w:ind w:right="472"/>
              <w:spacing w:after="0"/>
              <w:rPr>
                <w:sz w:val="20"/>
                <w:szCs w:val="20"/>
                <w:color w:val="auto"/>
              </w:rPr>
            </w:pPr>
            <w:r>
              <w:rPr>
                <w:rFonts w:ascii="Arial" w:cs="Arial" w:eastAsia="Arial" w:hAnsi="Arial"/>
                <w:sz w:val="16"/>
                <w:szCs w:val="16"/>
                <w:b w:val="1"/>
                <w:bCs w:val="1"/>
                <w:color w:val="auto"/>
              </w:rPr>
              <w:t>2013</w:t>
            </w:r>
          </w:p>
        </w:tc>
      </w:tr>
      <w:tr>
        <w:trPr>
          <w:trHeight w:val="33"/>
        </w:trPr>
        <w:tc>
          <w:tcPr>
            <w:tcW w:w="4000" w:type="dxa"/>
            <w:vAlign w:val="bottom"/>
            <w:tcBorders>
              <w:bottom w:val="single" w:sz="8" w:color="auto"/>
            </w:tcBorders>
          </w:tcPr>
          <w:p>
            <w:pPr>
              <w:spacing w:after="0"/>
              <w:rPr>
                <w:sz w:val="2"/>
                <w:szCs w:val="2"/>
                <w:color w:val="auto"/>
              </w:rPr>
            </w:pPr>
          </w:p>
        </w:tc>
        <w:tc>
          <w:tcPr>
            <w:tcW w:w="294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44"/>
        </w:trPr>
        <w:tc>
          <w:tcPr>
            <w:tcW w:w="4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2940" w:type="dxa"/>
            <w:vAlign w:val="bottom"/>
            <w:tcBorders>
              <w:bottom w:val="single" w:sz="8" w:color="CCEEFF"/>
            </w:tcBorders>
            <w:shd w:val="clear" w:color="auto" w:fill="CCEEFF"/>
          </w:tcPr>
          <w:p>
            <w:pPr>
              <w:jc w:val="right"/>
              <w:ind w:right="314"/>
              <w:spacing w:after="0"/>
              <w:rPr>
                <w:sz w:val="20"/>
                <w:szCs w:val="20"/>
                <w:color w:val="auto"/>
              </w:rPr>
            </w:pPr>
            <w:r>
              <w:rPr>
                <w:rFonts w:ascii="Arial" w:cs="Arial" w:eastAsia="Arial" w:hAnsi="Arial"/>
                <w:sz w:val="18"/>
                <w:szCs w:val="18"/>
                <w:b w:val="1"/>
                <w:bCs w:val="1"/>
                <w:color w:val="auto"/>
              </w:rPr>
              <w:t>$187.5</w:t>
            </w:r>
          </w:p>
        </w:tc>
        <w:tc>
          <w:tcPr>
            <w:tcW w:w="1620" w:type="dxa"/>
            <w:vAlign w:val="bottom"/>
            <w:tcBorders>
              <w:bottom w:val="single" w:sz="8" w:color="CCEEFF"/>
            </w:tcBorders>
            <w:shd w:val="clear" w:color="auto" w:fill="CCEEFF"/>
          </w:tcPr>
          <w:p>
            <w:pPr>
              <w:jc w:val="right"/>
              <w:ind w:right="312"/>
              <w:spacing w:after="0"/>
              <w:rPr>
                <w:sz w:val="20"/>
                <w:szCs w:val="20"/>
                <w:color w:val="auto"/>
              </w:rPr>
            </w:pPr>
            <w:r>
              <w:rPr>
                <w:rFonts w:ascii="Arial" w:cs="Arial" w:eastAsia="Arial" w:hAnsi="Arial"/>
                <w:sz w:val="18"/>
                <w:szCs w:val="18"/>
                <w:color w:val="auto"/>
              </w:rPr>
              <w:t>$130.1</w:t>
            </w:r>
          </w:p>
        </w:tc>
        <w:tc>
          <w:tcPr>
            <w:tcW w:w="1580" w:type="dxa"/>
            <w:vAlign w:val="bottom"/>
            <w:tcBorders>
              <w:bottom w:val="single" w:sz="8" w:color="CCEEFF"/>
            </w:tcBorders>
            <w:shd w:val="clear" w:color="auto" w:fill="CCEEFF"/>
          </w:tcPr>
          <w:p>
            <w:pPr>
              <w:jc w:val="right"/>
              <w:ind w:right="314"/>
              <w:spacing w:after="0"/>
              <w:rPr>
                <w:sz w:val="20"/>
                <w:szCs w:val="20"/>
                <w:color w:val="auto"/>
              </w:rPr>
            </w:pPr>
            <w:r>
              <w:rPr>
                <w:rFonts w:ascii="Arial" w:cs="Arial" w:eastAsia="Arial" w:hAnsi="Arial"/>
                <w:sz w:val="18"/>
                <w:szCs w:val="18"/>
                <w:b w:val="1"/>
                <w:bCs w:val="1"/>
                <w:color w:val="auto"/>
              </w:rPr>
              <w:t>$345.2</w:t>
            </w:r>
          </w:p>
        </w:tc>
        <w:tc>
          <w:tcPr>
            <w:tcW w:w="12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$258.6</w:t>
            </w:r>
          </w:p>
        </w:tc>
      </w:tr>
      <w:tr>
        <w:trPr>
          <w:trHeight w:val="243"/>
        </w:trPr>
        <w:tc>
          <w:tcPr>
            <w:tcW w:w="4000" w:type="dxa"/>
            <w:vAlign w:val="bottom"/>
          </w:tcPr>
          <w:p>
            <w:pPr>
              <w:ind w:left="40"/>
              <w:spacing w:after="0"/>
              <w:rPr>
                <w:sz w:val="20"/>
                <w:szCs w:val="20"/>
                <w:color w:val="auto"/>
              </w:rPr>
            </w:pPr>
            <w:r>
              <w:rPr>
                <w:rFonts w:ascii="Arial" w:cs="Arial" w:eastAsia="Arial" w:hAnsi="Arial"/>
                <w:sz w:val="18"/>
                <w:szCs w:val="18"/>
                <w:color w:val="auto"/>
              </w:rPr>
              <w:t>Less: surcharge revenue</w:t>
            </w:r>
          </w:p>
        </w:tc>
        <w:tc>
          <w:tcPr>
            <w:tcW w:w="2940" w:type="dxa"/>
            <w:vAlign w:val="bottom"/>
          </w:tcPr>
          <w:p>
            <w:pPr>
              <w:jc w:val="right"/>
              <w:ind w:right="314"/>
              <w:spacing w:after="0"/>
              <w:rPr>
                <w:sz w:val="20"/>
                <w:szCs w:val="20"/>
                <w:color w:val="auto"/>
              </w:rPr>
            </w:pPr>
            <w:r>
              <w:rPr>
                <w:rFonts w:ascii="Arial" w:cs="Arial" w:eastAsia="Arial" w:hAnsi="Arial"/>
                <w:sz w:val="18"/>
                <w:szCs w:val="18"/>
                <w:b w:val="1"/>
                <w:bCs w:val="1"/>
                <w:color w:val="auto"/>
              </w:rPr>
              <w:t>45.6</w:t>
            </w:r>
          </w:p>
        </w:tc>
        <w:tc>
          <w:tcPr>
            <w:tcW w:w="1620" w:type="dxa"/>
            <w:vAlign w:val="bottom"/>
          </w:tcPr>
          <w:p>
            <w:pPr>
              <w:jc w:val="right"/>
              <w:ind w:right="312"/>
              <w:spacing w:after="0"/>
              <w:rPr>
                <w:sz w:val="20"/>
                <w:szCs w:val="20"/>
                <w:color w:val="auto"/>
              </w:rPr>
            </w:pPr>
            <w:r>
              <w:rPr>
                <w:rFonts w:ascii="Arial" w:cs="Arial" w:eastAsia="Arial" w:hAnsi="Arial"/>
                <w:sz w:val="18"/>
                <w:szCs w:val="18"/>
                <w:color w:val="auto"/>
              </w:rPr>
              <w:t>30.4</w:t>
            </w:r>
          </w:p>
        </w:tc>
        <w:tc>
          <w:tcPr>
            <w:tcW w:w="1580" w:type="dxa"/>
            <w:vAlign w:val="bottom"/>
          </w:tcPr>
          <w:p>
            <w:pPr>
              <w:jc w:val="right"/>
              <w:ind w:right="314"/>
              <w:spacing w:after="0"/>
              <w:rPr>
                <w:sz w:val="20"/>
                <w:szCs w:val="20"/>
                <w:color w:val="auto"/>
              </w:rPr>
            </w:pPr>
            <w:r>
              <w:rPr>
                <w:rFonts w:ascii="Arial" w:cs="Arial" w:eastAsia="Arial" w:hAnsi="Arial"/>
                <w:sz w:val="18"/>
                <w:szCs w:val="18"/>
                <w:b w:val="1"/>
                <w:bCs w:val="1"/>
                <w:color w:val="auto"/>
              </w:rPr>
              <w:t>82.6</w:t>
            </w:r>
          </w:p>
        </w:tc>
        <w:tc>
          <w:tcPr>
            <w:tcW w:w="1280" w:type="dxa"/>
            <w:vAlign w:val="bottom"/>
          </w:tcPr>
          <w:p>
            <w:pPr>
              <w:jc w:val="right"/>
              <w:ind w:right="12"/>
              <w:spacing w:after="0"/>
              <w:rPr>
                <w:sz w:val="20"/>
                <w:szCs w:val="20"/>
                <w:color w:val="auto"/>
              </w:rPr>
            </w:pPr>
            <w:r>
              <w:rPr>
                <w:rFonts w:ascii="Arial" w:cs="Arial" w:eastAsia="Arial" w:hAnsi="Arial"/>
                <w:sz w:val="18"/>
                <w:szCs w:val="18"/>
                <w:color w:val="auto"/>
              </w:rPr>
              <w:t>58.8</w:t>
            </w:r>
          </w:p>
        </w:tc>
      </w:tr>
      <w:tr>
        <w:trPr>
          <w:trHeight w:val="27"/>
        </w:trPr>
        <w:tc>
          <w:tcPr>
            <w:tcW w:w="4000" w:type="dxa"/>
            <w:vAlign w:val="bottom"/>
            <w:tcBorders>
              <w:bottom w:val="single" w:sz="8" w:color="auto"/>
            </w:tcBorders>
          </w:tcPr>
          <w:p>
            <w:pPr>
              <w:spacing w:after="0"/>
              <w:rPr>
                <w:sz w:val="2"/>
                <w:szCs w:val="2"/>
                <w:color w:val="auto"/>
              </w:rPr>
            </w:pPr>
          </w:p>
        </w:tc>
        <w:tc>
          <w:tcPr>
            <w:tcW w:w="294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44"/>
        </w:trPr>
        <w:tc>
          <w:tcPr>
            <w:tcW w:w="4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 excluding surcharges</w:t>
            </w:r>
          </w:p>
        </w:tc>
        <w:tc>
          <w:tcPr>
            <w:tcW w:w="2940" w:type="dxa"/>
            <w:vAlign w:val="bottom"/>
            <w:tcBorders>
              <w:bottom w:val="single" w:sz="8" w:color="CCEEFF"/>
            </w:tcBorders>
            <w:shd w:val="clear" w:color="auto" w:fill="CCEEFF"/>
          </w:tcPr>
          <w:p>
            <w:pPr>
              <w:jc w:val="right"/>
              <w:ind w:right="314"/>
              <w:spacing w:after="0"/>
              <w:rPr>
                <w:sz w:val="20"/>
                <w:szCs w:val="20"/>
                <w:color w:val="auto"/>
              </w:rPr>
            </w:pPr>
            <w:r>
              <w:rPr>
                <w:rFonts w:ascii="Arial" w:cs="Arial" w:eastAsia="Arial" w:hAnsi="Arial"/>
                <w:sz w:val="18"/>
                <w:szCs w:val="18"/>
                <w:b w:val="1"/>
                <w:bCs w:val="1"/>
                <w:color w:val="auto"/>
              </w:rPr>
              <w:t>$141.9</w:t>
            </w:r>
          </w:p>
        </w:tc>
        <w:tc>
          <w:tcPr>
            <w:tcW w:w="1620" w:type="dxa"/>
            <w:vAlign w:val="bottom"/>
            <w:tcBorders>
              <w:bottom w:val="single" w:sz="8" w:color="CCEEFF"/>
            </w:tcBorders>
            <w:shd w:val="clear" w:color="auto" w:fill="CCEEFF"/>
          </w:tcPr>
          <w:p>
            <w:pPr>
              <w:jc w:val="right"/>
              <w:ind w:right="312"/>
              <w:spacing w:after="0"/>
              <w:rPr>
                <w:sz w:val="20"/>
                <w:szCs w:val="20"/>
                <w:color w:val="auto"/>
              </w:rPr>
            </w:pPr>
            <w:r>
              <w:rPr>
                <w:rFonts w:ascii="Arial" w:cs="Arial" w:eastAsia="Arial" w:hAnsi="Arial"/>
                <w:sz w:val="18"/>
                <w:szCs w:val="18"/>
                <w:color w:val="auto"/>
              </w:rPr>
              <w:t>$99.7</w:t>
            </w:r>
          </w:p>
        </w:tc>
        <w:tc>
          <w:tcPr>
            <w:tcW w:w="1580" w:type="dxa"/>
            <w:vAlign w:val="bottom"/>
            <w:tcBorders>
              <w:bottom w:val="single" w:sz="8" w:color="CCEEFF"/>
            </w:tcBorders>
            <w:shd w:val="clear" w:color="auto" w:fill="CCEEFF"/>
          </w:tcPr>
          <w:p>
            <w:pPr>
              <w:jc w:val="right"/>
              <w:ind w:right="314"/>
              <w:spacing w:after="0"/>
              <w:rPr>
                <w:sz w:val="20"/>
                <w:szCs w:val="20"/>
                <w:color w:val="auto"/>
              </w:rPr>
            </w:pPr>
            <w:r>
              <w:rPr>
                <w:rFonts w:ascii="Arial" w:cs="Arial" w:eastAsia="Arial" w:hAnsi="Arial"/>
                <w:sz w:val="18"/>
                <w:szCs w:val="18"/>
                <w:b w:val="1"/>
                <w:bCs w:val="1"/>
                <w:color w:val="auto"/>
              </w:rPr>
              <w:t>$262.6</w:t>
            </w:r>
          </w:p>
        </w:tc>
        <w:tc>
          <w:tcPr>
            <w:tcW w:w="12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$199.8</w:t>
            </w:r>
          </w:p>
        </w:tc>
      </w:tr>
      <w:tr>
        <w:trPr>
          <w:trHeight w:val="20"/>
        </w:trPr>
        <w:tc>
          <w:tcPr>
            <w:tcW w:w="4000" w:type="dxa"/>
            <w:vAlign w:val="bottom"/>
            <w:shd w:val="clear" w:color="auto" w:fill="000000"/>
          </w:tcPr>
          <w:p>
            <w:pPr>
              <w:spacing w:after="0" w:line="20" w:lineRule="exact"/>
              <w:rPr>
                <w:sz w:val="1"/>
                <w:szCs w:val="1"/>
                <w:color w:val="auto"/>
              </w:rPr>
            </w:pPr>
          </w:p>
        </w:tc>
        <w:tc>
          <w:tcPr>
            <w:tcW w:w="2940" w:type="dxa"/>
            <w:vAlign w:val="bottom"/>
            <w:shd w:val="clear" w:color="auto" w:fill="000000"/>
          </w:tcPr>
          <w:p>
            <w:pPr>
              <w:spacing w:after="0" w:line="20" w:lineRule="exact"/>
              <w:rPr>
                <w:sz w:val="1"/>
                <w:szCs w:val="1"/>
                <w:color w:val="auto"/>
              </w:rPr>
            </w:pPr>
          </w:p>
        </w:tc>
        <w:tc>
          <w:tcPr>
            <w:tcW w:w="1620" w:type="dxa"/>
            <w:vAlign w:val="bottom"/>
            <w:shd w:val="clear" w:color="auto" w:fill="000000"/>
          </w:tcPr>
          <w:p>
            <w:pPr>
              <w:spacing w:after="0" w:line="20" w:lineRule="exact"/>
              <w:rPr>
                <w:sz w:val="1"/>
                <w:szCs w:val="1"/>
                <w:color w:val="auto"/>
              </w:rPr>
            </w:pPr>
          </w:p>
        </w:tc>
        <w:tc>
          <w:tcPr>
            <w:tcW w:w="158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r>
    </w:tbl>
    <w:p>
      <w:pPr>
        <w:spacing w:after="0" w:line="198"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157480</wp:posOffset>
            </wp:positionH>
            <wp:positionV relativeFrom="page">
              <wp:posOffset>466090</wp:posOffset>
            </wp:positionV>
            <wp:extent cx="72466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b w:val="1"/>
          <w:bCs w:val="1"/>
          <w:color w:val="auto"/>
        </w:rPr>
        <w:t>The Balance Sheet</w:t>
      </w:r>
    </w:p>
    <w:p>
      <w:pPr>
        <w:spacing w:after="0" w:line="189" w:lineRule="exact"/>
        <w:rPr>
          <w:sz w:val="20"/>
          <w:szCs w:val="20"/>
          <w:color w:val="auto"/>
        </w:rPr>
      </w:pPr>
    </w:p>
    <w:p>
      <w:pPr>
        <w:ind w:left="740"/>
        <w:spacing w:after="0"/>
        <w:rPr>
          <w:sz w:val="20"/>
          <w:szCs w:val="20"/>
          <w:color w:val="auto"/>
        </w:rPr>
      </w:pPr>
      <w:r>
        <w:rPr>
          <w:rFonts w:ascii="Arial" w:cs="Arial" w:eastAsia="Arial" w:hAnsi="Arial"/>
          <w:sz w:val="18"/>
          <w:szCs w:val="18"/>
          <w:color w:val="auto"/>
        </w:rPr>
        <w:t>The following discussion is a comparison of the Unaudited Consolidated Balance Sheets at June 30, 2014 and December 31, 2013:</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980" w:type="dxa"/>
            <w:vAlign w:val="bottom"/>
          </w:tcPr>
          <w:p>
            <w:pPr>
              <w:ind w:left="40"/>
              <w:spacing w:after="0"/>
              <w:rPr>
                <w:sz w:val="20"/>
                <w:szCs w:val="20"/>
                <w:color w:val="auto"/>
              </w:rPr>
            </w:pPr>
            <w:r>
              <w:rPr>
                <w:rFonts w:ascii="Arial" w:cs="Arial" w:eastAsia="Arial" w:hAnsi="Arial"/>
                <w:sz w:val="18"/>
                <w:szCs w:val="18"/>
                <w:b w:val="1"/>
                <w:bCs w:val="1"/>
                <w:color w:val="auto"/>
              </w:rPr>
              <w:t>Current Assets</w:t>
            </w:r>
          </w:p>
        </w:tc>
        <w:tc>
          <w:tcPr>
            <w:tcW w:w="3440" w:type="dxa"/>
            <w:vAlign w:val="bottom"/>
          </w:tcPr>
          <w:p>
            <w:pPr>
              <w:jc w:val="right"/>
              <w:ind w:right="570"/>
              <w:spacing w:after="0"/>
              <w:rPr>
                <w:sz w:val="20"/>
                <w:szCs w:val="20"/>
                <w:color w:val="auto"/>
              </w:rPr>
            </w:pPr>
            <w:r>
              <w:rPr>
                <w:rFonts w:ascii="Arial" w:cs="Arial" w:eastAsia="Arial" w:hAnsi="Arial"/>
                <w:sz w:val="18"/>
                <w:szCs w:val="18"/>
                <w:b w:val="1"/>
                <w:bCs w:val="1"/>
                <w:color w:val="auto"/>
              </w:rPr>
              <w:t>June 30, 2014</w:t>
            </w:r>
          </w:p>
        </w:tc>
        <w:tc>
          <w:tcPr>
            <w:tcW w:w="2000" w:type="dxa"/>
            <w:vAlign w:val="bottom"/>
          </w:tcPr>
          <w:p>
            <w:pPr>
              <w:jc w:val="right"/>
              <w:ind w:right="210"/>
              <w:spacing w:after="0"/>
              <w:rPr>
                <w:sz w:val="20"/>
                <w:szCs w:val="20"/>
                <w:color w:val="auto"/>
              </w:rPr>
            </w:pPr>
            <w:r>
              <w:rPr>
                <w:rFonts w:ascii="Arial" w:cs="Arial" w:eastAsia="Arial" w:hAnsi="Arial"/>
                <w:sz w:val="18"/>
                <w:szCs w:val="18"/>
                <w:b w:val="1"/>
                <w:bCs w:val="1"/>
                <w:color w:val="auto"/>
              </w:rPr>
              <w:t>December 31, 2013</w:t>
            </w:r>
          </w:p>
        </w:tc>
      </w:tr>
      <w:tr>
        <w:trPr>
          <w:trHeight w:val="27"/>
        </w:trPr>
        <w:tc>
          <w:tcPr>
            <w:tcW w:w="5980" w:type="dxa"/>
            <w:vAlign w:val="bottom"/>
            <w:tcBorders>
              <w:bottom w:val="single" w:sz="8" w:color="auto"/>
            </w:tcBorders>
          </w:tcPr>
          <w:p>
            <w:pPr>
              <w:spacing w:after="0"/>
              <w:rPr>
                <w:sz w:val="2"/>
                <w:szCs w:val="2"/>
                <w:color w:val="auto"/>
              </w:rPr>
            </w:pPr>
          </w:p>
        </w:tc>
        <w:tc>
          <w:tcPr>
            <w:tcW w:w="3440" w:type="dxa"/>
            <w:vAlign w:val="bottom"/>
            <w:tcBorders>
              <w:bottom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r>
      <w:tr>
        <w:trPr>
          <w:trHeight w:val="237"/>
        </w:trPr>
        <w:tc>
          <w:tcPr>
            <w:tcW w:w="5980" w:type="dxa"/>
            <w:vAlign w:val="bottom"/>
          </w:tcPr>
          <w:p>
            <w:pPr>
              <w:ind w:left="40"/>
              <w:spacing w:after="0"/>
              <w:rPr>
                <w:sz w:val="20"/>
                <w:szCs w:val="20"/>
                <w:color w:val="auto"/>
              </w:rPr>
            </w:pPr>
            <w:r>
              <w:rPr>
                <w:rFonts w:ascii="Arial" w:cs="Arial" w:eastAsia="Arial" w:hAnsi="Arial"/>
                <w:sz w:val="18"/>
                <w:szCs w:val="18"/>
                <w:color w:val="auto"/>
              </w:rPr>
              <w:t>Cash and cash equivalents</w:t>
            </w:r>
          </w:p>
        </w:tc>
        <w:tc>
          <w:tcPr>
            <w:tcW w:w="3440" w:type="dxa"/>
            <w:vAlign w:val="bottom"/>
          </w:tcPr>
          <w:p>
            <w:pPr>
              <w:jc w:val="right"/>
              <w:ind w:right="170"/>
              <w:spacing w:after="0"/>
              <w:rPr>
                <w:sz w:val="20"/>
                <w:szCs w:val="20"/>
                <w:color w:val="auto"/>
              </w:rPr>
            </w:pPr>
            <w:r>
              <w:rPr>
                <w:rFonts w:ascii="Arial" w:cs="Arial" w:eastAsia="Arial" w:hAnsi="Arial"/>
                <w:sz w:val="18"/>
                <w:szCs w:val="18"/>
                <w:b w:val="1"/>
                <w:bCs w:val="1"/>
                <w:color w:val="auto"/>
              </w:rPr>
              <w:t>$43.7</w:t>
            </w:r>
          </w:p>
        </w:tc>
        <w:tc>
          <w:tcPr>
            <w:tcW w:w="200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5980" w:type="dxa"/>
            <w:vAlign w:val="bottom"/>
          </w:tcPr>
          <w:p>
            <w:pPr>
              <w:spacing w:after="0"/>
              <w:rPr>
                <w:sz w:val="2"/>
                <w:szCs w:val="2"/>
                <w:color w:val="auto"/>
              </w:rPr>
            </w:pPr>
          </w:p>
        </w:tc>
        <w:tc>
          <w:tcPr>
            <w:tcW w:w="344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50"/>
        </w:trPr>
        <w:tc>
          <w:tcPr>
            <w:tcW w:w="5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Accounts receivable, net, including due from related party</w:t>
            </w:r>
          </w:p>
        </w:tc>
        <w:tc>
          <w:tcPr>
            <w:tcW w:w="344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178.4</w:t>
            </w: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149.4</w:t>
            </w:r>
          </w:p>
        </w:tc>
      </w:tr>
      <w:tr>
        <w:trPr>
          <w:trHeight w:val="243"/>
        </w:trPr>
        <w:tc>
          <w:tcPr>
            <w:tcW w:w="5980" w:type="dxa"/>
            <w:vAlign w:val="bottom"/>
          </w:tcPr>
          <w:p>
            <w:pPr>
              <w:ind w:left="40"/>
              <w:spacing w:after="0"/>
              <w:rPr>
                <w:sz w:val="20"/>
                <w:szCs w:val="20"/>
                <w:color w:val="auto"/>
              </w:rPr>
            </w:pPr>
            <w:r>
              <w:rPr>
                <w:rFonts w:ascii="Arial" w:cs="Arial" w:eastAsia="Arial" w:hAnsi="Arial"/>
                <w:sz w:val="18"/>
                <w:szCs w:val="18"/>
                <w:color w:val="auto"/>
              </w:rPr>
              <w:t>Inventories, net</w:t>
            </w:r>
          </w:p>
        </w:tc>
        <w:tc>
          <w:tcPr>
            <w:tcW w:w="3440" w:type="dxa"/>
            <w:vAlign w:val="bottom"/>
          </w:tcPr>
          <w:p>
            <w:pPr>
              <w:jc w:val="right"/>
              <w:ind w:right="170"/>
              <w:spacing w:after="0"/>
              <w:rPr>
                <w:sz w:val="20"/>
                <w:szCs w:val="20"/>
                <w:color w:val="auto"/>
              </w:rPr>
            </w:pPr>
            <w:r>
              <w:rPr>
                <w:rFonts w:ascii="Arial" w:cs="Arial" w:eastAsia="Arial" w:hAnsi="Arial"/>
                <w:sz w:val="18"/>
                <w:szCs w:val="18"/>
                <w:b w:val="1"/>
                <w:bCs w:val="1"/>
                <w:color w:val="auto"/>
              </w:rPr>
              <w:t>238.8</w:t>
            </w:r>
          </w:p>
        </w:tc>
        <w:tc>
          <w:tcPr>
            <w:tcW w:w="2000" w:type="dxa"/>
            <w:vAlign w:val="bottom"/>
          </w:tcPr>
          <w:p>
            <w:pPr>
              <w:jc w:val="right"/>
              <w:ind w:right="10"/>
              <w:spacing w:after="0"/>
              <w:rPr>
                <w:sz w:val="20"/>
                <w:szCs w:val="20"/>
                <w:color w:val="auto"/>
              </w:rPr>
            </w:pPr>
            <w:r>
              <w:rPr>
                <w:rFonts w:ascii="Arial" w:cs="Arial" w:eastAsia="Arial" w:hAnsi="Arial"/>
                <w:sz w:val="18"/>
                <w:szCs w:val="18"/>
                <w:color w:val="auto"/>
              </w:rPr>
              <w:t>227.0</w:t>
            </w:r>
          </w:p>
        </w:tc>
      </w:tr>
      <w:tr>
        <w:trPr>
          <w:trHeight w:val="27"/>
        </w:trPr>
        <w:tc>
          <w:tcPr>
            <w:tcW w:w="5980" w:type="dxa"/>
            <w:vAlign w:val="bottom"/>
          </w:tcPr>
          <w:p>
            <w:pPr>
              <w:spacing w:after="0"/>
              <w:rPr>
                <w:sz w:val="2"/>
                <w:szCs w:val="2"/>
                <w:color w:val="auto"/>
              </w:rPr>
            </w:pPr>
          </w:p>
        </w:tc>
        <w:tc>
          <w:tcPr>
            <w:tcW w:w="344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50"/>
        </w:trPr>
        <w:tc>
          <w:tcPr>
            <w:tcW w:w="5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income taxes</w:t>
            </w:r>
          </w:p>
        </w:tc>
        <w:tc>
          <w:tcPr>
            <w:tcW w:w="344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13.6</w:t>
            </w: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w:t>
            </w:r>
          </w:p>
        </w:tc>
      </w:tr>
      <w:tr>
        <w:trPr>
          <w:trHeight w:val="243"/>
        </w:trPr>
        <w:tc>
          <w:tcPr>
            <w:tcW w:w="5980" w:type="dxa"/>
            <w:vAlign w:val="bottom"/>
          </w:tcPr>
          <w:p>
            <w:pPr>
              <w:ind w:left="40"/>
              <w:spacing w:after="0"/>
              <w:rPr>
                <w:sz w:val="20"/>
                <w:szCs w:val="20"/>
                <w:color w:val="auto"/>
              </w:rPr>
            </w:pPr>
            <w:r>
              <w:rPr>
                <w:rFonts w:ascii="Arial" w:cs="Arial" w:eastAsia="Arial" w:hAnsi="Arial"/>
                <w:sz w:val="18"/>
                <w:szCs w:val="18"/>
                <w:color w:val="auto"/>
              </w:rPr>
              <w:t>Deferred charges and prepaid expenses</w:t>
            </w:r>
          </w:p>
        </w:tc>
        <w:tc>
          <w:tcPr>
            <w:tcW w:w="3440" w:type="dxa"/>
            <w:vAlign w:val="bottom"/>
          </w:tcPr>
          <w:p>
            <w:pPr>
              <w:jc w:val="right"/>
              <w:ind w:right="170"/>
              <w:spacing w:after="0"/>
              <w:rPr>
                <w:sz w:val="20"/>
                <w:szCs w:val="20"/>
                <w:color w:val="auto"/>
              </w:rPr>
            </w:pPr>
            <w:r>
              <w:rPr>
                <w:rFonts w:ascii="Arial" w:cs="Arial" w:eastAsia="Arial" w:hAnsi="Arial"/>
                <w:sz w:val="18"/>
                <w:szCs w:val="18"/>
                <w:b w:val="1"/>
                <w:bCs w:val="1"/>
                <w:color w:val="auto"/>
              </w:rPr>
              <w:t>0.4</w:t>
            </w:r>
          </w:p>
        </w:tc>
        <w:tc>
          <w:tcPr>
            <w:tcW w:w="2000" w:type="dxa"/>
            <w:vAlign w:val="bottom"/>
          </w:tcPr>
          <w:p>
            <w:pPr>
              <w:jc w:val="right"/>
              <w:ind w:right="10"/>
              <w:spacing w:after="0"/>
              <w:rPr>
                <w:sz w:val="20"/>
                <w:szCs w:val="20"/>
                <w:color w:val="auto"/>
              </w:rPr>
            </w:pPr>
            <w:r>
              <w:rPr>
                <w:rFonts w:ascii="Arial" w:cs="Arial" w:eastAsia="Arial" w:hAnsi="Arial"/>
                <w:sz w:val="18"/>
                <w:szCs w:val="18"/>
                <w:color w:val="auto"/>
              </w:rPr>
              <w:t>0.8</w:t>
            </w:r>
          </w:p>
        </w:tc>
      </w:tr>
      <w:tr>
        <w:trPr>
          <w:trHeight w:val="27"/>
        </w:trPr>
        <w:tc>
          <w:tcPr>
            <w:tcW w:w="5980" w:type="dxa"/>
            <w:vAlign w:val="bottom"/>
          </w:tcPr>
          <w:p>
            <w:pPr>
              <w:spacing w:after="0"/>
              <w:rPr>
                <w:sz w:val="2"/>
                <w:szCs w:val="2"/>
                <w:color w:val="auto"/>
              </w:rPr>
            </w:pPr>
          </w:p>
        </w:tc>
        <w:tc>
          <w:tcPr>
            <w:tcW w:w="344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75"/>
        </w:trPr>
        <w:tc>
          <w:tcPr>
            <w:tcW w:w="5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current assets</w:t>
            </w:r>
          </w:p>
        </w:tc>
        <w:tc>
          <w:tcPr>
            <w:tcW w:w="344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3.4</w:t>
            </w: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4.2</w:t>
            </w:r>
          </w:p>
        </w:tc>
      </w:tr>
      <w:tr>
        <w:trPr>
          <w:trHeight w:val="237"/>
        </w:trPr>
        <w:tc>
          <w:tcPr>
            <w:tcW w:w="5980" w:type="dxa"/>
            <w:vAlign w:val="bottom"/>
            <w:tcBorders>
              <w:top w:val="single" w:sz="8" w:color="auto"/>
            </w:tcBorders>
          </w:tcPr>
          <w:p>
            <w:pPr>
              <w:ind w:left="40"/>
              <w:spacing w:after="0"/>
              <w:rPr>
                <w:sz w:val="20"/>
                <w:szCs w:val="20"/>
                <w:color w:val="auto"/>
              </w:rPr>
            </w:pPr>
            <w:r>
              <w:rPr>
                <w:rFonts w:ascii="Arial" w:cs="Arial" w:eastAsia="Arial" w:hAnsi="Arial"/>
                <w:sz w:val="18"/>
                <w:szCs w:val="18"/>
                <w:b w:val="1"/>
                <w:bCs w:val="1"/>
                <w:color w:val="auto"/>
              </w:rPr>
              <w:t>Total Current Assets</w:t>
            </w:r>
          </w:p>
        </w:tc>
        <w:tc>
          <w:tcPr>
            <w:tcW w:w="3440" w:type="dxa"/>
            <w:vAlign w:val="bottom"/>
            <w:tcBorders>
              <w:top w:val="single" w:sz="8" w:color="auto"/>
            </w:tcBorders>
          </w:tcPr>
          <w:p>
            <w:pPr>
              <w:jc w:val="right"/>
              <w:ind w:right="170"/>
              <w:spacing w:after="0"/>
              <w:rPr>
                <w:sz w:val="20"/>
                <w:szCs w:val="20"/>
                <w:color w:val="auto"/>
              </w:rPr>
            </w:pPr>
            <w:r>
              <w:rPr>
                <w:rFonts w:ascii="Arial" w:cs="Arial" w:eastAsia="Arial" w:hAnsi="Arial"/>
                <w:sz w:val="18"/>
                <w:szCs w:val="18"/>
                <w:b w:val="1"/>
                <w:bCs w:val="1"/>
                <w:color w:val="auto"/>
              </w:rPr>
              <w:t>$478.3</w:t>
            </w:r>
          </w:p>
        </w:tc>
        <w:tc>
          <w:tcPr>
            <w:tcW w:w="20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$383.1</w:t>
            </w:r>
          </w:p>
        </w:tc>
      </w:tr>
      <w:tr>
        <w:trPr>
          <w:trHeight w:val="27"/>
        </w:trPr>
        <w:tc>
          <w:tcPr>
            <w:tcW w:w="5980" w:type="dxa"/>
            <w:vAlign w:val="bottom"/>
            <w:tcBorders>
              <w:bottom w:val="single" w:sz="8" w:color="auto"/>
            </w:tcBorders>
          </w:tcPr>
          <w:p>
            <w:pPr>
              <w:spacing w:after="0"/>
              <w:rPr>
                <w:sz w:val="2"/>
                <w:szCs w:val="2"/>
                <w:color w:val="auto"/>
              </w:rPr>
            </w:pPr>
          </w:p>
        </w:tc>
        <w:tc>
          <w:tcPr>
            <w:tcW w:w="3440" w:type="dxa"/>
            <w:vAlign w:val="bottom"/>
            <w:tcBorders>
              <w:bottom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Cash and cash equivalents increased to $43.7 million due to the proceeds received from the $100 million borrowing under our credit facility offset by a $50 million special dividend paid to Timken in connection with the spinoff. Accounts receivable, net as of June 30, 2014 increased $29.0 million from the balance as of December 31, 2013 primarily due to increased sales in the second quarter of 2014 as compared to the fourth quarter of 2013. Inventories increased by $11.8 million in response to higher sales demand.</w:t>
      </w:r>
    </w:p>
    <w:p>
      <w:pPr>
        <w:spacing w:after="0" w:line="12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120" w:type="dxa"/>
            <w:vAlign w:val="bottom"/>
          </w:tcPr>
          <w:p>
            <w:pPr>
              <w:ind w:left="40"/>
              <w:spacing w:after="0"/>
              <w:rPr>
                <w:sz w:val="20"/>
                <w:szCs w:val="20"/>
                <w:color w:val="auto"/>
              </w:rPr>
            </w:pPr>
            <w:r>
              <w:rPr>
                <w:rFonts w:ascii="Arial" w:cs="Arial" w:eastAsia="Arial" w:hAnsi="Arial"/>
                <w:sz w:val="18"/>
                <w:szCs w:val="18"/>
                <w:b w:val="1"/>
                <w:bCs w:val="1"/>
                <w:color w:val="auto"/>
              </w:rPr>
              <w:t>Property, Plant and Equipment</w:t>
            </w:r>
          </w:p>
        </w:tc>
        <w:tc>
          <w:tcPr>
            <w:tcW w:w="4300" w:type="dxa"/>
            <w:vAlign w:val="bottom"/>
          </w:tcPr>
          <w:p>
            <w:pPr>
              <w:jc w:val="right"/>
              <w:ind w:right="570"/>
              <w:spacing w:after="0"/>
              <w:rPr>
                <w:sz w:val="20"/>
                <w:szCs w:val="20"/>
                <w:color w:val="auto"/>
              </w:rPr>
            </w:pPr>
            <w:r>
              <w:rPr>
                <w:rFonts w:ascii="Arial" w:cs="Arial" w:eastAsia="Arial" w:hAnsi="Arial"/>
                <w:sz w:val="18"/>
                <w:szCs w:val="18"/>
                <w:b w:val="1"/>
                <w:bCs w:val="1"/>
                <w:color w:val="auto"/>
              </w:rPr>
              <w:t>June 30, 2014</w:t>
            </w:r>
          </w:p>
        </w:tc>
        <w:tc>
          <w:tcPr>
            <w:tcW w:w="2000" w:type="dxa"/>
            <w:vAlign w:val="bottom"/>
          </w:tcPr>
          <w:p>
            <w:pPr>
              <w:jc w:val="right"/>
              <w:ind w:right="210"/>
              <w:spacing w:after="0"/>
              <w:rPr>
                <w:sz w:val="20"/>
                <w:szCs w:val="20"/>
                <w:color w:val="auto"/>
              </w:rPr>
            </w:pPr>
            <w:r>
              <w:rPr>
                <w:rFonts w:ascii="Arial" w:cs="Arial" w:eastAsia="Arial" w:hAnsi="Arial"/>
                <w:sz w:val="18"/>
                <w:szCs w:val="18"/>
                <w:b w:val="1"/>
                <w:bCs w:val="1"/>
                <w:color w:val="auto"/>
              </w:rPr>
              <w:t>December 31, 2013</w:t>
            </w:r>
          </w:p>
        </w:tc>
      </w:tr>
      <w:tr>
        <w:trPr>
          <w:trHeight w:val="27"/>
        </w:trPr>
        <w:tc>
          <w:tcPr>
            <w:tcW w:w="5120" w:type="dxa"/>
            <w:vAlign w:val="bottom"/>
            <w:tcBorders>
              <w:bottom w:val="single" w:sz="8" w:color="auto"/>
            </w:tcBorders>
          </w:tcPr>
          <w:p>
            <w:pPr>
              <w:spacing w:after="0"/>
              <w:rPr>
                <w:sz w:val="2"/>
                <w:szCs w:val="2"/>
                <w:color w:val="auto"/>
              </w:rPr>
            </w:pPr>
          </w:p>
        </w:tc>
        <w:tc>
          <w:tcPr>
            <w:tcW w:w="4300" w:type="dxa"/>
            <w:vAlign w:val="bottom"/>
            <w:tcBorders>
              <w:bottom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r>
      <w:tr>
        <w:trPr>
          <w:trHeight w:val="244"/>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Property, plant and equipment, net</w:t>
            </w:r>
          </w:p>
        </w:tc>
        <w:tc>
          <w:tcPr>
            <w:tcW w:w="430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$750.4</w:t>
            </w: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$682.6</w:t>
            </w:r>
          </w:p>
        </w:tc>
      </w:tr>
      <w:tr>
        <w:trPr>
          <w:trHeight w:val="27"/>
        </w:trPr>
        <w:tc>
          <w:tcPr>
            <w:tcW w:w="5120" w:type="dxa"/>
            <w:vAlign w:val="bottom"/>
            <w:shd w:val="clear" w:color="auto" w:fill="000000"/>
          </w:tcPr>
          <w:p>
            <w:pPr>
              <w:spacing w:after="0"/>
              <w:rPr>
                <w:sz w:val="2"/>
                <w:szCs w:val="2"/>
                <w:color w:val="auto"/>
              </w:rPr>
            </w:pPr>
          </w:p>
        </w:tc>
        <w:tc>
          <w:tcPr>
            <w:tcW w:w="4300" w:type="dxa"/>
            <w:vAlign w:val="bottom"/>
            <w:shd w:val="clear" w:color="auto" w:fill="000000"/>
          </w:tcPr>
          <w:p>
            <w:pPr>
              <w:spacing w:after="0"/>
              <w:rPr>
                <w:sz w:val="2"/>
                <w:szCs w:val="2"/>
                <w:color w:val="auto"/>
              </w:rPr>
            </w:pPr>
          </w:p>
        </w:tc>
        <w:tc>
          <w:tcPr>
            <w:tcW w:w="2000" w:type="dxa"/>
            <w:vAlign w:val="bottom"/>
            <w:shd w:val="clear" w:color="auto" w:fill="000000"/>
          </w:tcPr>
          <w:p>
            <w:pPr>
              <w:spacing w:after="0"/>
              <w:rPr>
                <w:sz w:val="2"/>
                <w:szCs w:val="2"/>
                <w:color w:val="auto"/>
              </w:rPr>
            </w:pPr>
          </w:p>
        </w:tc>
      </w:tr>
    </w:tbl>
    <w:p>
      <w:pPr>
        <w:spacing w:after="0" w:line="202"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6"/>
          <w:szCs w:val="16"/>
          <w:color w:val="auto"/>
        </w:rPr>
        <w:t>Property, plant and equipment, net increased $67.8 million from the balance as of December 31, 2013. The increase in property, plant and equipment, net was due to capital expenditures exceeding depreciation expense, as well as the transfer of assets from Timken in conjunction with the spinoff completed on June 30, 2014. The increase in capital expenditures was related to the investments made during the first half of 2014, such as the vertical continuous caster.</w:t>
      </w: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756" w:right="239" w:bottom="1440" w:gutter="0" w:footer="0" w:header="0"/>
        </w:sectPr>
      </w:pPr>
    </w:p>
    <w:bookmarkStart w:id="26" w:name="page27"/>
    <w:bookmarkEnd w:id="26"/>
    <w:tbl>
      <w:tblPr>
        <w:tblLayout w:type="fixed"/>
        <w:tblInd w:w="0" w:type="dxa"/>
        <w:tblCellMar>
          <w:top w:w="0" w:type="dxa"/>
          <w:left w:w="0" w:type="dxa"/>
          <w:bottom w:w="0" w:type="dxa"/>
          <w:right w:w="0" w:type="dxa"/>
        </w:tblCellMar>
      </w:tblPr>
      <w:tr>
        <w:trPr>
          <w:trHeight w:val="234"/>
        </w:trPr>
        <w:tc>
          <w:tcPr>
            <w:tcW w:w="4840" w:type="dxa"/>
            <w:vAlign w:val="bottom"/>
          </w:tcPr>
          <w:p>
            <w:pPr>
              <w:ind w:left="40"/>
              <w:spacing w:after="0"/>
              <w:rPr>
                <w:sz w:val="20"/>
                <w:szCs w:val="20"/>
                <w:color w:val="auto"/>
              </w:rPr>
            </w:pPr>
            <w:r>
              <w:rPr>
                <w:rFonts w:ascii="Arial" w:cs="Arial" w:eastAsia="Arial" w:hAnsi="Arial"/>
                <w:sz w:val="18"/>
                <w:szCs w:val="18"/>
                <w:b w:val="1"/>
                <w:bCs w:val="1"/>
                <w:color w:val="auto"/>
              </w:rPr>
              <w:t>Long-term Assets</w:t>
            </w:r>
          </w:p>
        </w:tc>
        <w:tc>
          <w:tcPr>
            <w:tcW w:w="4580" w:type="dxa"/>
            <w:vAlign w:val="bottom"/>
          </w:tcPr>
          <w:p>
            <w:pPr>
              <w:jc w:val="right"/>
              <w:ind w:right="570"/>
              <w:spacing w:after="0"/>
              <w:rPr>
                <w:sz w:val="20"/>
                <w:szCs w:val="20"/>
                <w:color w:val="auto"/>
              </w:rPr>
            </w:pPr>
            <w:r>
              <w:rPr>
                <w:rFonts w:ascii="Arial" w:cs="Arial" w:eastAsia="Arial" w:hAnsi="Arial"/>
                <w:sz w:val="18"/>
                <w:szCs w:val="18"/>
                <w:b w:val="1"/>
                <w:bCs w:val="1"/>
                <w:color w:val="auto"/>
              </w:rPr>
              <w:t>June 30, 2014</w:t>
            </w:r>
          </w:p>
        </w:tc>
        <w:tc>
          <w:tcPr>
            <w:tcW w:w="2000" w:type="dxa"/>
            <w:vAlign w:val="bottom"/>
          </w:tcPr>
          <w:p>
            <w:pPr>
              <w:jc w:val="right"/>
              <w:ind w:right="210"/>
              <w:spacing w:after="0"/>
              <w:rPr>
                <w:sz w:val="20"/>
                <w:szCs w:val="20"/>
                <w:color w:val="auto"/>
              </w:rPr>
            </w:pPr>
            <w:r>
              <w:rPr>
                <w:rFonts w:ascii="Arial" w:cs="Arial" w:eastAsia="Arial" w:hAnsi="Arial"/>
                <w:sz w:val="18"/>
                <w:szCs w:val="18"/>
                <w:b w:val="1"/>
                <w:bCs w:val="1"/>
                <w:color w:val="auto"/>
              </w:rPr>
              <w:t>December 31, 2013</w:t>
            </w:r>
          </w:p>
        </w:tc>
      </w:tr>
      <w:tr>
        <w:trPr>
          <w:trHeight w:val="27"/>
        </w:trPr>
        <w:tc>
          <w:tcPr>
            <w:tcW w:w="4840" w:type="dxa"/>
            <w:vAlign w:val="bottom"/>
            <w:tcBorders>
              <w:bottom w:val="single" w:sz="8" w:color="auto"/>
            </w:tcBorders>
          </w:tcPr>
          <w:p>
            <w:pPr>
              <w:spacing w:after="0"/>
              <w:rPr>
                <w:sz w:val="2"/>
                <w:szCs w:val="2"/>
                <w:color w:val="auto"/>
              </w:rPr>
            </w:pPr>
          </w:p>
        </w:tc>
        <w:tc>
          <w:tcPr>
            <w:tcW w:w="4580" w:type="dxa"/>
            <w:vAlign w:val="bottom"/>
            <w:tcBorders>
              <w:bottom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r>
      <w:tr>
        <w:trPr>
          <w:trHeight w:val="244"/>
        </w:trPr>
        <w:tc>
          <w:tcPr>
            <w:tcW w:w="4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Pension assets</w:t>
            </w:r>
          </w:p>
        </w:tc>
        <w:tc>
          <w:tcPr>
            <w:tcW w:w="45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$77.1</w:t>
            </w: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4840" w:type="dxa"/>
            <w:vAlign w:val="bottom"/>
          </w:tcPr>
          <w:p>
            <w:pPr>
              <w:ind w:left="40"/>
              <w:spacing w:after="0"/>
              <w:rPr>
                <w:sz w:val="20"/>
                <w:szCs w:val="20"/>
                <w:color w:val="auto"/>
              </w:rPr>
            </w:pPr>
            <w:r>
              <w:rPr>
                <w:rFonts w:ascii="Arial" w:cs="Arial" w:eastAsia="Arial" w:hAnsi="Arial"/>
                <w:sz w:val="18"/>
                <w:szCs w:val="18"/>
                <w:color w:val="auto"/>
              </w:rPr>
              <w:t>Intangible assets</w:t>
            </w:r>
          </w:p>
        </w:tc>
        <w:tc>
          <w:tcPr>
            <w:tcW w:w="4580" w:type="dxa"/>
            <w:vAlign w:val="bottom"/>
          </w:tcPr>
          <w:p>
            <w:pPr>
              <w:jc w:val="right"/>
              <w:ind w:right="170"/>
              <w:spacing w:after="0"/>
              <w:rPr>
                <w:sz w:val="20"/>
                <w:szCs w:val="20"/>
                <w:color w:val="auto"/>
              </w:rPr>
            </w:pPr>
            <w:r>
              <w:rPr>
                <w:rFonts w:ascii="Arial" w:cs="Arial" w:eastAsia="Arial" w:hAnsi="Arial"/>
                <w:sz w:val="18"/>
                <w:szCs w:val="18"/>
                <w:b w:val="1"/>
                <w:bCs w:val="1"/>
                <w:color w:val="auto"/>
              </w:rPr>
              <w:t>10.7</w:t>
            </w:r>
          </w:p>
        </w:tc>
        <w:tc>
          <w:tcPr>
            <w:tcW w:w="2000" w:type="dxa"/>
            <w:vAlign w:val="bottom"/>
          </w:tcPr>
          <w:p>
            <w:pPr>
              <w:jc w:val="right"/>
              <w:ind w:right="10"/>
              <w:spacing w:after="0"/>
              <w:rPr>
                <w:sz w:val="20"/>
                <w:szCs w:val="20"/>
                <w:color w:val="auto"/>
              </w:rPr>
            </w:pPr>
            <w:r>
              <w:rPr>
                <w:rFonts w:ascii="Arial" w:cs="Arial" w:eastAsia="Arial" w:hAnsi="Arial"/>
                <w:sz w:val="18"/>
                <w:szCs w:val="18"/>
                <w:color w:val="auto"/>
              </w:rPr>
              <w:t>11.2</w:t>
            </w:r>
          </w:p>
        </w:tc>
      </w:tr>
      <w:tr>
        <w:trPr>
          <w:trHeight w:val="27"/>
        </w:trPr>
        <w:tc>
          <w:tcPr>
            <w:tcW w:w="4840" w:type="dxa"/>
            <w:vAlign w:val="bottom"/>
          </w:tcPr>
          <w:p>
            <w:pPr>
              <w:spacing w:after="0"/>
              <w:rPr>
                <w:sz w:val="2"/>
                <w:szCs w:val="2"/>
                <w:color w:val="auto"/>
              </w:rPr>
            </w:pPr>
          </w:p>
        </w:tc>
        <w:tc>
          <w:tcPr>
            <w:tcW w:w="458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75"/>
        </w:trPr>
        <w:tc>
          <w:tcPr>
            <w:tcW w:w="4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non-current assets</w:t>
            </w:r>
          </w:p>
        </w:tc>
        <w:tc>
          <w:tcPr>
            <w:tcW w:w="45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2.6</w:t>
            </w: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w:t>
            </w:r>
          </w:p>
        </w:tc>
      </w:tr>
      <w:tr>
        <w:trPr>
          <w:trHeight w:val="237"/>
        </w:trPr>
        <w:tc>
          <w:tcPr>
            <w:tcW w:w="4840" w:type="dxa"/>
            <w:vAlign w:val="bottom"/>
            <w:tcBorders>
              <w:top w:val="single" w:sz="8" w:color="auto"/>
            </w:tcBorders>
          </w:tcPr>
          <w:p>
            <w:pPr>
              <w:ind w:left="40"/>
              <w:spacing w:after="0"/>
              <w:rPr>
                <w:sz w:val="20"/>
                <w:szCs w:val="20"/>
                <w:color w:val="auto"/>
              </w:rPr>
            </w:pPr>
            <w:r>
              <w:rPr>
                <w:rFonts w:ascii="Arial" w:cs="Arial" w:eastAsia="Arial" w:hAnsi="Arial"/>
                <w:sz w:val="18"/>
                <w:szCs w:val="18"/>
                <w:b w:val="1"/>
                <w:bCs w:val="1"/>
                <w:color w:val="auto"/>
              </w:rPr>
              <w:t>Other non-current assets</w:t>
            </w:r>
          </w:p>
        </w:tc>
        <w:tc>
          <w:tcPr>
            <w:tcW w:w="4580" w:type="dxa"/>
            <w:vAlign w:val="bottom"/>
            <w:tcBorders>
              <w:top w:val="single" w:sz="8" w:color="auto"/>
            </w:tcBorders>
          </w:tcPr>
          <w:p>
            <w:pPr>
              <w:jc w:val="right"/>
              <w:ind w:right="170"/>
              <w:spacing w:after="0"/>
              <w:rPr>
                <w:sz w:val="20"/>
                <w:szCs w:val="20"/>
                <w:color w:val="auto"/>
              </w:rPr>
            </w:pPr>
            <w:r>
              <w:rPr>
                <w:rFonts w:ascii="Arial" w:cs="Arial" w:eastAsia="Arial" w:hAnsi="Arial"/>
                <w:sz w:val="18"/>
                <w:szCs w:val="18"/>
                <w:b w:val="1"/>
                <w:bCs w:val="1"/>
                <w:color w:val="auto"/>
              </w:rPr>
              <w:t>$90.4</w:t>
            </w:r>
          </w:p>
        </w:tc>
        <w:tc>
          <w:tcPr>
            <w:tcW w:w="20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$13.1</w:t>
            </w:r>
          </w:p>
        </w:tc>
      </w:tr>
      <w:tr>
        <w:trPr>
          <w:trHeight w:val="27"/>
        </w:trPr>
        <w:tc>
          <w:tcPr>
            <w:tcW w:w="4840" w:type="dxa"/>
            <w:vAlign w:val="bottom"/>
            <w:tcBorders>
              <w:bottom w:val="single" w:sz="8" w:color="auto"/>
            </w:tcBorders>
          </w:tcPr>
          <w:p>
            <w:pPr>
              <w:spacing w:after="0"/>
              <w:rPr>
                <w:sz w:val="2"/>
                <w:szCs w:val="2"/>
                <w:color w:val="auto"/>
              </w:rPr>
            </w:pPr>
          </w:p>
        </w:tc>
        <w:tc>
          <w:tcPr>
            <w:tcW w:w="4580" w:type="dxa"/>
            <w:vAlign w:val="bottom"/>
            <w:tcBorders>
              <w:bottom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During the second quarter of 2014, the assets and liabilities of certain over-funded Timken pension plans related to TimkenSteel employees and retirees were transferred to pension plans sponsored by TimkenSteel.</w:t>
      </w:r>
    </w:p>
    <w:p>
      <w:pPr>
        <w:spacing w:after="0" w:line="11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180" w:type="dxa"/>
            <w:vAlign w:val="bottom"/>
          </w:tcPr>
          <w:p>
            <w:pPr>
              <w:ind w:left="40"/>
              <w:spacing w:after="0"/>
              <w:rPr>
                <w:sz w:val="20"/>
                <w:szCs w:val="20"/>
                <w:color w:val="auto"/>
              </w:rPr>
            </w:pPr>
            <w:r>
              <w:rPr>
                <w:rFonts w:ascii="Arial" w:cs="Arial" w:eastAsia="Arial" w:hAnsi="Arial"/>
                <w:sz w:val="18"/>
                <w:szCs w:val="18"/>
                <w:b w:val="1"/>
                <w:bCs w:val="1"/>
                <w:color w:val="auto"/>
              </w:rPr>
              <w:t>Liabilities and Equity</w:t>
            </w:r>
          </w:p>
        </w:tc>
        <w:tc>
          <w:tcPr>
            <w:tcW w:w="4240" w:type="dxa"/>
            <w:vAlign w:val="bottom"/>
          </w:tcPr>
          <w:p>
            <w:pPr>
              <w:jc w:val="right"/>
              <w:ind w:right="570"/>
              <w:spacing w:after="0"/>
              <w:rPr>
                <w:sz w:val="20"/>
                <w:szCs w:val="20"/>
                <w:color w:val="auto"/>
              </w:rPr>
            </w:pPr>
            <w:r>
              <w:rPr>
                <w:rFonts w:ascii="Arial" w:cs="Arial" w:eastAsia="Arial" w:hAnsi="Arial"/>
                <w:sz w:val="18"/>
                <w:szCs w:val="18"/>
                <w:b w:val="1"/>
                <w:bCs w:val="1"/>
                <w:color w:val="auto"/>
              </w:rPr>
              <w:t>June 30, 2014</w:t>
            </w:r>
          </w:p>
        </w:tc>
        <w:tc>
          <w:tcPr>
            <w:tcW w:w="2000" w:type="dxa"/>
            <w:vAlign w:val="bottom"/>
          </w:tcPr>
          <w:p>
            <w:pPr>
              <w:jc w:val="right"/>
              <w:ind w:right="210"/>
              <w:spacing w:after="0"/>
              <w:rPr>
                <w:sz w:val="20"/>
                <w:szCs w:val="20"/>
                <w:color w:val="auto"/>
              </w:rPr>
            </w:pPr>
            <w:r>
              <w:rPr>
                <w:rFonts w:ascii="Arial" w:cs="Arial" w:eastAsia="Arial" w:hAnsi="Arial"/>
                <w:sz w:val="18"/>
                <w:szCs w:val="18"/>
                <w:b w:val="1"/>
                <w:bCs w:val="1"/>
                <w:color w:val="auto"/>
              </w:rPr>
              <w:t>December 31, 2013</w:t>
            </w:r>
          </w:p>
        </w:tc>
      </w:tr>
      <w:tr>
        <w:trPr>
          <w:trHeight w:val="27"/>
        </w:trPr>
        <w:tc>
          <w:tcPr>
            <w:tcW w:w="5180" w:type="dxa"/>
            <w:vAlign w:val="bottom"/>
            <w:tcBorders>
              <w:bottom w:val="single" w:sz="8" w:color="auto"/>
            </w:tcBorders>
          </w:tcPr>
          <w:p>
            <w:pPr>
              <w:spacing w:after="0"/>
              <w:rPr>
                <w:sz w:val="2"/>
                <w:szCs w:val="2"/>
                <w:color w:val="auto"/>
              </w:rPr>
            </w:pPr>
          </w:p>
        </w:tc>
        <w:tc>
          <w:tcPr>
            <w:tcW w:w="4240" w:type="dxa"/>
            <w:vAlign w:val="bottom"/>
            <w:tcBorders>
              <w:bottom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r>
      <w:tr>
        <w:trPr>
          <w:trHeight w:val="237"/>
        </w:trPr>
        <w:tc>
          <w:tcPr>
            <w:tcW w:w="5180" w:type="dxa"/>
            <w:vAlign w:val="bottom"/>
          </w:tcPr>
          <w:p>
            <w:pPr>
              <w:ind w:left="40"/>
              <w:spacing w:after="0"/>
              <w:rPr>
                <w:sz w:val="20"/>
                <w:szCs w:val="20"/>
                <w:color w:val="auto"/>
              </w:rPr>
            </w:pPr>
            <w:r>
              <w:rPr>
                <w:rFonts w:ascii="Arial" w:cs="Arial" w:eastAsia="Arial" w:hAnsi="Arial"/>
                <w:sz w:val="18"/>
                <w:szCs w:val="18"/>
                <w:color w:val="auto"/>
              </w:rPr>
              <w:t>Current liabilities</w:t>
            </w:r>
          </w:p>
        </w:tc>
        <w:tc>
          <w:tcPr>
            <w:tcW w:w="4240" w:type="dxa"/>
            <w:vAlign w:val="bottom"/>
          </w:tcPr>
          <w:p>
            <w:pPr>
              <w:jc w:val="right"/>
              <w:ind w:right="170"/>
              <w:spacing w:after="0"/>
              <w:rPr>
                <w:sz w:val="20"/>
                <w:szCs w:val="20"/>
                <w:color w:val="auto"/>
              </w:rPr>
            </w:pPr>
            <w:r>
              <w:rPr>
                <w:rFonts w:ascii="Arial" w:cs="Arial" w:eastAsia="Arial" w:hAnsi="Arial"/>
                <w:sz w:val="18"/>
                <w:szCs w:val="18"/>
                <w:b w:val="1"/>
                <w:bCs w:val="1"/>
                <w:color w:val="auto"/>
              </w:rPr>
              <w:t>$201.4</w:t>
            </w:r>
          </w:p>
        </w:tc>
        <w:tc>
          <w:tcPr>
            <w:tcW w:w="2000" w:type="dxa"/>
            <w:vAlign w:val="bottom"/>
          </w:tcPr>
          <w:p>
            <w:pPr>
              <w:jc w:val="right"/>
              <w:ind w:right="10"/>
              <w:spacing w:after="0"/>
              <w:rPr>
                <w:sz w:val="20"/>
                <w:szCs w:val="20"/>
                <w:color w:val="auto"/>
              </w:rPr>
            </w:pPr>
            <w:r>
              <w:rPr>
                <w:rFonts w:ascii="Arial" w:cs="Arial" w:eastAsia="Arial" w:hAnsi="Arial"/>
                <w:sz w:val="18"/>
                <w:szCs w:val="18"/>
                <w:color w:val="auto"/>
              </w:rPr>
              <w:t>$154.9</w:t>
            </w:r>
          </w:p>
        </w:tc>
      </w:tr>
      <w:tr>
        <w:trPr>
          <w:trHeight w:val="27"/>
        </w:trPr>
        <w:tc>
          <w:tcPr>
            <w:tcW w:w="5180" w:type="dxa"/>
            <w:vAlign w:val="bottom"/>
          </w:tcPr>
          <w:p>
            <w:pPr>
              <w:spacing w:after="0"/>
              <w:rPr>
                <w:sz w:val="2"/>
                <w:szCs w:val="2"/>
                <w:color w:val="auto"/>
              </w:rPr>
            </w:pPr>
          </w:p>
        </w:tc>
        <w:tc>
          <w:tcPr>
            <w:tcW w:w="424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50"/>
        </w:trPr>
        <w:tc>
          <w:tcPr>
            <w:tcW w:w="5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Long-term debt</w:t>
            </w:r>
          </w:p>
        </w:tc>
        <w:tc>
          <w:tcPr>
            <w:tcW w:w="424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130.2</w:t>
            </w: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30.2</w:t>
            </w:r>
          </w:p>
        </w:tc>
      </w:tr>
      <w:tr>
        <w:trPr>
          <w:trHeight w:val="243"/>
        </w:trPr>
        <w:tc>
          <w:tcPr>
            <w:tcW w:w="5180" w:type="dxa"/>
            <w:vAlign w:val="bottom"/>
          </w:tcPr>
          <w:p>
            <w:pPr>
              <w:ind w:left="40"/>
              <w:spacing w:after="0"/>
              <w:rPr>
                <w:sz w:val="20"/>
                <w:szCs w:val="20"/>
                <w:color w:val="auto"/>
              </w:rPr>
            </w:pPr>
            <w:r>
              <w:rPr>
                <w:rFonts w:ascii="Arial" w:cs="Arial" w:eastAsia="Arial" w:hAnsi="Arial"/>
                <w:sz w:val="18"/>
                <w:szCs w:val="18"/>
                <w:color w:val="auto"/>
              </w:rPr>
              <w:t>Accrued pension and postretirement</w:t>
            </w:r>
          </w:p>
        </w:tc>
        <w:tc>
          <w:tcPr>
            <w:tcW w:w="4240" w:type="dxa"/>
            <w:vAlign w:val="bottom"/>
          </w:tcPr>
          <w:p>
            <w:pPr>
              <w:jc w:val="right"/>
              <w:ind w:right="170"/>
              <w:spacing w:after="0"/>
              <w:rPr>
                <w:sz w:val="20"/>
                <w:szCs w:val="20"/>
                <w:color w:val="auto"/>
              </w:rPr>
            </w:pPr>
            <w:r>
              <w:rPr>
                <w:rFonts w:ascii="Arial" w:cs="Arial" w:eastAsia="Arial" w:hAnsi="Arial"/>
                <w:sz w:val="18"/>
                <w:szCs w:val="18"/>
                <w:b w:val="1"/>
                <w:bCs w:val="1"/>
                <w:color w:val="auto"/>
              </w:rPr>
              <w:t>95.5</w:t>
            </w:r>
          </w:p>
        </w:tc>
        <w:tc>
          <w:tcPr>
            <w:tcW w:w="200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5180" w:type="dxa"/>
            <w:vAlign w:val="bottom"/>
          </w:tcPr>
          <w:p>
            <w:pPr>
              <w:spacing w:after="0"/>
              <w:rPr>
                <w:sz w:val="2"/>
                <w:szCs w:val="2"/>
                <w:color w:val="auto"/>
              </w:rPr>
            </w:pPr>
          </w:p>
        </w:tc>
        <w:tc>
          <w:tcPr>
            <w:tcW w:w="424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50"/>
        </w:trPr>
        <w:tc>
          <w:tcPr>
            <w:tcW w:w="5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income taxes</w:t>
            </w:r>
          </w:p>
        </w:tc>
        <w:tc>
          <w:tcPr>
            <w:tcW w:w="424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84.2</w:t>
            </w: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86.1</w:t>
            </w:r>
          </w:p>
        </w:tc>
      </w:tr>
      <w:tr>
        <w:trPr>
          <w:trHeight w:val="243"/>
        </w:trPr>
        <w:tc>
          <w:tcPr>
            <w:tcW w:w="5180" w:type="dxa"/>
            <w:vAlign w:val="bottom"/>
          </w:tcPr>
          <w:p>
            <w:pPr>
              <w:ind w:left="40"/>
              <w:spacing w:after="0"/>
              <w:rPr>
                <w:sz w:val="20"/>
                <w:szCs w:val="20"/>
                <w:color w:val="auto"/>
              </w:rPr>
            </w:pPr>
            <w:r>
              <w:rPr>
                <w:rFonts w:ascii="Arial" w:cs="Arial" w:eastAsia="Arial" w:hAnsi="Arial"/>
                <w:sz w:val="18"/>
                <w:szCs w:val="18"/>
                <w:color w:val="auto"/>
              </w:rPr>
              <w:t>Other non-current liabilities</w:t>
            </w:r>
          </w:p>
        </w:tc>
        <w:tc>
          <w:tcPr>
            <w:tcW w:w="4240" w:type="dxa"/>
            <w:vAlign w:val="bottom"/>
          </w:tcPr>
          <w:p>
            <w:pPr>
              <w:jc w:val="right"/>
              <w:ind w:right="170"/>
              <w:spacing w:after="0"/>
              <w:rPr>
                <w:sz w:val="20"/>
                <w:szCs w:val="20"/>
                <w:color w:val="auto"/>
              </w:rPr>
            </w:pPr>
            <w:r>
              <w:rPr>
                <w:rFonts w:ascii="Arial" w:cs="Arial" w:eastAsia="Arial" w:hAnsi="Arial"/>
                <w:sz w:val="18"/>
                <w:szCs w:val="18"/>
                <w:b w:val="1"/>
                <w:bCs w:val="1"/>
                <w:color w:val="auto"/>
              </w:rPr>
              <w:t>10.6</w:t>
            </w:r>
          </w:p>
        </w:tc>
        <w:tc>
          <w:tcPr>
            <w:tcW w:w="2000" w:type="dxa"/>
            <w:vAlign w:val="bottom"/>
          </w:tcPr>
          <w:p>
            <w:pPr>
              <w:jc w:val="right"/>
              <w:ind w:right="10"/>
              <w:spacing w:after="0"/>
              <w:rPr>
                <w:sz w:val="20"/>
                <w:szCs w:val="20"/>
                <w:color w:val="auto"/>
              </w:rPr>
            </w:pPr>
            <w:r>
              <w:rPr>
                <w:rFonts w:ascii="Arial" w:cs="Arial" w:eastAsia="Arial" w:hAnsi="Arial"/>
                <w:sz w:val="18"/>
                <w:szCs w:val="18"/>
                <w:color w:val="auto"/>
              </w:rPr>
              <w:t>6.8</w:t>
            </w:r>
          </w:p>
        </w:tc>
      </w:tr>
      <w:tr>
        <w:trPr>
          <w:trHeight w:val="27"/>
        </w:trPr>
        <w:tc>
          <w:tcPr>
            <w:tcW w:w="5180" w:type="dxa"/>
            <w:vAlign w:val="bottom"/>
          </w:tcPr>
          <w:p>
            <w:pPr>
              <w:spacing w:after="0"/>
              <w:rPr>
                <w:sz w:val="2"/>
                <w:szCs w:val="2"/>
                <w:color w:val="auto"/>
              </w:rPr>
            </w:pPr>
          </w:p>
        </w:tc>
        <w:tc>
          <w:tcPr>
            <w:tcW w:w="424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75"/>
        </w:trPr>
        <w:tc>
          <w:tcPr>
            <w:tcW w:w="5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Equity</w:t>
            </w:r>
          </w:p>
        </w:tc>
        <w:tc>
          <w:tcPr>
            <w:tcW w:w="424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797.2</w:t>
            </w: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800.8</w:t>
            </w:r>
          </w:p>
        </w:tc>
      </w:tr>
      <w:tr>
        <w:trPr>
          <w:trHeight w:val="237"/>
        </w:trPr>
        <w:tc>
          <w:tcPr>
            <w:tcW w:w="5180" w:type="dxa"/>
            <w:vAlign w:val="bottom"/>
            <w:tcBorders>
              <w:top w:val="single" w:sz="8" w:color="auto"/>
            </w:tcBorders>
          </w:tcPr>
          <w:p>
            <w:pPr>
              <w:ind w:left="40"/>
              <w:spacing w:after="0"/>
              <w:rPr>
                <w:sz w:val="20"/>
                <w:szCs w:val="20"/>
                <w:color w:val="auto"/>
              </w:rPr>
            </w:pPr>
            <w:r>
              <w:rPr>
                <w:rFonts w:ascii="Arial" w:cs="Arial" w:eastAsia="Arial" w:hAnsi="Arial"/>
                <w:sz w:val="18"/>
                <w:szCs w:val="18"/>
                <w:b w:val="1"/>
                <w:bCs w:val="1"/>
                <w:color w:val="auto"/>
              </w:rPr>
              <w:t>Total liabilities and equity</w:t>
            </w:r>
          </w:p>
        </w:tc>
        <w:tc>
          <w:tcPr>
            <w:tcW w:w="4240" w:type="dxa"/>
            <w:vAlign w:val="bottom"/>
            <w:tcBorders>
              <w:top w:val="single" w:sz="8" w:color="auto"/>
            </w:tcBorders>
          </w:tcPr>
          <w:p>
            <w:pPr>
              <w:jc w:val="right"/>
              <w:ind w:right="170"/>
              <w:spacing w:after="0"/>
              <w:rPr>
                <w:sz w:val="20"/>
                <w:szCs w:val="20"/>
                <w:color w:val="auto"/>
              </w:rPr>
            </w:pPr>
            <w:r>
              <w:rPr>
                <w:rFonts w:ascii="Arial" w:cs="Arial" w:eastAsia="Arial" w:hAnsi="Arial"/>
                <w:sz w:val="18"/>
                <w:szCs w:val="18"/>
                <w:b w:val="1"/>
                <w:bCs w:val="1"/>
                <w:color w:val="auto"/>
              </w:rPr>
              <w:t>$1,319.1</w:t>
            </w:r>
          </w:p>
        </w:tc>
        <w:tc>
          <w:tcPr>
            <w:tcW w:w="20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$1,078.8</w:t>
            </w:r>
          </w:p>
        </w:tc>
      </w:tr>
      <w:tr>
        <w:trPr>
          <w:trHeight w:val="27"/>
        </w:trPr>
        <w:tc>
          <w:tcPr>
            <w:tcW w:w="5180" w:type="dxa"/>
            <w:vAlign w:val="bottom"/>
            <w:tcBorders>
              <w:bottom w:val="single" w:sz="8" w:color="auto"/>
            </w:tcBorders>
          </w:tcPr>
          <w:p>
            <w:pPr>
              <w:spacing w:after="0"/>
              <w:rPr>
                <w:sz w:val="2"/>
                <w:szCs w:val="2"/>
                <w:color w:val="auto"/>
              </w:rPr>
            </w:pPr>
          </w:p>
        </w:tc>
        <w:tc>
          <w:tcPr>
            <w:tcW w:w="4240" w:type="dxa"/>
            <w:vAlign w:val="bottom"/>
            <w:tcBorders>
              <w:bottom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Current liabilities increased to $201.4 million as of June 30, 2014 as compared to $154.9 million as of December 31, 2013. The increase was primarily due to higher accounts payable resulting from higher purchases to meet production requirements. In addition, during the second quarter of 2014, the assets and liabilities of certain under-funded Timken pension and postretirement plans related to TimkenSteel employees and retirees were transferred to pension and postretirement plans sponsored by TimkenSteel, which are recorded as both current and long-term liabilities.</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8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Based on historical performance and current expectations, we believe our cash and cash equivalents, the cash generated from our operations, available credit facilities and our ability to access capital markets will satisfy our working capital needs, capital expenditures, quarterly dividends, share repurchases and other liquidity requirements associated with our operations for at least the next twelve months.</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Flows</w:t>
      </w:r>
    </w:p>
    <w:p>
      <w:pPr>
        <w:spacing w:after="0" w:line="189"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The following table reflects the major categories of cash flows for the six months ended June 30, 2014 and 2013. For additional details, please see the Unaudited Consolidated Statements of Cash Flows contained elsewhere in this quarterly report.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66040</wp:posOffset>
            </wp:positionV>
            <wp:extent cx="724662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0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120" w:type="dxa"/>
            <w:vAlign w:val="bottom"/>
          </w:tcPr>
          <w:p>
            <w:pPr>
              <w:ind w:left="40"/>
              <w:spacing w:after="0"/>
              <w:rPr>
                <w:sz w:val="20"/>
                <w:szCs w:val="20"/>
                <w:color w:val="auto"/>
              </w:rPr>
            </w:pPr>
            <w:r>
              <w:rPr>
                <w:rFonts w:ascii="Arial" w:cs="Arial" w:eastAsia="Arial" w:hAnsi="Arial"/>
                <w:sz w:val="18"/>
                <w:szCs w:val="18"/>
                <w:b w:val="1"/>
                <w:bCs w:val="1"/>
                <w:color w:val="auto"/>
              </w:rPr>
              <w:t>Cash Flows</w:t>
            </w:r>
          </w:p>
        </w:tc>
        <w:tc>
          <w:tcPr>
            <w:tcW w:w="5300" w:type="dxa"/>
            <w:vAlign w:val="bottom"/>
            <w:gridSpan w:val="2"/>
          </w:tcPr>
          <w:p>
            <w:pPr>
              <w:jc w:val="right"/>
              <w:ind w:right="730"/>
              <w:spacing w:after="0"/>
              <w:rPr>
                <w:sz w:val="20"/>
                <w:szCs w:val="20"/>
                <w:color w:val="auto"/>
              </w:rPr>
            </w:pPr>
            <w:r>
              <w:rPr>
                <w:rFonts w:ascii="Arial" w:cs="Arial" w:eastAsia="Arial" w:hAnsi="Arial"/>
                <w:sz w:val="18"/>
                <w:szCs w:val="18"/>
                <w:b w:val="1"/>
                <w:bCs w:val="1"/>
                <w:color w:val="auto"/>
              </w:rPr>
              <w:t>Six Months Ended June 30,</w:t>
            </w:r>
          </w:p>
        </w:tc>
      </w:tr>
      <w:tr>
        <w:trPr>
          <w:trHeight w:val="27"/>
        </w:trPr>
        <w:tc>
          <w:tcPr>
            <w:tcW w:w="6120" w:type="dxa"/>
            <w:vAlign w:val="bottom"/>
            <w:tcBorders>
              <w:bottom w:val="single" w:sz="8" w:color="auto"/>
            </w:tcBorders>
          </w:tcPr>
          <w:p>
            <w:pPr>
              <w:spacing w:after="0"/>
              <w:rPr>
                <w:sz w:val="2"/>
                <w:szCs w:val="2"/>
                <w:color w:val="auto"/>
              </w:rPr>
            </w:pPr>
          </w:p>
        </w:tc>
        <w:tc>
          <w:tcPr>
            <w:tcW w:w="378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237"/>
        </w:trPr>
        <w:tc>
          <w:tcPr>
            <w:tcW w:w="6120" w:type="dxa"/>
            <w:vAlign w:val="bottom"/>
          </w:tcPr>
          <w:p>
            <w:pPr>
              <w:spacing w:after="0"/>
              <w:rPr>
                <w:sz w:val="20"/>
                <w:szCs w:val="20"/>
                <w:color w:val="auto"/>
              </w:rPr>
            </w:pPr>
          </w:p>
        </w:tc>
        <w:tc>
          <w:tcPr>
            <w:tcW w:w="3780" w:type="dxa"/>
            <w:vAlign w:val="bottom"/>
          </w:tcPr>
          <w:p>
            <w:pPr>
              <w:jc w:val="right"/>
              <w:ind w:right="1050"/>
              <w:spacing w:after="0"/>
              <w:rPr>
                <w:sz w:val="20"/>
                <w:szCs w:val="20"/>
                <w:color w:val="auto"/>
              </w:rPr>
            </w:pPr>
            <w:r>
              <w:rPr>
                <w:rFonts w:ascii="Arial" w:cs="Arial" w:eastAsia="Arial" w:hAnsi="Arial"/>
                <w:sz w:val="18"/>
                <w:szCs w:val="18"/>
                <w:b w:val="1"/>
                <w:bCs w:val="1"/>
                <w:color w:val="auto"/>
              </w:rPr>
              <w:t>2014</w:t>
            </w:r>
          </w:p>
        </w:tc>
        <w:tc>
          <w:tcPr>
            <w:tcW w:w="1520" w:type="dxa"/>
            <w:vAlign w:val="bottom"/>
          </w:tcPr>
          <w:p>
            <w:pPr>
              <w:jc w:val="right"/>
              <w:ind w:right="630"/>
              <w:spacing w:after="0"/>
              <w:rPr>
                <w:sz w:val="20"/>
                <w:szCs w:val="20"/>
                <w:color w:val="auto"/>
              </w:rPr>
            </w:pPr>
            <w:r>
              <w:rPr>
                <w:rFonts w:ascii="Arial" w:cs="Arial" w:eastAsia="Arial" w:hAnsi="Arial"/>
                <w:sz w:val="18"/>
                <w:szCs w:val="18"/>
                <w:color w:val="auto"/>
              </w:rPr>
              <w:t>2013</w:t>
            </w:r>
          </w:p>
        </w:tc>
      </w:tr>
      <w:tr>
        <w:trPr>
          <w:trHeight w:val="27"/>
        </w:trPr>
        <w:tc>
          <w:tcPr>
            <w:tcW w:w="6120" w:type="dxa"/>
            <w:vAlign w:val="bottom"/>
            <w:tcBorders>
              <w:bottom w:val="single" w:sz="8" w:color="auto"/>
            </w:tcBorders>
          </w:tcPr>
          <w:p>
            <w:pPr>
              <w:spacing w:after="0"/>
              <w:rPr>
                <w:sz w:val="2"/>
                <w:szCs w:val="2"/>
                <w:color w:val="auto"/>
              </w:rPr>
            </w:pPr>
          </w:p>
        </w:tc>
        <w:tc>
          <w:tcPr>
            <w:tcW w:w="378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244"/>
        </w:trPr>
        <w:tc>
          <w:tcPr>
            <w:tcW w:w="6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cash provided by operating activities</w:t>
            </w:r>
          </w:p>
        </w:tc>
        <w:tc>
          <w:tcPr>
            <w:tcW w:w="378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$55.5</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$91.6</w:t>
            </w:r>
          </w:p>
        </w:tc>
      </w:tr>
      <w:tr>
        <w:trPr>
          <w:trHeight w:val="257"/>
        </w:trPr>
        <w:tc>
          <w:tcPr>
            <w:tcW w:w="6120" w:type="dxa"/>
            <w:vAlign w:val="bottom"/>
          </w:tcPr>
          <w:p>
            <w:pPr>
              <w:ind w:left="40"/>
              <w:spacing w:after="0"/>
              <w:rPr>
                <w:sz w:val="20"/>
                <w:szCs w:val="20"/>
                <w:color w:val="auto"/>
              </w:rPr>
            </w:pPr>
            <w:r>
              <w:rPr>
                <w:rFonts w:ascii="Arial" w:cs="Arial" w:eastAsia="Arial" w:hAnsi="Arial"/>
                <w:sz w:val="18"/>
                <w:szCs w:val="18"/>
                <w:color w:val="auto"/>
              </w:rPr>
              <w:t>Net cash (used) by investing activities</w:t>
            </w:r>
          </w:p>
        </w:tc>
        <w:tc>
          <w:tcPr>
            <w:tcW w:w="3780" w:type="dxa"/>
            <w:vAlign w:val="bottom"/>
          </w:tcPr>
          <w:p>
            <w:pPr>
              <w:jc w:val="right"/>
              <w:ind w:right="350"/>
              <w:spacing w:after="0"/>
              <w:rPr>
                <w:sz w:val="20"/>
                <w:szCs w:val="20"/>
                <w:color w:val="auto"/>
              </w:rPr>
            </w:pPr>
            <w:r>
              <w:rPr>
                <w:rFonts w:ascii="Arial" w:cs="Arial" w:eastAsia="Arial" w:hAnsi="Arial"/>
                <w:sz w:val="18"/>
                <w:szCs w:val="18"/>
                <w:b w:val="1"/>
                <w:bCs w:val="1"/>
                <w:color w:val="auto"/>
              </w:rPr>
              <w:t>(65.6)</w:t>
            </w:r>
          </w:p>
        </w:tc>
        <w:tc>
          <w:tcPr>
            <w:tcW w:w="1520" w:type="dxa"/>
            <w:vAlign w:val="bottom"/>
          </w:tcPr>
          <w:p>
            <w:pPr>
              <w:jc w:val="right"/>
              <w:spacing w:after="0"/>
              <w:rPr>
                <w:sz w:val="20"/>
                <w:szCs w:val="20"/>
                <w:color w:val="auto"/>
              </w:rPr>
            </w:pPr>
            <w:r>
              <w:rPr>
                <w:rFonts w:ascii="Arial" w:cs="Arial" w:eastAsia="Arial" w:hAnsi="Arial"/>
                <w:sz w:val="18"/>
                <w:szCs w:val="18"/>
                <w:color w:val="auto"/>
              </w:rPr>
              <w:t>(80.0)</w:t>
            </w:r>
          </w:p>
        </w:tc>
      </w:tr>
      <w:tr>
        <w:trPr>
          <w:trHeight w:val="27"/>
        </w:trPr>
        <w:tc>
          <w:tcPr>
            <w:tcW w:w="6120" w:type="dxa"/>
            <w:vAlign w:val="bottom"/>
          </w:tcPr>
          <w:p>
            <w:pPr>
              <w:spacing w:after="0"/>
              <w:rPr>
                <w:sz w:val="2"/>
                <w:szCs w:val="2"/>
                <w:color w:val="auto"/>
              </w:rPr>
            </w:pPr>
          </w:p>
        </w:tc>
        <w:tc>
          <w:tcPr>
            <w:tcW w:w="378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75"/>
        </w:trPr>
        <w:tc>
          <w:tcPr>
            <w:tcW w:w="6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cash provided (used) by financing activities</w:t>
            </w:r>
          </w:p>
        </w:tc>
        <w:tc>
          <w:tcPr>
            <w:tcW w:w="378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53.8</w:t>
            </w:r>
          </w:p>
        </w:tc>
        <w:tc>
          <w:tcPr>
            <w:tcW w:w="1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(11.6)</w:t>
            </w:r>
          </w:p>
        </w:tc>
      </w:tr>
      <w:tr>
        <w:trPr>
          <w:trHeight w:val="237"/>
        </w:trPr>
        <w:tc>
          <w:tcPr>
            <w:tcW w:w="6120" w:type="dxa"/>
            <w:vAlign w:val="bottom"/>
            <w:tcBorders>
              <w:top w:val="single" w:sz="8" w:color="auto"/>
            </w:tcBorders>
          </w:tcPr>
          <w:p>
            <w:pPr>
              <w:ind w:left="180"/>
              <w:spacing w:after="0"/>
              <w:rPr>
                <w:sz w:val="20"/>
                <w:szCs w:val="20"/>
                <w:color w:val="auto"/>
              </w:rPr>
            </w:pPr>
            <w:r>
              <w:rPr>
                <w:rFonts w:ascii="Arial" w:cs="Arial" w:eastAsia="Arial" w:hAnsi="Arial"/>
                <w:sz w:val="18"/>
                <w:szCs w:val="18"/>
                <w:b w:val="1"/>
                <w:bCs w:val="1"/>
                <w:color w:val="auto"/>
              </w:rPr>
              <w:t>Increase (decrease) in cash and cash equivalents</w:t>
            </w:r>
          </w:p>
        </w:tc>
        <w:tc>
          <w:tcPr>
            <w:tcW w:w="3780" w:type="dxa"/>
            <w:vAlign w:val="bottom"/>
            <w:tcBorders>
              <w:top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$43.7</w:t>
            </w:r>
          </w:p>
        </w:tc>
        <w:tc>
          <w:tcPr>
            <w:tcW w:w="15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6120" w:type="dxa"/>
            <w:vAlign w:val="bottom"/>
            <w:tcBorders>
              <w:bottom w:val="single" w:sz="8" w:color="auto"/>
            </w:tcBorders>
          </w:tcPr>
          <w:p>
            <w:pPr>
              <w:spacing w:after="0"/>
              <w:rPr>
                <w:sz w:val="2"/>
                <w:szCs w:val="2"/>
                <w:color w:val="auto"/>
              </w:rPr>
            </w:pPr>
          </w:p>
        </w:tc>
        <w:tc>
          <w:tcPr>
            <w:tcW w:w="378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Operating activities</w:t>
      </w:r>
    </w:p>
    <w:p>
      <w:pPr>
        <w:spacing w:after="0" w:line="18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Net cash provided by operating activities for the six months ended June 30, 2014 and 2013 was $55.5 million and $91.6 million, respectively. The $36.1 million decrease was primarily the result of increased use of cash related to changes in our inventory balances partially offset by higher net income, cash provided by the changes in our accounts payable and accounts receivable balances.</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Investing activities</w:t>
      </w:r>
    </w:p>
    <w:p>
      <w:pPr>
        <w:spacing w:after="0" w:line="18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Net cash used by investing activities for the six months ended June 30, 2014 and 2013 was $65.6 million and $80.0 million, respectively. Cash used for investing activities reflects our increased capital expenditures as we have made strategic investments in our production processes. Our business sometimes requires capital investments to remain competitive and to ensure we can implement strategic initiatives. Our $256.4 million construction in progress balance as of June 30, 2014 includes: (a) an</w:t>
      </w:r>
    </w:p>
    <w:p>
      <w:pPr>
        <w:spacing w:after="0" w:line="3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20"/>
          </w:cols>
          <w:pgMar w:left="240" w:top="742" w:right="239" w:bottom="1440" w:gutter="0" w:footer="0" w:header="0"/>
        </w:sectPr>
      </w:pPr>
    </w:p>
    <w:bookmarkStart w:id="27" w:name="page28"/>
    <w:bookmarkEnd w:id="27"/>
    <w:p>
      <w:pPr>
        <w:jc w:val="both"/>
        <w:spacing w:after="0" w:line="293" w:lineRule="auto"/>
        <w:rPr>
          <w:sz w:val="20"/>
          <w:szCs w:val="20"/>
          <w:color w:val="auto"/>
        </w:rPr>
      </w:pPr>
      <w:r>
        <w:rPr>
          <w:rFonts w:ascii="Arial" w:cs="Arial" w:eastAsia="Arial" w:hAnsi="Arial"/>
          <w:sz w:val="16"/>
          <w:szCs w:val="16"/>
          <w:color w:val="auto"/>
        </w:rPr>
        <w:t>investment of approximately $181 million in the vertical continuous caster to improve productivity, increase capacity and expand our product range; (b) $17 million relating to growth initiatives (i.e., new product offerings, additional capacity and new capabilities); (c) $6 million relating to continuous improvement projects; and (d) $52 million relating primarily to routine capital costs to maintain the reliability, integrity and safety of our manufacturing equipment and facilities. We expect to incur approximately $41 million of additional costs, which includes approximately $18 million relating to the vertical continuous caster, which is expected to begin production in the third quarter of 2014; approximately $5 million relating to additional growth initiatives; approximately $2 million relating to continuous improvement; and approximately $16 million of additional costs to complete other remaining projects.</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Financing activities</w:t>
      </w:r>
    </w:p>
    <w:p>
      <w:pPr>
        <w:spacing w:after="0" w:line="18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Net cash provided by financing activities for the six months ended June 30, 2014 was $53.8 million primarily due to the $100.0 million borrowing in the second quarter under the credit facility offset by a $50.0 million dividend to Timken in connection with the spinoff. Net cash used by financing activities for the first six months of 2013 was due to excess cash generated by our business being transferred to Timken.</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Covenant Compliance</w:t>
      </w:r>
    </w:p>
    <w:p>
      <w:pPr>
        <w:spacing w:after="0" w:line="189"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6"/>
          <w:szCs w:val="16"/>
          <w:color w:val="auto"/>
        </w:rPr>
        <w:t>We are required to maintain a certain capitalization ratio and interest coverage ratio as well as minimum liquidity balances as set forth in the credit agreement. As of June 30, 2014, we were in compliance with these ratios and liquidity requirements, as well as the additional covenants contained in the credit agreement. The maximum consolidated capitalization ratio permitted under the credit facility is 0.5. As of June 30, 2014, our consolidated capitalization ratio was 0.1. The minimum consolidated interest coverage ratio permitted under the credit facility is 3.0. As of June 30, 2014, our consolidated interest coverage ratio was 24.4. The minimum liquidity required under the credit facility is $50 million. As of June 30, 2014, our liquidity was $244 million.</w:t>
      </w:r>
    </w:p>
    <w:p>
      <w:pPr>
        <w:spacing w:after="0" w:line="118"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We expect to remain in compliance with our debt covenants. However, we may need to limit our borrowings on the revolving commitment in order to remain in compliance. The amount available under the credit facility as of June 30, 2014 was $200.0 million.</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Dividends and Share Repurchases</w:t>
      </w:r>
    </w:p>
    <w:p>
      <w:pPr>
        <w:spacing w:after="0" w:line="18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On August 6, 2014, our Board of Directors declared a quarterly cash dividend of 14 cents per share. The dividend is payable on September 4, 2014, to shareholders of record as of August 20, 2014. On August 6, 2014, our Board of Directors authorized the repurchase of up to three million TimkenSteel common shares. This authorization expires at the end of 2016.</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w:t>
      </w:r>
    </w:p>
    <w:p>
      <w:pPr>
        <w:spacing w:after="0" w:line="189"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Due to the changes in our long-term debt during the six months ended June 30, 2014 described in Note 6 to the Unaudited Consolidated Financial Statements entitled “Financing Arrangements”, we have provided updated long-term debt and interest payment information. The following table summarizes our contractual obligations associated with our long-term debt and related interest payments as of June 30, 2014.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62865</wp:posOffset>
            </wp:positionV>
            <wp:extent cx="724662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0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260" w:type="dxa"/>
            <w:vAlign w:val="bottom"/>
          </w:tcPr>
          <w:p>
            <w:pPr>
              <w:spacing w:after="0"/>
              <w:rPr>
                <w:sz w:val="18"/>
                <w:szCs w:val="18"/>
                <w:color w:val="auto"/>
              </w:rPr>
            </w:pPr>
          </w:p>
        </w:tc>
        <w:tc>
          <w:tcPr>
            <w:tcW w:w="2420" w:type="dxa"/>
            <w:vAlign w:val="bottom"/>
          </w:tcPr>
          <w:p>
            <w:pPr>
              <w:spacing w:after="0"/>
              <w:rPr>
                <w:sz w:val="18"/>
                <w:szCs w:val="18"/>
                <w:color w:val="auto"/>
              </w:rPr>
            </w:pPr>
          </w:p>
        </w:tc>
        <w:tc>
          <w:tcPr>
            <w:tcW w:w="1520" w:type="dxa"/>
            <w:vAlign w:val="bottom"/>
          </w:tcPr>
          <w:p>
            <w:pPr>
              <w:jc w:val="right"/>
              <w:ind w:right="410"/>
              <w:spacing w:after="0"/>
              <w:rPr>
                <w:sz w:val="20"/>
                <w:szCs w:val="20"/>
                <w:color w:val="auto"/>
              </w:rPr>
            </w:pPr>
            <w:r>
              <w:rPr>
                <w:rFonts w:ascii="Arial" w:cs="Arial" w:eastAsia="Arial" w:hAnsi="Arial"/>
                <w:sz w:val="18"/>
                <w:szCs w:val="18"/>
                <w:b w:val="1"/>
                <w:bCs w:val="1"/>
                <w:color w:val="auto"/>
              </w:rPr>
              <w:t>Less than</w:t>
            </w:r>
          </w:p>
        </w:tc>
        <w:tc>
          <w:tcPr>
            <w:tcW w:w="146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1320" w:type="dxa"/>
            <w:vAlign w:val="bottom"/>
          </w:tcPr>
          <w:p>
            <w:pPr>
              <w:jc w:val="right"/>
              <w:ind w:right="170"/>
              <w:spacing w:after="0"/>
              <w:rPr>
                <w:sz w:val="20"/>
                <w:szCs w:val="20"/>
                <w:color w:val="auto"/>
              </w:rPr>
            </w:pPr>
            <w:r>
              <w:rPr>
                <w:rFonts w:ascii="Arial" w:cs="Arial" w:eastAsia="Arial" w:hAnsi="Arial"/>
                <w:sz w:val="18"/>
                <w:szCs w:val="18"/>
                <w:b w:val="1"/>
                <w:bCs w:val="1"/>
                <w:color w:val="auto"/>
              </w:rPr>
              <w:t>More than</w:t>
            </w:r>
          </w:p>
        </w:tc>
      </w:tr>
      <w:tr>
        <w:trPr>
          <w:trHeight w:val="234"/>
        </w:trPr>
        <w:tc>
          <w:tcPr>
            <w:tcW w:w="3260" w:type="dxa"/>
            <w:vAlign w:val="bottom"/>
          </w:tcPr>
          <w:p>
            <w:pPr>
              <w:ind w:left="40"/>
              <w:spacing w:after="0"/>
              <w:rPr>
                <w:sz w:val="20"/>
                <w:szCs w:val="20"/>
                <w:color w:val="auto"/>
              </w:rPr>
            </w:pPr>
            <w:r>
              <w:rPr>
                <w:rFonts w:ascii="Arial" w:cs="Arial" w:eastAsia="Arial" w:hAnsi="Arial"/>
                <w:sz w:val="18"/>
                <w:szCs w:val="18"/>
                <w:b w:val="1"/>
                <w:bCs w:val="1"/>
                <w:color w:val="auto"/>
              </w:rPr>
              <w:t>Contractual Obligations</w:t>
            </w:r>
          </w:p>
        </w:tc>
        <w:tc>
          <w:tcPr>
            <w:tcW w:w="2420" w:type="dxa"/>
            <w:vAlign w:val="bottom"/>
          </w:tcPr>
          <w:p>
            <w:pPr>
              <w:jc w:val="right"/>
              <w:ind w:right="570"/>
              <w:spacing w:after="0"/>
              <w:rPr>
                <w:sz w:val="20"/>
                <w:szCs w:val="20"/>
                <w:color w:val="auto"/>
              </w:rPr>
            </w:pPr>
            <w:r>
              <w:rPr>
                <w:rFonts w:ascii="Arial" w:cs="Arial" w:eastAsia="Arial" w:hAnsi="Arial"/>
                <w:sz w:val="18"/>
                <w:szCs w:val="18"/>
                <w:b w:val="1"/>
                <w:bCs w:val="1"/>
                <w:color w:val="auto"/>
              </w:rPr>
              <w:t>Total</w:t>
            </w:r>
          </w:p>
        </w:tc>
        <w:tc>
          <w:tcPr>
            <w:tcW w:w="1520" w:type="dxa"/>
            <w:vAlign w:val="bottom"/>
          </w:tcPr>
          <w:p>
            <w:pPr>
              <w:jc w:val="right"/>
              <w:ind w:right="530"/>
              <w:spacing w:after="0"/>
              <w:rPr>
                <w:sz w:val="20"/>
                <w:szCs w:val="20"/>
                <w:color w:val="auto"/>
              </w:rPr>
            </w:pPr>
            <w:r>
              <w:rPr>
                <w:rFonts w:ascii="Arial" w:cs="Arial" w:eastAsia="Arial" w:hAnsi="Arial"/>
                <w:sz w:val="18"/>
                <w:szCs w:val="18"/>
                <w:b w:val="1"/>
                <w:bCs w:val="1"/>
                <w:color w:val="auto"/>
              </w:rPr>
              <w:t>1 Year</w:t>
            </w:r>
          </w:p>
        </w:tc>
        <w:tc>
          <w:tcPr>
            <w:tcW w:w="1460" w:type="dxa"/>
            <w:vAlign w:val="bottom"/>
          </w:tcPr>
          <w:p>
            <w:pPr>
              <w:jc w:val="right"/>
              <w:ind w:right="390"/>
              <w:spacing w:after="0"/>
              <w:rPr>
                <w:sz w:val="20"/>
                <w:szCs w:val="20"/>
                <w:color w:val="auto"/>
              </w:rPr>
            </w:pPr>
            <w:r>
              <w:rPr>
                <w:rFonts w:ascii="Arial" w:cs="Arial" w:eastAsia="Arial" w:hAnsi="Arial"/>
                <w:sz w:val="18"/>
                <w:szCs w:val="18"/>
                <w:b w:val="1"/>
                <w:bCs w:val="1"/>
                <w:color w:val="auto"/>
              </w:rPr>
              <w:t>1-3 Years</w:t>
            </w:r>
          </w:p>
        </w:tc>
        <w:tc>
          <w:tcPr>
            <w:tcW w:w="1440" w:type="dxa"/>
            <w:vAlign w:val="bottom"/>
          </w:tcPr>
          <w:p>
            <w:pPr>
              <w:jc w:val="right"/>
              <w:ind w:right="370"/>
              <w:spacing w:after="0"/>
              <w:rPr>
                <w:sz w:val="20"/>
                <w:szCs w:val="20"/>
                <w:color w:val="auto"/>
              </w:rPr>
            </w:pPr>
            <w:r>
              <w:rPr>
                <w:rFonts w:ascii="Arial" w:cs="Arial" w:eastAsia="Arial" w:hAnsi="Arial"/>
                <w:sz w:val="18"/>
                <w:szCs w:val="18"/>
                <w:b w:val="1"/>
                <w:bCs w:val="1"/>
                <w:color w:val="auto"/>
              </w:rPr>
              <w:t>3-5 Years</w:t>
            </w:r>
          </w:p>
        </w:tc>
        <w:tc>
          <w:tcPr>
            <w:tcW w:w="1320" w:type="dxa"/>
            <w:vAlign w:val="bottom"/>
          </w:tcPr>
          <w:p>
            <w:pPr>
              <w:jc w:val="right"/>
              <w:ind w:right="290"/>
              <w:spacing w:after="0"/>
              <w:rPr>
                <w:sz w:val="20"/>
                <w:szCs w:val="20"/>
                <w:color w:val="auto"/>
              </w:rPr>
            </w:pPr>
            <w:r>
              <w:rPr>
                <w:rFonts w:ascii="Arial" w:cs="Arial" w:eastAsia="Arial" w:hAnsi="Arial"/>
                <w:sz w:val="18"/>
                <w:szCs w:val="18"/>
                <w:b w:val="1"/>
                <w:bCs w:val="1"/>
                <w:color w:val="auto"/>
              </w:rPr>
              <w:t>5 Years</w:t>
            </w:r>
          </w:p>
        </w:tc>
      </w:tr>
      <w:tr>
        <w:trPr>
          <w:trHeight w:val="27"/>
        </w:trPr>
        <w:tc>
          <w:tcPr>
            <w:tcW w:w="3260" w:type="dxa"/>
            <w:vAlign w:val="bottom"/>
            <w:tcBorders>
              <w:bottom w:val="single" w:sz="8" w:color="auto"/>
            </w:tcBorders>
          </w:tcPr>
          <w:p>
            <w:pPr>
              <w:spacing w:after="0"/>
              <w:rPr>
                <w:sz w:val="2"/>
                <w:szCs w:val="2"/>
                <w:color w:val="auto"/>
              </w:rPr>
            </w:pPr>
          </w:p>
        </w:tc>
        <w:tc>
          <w:tcPr>
            <w:tcW w:w="242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44"/>
        </w:trPr>
        <w:tc>
          <w:tcPr>
            <w:tcW w:w="3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Long-term debt</w:t>
            </w:r>
          </w:p>
        </w:tc>
        <w:tc>
          <w:tcPr>
            <w:tcW w:w="242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rPr>
              <w:t>$130.2</w:t>
            </w:r>
          </w:p>
        </w:tc>
        <w:tc>
          <w:tcPr>
            <w:tcW w:w="15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rPr>
              <w:t>$—</w:t>
            </w:r>
          </w:p>
        </w:tc>
        <w:tc>
          <w:tcPr>
            <w:tcW w:w="146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14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$100.0</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$30.2</w:t>
            </w:r>
          </w:p>
        </w:tc>
      </w:tr>
      <w:tr>
        <w:trPr>
          <w:trHeight w:val="243"/>
        </w:trPr>
        <w:tc>
          <w:tcPr>
            <w:tcW w:w="3260" w:type="dxa"/>
            <w:vAlign w:val="bottom"/>
          </w:tcPr>
          <w:p>
            <w:pPr>
              <w:ind w:left="40"/>
              <w:spacing w:after="0"/>
              <w:rPr>
                <w:sz w:val="20"/>
                <w:szCs w:val="20"/>
                <w:color w:val="auto"/>
              </w:rPr>
            </w:pPr>
            <w:r>
              <w:rPr>
                <w:rFonts w:ascii="Arial" w:cs="Arial" w:eastAsia="Arial" w:hAnsi="Arial"/>
                <w:sz w:val="18"/>
                <w:szCs w:val="18"/>
                <w:color w:val="auto"/>
              </w:rPr>
              <w:t>Interest payments</w:t>
            </w:r>
          </w:p>
        </w:tc>
        <w:tc>
          <w:tcPr>
            <w:tcW w:w="2420" w:type="dxa"/>
            <w:vAlign w:val="bottom"/>
          </w:tcPr>
          <w:p>
            <w:pPr>
              <w:jc w:val="right"/>
              <w:ind w:right="190"/>
              <w:spacing w:after="0"/>
              <w:rPr>
                <w:sz w:val="20"/>
                <w:szCs w:val="20"/>
                <w:color w:val="auto"/>
              </w:rPr>
            </w:pPr>
            <w:r>
              <w:rPr>
                <w:rFonts w:ascii="Arial" w:cs="Arial" w:eastAsia="Arial" w:hAnsi="Arial"/>
                <w:sz w:val="18"/>
                <w:szCs w:val="18"/>
                <w:color w:val="auto"/>
              </w:rPr>
              <w:t>9.0</w:t>
            </w:r>
          </w:p>
        </w:tc>
        <w:tc>
          <w:tcPr>
            <w:tcW w:w="1520" w:type="dxa"/>
            <w:vAlign w:val="bottom"/>
          </w:tcPr>
          <w:p>
            <w:pPr>
              <w:jc w:val="right"/>
              <w:ind w:right="210"/>
              <w:spacing w:after="0"/>
              <w:rPr>
                <w:sz w:val="20"/>
                <w:szCs w:val="20"/>
                <w:color w:val="auto"/>
              </w:rPr>
            </w:pPr>
            <w:r>
              <w:rPr>
                <w:rFonts w:ascii="Arial" w:cs="Arial" w:eastAsia="Arial" w:hAnsi="Arial"/>
                <w:sz w:val="18"/>
                <w:szCs w:val="18"/>
                <w:color w:val="auto"/>
              </w:rPr>
              <w:t>1.8</w:t>
            </w:r>
          </w:p>
        </w:tc>
        <w:tc>
          <w:tcPr>
            <w:tcW w:w="1460" w:type="dxa"/>
            <w:vAlign w:val="bottom"/>
          </w:tcPr>
          <w:p>
            <w:pPr>
              <w:jc w:val="right"/>
              <w:ind w:right="170"/>
              <w:spacing w:after="0"/>
              <w:rPr>
                <w:sz w:val="20"/>
                <w:szCs w:val="20"/>
                <w:color w:val="auto"/>
              </w:rPr>
            </w:pPr>
            <w:r>
              <w:rPr>
                <w:rFonts w:ascii="Arial" w:cs="Arial" w:eastAsia="Arial" w:hAnsi="Arial"/>
                <w:sz w:val="18"/>
                <w:szCs w:val="18"/>
                <w:color w:val="auto"/>
              </w:rPr>
              <w:t>3.5</w:t>
            </w:r>
          </w:p>
        </w:tc>
        <w:tc>
          <w:tcPr>
            <w:tcW w:w="1440" w:type="dxa"/>
            <w:vAlign w:val="bottom"/>
          </w:tcPr>
          <w:p>
            <w:pPr>
              <w:jc w:val="right"/>
              <w:ind w:right="150"/>
              <w:spacing w:after="0"/>
              <w:rPr>
                <w:sz w:val="20"/>
                <w:szCs w:val="20"/>
                <w:color w:val="auto"/>
              </w:rPr>
            </w:pPr>
            <w:r>
              <w:rPr>
                <w:rFonts w:ascii="Arial" w:cs="Arial" w:eastAsia="Arial" w:hAnsi="Arial"/>
                <w:sz w:val="18"/>
                <w:szCs w:val="18"/>
                <w:color w:val="auto"/>
              </w:rPr>
              <w:t>3.1</w:t>
            </w: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0.6</w:t>
            </w:r>
          </w:p>
        </w:tc>
      </w:tr>
      <w:tr>
        <w:trPr>
          <w:trHeight w:val="34"/>
        </w:trPr>
        <w:tc>
          <w:tcPr>
            <w:tcW w:w="3260" w:type="dxa"/>
            <w:vAlign w:val="bottom"/>
            <w:tcBorders>
              <w:bottom w:val="single" w:sz="8" w:color="auto"/>
            </w:tcBorders>
          </w:tcPr>
          <w:p>
            <w:pPr>
              <w:spacing w:after="0"/>
              <w:rPr>
                <w:sz w:val="2"/>
                <w:szCs w:val="2"/>
                <w:color w:val="auto"/>
              </w:rPr>
            </w:pPr>
          </w:p>
        </w:tc>
        <w:tc>
          <w:tcPr>
            <w:tcW w:w="242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189"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Our financial statements are prepared in accordance with U.S. GAAP. The preparation of these financial statements requires management to make estimates and assumptions that affect the reported amounts of assets and liabilities at the date of the financial statements and the reported amounts of revenues and expenses during the periods presented. We review our critical accounting policies throughout the year.</w:t>
      </w:r>
    </w:p>
    <w:p>
      <w:pPr>
        <w:spacing w:after="0" w:line="1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Projected Benefit Obligations</w:t>
      </w:r>
    </w:p>
    <w:p>
      <w:pPr>
        <w:spacing w:after="0" w:line="18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Prior to the spinoff, employees of TimkenSteel participated in various retirement and postretirement benefits sponsored by Timken. During the second quarter of 2014, assets and liabilities of these plans related to TimkenSteel employees and retirees were transferred to plans sponsored by TimkenSteel. TimkenSteel’s benefit obligation under the transferred defined benefit pension plans and postretirement benefit plans were determined on an actuarial basis as of the transfer date. Management uses actuaries</w:t>
      </w:r>
    </w:p>
    <w:p>
      <w:pPr>
        <w:spacing w:after="0" w:line="3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584" w:right="239" w:bottom="1440" w:gutter="0" w:footer="0" w:header="0"/>
        </w:sectPr>
      </w:pPr>
    </w:p>
    <w:bookmarkStart w:id="28" w:name="page29"/>
    <w:bookmarkEnd w:id="28"/>
    <w:p>
      <w:pPr>
        <w:jc w:val="both"/>
        <w:spacing w:after="0" w:line="270" w:lineRule="auto"/>
        <w:rPr>
          <w:sz w:val="20"/>
          <w:szCs w:val="20"/>
          <w:color w:val="auto"/>
        </w:rPr>
      </w:pPr>
      <w:r>
        <w:rPr>
          <w:rFonts w:ascii="Arial" w:cs="Arial" w:eastAsia="Arial" w:hAnsi="Arial"/>
          <w:sz w:val="17"/>
          <w:szCs w:val="17"/>
          <w:color w:val="auto"/>
        </w:rPr>
        <w:t>to calculate such amounts using key assumptions such as discount rates, inflation, long-term investment returns, mortality, employee turnover, rate of compensation increases and medical and prescription drug costs. Assumptions were determined based on company data and appropriate market indicators, and are evaluated as of the plans' measurement date. A 0.25% percent decrease in the discount rate assumption would increase annual benefit expense by an estimated $1.7 million, while a 0.25% percent decrease in the return on plan assets assumption would increase annual benefit expense by an estimated $2.8 million. A 0.25% percent increase in the discount rate assumption would decrease annual benefit expense by an estimated $1.7 million, while a 0.25% percent increase in the return on plan assets assumption would decrease annual benefit expense by an estimated $2.8 million. We recognize each plan’s funded status as an asset for overfunded plans and as a liability for unfunded or underfunded plans. Actuarial gains and losses and prior service costs are recognized and recorded in Accumulated other comprehensive loss, a component of Shareholders’ equity. The amounts recorded in Accumulated other comprehensive loss will continue to be modified as actuarial assumptions and service costs change, and all such amounts will be amortized to expense over a period of years through the net pension and net periodic benefit costs.</w:t>
      </w:r>
    </w:p>
    <w:p>
      <w:pPr>
        <w:spacing w:after="0" w:line="137"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The assumed health care cost trend rate may have a significant effect on the amounts reported. A one percentage point increase in the assumed health care cost trend rate would have increased the 2014 postretirement benefit obligation by $2.5 million and would have no material effect on total service and interest cost components. A one percentage point decrease would have decreased the 2014 postretirement benefit obligation by $2.3 million and would have no material effect on total service and interest cost components.</w:t>
      </w:r>
    </w:p>
    <w:p>
      <w:pPr>
        <w:spacing w:after="0" w:line="146"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Further information on pensions and postretirement benefits is provided in Note 9 to the Unaudited Consolidated Financial Statements entitled “Retirement and Postretirement Benefit Plans”.</w:t>
      </w:r>
    </w:p>
    <w:p>
      <w:pPr>
        <w:spacing w:after="0" w:line="130"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There have been no other material changes to these policies during the six months ended June 30, 2014. For a summary of the critical accounting policies and estimates that we used in the preparation of our Unaudited Consolidated Financial Statements, see our registration statement on Form 10 filed with the SEC.</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New Accounting Guidance</w:t>
      </w:r>
    </w:p>
    <w:p>
      <w:pPr>
        <w:spacing w:after="0" w:line="189"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See Note 2 to our Unaudited Consolidated Financial Statements entitled “Recent Accounting Pronouncements” for a discussion of recently issued accounting pronouncements.</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Reclassification</w:t>
      </w:r>
    </w:p>
    <w:p>
      <w:pPr>
        <w:spacing w:after="0" w:line="189"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6"/>
          <w:szCs w:val="16"/>
          <w:color w:val="auto"/>
        </w:rPr>
        <w:t>Subsequent to the earnings release furnished as Exhibit 99.1 to TimkenSteel’s Current Report on Form 8-K filed on July 31, 2014, TimkenSteel recorded an adjustment to reclassify certain intercompany amounts that were included in inventory in the Unaudited Consolidated Balance Sheet. As a result of the foregoing adjustment, Inventories, net and Additional paid-in capital were each reduced by $9.0 million from the amounts previously reported.</w:t>
      </w:r>
    </w:p>
    <w:p>
      <w:pPr>
        <w:spacing w:after="0" w:line="10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Forward-Looking Statements</w:t>
      </w:r>
    </w:p>
    <w:p>
      <w:pPr>
        <w:spacing w:after="0" w:line="185"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Certain statements set forth in this Form 10-Q (including our forecasts, beliefs and expectations) that are not historical in nature are “forward-looking” statements within the meaning of the Private Securities Litigation Reform Act of 1995. In particular, Management's Discussion and Analysis of Financial Condition and Results of Operations contains numerous forward-looking statements. Forward-looking statements generally will be accompanied by words such as “anticipate,” “believe,” “could,” “estimate,” “expect,” “forecast,” “outlook,” “intend,” “may,” “possible,” “potential,” “predict,” “project” or other similar words, phrases or expressions. You are cautioned not to place undue reliance on forward-looking statements, which speak only as of the date of this Form 10-Q. We caution readers that actual results may differ materially from those expressed or implied in forward-looking statements made by or on behalf of us due to a variety of factors, such as:</w:t>
      </w:r>
    </w:p>
    <w:p>
      <w:pPr>
        <w:spacing w:after="0" w:line="149" w:lineRule="exact"/>
        <w:rPr>
          <w:sz w:val="20"/>
          <w:szCs w:val="20"/>
          <w:color w:val="auto"/>
        </w:rPr>
      </w:pPr>
    </w:p>
    <w:p>
      <w:pPr>
        <w:jc w:val="both"/>
        <w:ind w:left="660" w:hanging="328"/>
        <w:spacing w:after="0" w:line="286" w:lineRule="auto"/>
        <w:tabs>
          <w:tab w:leader="none" w:pos="660" w:val="left"/>
        </w:tabs>
        <w:numPr>
          <w:ilvl w:val="0"/>
          <w:numId w:val="4"/>
        </w:numPr>
        <w:rPr>
          <w:rFonts w:ascii="Arial" w:cs="Arial" w:eastAsia="Arial" w:hAnsi="Arial"/>
          <w:sz w:val="17"/>
          <w:szCs w:val="17"/>
          <w:color w:val="auto"/>
        </w:rPr>
      </w:pPr>
      <w:r>
        <w:rPr>
          <w:rFonts w:ascii="Arial" w:cs="Arial" w:eastAsia="Arial" w:hAnsi="Arial"/>
          <w:sz w:val="17"/>
          <w:szCs w:val="17"/>
          <w:color w:val="auto"/>
        </w:rPr>
        <w:t>deterioration in world economic conditions, or in economic conditions in any of the geographic regions in which we conduct business, including additional adverse effects from global economic slowdown, terrorism or hostilities. This includes: political risks associated with the potential instability of governments and legal systems in countries in which we or our customers conduct business, and changes in currency valuations;</w:t>
      </w:r>
    </w:p>
    <w:p>
      <w:pPr>
        <w:spacing w:after="0" w:line="57" w:lineRule="exact"/>
        <w:rPr>
          <w:rFonts w:ascii="Arial" w:cs="Arial" w:eastAsia="Arial" w:hAnsi="Arial"/>
          <w:sz w:val="17"/>
          <w:szCs w:val="17"/>
          <w:color w:val="auto"/>
        </w:rPr>
      </w:pPr>
    </w:p>
    <w:p>
      <w:pPr>
        <w:jc w:val="both"/>
        <w:ind w:left="660" w:hanging="328"/>
        <w:spacing w:after="0" w:line="264"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effects of fluctuations in customer demand on sales, product mix and prices in the industries in which we operate. This includes: our ability to respond to rapid changes in customer demand, the effects of customer bankruptcies or liquidations, the impact of changes in industrial business cycles, and whether conditions of fair trade continue in the U.S. markets;</w:t>
      </w:r>
    </w:p>
    <w:p>
      <w:pPr>
        <w:spacing w:after="0" w:line="3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584" w:right="239" w:bottom="1440" w:gutter="0" w:footer="0" w:header="0"/>
        </w:sectPr>
      </w:pPr>
    </w:p>
    <w:bookmarkStart w:id="29" w:name="page30"/>
    <w:bookmarkEnd w:id="29"/>
    <w:p>
      <w:pPr>
        <w:ind w:left="328" w:hanging="328"/>
        <w:spacing w:after="0" w:line="342" w:lineRule="auto"/>
        <w:tabs>
          <w:tab w:leader="none" w:pos="328" w:val="left"/>
        </w:tabs>
        <w:numPr>
          <w:ilvl w:val="0"/>
          <w:numId w:val="5"/>
        </w:numPr>
        <w:rPr>
          <w:rFonts w:ascii="Arial" w:cs="Arial" w:eastAsia="Arial" w:hAnsi="Arial"/>
          <w:sz w:val="16"/>
          <w:szCs w:val="16"/>
          <w:color w:val="auto"/>
        </w:rPr>
      </w:pPr>
      <w:r>
        <w:rPr>
          <w:rFonts w:ascii="Arial" w:cs="Arial" w:eastAsia="Arial" w:hAnsi="Arial"/>
          <w:sz w:val="16"/>
          <w:szCs w:val="16"/>
          <w:color w:val="auto"/>
        </w:rPr>
        <w:t>competitive factors, including changes in market penetration, increasing price competition by existing or new foreign and domestic competitors, the introduction of new products by existing and new competitors, and new technology that may impact the way our products are sold or distributed;</w:t>
      </w:r>
    </w:p>
    <w:p>
      <w:pPr>
        <w:spacing w:after="0" w:line="15" w:lineRule="exact"/>
        <w:rPr>
          <w:rFonts w:ascii="Arial" w:cs="Arial" w:eastAsia="Arial" w:hAnsi="Arial"/>
          <w:sz w:val="16"/>
          <w:szCs w:val="16"/>
          <w:color w:val="auto"/>
        </w:rPr>
      </w:pPr>
    </w:p>
    <w:p>
      <w:pPr>
        <w:jc w:val="both"/>
        <w:ind w:left="328" w:hanging="328"/>
        <w:spacing w:after="0" w:line="257" w:lineRule="auto"/>
        <w:tabs>
          <w:tab w:leader="none" w:pos="328" w:val="left"/>
        </w:tabs>
        <w:numPr>
          <w:ilvl w:val="0"/>
          <w:numId w:val="5"/>
        </w:numPr>
        <w:rPr>
          <w:rFonts w:ascii="Arial" w:cs="Arial" w:eastAsia="Arial" w:hAnsi="Arial"/>
          <w:sz w:val="18"/>
          <w:szCs w:val="18"/>
          <w:color w:val="auto"/>
        </w:rPr>
      </w:pPr>
      <w:r>
        <w:rPr>
          <w:rFonts w:ascii="Arial" w:cs="Arial" w:eastAsia="Arial" w:hAnsi="Arial"/>
          <w:sz w:val="18"/>
          <w:szCs w:val="18"/>
          <w:color w:val="auto"/>
        </w:rPr>
        <w:t>changes in operating costs. This includes: the effect of changes in our manufacturing processes; changes in costs associated with varying levels of operations and manufacturing capacity; availability of raw materials and energy; our ability to mitigate the impact of fluctuations in raw materials and energy costs and the operation of our surcharge mechanism; changes in the expected costs associated with product warranty claims; changes resulting from inventory management and cost reduction initiatives and different levels of customer demands; the effects of unplanned work stoppages; and changes in the cost of labor and benefits;</w:t>
      </w:r>
    </w:p>
    <w:p>
      <w:pPr>
        <w:spacing w:after="0" w:line="80" w:lineRule="exact"/>
        <w:rPr>
          <w:rFonts w:ascii="Arial" w:cs="Arial" w:eastAsia="Arial" w:hAnsi="Arial"/>
          <w:sz w:val="18"/>
          <w:szCs w:val="18"/>
          <w:color w:val="auto"/>
        </w:rPr>
      </w:pPr>
    </w:p>
    <w:p>
      <w:pPr>
        <w:jc w:val="both"/>
        <w:ind w:left="328" w:hanging="328"/>
        <w:spacing w:after="0" w:line="286" w:lineRule="auto"/>
        <w:tabs>
          <w:tab w:leader="none" w:pos="328" w:val="left"/>
        </w:tabs>
        <w:numPr>
          <w:ilvl w:val="0"/>
          <w:numId w:val="5"/>
        </w:numPr>
        <w:rPr>
          <w:rFonts w:ascii="Arial" w:cs="Arial" w:eastAsia="Arial" w:hAnsi="Arial"/>
          <w:sz w:val="17"/>
          <w:szCs w:val="17"/>
          <w:color w:val="auto"/>
        </w:rPr>
      </w:pPr>
      <w:r>
        <w:rPr>
          <w:rFonts w:ascii="Arial" w:cs="Arial" w:eastAsia="Arial" w:hAnsi="Arial"/>
          <w:sz w:val="17"/>
          <w:szCs w:val="17"/>
          <w:color w:val="auto"/>
        </w:rPr>
        <w:t>the success of our operating plans, announced programs, initiatives and capital investments ; the ability to integrate acquired companies; the ability of acquired companies to achieve satisfactory operating results, including results being accretive to earnings; and our ability to maintain appropriate relations with unions that represent our associates in certain locations in order to avoid disruptions of business;</w:t>
      </w:r>
    </w:p>
    <w:p>
      <w:pPr>
        <w:spacing w:after="0" w:line="57" w:lineRule="exact"/>
        <w:rPr>
          <w:rFonts w:ascii="Arial" w:cs="Arial" w:eastAsia="Arial" w:hAnsi="Arial"/>
          <w:sz w:val="17"/>
          <w:szCs w:val="17"/>
          <w:color w:val="auto"/>
        </w:rPr>
      </w:pPr>
    </w:p>
    <w:p>
      <w:pPr>
        <w:ind w:left="328" w:hanging="328"/>
        <w:spacing w:after="0" w:line="277" w:lineRule="auto"/>
        <w:tabs>
          <w:tab w:leader="none" w:pos="328" w:val="left"/>
        </w:tabs>
        <w:numPr>
          <w:ilvl w:val="0"/>
          <w:numId w:val="5"/>
        </w:numPr>
        <w:rPr>
          <w:rFonts w:ascii="Arial" w:cs="Arial" w:eastAsia="Arial" w:hAnsi="Arial"/>
          <w:sz w:val="18"/>
          <w:szCs w:val="18"/>
          <w:color w:val="auto"/>
        </w:rPr>
      </w:pPr>
      <w:r>
        <w:rPr>
          <w:rFonts w:ascii="Arial" w:cs="Arial" w:eastAsia="Arial" w:hAnsi="Arial"/>
          <w:sz w:val="18"/>
          <w:szCs w:val="18"/>
          <w:color w:val="auto"/>
        </w:rPr>
        <w:t>unanticipated litigation, claims or assessments. This includes: claims or problems related to intellectual property, product liability or warranty, environmental issues and taxes;</w:t>
      </w:r>
    </w:p>
    <w:p>
      <w:pPr>
        <w:spacing w:after="0" w:line="62" w:lineRule="exact"/>
        <w:rPr>
          <w:rFonts w:ascii="Arial" w:cs="Arial" w:eastAsia="Arial" w:hAnsi="Arial"/>
          <w:sz w:val="18"/>
          <w:szCs w:val="18"/>
          <w:color w:val="auto"/>
        </w:rPr>
      </w:pPr>
    </w:p>
    <w:p>
      <w:pPr>
        <w:jc w:val="both"/>
        <w:ind w:left="328" w:hanging="328"/>
        <w:spacing w:after="0" w:line="264" w:lineRule="auto"/>
        <w:tabs>
          <w:tab w:leader="none" w:pos="328" w:val="left"/>
        </w:tabs>
        <w:numPr>
          <w:ilvl w:val="0"/>
          <w:numId w:val="5"/>
        </w:numPr>
        <w:rPr>
          <w:rFonts w:ascii="Arial" w:cs="Arial" w:eastAsia="Arial" w:hAnsi="Arial"/>
          <w:sz w:val="18"/>
          <w:szCs w:val="18"/>
          <w:color w:val="auto"/>
        </w:rPr>
      </w:pPr>
      <w:r>
        <w:rPr>
          <w:rFonts w:ascii="Arial" w:cs="Arial" w:eastAsia="Arial" w:hAnsi="Arial"/>
          <w:sz w:val="18"/>
          <w:szCs w:val="18"/>
          <w:color w:val="auto"/>
        </w:rPr>
        <w:t>changes in worldwide financial markets, including availability of financing and interest rates, which affect: our cost of funds and/or ability to raise capital; our pension obligations and investment performance; and/or customer demand and the ability of customers to obtain financing to purchase our products or equipment that contain our products; and</w:t>
      </w:r>
    </w:p>
    <w:p>
      <w:pPr>
        <w:spacing w:after="0" w:line="73" w:lineRule="exact"/>
        <w:rPr>
          <w:rFonts w:ascii="Arial" w:cs="Arial" w:eastAsia="Arial" w:hAnsi="Arial"/>
          <w:sz w:val="18"/>
          <w:szCs w:val="18"/>
          <w:color w:val="auto"/>
        </w:rPr>
      </w:pPr>
    </w:p>
    <w:p>
      <w:pPr>
        <w:ind w:left="328" w:hanging="328"/>
        <w:spacing w:after="0"/>
        <w:tabs>
          <w:tab w:leader="none" w:pos="328" w:val="left"/>
        </w:tabs>
        <w:numPr>
          <w:ilvl w:val="0"/>
          <w:numId w:val="5"/>
        </w:numPr>
        <w:rPr>
          <w:rFonts w:ascii="Arial" w:cs="Arial" w:eastAsia="Arial" w:hAnsi="Arial"/>
          <w:sz w:val="18"/>
          <w:szCs w:val="18"/>
          <w:color w:val="auto"/>
        </w:rPr>
      </w:pPr>
      <w:r>
        <w:rPr>
          <w:rFonts w:ascii="Arial" w:cs="Arial" w:eastAsia="Arial" w:hAnsi="Arial"/>
          <w:sz w:val="18"/>
          <w:szCs w:val="18"/>
          <w:color w:val="auto"/>
        </w:rPr>
        <w:t>those items identified under “Risk Factors” in our registration statement on Form 10 filed with the SEC.</w:t>
      </w: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jc w:val="center"/>
        <w:ind w:right="312"/>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088"/>
          </w:cols>
          <w:pgMar w:left="572" w:top="584" w:right="239" w:bottom="1440" w:gutter="0" w:footer="0" w:header="0"/>
        </w:sectPr>
      </w:pPr>
    </w:p>
    <w:bookmarkStart w:id="30" w:name="page31"/>
    <w:bookmarkEnd w:id="30"/>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Interest Rate Risk</w:t>
      </w:r>
    </w:p>
    <w:p>
      <w:pPr>
        <w:spacing w:after="0" w:line="189"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Our borrowings consist entirely of variable-rate debt, principally our revolving credit facility. We are exposed to the risk of rising interest rates to the extent that we fund our operations with these variable-rate borrowings. As of June 30, 2014, we have $130.2 million of aggregate debt outstanding, all of which consists of debt with variable interest rates. Based on the amount of debt with variable-rate interest outstanding at the time of the completion of the spinoff, a 1% rise in interest rates would result in an increase in interest expense of approximately $1.3 million annually, with a corresponding decrease in income from operations before income taxes of the same amount.</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Currency Exchange Rate Risk</w:t>
      </w:r>
    </w:p>
    <w:p>
      <w:pPr>
        <w:spacing w:after="0" w:line="18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Fluctuations in the value of the U.S. dollar compared to foreign currencies may impact our earnings. Geographically, our sales are primarily made to customers in the United States. Currency fluctuations could impact us to the extent they impact the currency or the price of raw materials in foreign countries in which our competitors operate or have significant sales.</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Commodity Price Risk</w:t>
      </w:r>
    </w:p>
    <w:p>
      <w:pPr>
        <w:spacing w:after="0" w:line="189"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7"/>
          <w:szCs w:val="17"/>
          <w:color w:val="auto"/>
        </w:rPr>
        <w:t>In the ordinary course of business, we are exposed to market risk with respect to commodity price fluctuations, primarily related to our purchases of raw materials and energy, principally scrap steel, other ferrous and non-ferrous metals, alloys and natural gas. Whenever possible, we manage our exposure to commodity risks primarily through the use of supplier pricing agreements that enable us to establish the purchase prices for certain inputs that are used in our manufacturing business. We utilize a raw material surcharge as a component of pricing steel to pass through the cost increases of scrap, alloys and other raw materials, as well as natural gas. From time to time, we also use derivative financial instruments to hedge a portion of our exposure to price risk related to natural gas purchases. In periods of stable demand for our products, the surcharge mechanism has worked effectively to reduce the normal time lag in passing through higher raw material costs so that we can maintain our gross margins. When demand and cost of raw materials is lower, however, the surcharge impacts sales prices to a lesser extent. We may also use derivative financial instruments from time to time to hedge a portion of our exposure to price risk related to electricity costs used in the production process.</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229" w:lineRule="exact"/>
        <w:rPr>
          <w:sz w:val="20"/>
          <w:szCs w:val="20"/>
          <w:color w:val="auto"/>
        </w:rPr>
      </w:pPr>
    </w:p>
    <w:p>
      <w:pPr>
        <w:ind w:left="660" w:hanging="328"/>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Disclosure Controls and Procedures</w:t>
      </w:r>
    </w:p>
    <w:p>
      <w:pPr>
        <w:spacing w:after="0" w:line="225" w:lineRule="exact"/>
        <w:rPr>
          <w:rFonts w:ascii="Arial" w:cs="Arial" w:eastAsia="Arial" w:hAnsi="Arial"/>
          <w:sz w:val="18"/>
          <w:szCs w:val="18"/>
          <w:color w:val="auto"/>
        </w:rPr>
      </w:pPr>
    </w:p>
    <w:p>
      <w:pPr>
        <w:jc w:val="both"/>
        <w:ind w:left="660"/>
        <w:spacing w:after="0" w:line="257" w:lineRule="auto"/>
        <w:rPr>
          <w:rFonts w:ascii="Arial" w:cs="Arial" w:eastAsia="Arial" w:hAnsi="Arial"/>
          <w:sz w:val="18"/>
          <w:szCs w:val="18"/>
          <w:color w:val="auto"/>
        </w:rPr>
      </w:pPr>
      <w:r>
        <w:rPr>
          <w:rFonts w:ascii="Arial" w:cs="Arial" w:eastAsia="Arial" w:hAnsi="Arial"/>
          <w:sz w:val="18"/>
          <w:szCs w:val="18"/>
          <w:color w:val="auto"/>
        </w:rPr>
        <w:t>As of the end of the period covered by this quarterly report, we carried out an evaluation, under the supervision and with the participation of our management, including our principal executive officer and principal financial officer, of the effectiveness of the design and operation of our disclosure controls and procedures (as defined in Exchange Act Rule 13a-15(e)). Based upon that evaluation, the principal executive officer and principal financial officer concluded that our disclosure controls and procedures were effective as of the end of the period covered by this quarterly report.</w:t>
      </w:r>
    </w:p>
    <w:p>
      <w:pPr>
        <w:spacing w:after="0" w:line="188" w:lineRule="exact"/>
        <w:rPr>
          <w:rFonts w:ascii="Arial" w:cs="Arial" w:eastAsia="Arial" w:hAnsi="Arial"/>
          <w:sz w:val="18"/>
          <w:szCs w:val="18"/>
          <w:color w:val="auto"/>
        </w:rPr>
      </w:pPr>
    </w:p>
    <w:p>
      <w:pPr>
        <w:ind w:left="660" w:hanging="328"/>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Changes in Internal Control Over Financial Reporting</w:t>
      </w:r>
    </w:p>
    <w:p>
      <w:pPr>
        <w:spacing w:after="0" w:line="225" w:lineRule="exact"/>
        <w:rPr>
          <w:rFonts w:ascii="Arial" w:cs="Arial" w:eastAsia="Arial" w:hAnsi="Arial"/>
          <w:sz w:val="18"/>
          <w:szCs w:val="18"/>
          <w:color w:val="auto"/>
        </w:rPr>
      </w:pPr>
    </w:p>
    <w:p>
      <w:pPr>
        <w:jc w:val="both"/>
        <w:ind w:left="660"/>
        <w:spacing w:after="0" w:line="254" w:lineRule="auto"/>
        <w:rPr>
          <w:rFonts w:ascii="Arial" w:cs="Arial" w:eastAsia="Arial" w:hAnsi="Arial"/>
          <w:sz w:val="18"/>
          <w:szCs w:val="18"/>
          <w:color w:val="auto"/>
        </w:rPr>
      </w:pPr>
      <w:r>
        <w:rPr>
          <w:rFonts w:ascii="Arial" w:cs="Arial" w:eastAsia="Arial" w:hAnsi="Arial"/>
          <w:sz w:val="18"/>
          <w:szCs w:val="18"/>
          <w:color w:val="auto"/>
        </w:rPr>
        <w:t>Before the spinoff, we relied on certain financial information and resources of Timken to manage aspects of our business and to report financial results. In anticipation of the spinoff, several areas of internal control over financial reporting changed. New corporate and oversight functions have been implemented, such as external financial reporting, legal, Board of Directors and treasury functions. Functions such as tax, accounting and human resources have also been enhanced to include corporate-level activities previously performed by Timken and to meet all regulatory requirements for a stand-alone company. Controls and procedures related to these new functions have been, or are in the process of being, implemented. Additionally, we entered into a transition services agreement with Timken on June 30, 2014, pursuant to which Timken agreed to provide us certain information technology, accounting and other resource planning services to facilitate certain accounting and reporting functions after the spinoff.</w:t>
      </w: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20"/>
          </w:cols>
          <w:pgMar w:left="240" w:top="580" w:right="239" w:bottom="1440" w:gutter="0" w:footer="0" w:header="0"/>
        </w:sectPr>
      </w:pPr>
    </w:p>
    <w:bookmarkStart w:id="31" w:name="page32"/>
    <w:bookmarkEnd w:id="31"/>
    <w:p>
      <w:pPr>
        <w:spacing w:after="0"/>
        <w:rPr>
          <w:sz w:val="20"/>
          <w:szCs w:val="20"/>
          <w:color w:val="auto"/>
        </w:rPr>
      </w:pPr>
      <w:r>
        <w:rPr>
          <w:rFonts w:ascii="Arial" w:cs="Arial" w:eastAsia="Arial" w:hAnsi="Arial"/>
          <w:sz w:val="18"/>
          <w:szCs w:val="18"/>
          <w:b w:val="1"/>
          <w:bCs w:val="1"/>
          <w:color w:val="auto"/>
        </w:rPr>
        <w:t>PART II. OTHER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229" w:lineRule="exact"/>
        <w:rPr>
          <w:sz w:val="20"/>
          <w:szCs w:val="20"/>
          <w:color w:val="auto"/>
        </w:rPr>
      </w:pPr>
    </w:p>
    <w:p>
      <w:pPr>
        <w:ind w:right="20" w:firstLine="648"/>
        <w:spacing w:after="0" w:line="308" w:lineRule="auto"/>
        <w:rPr>
          <w:sz w:val="20"/>
          <w:szCs w:val="20"/>
          <w:color w:val="auto"/>
        </w:rPr>
      </w:pPr>
      <w:r>
        <w:rPr>
          <w:rFonts w:ascii="Arial" w:cs="Arial" w:eastAsia="Arial" w:hAnsi="Arial"/>
          <w:sz w:val="17"/>
          <w:szCs w:val="17"/>
          <w:color w:val="auto"/>
        </w:rPr>
        <w:t>We are involved in various claims and legal actions arising in the ordinary course of business. In the opinion of our management, the ultimate disposition of these matters will not have a material adverse effect on our consolidated financial position, results of operations or cash flows.</w:t>
      </w:r>
    </w:p>
    <w:p>
      <w:pPr>
        <w:spacing w:after="0" w:line="3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229" w:lineRule="exact"/>
        <w:rPr>
          <w:sz w:val="20"/>
          <w:szCs w:val="20"/>
          <w:color w:val="auto"/>
        </w:rPr>
      </w:pPr>
    </w:p>
    <w:p>
      <w:pPr>
        <w:ind w:firstLine="648"/>
        <w:spacing w:after="0" w:line="308" w:lineRule="auto"/>
        <w:rPr>
          <w:sz w:val="20"/>
          <w:szCs w:val="20"/>
          <w:color w:val="auto"/>
        </w:rPr>
      </w:pPr>
      <w:r>
        <w:rPr>
          <w:rFonts w:ascii="Arial" w:cs="Arial" w:eastAsia="Arial" w:hAnsi="Arial"/>
          <w:sz w:val="17"/>
          <w:szCs w:val="17"/>
          <w:color w:val="auto"/>
        </w:rPr>
        <w:t>We are subject to various risks and uncertainties in the course of our business. The discussion of such risks and uncertainties may be found under “Risk Factors” in our registration statement on Form 10 filed with the SEC. There have been no material changes to such risk factors.</w:t>
      </w:r>
    </w:p>
    <w:p>
      <w:pPr>
        <w:spacing w:after="0" w:line="31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260" w:type="dxa"/>
            <w:vAlign w:val="bottom"/>
            <w:gridSpan w:val="2"/>
          </w:tcPr>
          <w:p>
            <w:pPr>
              <w:spacing w:after="0"/>
              <w:rPr>
                <w:sz w:val="20"/>
                <w:szCs w:val="20"/>
                <w:color w:val="auto"/>
              </w:rPr>
            </w:pPr>
            <w:r>
              <w:rPr>
                <w:rFonts w:ascii="Arial" w:cs="Arial" w:eastAsia="Arial" w:hAnsi="Arial"/>
                <w:sz w:val="18"/>
                <w:szCs w:val="18"/>
                <w:b w:val="1"/>
                <w:bCs w:val="1"/>
                <w:color w:val="auto"/>
                <w:w w:val="93"/>
              </w:rPr>
              <w:t>Item 6. Exhibits</w:t>
            </w:r>
          </w:p>
        </w:tc>
        <w:tc>
          <w:tcPr>
            <w:tcW w:w="10160" w:type="dxa"/>
            <w:vAlign w:val="bottom"/>
          </w:tcPr>
          <w:p>
            <w:pPr>
              <w:spacing w:after="0"/>
              <w:rPr>
                <w:sz w:val="20"/>
                <w:szCs w:val="20"/>
                <w:color w:val="auto"/>
              </w:rPr>
            </w:pPr>
          </w:p>
        </w:tc>
      </w:tr>
      <w:tr>
        <w:trPr>
          <w:trHeight w:val="360"/>
        </w:trPr>
        <w:tc>
          <w:tcPr>
            <w:tcW w:w="126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3"/>
              </w:rPr>
              <w:t>Exhibit</w:t>
            </w:r>
          </w:p>
        </w:tc>
        <w:tc>
          <w:tcPr>
            <w:tcW w:w="10160" w:type="dxa"/>
            <w:vAlign w:val="bottom"/>
          </w:tcPr>
          <w:p>
            <w:pPr>
              <w:spacing w:after="0"/>
              <w:rPr>
                <w:sz w:val="24"/>
                <w:szCs w:val="24"/>
                <w:color w:val="auto"/>
              </w:rPr>
            </w:pPr>
          </w:p>
        </w:tc>
      </w:tr>
      <w:tr>
        <w:trPr>
          <w:trHeight w:val="234"/>
        </w:trPr>
        <w:tc>
          <w:tcPr>
            <w:tcW w:w="126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4"/>
              </w:rPr>
              <w:t>Number</w:t>
            </w:r>
          </w:p>
        </w:tc>
        <w:tc>
          <w:tcPr>
            <w:tcW w:w="10160" w:type="dxa"/>
            <w:vAlign w:val="bottom"/>
          </w:tcPr>
          <w:p>
            <w:pPr>
              <w:ind w:left="40"/>
              <w:spacing w:after="0"/>
              <w:rPr>
                <w:sz w:val="20"/>
                <w:szCs w:val="20"/>
                <w:color w:val="auto"/>
              </w:rPr>
            </w:pPr>
            <w:r>
              <w:rPr>
                <w:rFonts w:ascii="Arial" w:cs="Arial" w:eastAsia="Arial" w:hAnsi="Arial"/>
                <w:sz w:val="18"/>
                <w:szCs w:val="18"/>
                <w:b w:val="1"/>
                <w:bCs w:val="1"/>
                <w:color w:val="auto"/>
              </w:rPr>
              <w:t>Exhibit Description</w:t>
            </w:r>
          </w:p>
        </w:tc>
      </w:tr>
      <w:tr>
        <w:trPr>
          <w:trHeight w:val="27"/>
        </w:trPr>
        <w:tc>
          <w:tcPr>
            <w:tcW w:w="11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0160" w:type="dxa"/>
            <w:vAlign w:val="bottom"/>
            <w:tcBorders>
              <w:bottom w:val="single" w:sz="8" w:color="auto"/>
            </w:tcBorders>
          </w:tcPr>
          <w:p>
            <w:pPr>
              <w:spacing w:after="0"/>
              <w:rPr>
                <w:sz w:val="2"/>
                <w:szCs w:val="2"/>
                <w:color w:val="auto"/>
              </w:rPr>
            </w:pPr>
          </w:p>
        </w:tc>
      </w:tr>
      <w:tr>
        <w:trPr>
          <w:trHeight w:val="237"/>
        </w:trPr>
        <w:tc>
          <w:tcPr>
            <w:tcW w:w="1260" w:type="dxa"/>
            <w:vAlign w:val="bottom"/>
            <w:gridSpan w:val="2"/>
          </w:tcPr>
          <w:p>
            <w:pPr>
              <w:jc w:val="center"/>
              <w:ind w:right="100"/>
              <w:spacing w:after="0"/>
              <w:rPr>
                <w:sz w:val="20"/>
                <w:szCs w:val="20"/>
                <w:color w:val="auto"/>
              </w:rPr>
            </w:pPr>
            <w:r>
              <w:rPr>
                <w:rFonts w:ascii="Arial" w:cs="Arial" w:eastAsia="Arial" w:hAnsi="Arial"/>
                <w:sz w:val="18"/>
                <w:szCs w:val="18"/>
                <w:color w:val="auto"/>
                <w:w w:val="91"/>
              </w:rPr>
              <w:t>2.1†</w:t>
            </w:r>
          </w:p>
        </w:tc>
        <w:tc>
          <w:tcPr>
            <w:tcW w:w="10160" w:type="dxa"/>
            <w:vAlign w:val="bottom"/>
          </w:tcPr>
          <w:p>
            <w:pPr>
              <w:ind w:left="40"/>
              <w:spacing w:after="0"/>
              <w:rPr>
                <w:sz w:val="20"/>
                <w:szCs w:val="20"/>
                <w:color w:val="auto"/>
              </w:rPr>
            </w:pPr>
            <w:r>
              <w:rPr>
                <w:rFonts w:ascii="Arial" w:cs="Arial" w:eastAsia="Arial" w:hAnsi="Arial"/>
                <w:sz w:val="18"/>
                <w:szCs w:val="18"/>
                <w:color w:val="auto"/>
                <w:w w:val="92"/>
              </w:rPr>
              <w:t>Separation and Distribution Agreement, dated as of June 30, 2014, by and between TimkenSteel Corporation and The Timken Company.</w:t>
            </w:r>
          </w:p>
        </w:tc>
      </w:tr>
      <w:tr>
        <w:trPr>
          <w:trHeight w:val="256"/>
        </w:trPr>
        <w:tc>
          <w:tcPr>
            <w:tcW w:w="1160" w:type="dxa"/>
            <w:vAlign w:val="bottom"/>
          </w:tcPr>
          <w:p>
            <w:pPr>
              <w:jc w:val="center"/>
              <w:spacing w:after="0"/>
              <w:rPr>
                <w:sz w:val="20"/>
                <w:szCs w:val="20"/>
                <w:color w:val="auto"/>
              </w:rPr>
            </w:pPr>
            <w:r>
              <w:rPr>
                <w:rFonts w:ascii="Arial" w:cs="Arial" w:eastAsia="Arial" w:hAnsi="Arial"/>
                <w:sz w:val="18"/>
                <w:szCs w:val="18"/>
                <w:color w:val="auto"/>
                <w:w w:val="95"/>
              </w:rPr>
              <w:t>3.1</w:t>
            </w:r>
          </w:p>
        </w:tc>
        <w:tc>
          <w:tcPr>
            <w:tcW w:w="100" w:type="dxa"/>
            <w:vAlign w:val="bottom"/>
          </w:tcPr>
          <w:p>
            <w:pPr>
              <w:spacing w:after="0"/>
              <w:rPr>
                <w:sz w:val="22"/>
                <w:szCs w:val="22"/>
                <w:color w:val="auto"/>
              </w:rPr>
            </w:pPr>
          </w:p>
        </w:tc>
        <w:tc>
          <w:tcPr>
            <w:tcW w:w="10160" w:type="dxa"/>
            <w:vAlign w:val="bottom"/>
          </w:tcPr>
          <w:p>
            <w:pPr>
              <w:ind w:left="40"/>
              <w:spacing w:after="0"/>
              <w:rPr>
                <w:sz w:val="20"/>
                <w:szCs w:val="20"/>
                <w:color w:val="auto"/>
              </w:rPr>
            </w:pPr>
            <w:r>
              <w:rPr>
                <w:rFonts w:ascii="Arial" w:cs="Arial" w:eastAsia="Arial" w:hAnsi="Arial"/>
                <w:sz w:val="18"/>
                <w:szCs w:val="18"/>
                <w:color w:val="auto"/>
                <w:w w:val="93"/>
              </w:rPr>
              <w:t>Amended and Restated Articles of Incorporation of TimkenSteel Corporation (incorporated by reference to Exhibit 3.1 to the Company’s</w:t>
            </w:r>
          </w:p>
        </w:tc>
      </w:tr>
      <w:tr>
        <w:trPr>
          <w:trHeight w:val="230"/>
        </w:trPr>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160" w:type="dxa"/>
            <w:vAlign w:val="bottom"/>
          </w:tcPr>
          <w:p>
            <w:pPr>
              <w:ind w:left="40"/>
              <w:spacing w:after="0"/>
              <w:rPr>
                <w:sz w:val="20"/>
                <w:szCs w:val="20"/>
                <w:color w:val="auto"/>
              </w:rPr>
            </w:pPr>
            <w:r>
              <w:rPr>
                <w:rFonts w:ascii="Arial" w:cs="Arial" w:eastAsia="Arial" w:hAnsi="Arial"/>
                <w:sz w:val="18"/>
                <w:szCs w:val="18"/>
                <w:color w:val="auto"/>
              </w:rPr>
              <w:t>Current Report on Form 8-K filed on June 13, 2014, File No. 001-36313)</w:t>
            </w:r>
          </w:p>
        </w:tc>
      </w:tr>
      <w:tr>
        <w:trPr>
          <w:trHeight w:val="256"/>
        </w:trPr>
        <w:tc>
          <w:tcPr>
            <w:tcW w:w="1160" w:type="dxa"/>
            <w:vAlign w:val="bottom"/>
          </w:tcPr>
          <w:p>
            <w:pPr>
              <w:jc w:val="center"/>
              <w:spacing w:after="0"/>
              <w:rPr>
                <w:sz w:val="20"/>
                <w:szCs w:val="20"/>
                <w:color w:val="auto"/>
              </w:rPr>
            </w:pPr>
            <w:r>
              <w:rPr>
                <w:rFonts w:ascii="Arial" w:cs="Arial" w:eastAsia="Arial" w:hAnsi="Arial"/>
                <w:sz w:val="18"/>
                <w:szCs w:val="18"/>
                <w:color w:val="auto"/>
                <w:w w:val="95"/>
              </w:rPr>
              <w:t>3.2</w:t>
            </w:r>
          </w:p>
        </w:tc>
        <w:tc>
          <w:tcPr>
            <w:tcW w:w="100" w:type="dxa"/>
            <w:vAlign w:val="bottom"/>
          </w:tcPr>
          <w:p>
            <w:pPr>
              <w:spacing w:after="0"/>
              <w:rPr>
                <w:sz w:val="22"/>
                <w:szCs w:val="22"/>
                <w:color w:val="auto"/>
              </w:rPr>
            </w:pPr>
          </w:p>
        </w:tc>
        <w:tc>
          <w:tcPr>
            <w:tcW w:w="10160" w:type="dxa"/>
            <w:vAlign w:val="bottom"/>
          </w:tcPr>
          <w:p>
            <w:pPr>
              <w:ind w:left="40"/>
              <w:spacing w:after="0"/>
              <w:rPr>
                <w:sz w:val="20"/>
                <w:szCs w:val="20"/>
                <w:color w:val="auto"/>
              </w:rPr>
            </w:pPr>
            <w:r>
              <w:rPr>
                <w:rFonts w:ascii="Arial" w:cs="Arial" w:eastAsia="Arial" w:hAnsi="Arial"/>
                <w:sz w:val="18"/>
                <w:szCs w:val="18"/>
                <w:color w:val="auto"/>
                <w:w w:val="98"/>
              </w:rPr>
              <w:t>Code of Regulations of TimkenSteel Corporation (incorporated by reference to Exhibit 3.2 of Amendment No. 3 to the Company’s</w:t>
            </w:r>
          </w:p>
        </w:tc>
      </w:tr>
      <w:tr>
        <w:trPr>
          <w:trHeight w:val="230"/>
        </w:trPr>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160" w:type="dxa"/>
            <w:vAlign w:val="bottom"/>
          </w:tcPr>
          <w:p>
            <w:pPr>
              <w:ind w:left="40"/>
              <w:spacing w:after="0"/>
              <w:rPr>
                <w:sz w:val="20"/>
                <w:szCs w:val="20"/>
                <w:color w:val="auto"/>
              </w:rPr>
            </w:pPr>
            <w:r>
              <w:rPr>
                <w:rFonts w:ascii="Arial" w:cs="Arial" w:eastAsia="Arial" w:hAnsi="Arial"/>
                <w:sz w:val="18"/>
                <w:szCs w:val="18"/>
                <w:color w:val="auto"/>
              </w:rPr>
              <w:t>Registration Statement on Form 10, File No. 001-36313).</w:t>
            </w:r>
          </w:p>
        </w:tc>
      </w:tr>
      <w:tr>
        <w:trPr>
          <w:trHeight w:val="270"/>
        </w:trPr>
        <w:tc>
          <w:tcPr>
            <w:tcW w:w="1260" w:type="dxa"/>
            <w:vAlign w:val="bottom"/>
            <w:gridSpan w:val="2"/>
          </w:tcPr>
          <w:p>
            <w:pPr>
              <w:jc w:val="center"/>
              <w:ind w:right="100"/>
              <w:spacing w:after="0"/>
              <w:rPr>
                <w:sz w:val="20"/>
                <w:szCs w:val="20"/>
                <w:color w:val="auto"/>
              </w:rPr>
            </w:pPr>
            <w:r>
              <w:rPr>
                <w:rFonts w:ascii="Arial" w:cs="Arial" w:eastAsia="Arial" w:hAnsi="Arial"/>
                <w:sz w:val="18"/>
                <w:szCs w:val="18"/>
                <w:color w:val="auto"/>
                <w:w w:val="88"/>
              </w:rPr>
              <w:t>10.1†</w:t>
            </w:r>
          </w:p>
        </w:tc>
        <w:tc>
          <w:tcPr>
            <w:tcW w:w="10160" w:type="dxa"/>
            <w:vAlign w:val="bottom"/>
          </w:tcPr>
          <w:p>
            <w:pPr>
              <w:ind w:left="40"/>
              <w:spacing w:after="0"/>
              <w:rPr>
                <w:sz w:val="20"/>
                <w:szCs w:val="20"/>
                <w:color w:val="auto"/>
              </w:rPr>
            </w:pPr>
            <w:r>
              <w:rPr>
                <w:rFonts w:ascii="Arial" w:cs="Arial" w:eastAsia="Arial" w:hAnsi="Arial"/>
                <w:sz w:val="18"/>
                <w:szCs w:val="18"/>
                <w:color w:val="auto"/>
              </w:rPr>
              <w:t>Tax Sharing Agreement, dated as of June 30, 2014, by and between TimkenSteel Corporation and The Timken Company.</w:t>
            </w:r>
          </w:p>
        </w:tc>
      </w:tr>
      <w:tr>
        <w:trPr>
          <w:trHeight w:val="270"/>
        </w:trPr>
        <w:tc>
          <w:tcPr>
            <w:tcW w:w="1260" w:type="dxa"/>
            <w:vAlign w:val="bottom"/>
            <w:gridSpan w:val="2"/>
          </w:tcPr>
          <w:p>
            <w:pPr>
              <w:jc w:val="center"/>
              <w:ind w:right="100"/>
              <w:spacing w:after="0"/>
              <w:rPr>
                <w:sz w:val="20"/>
                <w:szCs w:val="20"/>
                <w:color w:val="auto"/>
              </w:rPr>
            </w:pPr>
            <w:r>
              <w:rPr>
                <w:rFonts w:ascii="Arial" w:cs="Arial" w:eastAsia="Arial" w:hAnsi="Arial"/>
                <w:sz w:val="18"/>
                <w:szCs w:val="18"/>
                <w:color w:val="auto"/>
                <w:w w:val="88"/>
              </w:rPr>
              <w:t>10.2†</w:t>
            </w:r>
          </w:p>
        </w:tc>
        <w:tc>
          <w:tcPr>
            <w:tcW w:w="10160" w:type="dxa"/>
            <w:vAlign w:val="bottom"/>
          </w:tcPr>
          <w:p>
            <w:pPr>
              <w:ind w:left="40"/>
              <w:spacing w:after="0"/>
              <w:rPr>
                <w:sz w:val="20"/>
                <w:szCs w:val="20"/>
                <w:color w:val="auto"/>
              </w:rPr>
            </w:pPr>
            <w:r>
              <w:rPr>
                <w:rFonts w:ascii="Arial" w:cs="Arial" w:eastAsia="Arial" w:hAnsi="Arial"/>
                <w:sz w:val="18"/>
                <w:szCs w:val="18"/>
                <w:color w:val="auto"/>
                <w:w w:val="99"/>
              </w:rPr>
              <w:t>Employee Matters Agreement, dated as of June 30, 2014, by and between TimkenSteel Corporation and The Timken Company.</w:t>
            </w:r>
          </w:p>
        </w:tc>
      </w:tr>
      <w:tr>
        <w:trPr>
          <w:trHeight w:val="270"/>
        </w:trPr>
        <w:tc>
          <w:tcPr>
            <w:tcW w:w="1260" w:type="dxa"/>
            <w:vAlign w:val="bottom"/>
            <w:gridSpan w:val="2"/>
          </w:tcPr>
          <w:p>
            <w:pPr>
              <w:jc w:val="center"/>
              <w:ind w:right="100"/>
              <w:spacing w:after="0"/>
              <w:rPr>
                <w:sz w:val="20"/>
                <w:szCs w:val="20"/>
                <w:color w:val="auto"/>
              </w:rPr>
            </w:pPr>
            <w:r>
              <w:rPr>
                <w:rFonts w:ascii="Arial" w:cs="Arial" w:eastAsia="Arial" w:hAnsi="Arial"/>
                <w:sz w:val="18"/>
                <w:szCs w:val="18"/>
                <w:color w:val="auto"/>
                <w:w w:val="88"/>
              </w:rPr>
              <w:t>10.3†</w:t>
            </w:r>
          </w:p>
        </w:tc>
        <w:tc>
          <w:tcPr>
            <w:tcW w:w="10160" w:type="dxa"/>
            <w:vAlign w:val="bottom"/>
          </w:tcPr>
          <w:p>
            <w:pPr>
              <w:ind w:left="40"/>
              <w:spacing w:after="0"/>
              <w:rPr>
                <w:sz w:val="20"/>
                <w:szCs w:val="20"/>
                <w:color w:val="auto"/>
              </w:rPr>
            </w:pPr>
            <w:r>
              <w:rPr>
                <w:rFonts w:ascii="Arial" w:cs="Arial" w:eastAsia="Arial" w:hAnsi="Arial"/>
                <w:sz w:val="18"/>
                <w:szCs w:val="18"/>
                <w:color w:val="auto"/>
                <w:w w:val="98"/>
              </w:rPr>
              <w:t>Transition Services Agreement, dated as of June 30, 2014, by and between TimkenSteel Corporation and The Timken Company.</w:t>
            </w:r>
          </w:p>
        </w:tc>
      </w:tr>
      <w:tr>
        <w:trPr>
          <w:trHeight w:val="270"/>
        </w:trPr>
        <w:tc>
          <w:tcPr>
            <w:tcW w:w="1260" w:type="dxa"/>
            <w:vAlign w:val="bottom"/>
            <w:gridSpan w:val="2"/>
          </w:tcPr>
          <w:p>
            <w:pPr>
              <w:jc w:val="center"/>
              <w:ind w:right="100"/>
              <w:spacing w:after="0"/>
              <w:rPr>
                <w:sz w:val="20"/>
                <w:szCs w:val="20"/>
                <w:color w:val="auto"/>
              </w:rPr>
            </w:pPr>
            <w:r>
              <w:rPr>
                <w:rFonts w:ascii="Arial" w:cs="Arial" w:eastAsia="Arial" w:hAnsi="Arial"/>
                <w:sz w:val="18"/>
                <w:szCs w:val="18"/>
                <w:color w:val="auto"/>
                <w:w w:val="88"/>
              </w:rPr>
              <w:t>10.4†</w:t>
            </w:r>
          </w:p>
        </w:tc>
        <w:tc>
          <w:tcPr>
            <w:tcW w:w="10160" w:type="dxa"/>
            <w:vAlign w:val="bottom"/>
          </w:tcPr>
          <w:p>
            <w:pPr>
              <w:ind w:left="40"/>
              <w:spacing w:after="0"/>
              <w:rPr>
                <w:sz w:val="20"/>
                <w:szCs w:val="20"/>
                <w:color w:val="auto"/>
              </w:rPr>
            </w:pPr>
            <w:r>
              <w:rPr>
                <w:rFonts w:ascii="Arial" w:cs="Arial" w:eastAsia="Arial" w:hAnsi="Arial"/>
                <w:sz w:val="18"/>
                <w:szCs w:val="18"/>
                <w:color w:val="auto"/>
                <w:w w:val="98"/>
              </w:rPr>
              <w:t>Trademark License Agreement, dated as of June 30, 2014, by and between TimkenSteel Corporation and The Timken Company.</w:t>
            </w:r>
          </w:p>
        </w:tc>
      </w:tr>
      <w:tr>
        <w:trPr>
          <w:trHeight w:val="270"/>
        </w:trPr>
        <w:tc>
          <w:tcPr>
            <w:tcW w:w="1260" w:type="dxa"/>
            <w:vAlign w:val="bottom"/>
            <w:gridSpan w:val="2"/>
          </w:tcPr>
          <w:p>
            <w:pPr>
              <w:jc w:val="center"/>
              <w:ind w:right="100"/>
              <w:spacing w:after="0"/>
              <w:rPr>
                <w:sz w:val="20"/>
                <w:szCs w:val="20"/>
                <w:color w:val="auto"/>
              </w:rPr>
            </w:pPr>
            <w:r>
              <w:rPr>
                <w:rFonts w:ascii="Arial" w:cs="Arial" w:eastAsia="Arial" w:hAnsi="Arial"/>
                <w:sz w:val="18"/>
                <w:szCs w:val="18"/>
                <w:color w:val="auto"/>
                <w:w w:val="88"/>
              </w:rPr>
              <w:t>10.5†</w:t>
            </w:r>
          </w:p>
        </w:tc>
        <w:tc>
          <w:tcPr>
            <w:tcW w:w="10160" w:type="dxa"/>
            <w:vAlign w:val="bottom"/>
          </w:tcPr>
          <w:p>
            <w:pPr>
              <w:ind w:left="40"/>
              <w:spacing w:after="0"/>
              <w:rPr>
                <w:sz w:val="20"/>
                <w:szCs w:val="20"/>
                <w:color w:val="auto"/>
              </w:rPr>
            </w:pPr>
            <w:r>
              <w:rPr>
                <w:rFonts w:ascii="Arial" w:cs="Arial" w:eastAsia="Arial" w:hAnsi="Arial"/>
                <w:sz w:val="18"/>
                <w:szCs w:val="18"/>
                <w:color w:val="auto"/>
              </w:rPr>
              <w:t>Noncompetition Agreement, dated as of June 30, 2014, by and between TimkenSteel Corporation and The Timken Company.</w:t>
            </w:r>
          </w:p>
        </w:tc>
      </w:tr>
      <w:tr>
        <w:trPr>
          <w:trHeight w:val="270"/>
        </w:trPr>
        <w:tc>
          <w:tcPr>
            <w:tcW w:w="1260" w:type="dxa"/>
            <w:vAlign w:val="bottom"/>
            <w:gridSpan w:val="2"/>
          </w:tcPr>
          <w:p>
            <w:pPr>
              <w:jc w:val="center"/>
              <w:ind w:right="100"/>
              <w:spacing w:after="0"/>
              <w:rPr>
                <w:sz w:val="20"/>
                <w:szCs w:val="20"/>
                <w:color w:val="auto"/>
              </w:rPr>
            </w:pPr>
            <w:r>
              <w:rPr>
                <w:rFonts w:ascii="Arial" w:cs="Arial" w:eastAsia="Arial" w:hAnsi="Arial"/>
                <w:sz w:val="18"/>
                <w:szCs w:val="18"/>
                <w:color w:val="auto"/>
                <w:w w:val="87"/>
              </w:rPr>
              <w:t>10.6††</w:t>
            </w:r>
          </w:p>
        </w:tc>
        <w:tc>
          <w:tcPr>
            <w:tcW w:w="10160" w:type="dxa"/>
            <w:vAlign w:val="bottom"/>
          </w:tcPr>
          <w:p>
            <w:pPr>
              <w:ind w:left="40"/>
              <w:spacing w:after="0"/>
              <w:rPr>
                <w:sz w:val="20"/>
                <w:szCs w:val="20"/>
                <w:color w:val="auto"/>
              </w:rPr>
            </w:pPr>
            <w:r>
              <w:rPr>
                <w:rFonts w:ascii="Arial" w:cs="Arial" w:eastAsia="Arial" w:hAnsi="Arial"/>
                <w:sz w:val="18"/>
                <w:szCs w:val="18"/>
                <w:color w:val="auto"/>
              </w:rPr>
              <w:t>TimkenSteel Corporation 2014 Equity and Incentive Compensation Plan</w:t>
            </w:r>
          </w:p>
        </w:tc>
      </w:tr>
      <w:tr>
        <w:trPr>
          <w:trHeight w:val="270"/>
        </w:trPr>
        <w:tc>
          <w:tcPr>
            <w:tcW w:w="1260" w:type="dxa"/>
            <w:vAlign w:val="bottom"/>
            <w:gridSpan w:val="2"/>
          </w:tcPr>
          <w:p>
            <w:pPr>
              <w:jc w:val="center"/>
              <w:ind w:right="100"/>
              <w:spacing w:after="0"/>
              <w:rPr>
                <w:sz w:val="20"/>
                <w:szCs w:val="20"/>
                <w:color w:val="auto"/>
              </w:rPr>
            </w:pPr>
            <w:r>
              <w:rPr>
                <w:rFonts w:ascii="Arial" w:cs="Arial" w:eastAsia="Arial" w:hAnsi="Arial"/>
                <w:sz w:val="18"/>
                <w:szCs w:val="18"/>
                <w:color w:val="auto"/>
                <w:w w:val="87"/>
              </w:rPr>
              <w:t>10.7††</w:t>
            </w:r>
          </w:p>
        </w:tc>
        <w:tc>
          <w:tcPr>
            <w:tcW w:w="10160" w:type="dxa"/>
            <w:vAlign w:val="bottom"/>
          </w:tcPr>
          <w:p>
            <w:pPr>
              <w:ind w:left="40"/>
              <w:spacing w:after="0"/>
              <w:rPr>
                <w:sz w:val="20"/>
                <w:szCs w:val="20"/>
                <w:color w:val="auto"/>
              </w:rPr>
            </w:pPr>
            <w:r>
              <w:rPr>
                <w:rFonts w:ascii="Arial" w:cs="Arial" w:eastAsia="Arial" w:hAnsi="Arial"/>
                <w:sz w:val="18"/>
                <w:szCs w:val="18"/>
                <w:color w:val="auto"/>
              </w:rPr>
              <w:t>TimkenSteel Corporation Senior Executive Management Performance Plan</w:t>
            </w:r>
          </w:p>
        </w:tc>
      </w:tr>
      <w:tr>
        <w:trPr>
          <w:trHeight w:val="270"/>
        </w:trPr>
        <w:tc>
          <w:tcPr>
            <w:tcW w:w="1260" w:type="dxa"/>
            <w:vAlign w:val="bottom"/>
            <w:gridSpan w:val="2"/>
          </w:tcPr>
          <w:p>
            <w:pPr>
              <w:jc w:val="center"/>
              <w:ind w:right="100"/>
              <w:spacing w:after="0"/>
              <w:rPr>
                <w:sz w:val="20"/>
                <w:szCs w:val="20"/>
                <w:color w:val="auto"/>
              </w:rPr>
            </w:pPr>
            <w:r>
              <w:rPr>
                <w:rFonts w:ascii="Arial" w:cs="Arial" w:eastAsia="Arial" w:hAnsi="Arial"/>
                <w:sz w:val="18"/>
                <w:szCs w:val="18"/>
                <w:color w:val="auto"/>
                <w:w w:val="87"/>
              </w:rPr>
              <w:t>10.8††</w:t>
            </w:r>
          </w:p>
        </w:tc>
        <w:tc>
          <w:tcPr>
            <w:tcW w:w="10160" w:type="dxa"/>
            <w:vAlign w:val="bottom"/>
          </w:tcPr>
          <w:p>
            <w:pPr>
              <w:ind w:left="40"/>
              <w:spacing w:after="0"/>
              <w:rPr>
                <w:sz w:val="20"/>
                <w:szCs w:val="20"/>
                <w:color w:val="auto"/>
              </w:rPr>
            </w:pPr>
            <w:r>
              <w:rPr>
                <w:rFonts w:ascii="Arial" w:cs="Arial" w:eastAsia="Arial" w:hAnsi="Arial"/>
                <w:sz w:val="18"/>
                <w:szCs w:val="18"/>
                <w:color w:val="auto"/>
              </w:rPr>
              <w:t>TimkenSteel Corporation Annual Performance Award Plan</w:t>
            </w:r>
          </w:p>
        </w:tc>
      </w:tr>
      <w:tr>
        <w:trPr>
          <w:trHeight w:val="270"/>
        </w:trPr>
        <w:tc>
          <w:tcPr>
            <w:tcW w:w="1260" w:type="dxa"/>
            <w:vAlign w:val="bottom"/>
            <w:gridSpan w:val="2"/>
          </w:tcPr>
          <w:p>
            <w:pPr>
              <w:jc w:val="center"/>
              <w:ind w:right="100"/>
              <w:spacing w:after="0"/>
              <w:rPr>
                <w:sz w:val="20"/>
                <w:szCs w:val="20"/>
                <w:color w:val="auto"/>
              </w:rPr>
            </w:pPr>
            <w:r>
              <w:rPr>
                <w:rFonts w:ascii="Arial" w:cs="Arial" w:eastAsia="Arial" w:hAnsi="Arial"/>
                <w:sz w:val="18"/>
                <w:szCs w:val="18"/>
                <w:color w:val="auto"/>
                <w:w w:val="87"/>
              </w:rPr>
              <w:t>10.9††</w:t>
            </w:r>
          </w:p>
        </w:tc>
        <w:tc>
          <w:tcPr>
            <w:tcW w:w="10160" w:type="dxa"/>
            <w:vAlign w:val="bottom"/>
          </w:tcPr>
          <w:p>
            <w:pPr>
              <w:ind w:left="40"/>
              <w:spacing w:after="0"/>
              <w:rPr>
                <w:sz w:val="20"/>
                <w:szCs w:val="20"/>
                <w:color w:val="auto"/>
              </w:rPr>
            </w:pPr>
            <w:r>
              <w:rPr>
                <w:rFonts w:ascii="Arial" w:cs="Arial" w:eastAsia="Arial" w:hAnsi="Arial"/>
                <w:sz w:val="18"/>
                <w:szCs w:val="18"/>
                <w:color w:val="auto"/>
              </w:rPr>
              <w:t>Form of Director Indemnification Agreement</w:t>
            </w:r>
          </w:p>
        </w:tc>
      </w:tr>
      <w:tr>
        <w:trPr>
          <w:trHeight w:val="270"/>
        </w:trPr>
        <w:tc>
          <w:tcPr>
            <w:tcW w:w="1260" w:type="dxa"/>
            <w:vAlign w:val="bottom"/>
            <w:gridSpan w:val="2"/>
          </w:tcPr>
          <w:p>
            <w:pPr>
              <w:jc w:val="center"/>
              <w:ind w:right="100"/>
              <w:spacing w:after="0"/>
              <w:rPr>
                <w:sz w:val="20"/>
                <w:szCs w:val="20"/>
                <w:color w:val="auto"/>
              </w:rPr>
            </w:pPr>
            <w:r>
              <w:rPr>
                <w:rFonts w:ascii="Arial" w:cs="Arial" w:eastAsia="Arial" w:hAnsi="Arial"/>
                <w:sz w:val="18"/>
                <w:szCs w:val="18"/>
                <w:color w:val="auto"/>
                <w:w w:val="92"/>
              </w:rPr>
              <w:t>10.10††</w:t>
            </w:r>
          </w:p>
        </w:tc>
        <w:tc>
          <w:tcPr>
            <w:tcW w:w="10160" w:type="dxa"/>
            <w:vAlign w:val="bottom"/>
          </w:tcPr>
          <w:p>
            <w:pPr>
              <w:ind w:left="40"/>
              <w:spacing w:after="0"/>
              <w:rPr>
                <w:sz w:val="20"/>
                <w:szCs w:val="20"/>
                <w:color w:val="auto"/>
              </w:rPr>
            </w:pPr>
            <w:r>
              <w:rPr>
                <w:rFonts w:ascii="Arial" w:cs="Arial" w:eastAsia="Arial" w:hAnsi="Arial"/>
                <w:sz w:val="18"/>
                <w:szCs w:val="18"/>
                <w:color w:val="auto"/>
              </w:rPr>
              <w:t>Form of Officer Indemnification Agreement</w:t>
            </w:r>
          </w:p>
        </w:tc>
      </w:tr>
      <w:tr>
        <w:trPr>
          <w:trHeight w:val="270"/>
        </w:trPr>
        <w:tc>
          <w:tcPr>
            <w:tcW w:w="1260" w:type="dxa"/>
            <w:vAlign w:val="bottom"/>
            <w:gridSpan w:val="2"/>
          </w:tcPr>
          <w:p>
            <w:pPr>
              <w:jc w:val="center"/>
              <w:ind w:right="80"/>
              <w:spacing w:after="0"/>
              <w:rPr>
                <w:sz w:val="20"/>
                <w:szCs w:val="20"/>
                <w:color w:val="auto"/>
              </w:rPr>
            </w:pPr>
            <w:r>
              <w:rPr>
                <w:rFonts w:ascii="Arial" w:cs="Arial" w:eastAsia="Arial" w:hAnsi="Arial"/>
                <w:sz w:val="18"/>
                <w:szCs w:val="18"/>
                <w:color w:val="auto"/>
                <w:w w:val="89"/>
              </w:rPr>
              <w:t>10.11††</w:t>
            </w:r>
          </w:p>
        </w:tc>
        <w:tc>
          <w:tcPr>
            <w:tcW w:w="10160" w:type="dxa"/>
            <w:vAlign w:val="bottom"/>
          </w:tcPr>
          <w:p>
            <w:pPr>
              <w:ind w:left="40"/>
              <w:spacing w:after="0"/>
              <w:rPr>
                <w:sz w:val="20"/>
                <w:szCs w:val="20"/>
                <w:color w:val="auto"/>
              </w:rPr>
            </w:pPr>
            <w:r>
              <w:rPr>
                <w:rFonts w:ascii="Arial" w:cs="Arial" w:eastAsia="Arial" w:hAnsi="Arial"/>
                <w:sz w:val="18"/>
                <w:szCs w:val="18"/>
                <w:color w:val="auto"/>
              </w:rPr>
              <w:t>Form of Director and Officer Indemnification Agreement</w:t>
            </w:r>
          </w:p>
        </w:tc>
      </w:tr>
      <w:tr>
        <w:trPr>
          <w:trHeight w:val="256"/>
        </w:trPr>
        <w:tc>
          <w:tcPr>
            <w:tcW w:w="1160" w:type="dxa"/>
            <w:vAlign w:val="bottom"/>
          </w:tcPr>
          <w:p>
            <w:pPr>
              <w:jc w:val="center"/>
              <w:spacing w:after="0"/>
              <w:rPr>
                <w:sz w:val="20"/>
                <w:szCs w:val="20"/>
                <w:color w:val="auto"/>
              </w:rPr>
            </w:pPr>
            <w:r>
              <w:rPr>
                <w:rFonts w:ascii="Arial" w:cs="Arial" w:eastAsia="Arial" w:hAnsi="Arial"/>
                <w:sz w:val="18"/>
                <w:szCs w:val="18"/>
                <w:color w:val="auto"/>
                <w:w w:val="88"/>
              </w:rPr>
              <w:t>10.12</w:t>
            </w:r>
          </w:p>
        </w:tc>
        <w:tc>
          <w:tcPr>
            <w:tcW w:w="100" w:type="dxa"/>
            <w:vAlign w:val="bottom"/>
          </w:tcPr>
          <w:p>
            <w:pPr>
              <w:spacing w:after="0"/>
              <w:rPr>
                <w:sz w:val="22"/>
                <w:szCs w:val="22"/>
                <w:color w:val="auto"/>
              </w:rPr>
            </w:pPr>
          </w:p>
        </w:tc>
        <w:tc>
          <w:tcPr>
            <w:tcW w:w="10160" w:type="dxa"/>
            <w:vAlign w:val="bottom"/>
          </w:tcPr>
          <w:p>
            <w:pPr>
              <w:ind w:left="40"/>
              <w:spacing w:after="0"/>
              <w:rPr>
                <w:sz w:val="20"/>
                <w:szCs w:val="20"/>
                <w:color w:val="auto"/>
              </w:rPr>
            </w:pPr>
            <w:r>
              <w:rPr>
                <w:rFonts w:ascii="Arial" w:cs="Arial" w:eastAsia="Arial" w:hAnsi="Arial"/>
                <w:sz w:val="18"/>
                <w:szCs w:val="18"/>
                <w:color w:val="auto"/>
                <w:w w:val="97"/>
              </w:rPr>
              <w:t>Supplemental Pension Plan of TimkenSteel Corporation (Effective June 30, 2014) (incorporated by reference to Exhibit 10.1 to the</w:t>
            </w:r>
          </w:p>
        </w:tc>
      </w:tr>
      <w:tr>
        <w:trPr>
          <w:trHeight w:val="230"/>
        </w:trPr>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160" w:type="dxa"/>
            <w:vAlign w:val="bottom"/>
          </w:tcPr>
          <w:p>
            <w:pPr>
              <w:ind w:left="40"/>
              <w:spacing w:after="0"/>
              <w:rPr>
                <w:sz w:val="20"/>
                <w:szCs w:val="20"/>
                <w:color w:val="auto"/>
              </w:rPr>
            </w:pPr>
            <w:r>
              <w:rPr>
                <w:rFonts w:ascii="Arial" w:cs="Arial" w:eastAsia="Arial" w:hAnsi="Arial"/>
                <w:sz w:val="18"/>
                <w:szCs w:val="18"/>
                <w:color w:val="auto"/>
              </w:rPr>
              <w:t>Company’s Current Report on Form 8-K filed on June 13, 2014, File No. 001-36313).</w:t>
            </w:r>
          </w:p>
        </w:tc>
      </w:tr>
      <w:tr>
        <w:trPr>
          <w:trHeight w:val="256"/>
        </w:trPr>
        <w:tc>
          <w:tcPr>
            <w:tcW w:w="1160" w:type="dxa"/>
            <w:vAlign w:val="bottom"/>
          </w:tcPr>
          <w:p>
            <w:pPr>
              <w:jc w:val="center"/>
              <w:spacing w:after="0"/>
              <w:rPr>
                <w:sz w:val="20"/>
                <w:szCs w:val="20"/>
                <w:color w:val="auto"/>
              </w:rPr>
            </w:pPr>
            <w:r>
              <w:rPr>
                <w:rFonts w:ascii="Arial" w:cs="Arial" w:eastAsia="Arial" w:hAnsi="Arial"/>
                <w:sz w:val="18"/>
                <w:szCs w:val="18"/>
                <w:color w:val="auto"/>
                <w:w w:val="88"/>
              </w:rPr>
              <w:t>10.13</w:t>
            </w:r>
          </w:p>
        </w:tc>
        <w:tc>
          <w:tcPr>
            <w:tcW w:w="100" w:type="dxa"/>
            <w:vAlign w:val="bottom"/>
          </w:tcPr>
          <w:p>
            <w:pPr>
              <w:spacing w:after="0"/>
              <w:rPr>
                <w:sz w:val="22"/>
                <w:szCs w:val="22"/>
                <w:color w:val="auto"/>
              </w:rPr>
            </w:pPr>
          </w:p>
        </w:tc>
        <w:tc>
          <w:tcPr>
            <w:tcW w:w="10160" w:type="dxa"/>
            <w:vAlign w:val="bottom"/>
          </w:tcPr>
          <w:p>
            <w:pPr>
              <w:ind w:left="40"/>
              <w:spacing w:after="0"/>
              <w:rPr>
                <w:sz w:val="20"/>
                <w:szCs w:val="20"/>
                <w:color w:val="auto"/>
              </w:rPr>
            </w:pPr>
            <w:r>
              <w:rPr>
                <w:rFonts w:ascii="Arial" w:cs="Arial" w:eastAsia="Arial" w:hAnsi="Arial"/>
                <w:sz w:val="18"/>
                <w:szCs w:val="18"/>
                <w:color w:val="auto"/>
                <w:w w:val="93"/>
              </w:rPr>
              <w:t>Form Amended and Restated Employee Excess Benefits Agreement with TimkenSteel Corporation (incorporated by reference to Exhibit</w:t>
            </w:r>
          </w:p>
        </w:tc>
      </w:tr>
      <w:tr>
        <w:trPr>
          <w:trHeight w:val="230"/>
        </w:trPr>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160" w:type="dxa"/>
            <w:vAlign w:val="bottom"/>
          </w:tcPr>
          <w:p>
            <w:pPr>
              <w:ind w:left="40"/>
              <w:spacing w:after="0"/>
              <w:rPr>
                <w:sz w:val="20"/>
                <w:szCs w:val="20"/>
                <w:color w:val="auto"/>
              </w:rPr>
            </w:pPr>
            <w:r>
              <w:rPr>
                <w:rFonts w:ascii="Arial" w:cs="Arial" w:eastAsia="Arial" w:hAnsi="Arial"/>
                <w:sz w:val="18"/>
                <w:szCs w:val="18"/>
                <w:color w:val="auto"/>
              </w:rPr>
              <w:t>10.2 to the Company’s Current Report on Form 8-K filed on June 13, 2014, File No. 001-36313).</w:t>
            </w:r>
          </w:p>
        </w:tc>
      </w:tr>
      <w:tr>
        <w:trPr>
          <w:trHeight w:val="256"/>
        </w:trPr>
        <w:tc>
          <w:tcPr>
            <w:tcW w:w="1160" w:type="dxa"/>
            <w:vAlign w:val="bottom"/>
          </w:tcPr>
          <w:p>
            <w:pPr>
              <w:jc w:val="center"/>
              <w:spacing w:after="0"/>
              <w:rPr>
                <w:sz w:val="20"/>
                <w:szCs w:val="20"/>
                <w:color w:val="auto"/>
              </w:rPr>
            </w:pPr>
            <w:r>
              <w:rPr>
                <w:rFonts w:ascii="Arial" w:cs="Arial" w:eastAsia="Arial" w:hAnsi="Arial"/>
                <w:sz w:val="18"/>
                <w:szCs w:val="18"/>
                <w:color w:val="auto"/>
                <w:w w:val="88"/>
              </w:rPr>
              <w:t>10.14</w:t>
            </w:r>
          </w:p>
        </w:tc>
        <w:tc>
          <w:tcPr>
            <w:tcW w:w="100" w:type="dxa"/>
            <w:vAlign w:val="bottom"/>
          </w:tcPr>
          <w:p>
            <w:pPr>
              <w:spacing w:after="0"/>
              <w:rPr>
                <w:sz w:val="22"/>
                <w:szCs w:val="22"/>
                <w:color w:val="auto"/>
              </w:rPr>
            </w:pPr>
          </w:p>
        </w:tc>
        <w:tc>
          <w:tcPr>
            <w:tcW w:w="10160" w:type="dxa"/>
            <w:vAlign w:val="bottom"/>
          </w:tcPr>
          <w:p>
            <w:pPr>
              <w:ind w:left="40"/>
              <w:spacing w:after="0"/>
              <w:rPr>
                <w:sz w:val="20"/>
                <w:szCs w:val="20"/>
                <w:color w:val="auto"/>
              </w:rPr>
            </w:pPr>
            <w:r>
              <w:rPr>
                <w:rFonts w:ascii="Arial" w:cs="Arial" w:eastAsia="Arial" w:hAnsi="Arial"/>
                <w:sz w:val="18"/>
                <w:szCs w:val="18"/>
                <w:color w:val="auto"/>
                <w:w w:val="92"/>
              </w:rPr>
              <w:t>Form Severance Agreement with TimkenSteel Corporation (incorporated by reference to Exhibit 10.3 to the Company’s Current Report on</w:t>
            </w:r>
          </w:p>
        </w:tc>
      </w:tr>
      <w:tr>
        <w:trPr>
          <w:trHeight w:val="230"/>
        </w:trPr>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160" w:type="dxa"/>
            <w:vAlign w:val="bottom"/>
          </w:tcPr>
          <w:p>
            <w:pPr>
              <w:ind w:left="40"/>
              <w:spacing w:after="0"/>
              <w:rPr>
                <w:sz w:val="20"/>
                <w:szCs w:val="20"/>
                <w:color w:val="auto"/>
              </w:rPr>
            </w:pPr>
            <w:r>
              <w:rPr>
                <w:rFonts w:ascii="Arial" w:cs="Arial" w:eastAsia="Arial" w:hAnsi="Arial"/>
                <w:sz w:val="18"/>
                <w:szCs w:val="18"/>
                <w:color w:val="auto"/>
              </w:rPr>
              <w:t>Form 8-K filed on June 13, 2014, File No. 001-36313).</w:t>
            </w:r>
          </w:p>
        </w:tc>
      </w:tr>
      <w:tr>
        <w:trPr>
          <w:trHeight w:val="256"/>
        </w:trPr>
        <w:tc>
          <w:tcPr>
            <w:tcW w:w="1160" w:type="dxa"/>
            <w:vAlign w:val="bottom"/>
          </w:tcPr>
          <w:p>
            <w:pPr>
              <w:jc w:val="center"/>
              <w:spacing w:after="0"/>
              <w:rPr>
                <w:sz w:val="20"/>
                <w:szCs w:val="20"/>
                <w:color w:val="auto"/>
              </w:rPr>
            </w:pPr>
            <w:r>
              <w:rPr>
                <w:rFonts w:ascii="Arial" w:cs="Arial" w:eastAsia="Arial" w:hAnsi="Arial"/>
                <w:sz w:val="18"/>
                <w:szCs w:val="18"/>
                <w:color w:val="auto"/>
                <w:w w:val="88"/>
              </w:rPr>
              <w:t>10.15</w:t>
            </w:r>
          </w:p>
        </w:tc>
        <w:tc>
          <w:tcPr>
            <w:tcW w:w="100" w:type="dxa"/>
            <w:vAlign w:val="bottom"/>
          </w:tcPr>
          <w:p>
            <w:pPr>
              <w:spacing w:after="0"/>
              <w:rPr>
                <w:sz w:val="22"/>
                <w:szCs w:val="22"/>
                <w:color w:val="auto"/>
              </w:rPr>
            </w:pPr>
          </w:p>
        </w:tc>
        <w:tc>
          <w:tcPr>
            <w:tcW w:w="10160" w:type="dxa"/>
            <w:vAlign w:val="bottom"/>
          </w:tcPr>
          <w:p>
            <w:pPr>
              <w:ind w:left="40"/>
              <w:spacing w:after="0"/>
              <w:rPr>
                <w:sz w:val="20"/>
                <w:szCs w:val="20"/>
                <w:color w:val="auto"/>
              </w:rPr>
            </w:pPr>
            <w:r>
              <w:rPr>
                <w:rFonts w:ascii="Arial" w:cs="Arial" w:eastAsia="Arial" w:hAnsi="Arial"/>
                <w:sz w:val="18"/>
                <w:szCs w:val="18"/>
                <w:color w:val="auto"/>
                <w:w w:val="94"/>
              </w:rPr>
              <w:t>TimkenSteel Corporation 2014 Deferred Compensation Plan (Effective June 30, 2014) (incorporated by reference to Exhibit 10.4 to the</w:t>
            </w:r>
          </w:p>
        </w:tc>
      </w:tr>
      <w:tr>
        <w:trPr>
          <w:trHeight w:val="230"/>
        </w:trPr>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160" w:type="dxa"/>
            <w:vAlign w:val="bottom"/>
          </w:tcPr>
          <w:p>
            <w:pPr>
              <w:ind w:left="40"/>
              <w:spacing w:after="0"/>
              <w:rPr>
                <w:sz w:val="20"/>
                <w:szCs w:val="20"/>
                <w:color w:val="auto"/>
              </w:rPr>
            </w:pPr>
            <w:r>
              <w:rPr>
                <w:rFonts w:ascii="Arial" w:cs="Arial" w:eastAsia="Arial" w:hAnsi="Arial"/>
                <w:sz w:val="18"/>
                <w:szCs w:val="18"/>
                <w:color w:val="auto"/>
              </w:rPr>
              <w:t>Company’s Current Report on Form 8-K filed on June 13, 2014, File No. 001-36313).</w:t>
            </w:r>
          </w:p>
        </w:tc>
      </w:tr>
      <w:tr>
        <w:trPr>
          <w:trHeight w:val="256"/>
        </w:trPr>
        <w:tc>
          <w:tcPr>
            <w:tcW w:w="1160" w:type="dxa"/>
            <w:vAlign w:val="bottom"/>
          </w:tcPr>
          <w:p>
            <w:pPr>
              <w:jc w:val="center"/>
              <w:spacing w:after="0"/>
              <w:rPr>
                <w:sz w:val="20"/>
                <w:szCs w:val="20"/>
                <w:color w:val="auto"/>
              </w:rPr>
            </w:pPr>
            <w:r>
              <w:rPr>
                <w:rFonts w:ascii="Arial" w:cs="Arial" w:eastAsia="Arial" w:hAnsi="Arial"/>
                <w:sz w:val="18"/>
                <w:szCs w:val="18"/>
                <w:color w:val="auto"/>
                <w:w w:val="88"/>
              </w:rPr>
              <w:t>10.16</w:t>
            </w:r>
          </w:p>
        </w:tc>
        <w:tc>
          <w:tcPr>
            <w:tcW w:w="100" w:type="dxa"/>
            <w:vAlign w:val="bottom"/>
          </w:tcPr>
          <w:p>
            <w:pPr>
              <w:spacing w:after="0"/>
              <w:rPr>
                <w:sz w:val="22"/>
                <w:szCs w:val="22"/>
                <w:color w:val="auto"/>
              </w:rPr>
            </w:pPr>
          </w:p>
        </w:tc>
        <w:tc>
          <w:tcPr>
            <w:tcW w:w="10160" w:type="dxa"/>
            <w:vAlign w:val="bottom"/>
          </w:tcPr>
          <w:p>
            <w:pPr>
              <w:ind w:left="40"/>
              <w:spacing w:after="0"/>
              <w:rPr>
                <w:sz w:val="20"/>
                <w:szCs w:val="20"/>
                <w:color w:val="auto"/>
              </w:rPr>
            </w:pPr>
            <w:r>
              <w:rPr>
                <w:rFonts w:ascii="Arial" w:cs="Arial" w:eastAsia="Arial" w:hAnsi="Arial"/>
                <w:sz w:val="18"/>
                <w:szCs w:val="18"/>
                <w:color w:val="auto"/>
                <w:w w:val="93"/>
              </w:rPr>
              <w:t>TimkenSteel Corporation Director Deferred Compensation Plan (Effective June 30, 2014). (incorporated by reference to Exhibit 10.11 of</w:t>
            </w:r>
          </w:p>
        </w:tc>
      </w:tr>
      <w:tr>
        <w:trPr>
          <w:trHeight w:val="230"/>
        </w:trPr>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160" w:type="dxa"/>
            <w:vAlign w:val="bottom"/>
          </w:tcPr>
          <w:p>
            <w:pPr>
              <w:ind w:left="40"/>
              <w:spacing w:after="0"/>
              <w:rPr>
                <w:sz w:val="20"/>
                <w:szCs w:val="20"/>
                <w:color w:val="auto"/>
              </w:rPr>
            </w:pPr>
            <w:r>
              <w:rPr>
                <w:rFonts w:ascii="Arial" w:cs="Arial" w:eastAsia="Arial" w:hAnsi="Arial"/>
                <w:sz w:val="18"/>
                <w:szCs w:val="18"/>
                <w:color w:val="auto"/>
              </w:rPr>
              <w:t>the Company’s Registration Statement on Form S-1 filed on June 18, 2014, Registration No. 333-196287).</w:t>
            </w:r>
          </w:p>
        </w:tc>
      </w:tr>
      <w:tr>
        <w:trPr>
          <w:trHeight w:val="486"/>
        </w:trPr>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160" w:type="dxa"/>
            <w:vAlign w:val="bottom"/>
          </w:tcPr>
          <w:p>
            <w:pPr>
              <w:ind w:left="4360"/>
              <w:spacing w:after="0"/>
              <w:rPr>
                <w:sz w:val="20"/>
                <w:szCs w:val="20"/>
                <w:color w:val="auto"/>
              </w:rPr>
            </w:pPr>
            <w:r>
              <w:rPr>
                <w:rFonts w:ascii="Arial" w:cs="Arial" w:eastAsia="Arial" w:hAnsi="Arial"/>
                <w:sz w:val="18"/>
                <w:szCs w:val="18"/>
                <w:color w:val="auto"/>
              </w:rPr>
              <w:t>30</w:t>
            </w:r>
          </w:p>
        </w:tc>
      </w:tr>
    </w:tbl>
    <w:p>
      <w:pPr>
        <w:sectPr>
          <w:pgSz w:w="11900" w:h="16838" w:orient="portrait"/>
          <w:cols w:equalWidth="0" w:num="1">
            <w:col w:w="11420"/>
          </w:cols>
          <w:pgMar w:left="240" w:top="580" w:right="239" w:bottom="1440" w:gutter="0" w:footer="0" w:header="0"/>
        </w:sectPr>
      </w:pPr>
    </w:p>
    <w:bookmarkStart w:id="32" w:name="page33"/>
    <w:bookmarkEnd w:id="3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60" w:type="dxa"/>
            <w:vAlign w:val="bottom"/>
          </w:tcPr>
          <w:p>
            <w:pPr>
              <w:jc w:val="center"/>
              <w:ind w:right="90"/>
              <w:spacing w:after="0"/>
              <w:rPr>
                <w:sz w:val="20"/>
                <w:szCs w:val="20"/>
                <w:color w:val="auto"/>
              </w:rPr>
            </w:pPr>
            <w:r>
              <w:rPr>
                <w:rFonts w:ascii="Arial" w:cs="Arial" w:eastAsia="Arial" w:hAnsi="Arial"/>
                <w:sz w:val="18"/>
                <w:szCs w:val="18"/>
                <w:color w:val="auto"/>
                <w:w w:val="88"/>
              </w:rPr>
              <w:t>10.17</w:t>
            </w:r>
          </w:p>
        </w:tc>
        <w:tc>
          <w:tcPr>
            <w:tcW w:w="10240" w:type="dxa"/>
            <w:vAlign w:val="bottom"/>
          </w:tcPr>
          <w:p>
            <w:pPr>
              <w:ind w:left="200"/>
              <w:spacing w:after="0"/>
              <w:rPr>
                <w:sz w:val="20"/>
                <w:szCs w:val="20"/>
                <w:color w:val="auto"/>
              </w:rPr>
            </w:pPr>
            <w:r>
              <w:rPr>
                <w:rFonts w:ascii="Arial" w:cs="Arial" w:eastAsia="Arial" w:hAnsi="Arial"/>
                <w:sz w:val="18"/>
                <w:szCs w:val="18"/>
                <w:color w:val="auto"/>
                <w:w w:val="90"/>
              </w:rPr>
              <w:t>Credit Agreement, dated as of June 30, 2014, among TimkenSteel Corporation, JPMorgan Chase Bank, N.A., as administrative agent, and</w:t>
            </w:r>
          </w:p>
        </w:tc>
      </w:tr>
      <w:tr>
        <w:trPr>
          <w:trHeight w:val="216"/>
        </w:trPr>
        <w:tc>
          <w:tcPr>
            <w:tcW w:w="860" w:type="dxa"/>
            <w:vAlign w:val="bottom"/>
          </w:tcPr>
          <w:p>
            <w:pPr>
              <w:spacing w:after="0"/>
              <w:rPr>
                <w:sz w:val="18"/>
                <w:szCs w:val="18"/>
                <w:color w:val="auto"/>
              </w:rPr>
            </w:pPr>
          </w:p>
        </w:tc>
        <w:tc>
          <w:tcPr>
            <w:tcW w:w="10240" w:type="dxa"/>
            <w:vAlign w:val="bottom"/>
          </w:tcPr>
          <w:p>
            <w:pPr>
              <w:ind w:left="200"/>
              <w:spacing w:after="0"/>
              <w:rPr>
                <w:sz w:val="20"/>
                <w:szCs w:val="20"/>
                <w:color w:val="auto"/>
              </w:rPr>
            </w:pPr>
            <w:r>
              <w:rPr>
                <w:rFonts w:ascii="Arial" w:cs="Arial" w:eastAsia="Arial" w:hAnsi="Arial"/>
                <w:sz w:val="18"/>
                <w:szCs w:val="18"/>
                <w:color w:val="auto"/>
                <w:w w:val="90"/>
              </w:rPr>
              <w:t>the other agents and lenders party thereto. (incorporated by reference to Exhibit Number 10.6 of the Company’s Current Report on Form 8-</w:t>
            </w:r>
          </w:p>
        </w:tc>
      </w:tr>
      <w:tr>
        <w:trPr>
          <w:trHeight w:val="230"/>
        </w:trPr>
        <w:tc>
          <w:tcPr>
            <w:tcW w:w="860" w:type="dxa"/>
            <w:vAlign w:val="bottom"/>
          </w:tcPr>
          <w:p>
            <w:pPr>
              <w:spacing w:after="0"/>
              <w:rPr>
                <w:sz w:val="20"/>
                <w:szCs w:val="20"/>
                <w:color w:val="auto"/>
              </w:rPr>
            </w:pPr>
          </w:p>
        </w:tc>
        <w:tc>
          <w:tcPr>
            <w:tcW w:w="10240" w:type="dxa"/>
            <w:vAlign w:val="bottom"/>
          </w:tcPr>
          <w:p>
            <w:pPr>
              <w:ind w:left="200"/>
              <w:spacing w:after="0"/>
              <w:rPr>
                <w:sz w:val="20"/>
                <w:szCs w:val="20"/>
                <w:color w:val="auto"/>
              </w:rPr>
            </w:pPr>
            <w:r>
              <w:rPr>
                <w:rFonts w:ascii="Arial" w:cs="Arial" w:eastAsia="Arial" w:hAnsi="Arial"/>
                <w:sz w:val="18"/>
                <w:szCs w:val="18"/>
                <w:color w:val="auto"/>
              </w:rPr>
              <w:t>K filed on July 31, 2014, File No. 001-36313)</w:t>
            </w:r>
          </w:p>
        </w:tc>
      </w:tr>
      <w:tr>
        <w:trPr>
          <w:trHeight w:val="256"/>
        </w:trPr>
        <w:tc>
          <w:tcPr>
            <w:tcW w:w="860" w:type="dxa"/>
            <w:vAlign w:val="bottom"/>
          </w:tcPr>
          <w:p>
            <w:pPr>
              <w:jc w:val="center"/>
              <w:ind w:right="90"/>
              <w:spacing w:after="0"/>
              <w:rPr>
                <w:sz w:val="20"/>
                <w:szCs w:val="20"/>
                <w:color w:val="auto"/>
              </w:rPr>
            </w:pPr>
            <w:r>
              <w:rPr>
                <w:rFonts w:ascii="Arial" w:cs="Arial" w:eastAsia="Arial" w:hAnsi="Arial"/>
                <w:sz w:val="18"/>
                <w:szCs w:val="18"/>
                <w:color w:val="auto"/>
                <w:w w:val="91"/>
              </w:rPr>
              <w:t>31.1</w:t>
            </w:r>
          </w:p>
        </w:tc>
        <w:tc>
          <w:tcPr>
            <w:tcW w:w="10240" w:type="dxa"/>
            <w:vAlign w:val="bottom"/>
          </w:tcPr>
          <w:p>
            <w:pPr>
              <w:ind w:left="200"/>
              <w:spacing w:after="0"/>
              <w:rPr>
                <w:sz w:val="20"/>
                <w:szCs w:val="20"/>
                <w:color w:val="auto"/>
              </w:rPr>
            </w:pPr>
            <w:r>
              <w:rPr>
                <w:rFonts w:ascii="Arial" w:cs="Arial" w:eastAsia="Arial" w:hAnsi="Arial"/>
                <w:sz w:val="18"/>
                <w:szCs w:val="18"/>
                <w:color w:val="auto"/>
                <w:w w:val="95"/>
              </w:rPr>
              <w:t>Certification of the Chief Executive Officer pursuant to Rule 13a-14 of the Exchange Act, as adopted, pursuant to Section 302 of the</w:t>
            </w:r>
          </w:p>
        </w:tc>
      </w:tr>
      <w:tr>
        <w:trPr>
          <w:trHeight w:val="230"/>
        </w:trPr>
        <w:tc>
          <w:tcPr>
            <w:tcW w:w="860" w:type="dxa"/>
            <w:vAlign w:val="bottom"/>
          </w:tcPr>
          <w:p>
            <w:pPr>
              <w:spacing w:after="0"/>
              <w:rPr>
                <w:sz w:val="20"/>
                <w:szCs w:val="20"/>
                <w:color w:val="auto"/>
              </w:rPr>
            </w:pPr>
          </w:p>
        </w:tc>
        <w:tc>
          <w:tcPr>
            <w:tcW w:w="10240" w:type="dxa"/>
            <w:vAlign w:val="bottom"/>
          </w:tcPr>
          <w:p>
            <w:pPr>
              <w:ind w:left="200"/>
              <w:spacing w:after="0"/>
              <w:rPr>
                <w:sz w:val="20"/>
                <w:szCs w:val="20"/>
                <w:color w:val="auto"/>
              </w:rPr>
            </w:pPr>
            <w:r>
              <w:rPr>
                <w:rFonts w:ascii="Arial" w:cs="Arial" w:eastAsia="Arial" w:hAnsi="Arial"/>
                <w:sz w:val="18"/>
                <w:szCs w:val="18"/>
                <w:color w:val="auto"/>
              </w:rPr>
              <w:t>Sarbanes-Oxley Act of 2002.</w:t>
            </w:r>
          </w:p>
        </w:tc>
      </w:tr>
      <w:tr>
        <w:trPr>
          <w:trHeight w:val="256"/>
        </w:trPr>
        <w:tc>
          <w:tcPr>
            <w:tcW w:w="860" w:type="dxa"/>
            <w:vAlign w:val="bottom"/>
          </w:tcPr>
          <w:p>
            <w:pPr>
              <w:jc w:val="center"/>
              <w:ind w:right="90"/>
              <w:spacing w:after="0"/>
              <w:rPr>
                <w:sz w:val="20"/>
                <w:szCs w:val="20"/>
                <w:color w:val="auto"/>
              </w:rPr>
            </w:pPr>
            <w:r>
              <w:rPr>
                <w:rFonts w:ascii="Arial" w:cs="Arial" w:eastAsia="Arial" w:hAnsi="Arial"/>
                <w:sz w:val="18"/>
                <w:szCs w:val="18"/>
                <w:color w:val="auto"/>
                <w:w w:val="91"/>
              </w:rPr>
              <w:t>31.2</w:t>
            </w:r>
          </w:p>
        </w:tc>
        <w:tc>
          <w:tcPr>
            <w:tcW w:w="10240" w:type="dxa"/>
            <w:vAlign w:val="bottom"/>
          </w:tcPr>
          <w:p>
            <w:pPr>
              <w:ind w:left="200"/>
              <w:spacing w:after="0"/>
              <w:rPr>
                <w:sz w:val="20"/>
                <w:szCs w:val="20"/>
                <w:color w:val="auto"/>
              </w:rPr>
            </w:pPr>
            <w:r>
              <w:rPr>
                <w:rFonts w:ascii="Arial" w:cs="Arial" w:eastAsia="Arial" w:hAnsi="Arial"/>
                <w:sz w:val="18"/>
                <w:szCs w:val="18"/>
                <w:color w:val="auto"/>
                <w:w w:val="96"/>
              </w:rPr>
              <w:t>Certification of the Chief Financial Officer pursuant to Rule 13a-14 of the Exchange Act, as adopted, pursuant to Section 302 of the</w:t>
            </w:r>
          </w:p>
        </w:tc>
      </w:tr>
      <w:tr>
        <w:trPr>
          <w:trHeight w:val="230"/>
        </w:trPr>
        <w:tc>
          <w:tcPr>
            <w:tcW w:w="860" w:type="dxa"/>
            <w:vAlign w:val="bottom"/>
          </w:tcPr>
          <w:p>
            <w:pPr>
              <w:spacing w:after="0"/>
              <w:rPr>
                <w:sz w:val="20"/>
                <w:szCs w:val="20"/>
                <w:color w:val="auto"/>
              </w:rPr>
            </w:pPr>
          </w:p>
        </w:tc>
        <w:tc>
          <w:tcPr>
            <w:tcW w:w="10240" w:type="dxa"/>
            <w:vAlign w:val="bottom"/>
          </w:tcPr>
          <w:p>
            <w:pPr>
              <w:ind w:left="200"/>
              <w:spacing w:after="0"/>
              <w:rPr>
                <w:sz w:val="20"/>
                <w:szCs w:val="20"/>
                <w:color w:val="auto"/>
              </w:rPr>
            </w:pPr>
            <w:r>
              <w:rPr>
                <w:rFonts w:ascii="Arial" w:cs="Arial" w:eastAsia="Arial" w:hAnsi="Arial"/>
                <w:sz w:val="18"/>
                <w:szCs w:val="18"/>
                <w:color w:val="auto"/>
              </w:rPr>
              <w:t>Sarbanes-Oxley Act of 2002.</w:t>
            </w:r>
          </w:p>
        </w:tc>
      </w:tr>
      <w:tr>
        <w:trPr>
          <w:trHeight w:val="256"/>
        </w:trPr>
        <w:tc>
          <w:tcPr>
            <w:tcW w:w="860" w:type="dxa"/>
            <w:vAlign w:val="bottom"/>
          </w:tcPr>
          <w:p>
            <w:pPr>
              <w:jc w:val="center"/>
              <w:ind w:right="90"/>
              <w:spacing w:after="0"/>
              <w:rPr>
                <w:sz w:val="20"/>
                <w:szCs w:val="20"/>
                <w:color w:val="auto"/>
              </w:rPr>
            </w:pPr>
            <w:r>
              <w:rPr>
                <w:rFonts w:ascii="Arial" w:cs="Arial" w:eastAsia="Arial" w:hAnsi="Arial"/>
                <w:sz w:val="18"/>
                <w:szCs w:val="18"/>
                <w:color w:val="auto"/>
                <w:w w:val="91"/>
              </w:rPr>
              <w:t>32.1</w:t>
            </w:r>
          </w:p>
        </w:tc>
        <w:tc>
          <w:tcPr>
            <w:tcW w:w="10240" w:type="dxa"/>
            <w:vAlign w:val="bottom"/>
          </w:tcPr>
          <w:p>
            <w:pPr>
              <w:ind w:left="200"/>
              <w:spacing w:after="0"/>
              <w:rPr>
                <w:sz w:val="20"/>
                <w:szCs w:val="20"/>
                <w:color w:val="auto"/>
              </w:rPr>
            </w:pPr>
            <w:r>
              <w:rPr>
                <w:rFonts w:ascii="Arial" w:cs="Arial" w:eastAsia="Arial" w:hAnsi="Arial"/>
                <w:sz w:val="18"/>
                <w:szCs w:val="18"/>
                <w:color w:val="auto"/>
                <w:w w:val="91"/>
              </w:rPr>
              <w:t>Certifications of Chief Executive Officer and Chief Financial Officer pursuant to 18 U.S.C. 1350, as adopted pursuant to Section 906 of the</w:t>
            </w:r>
          </w:p>
        </w:tc>
      </w:tr>
      <w:tr>
        <w:trPr>
          <w:trHeight w:val="230"/>
        </w:trPr>
        <w:tc>
          <w:tcPr>
            <w:tcW w:w="860" w:type="dxa"/>
            <w:vAlign w:val="bottom"/>
          </w:tcPr>
          <w:p>
            <w:pPr>
              <w:spacing w:after="0"/>
              <w:rPr>
                <w:sz w:val="20"/>
                <w:szCs w:val="20"/>
                <w:color w:val="auto"/>
              </w:rPr>
            </w:pPr>
          </w:p>
        </w:tc>
        <w:tc>
          <w:tcPr>
            <w:tcW w:w="10240" w:type="dxa"/>
            <w:vAlign w:val="bottom"/>
          </w:tcPr>
          <w:p>
            <w:pPr>
              <w:ind w:left="200"/>
              <w:spacing w:after="0"/>
              <w:rPr>
                <w:sz w:val="20"/>
                <w:szCs w:val="20"/>
                <w:color w:val="auto"/>
              </w:rPr>
            </w:pPr>
            <w:r>
              <w:rPr>
                <w:rFonts w:ascii="Arial" w:cs="Arial" w:eastAsia="Arial" w:hAnsi="Arial"/>
                <w:sz w:val="18"/>
                <w:szCs w:val="18"/>
                <w:color w:val="auto"/>
              </w:rPr>
              <w:t>Sarbanes-Oxley Act of 2002.</w:t>
            </w:r>
          </w:p>
        </w:tc>
      </w:tr>
      <w:tr>
        <w:trPr>
          <w:trHeight w:val="270"/>
        </w:trPr>
        <w:tc>
          <w:tcPr>
            <w:tcW w:w="860" w:type="dxa"/>
            <w:vAlign w:val="bottom"/>
          </w:tcPr>
          <w:p>
            <w:pPr>
              <w:jc w:val="center"/>
              <w:ind w:right="90"/>
              <w:spacing w:after="0"/>
              <w:rPr>
                <w:sz w:val="20"/>
                <w:szCs w:val="20"/>
                <w:color w:val="auto"/>
              </w:rPr>
            </w:pPr>
            <w:r>
              <w:rPr>
                <w:rFonts w:ascii="Arial" w:cs="Arial" w:eastAsia="Arial" w:hAnsi="Arial"/>
                <w:sz w:val="18"/>
                <w:szCs w:val="18"/>
                <w:color w:val="auto"/>
                <w:w w:val="92"/>
              </w:rPr>
              <w:t>101.INS</w:t>
            </w:r>
          </w:p>
        </w:tc>
        <w:tc>
          <w:tcPr>
            <w:tcW w:w="10240" w:type="dxa"/>
            <w:vAlign w:val="bottom"/>
          </w:tcPr>
          <w:p>
            <w:pPr>
              <w:ind w:left="200"/>
              <w:spacing w:after="0"/>
              <w:rPr>
                <w:sz w:val="20"/>
                <w:szCs w:val="20"/>
                <w:color w:val="auto"/>
              </w:rPr>
            </w:pPr>
            <w:r>
              <w:rPr>
                <w:rFonts w:ascii="Arial" w:cs="Arial" w:eastAsia="Arial" w:hAnsi="Arial"/>
                <w:sz w:val="18"/>
                <w:szCs w:val="18"/>
                <w:color w:val="auto"/>
              </w:rPr>
              <w:t>XBRL Instance Document</w:t>
            </w:r>
          </w:p>
        </w:tc>
      </w:tr>
      <w:tr>
        <w:trPr>
          <w:trHeight w:val="270"/>
        </w:trPr>
        <w:tc>
          <w:tcPr>
            <w:tcW w:w="860" w:type="dxa"/>
            <w:vAlign w:val="bottom"/>
          </w:tcPr>
          <w:p>
            <w:pPr>
              <w:jc w:val="center"/>
              <w:ind w:right="90"/>
              <w:spacing w:after="0"/>
              <w:rPr>
                <w:sz w:val="20"/>
                <w:szCs w:val="20"/>
                <w:color w:val="auto"/>
              </w:rPr>
            </w:pPr>
            <w:r>
              <w:rPr>
                <w:rFonts w:ascii="Arial" w:cs="Arial" w:eastAsia="Arial" w:hAnsi="Arial"/>
                <w:sz w:val="18"/>
                <w:szCs w:val="18"/>
                <w:color w:val="auto"/>
                <w:w w:val="93"/>
              </w:rPr>
              <w:t>101.SCH</w:t>
            </w:r>
          </w:p>
        </w:tc>
        <w:tc>
          <w:tcPr>
            <w:tcW w:w="10240" w:type="dxa"/>
            <w:vAlign w:val="bottom"/>
          </w:tcPr>
          <w:p>
            <w:pPr>
              <w:ind w:left="200"/>
              <w:spacing w:after="0"/>
              <w:rPr>
                <w:sz w:val="20"/>
                <w:szCs w:val="20"/>
                <w:color w:val="auto"/>
              </w:rPr>
            </w:pPr>
            <w:r>
              <w:rPr>
                <w:rFonts w:ascii="Arial" w:cs="Arial" w:eastAsia="Arial" w:hAnsi="Arial"/>
                <w:sz w:val="18"/>
                <w:szCs w:val="18"/>
                <w:color w:val="auto"/>
              </w:rPr>
              <w:t>XBRL Taxonomy Extension Schema Document</w:t>
            </w:r>
          </w:p>
        </w:tc>
      </w:tr>
      <w:tr>
        <w:trPr>
          <w:trHeight w:val="270"/>
        </w:trPr>
        <w:tc>
          <w:tcPr>
            <w:tcW w:w="860" w:type="dxa"/>
            <w:vAlign w:val="bottom"/>
          </w:tcPr>
          <w:p>
            <w:pPr>
              <w:jc w:val="center"/>
              <w:ind w:right="90"/>
              <w:spacing w:after="0"/>
              <w:rPr>
                <w:sz w:val="20"/>
                <w:szCs w:val="20"/>
                <w:color w:val="auto"/>
              </w:rPr>
            </w:pPr>
            <w:r>
              <w:rPr>
                <w:rFonts w:ascii="Arial" w:cs="Arial" w:eastAsia="Arial" w:hAnsi="Arial"/>
                <w:sz w:val="18"/>
                <w:szCs w:val="18"/>
                <w:color w:val="auto"/>
                <w:w w:val="88"/>
              </w:rPr>
              <w:t>101.PRE</w:t>
            </w:r>
          </w:p>
        </w:tc>
        <w:tc>
          <w:tcPr>
            <w:tcW w:w="10240" w:type="dxa"/>
            <w:vAlign w:val="bottom"/>
          </w:tcPr>
          <w:p>
            <w:pPr>
              <w:ind w:left="200"/>
              <w:spacing w:after="0"/>
              <w:rPr>
                <w:sz w:val="20"/>
                <w:szCs w:val="20"/>
                <w:color w:val="auto"/>
              </w:rPr>
            </w:pPr>
            <w:r>
              <w:rPr>
                <w:rFonts w:ascii="Arial" w:cs="Arial" w:eastAsia="Arial" w:hAnsi="Arial"/>
                <w:sz w:val="18"/>
                <w:szCs w:val="18"/>
                <w:color w:val="auto"/>
              </w:rPr>
              <w:t>XBRL Taxonomy Extension Presentation Linkbase Document</w:t>
            </w:r>
          </w:p>
        </w:tc>
      </w:tr>
      <w:tr>
        <w:trPr>
          <w:trHeight w:val="270"/>
        </w:trPr>
        <w:tc>
          <w:tcPr>
            <w:tcW w:w="860" w:type="dxa"/>
            <w:vAlign w:val="bottom"/>
          </w:tcPr>
          <w:p>
            <w:pPr>
              <w:jc w:val="center"/>
              <w:ind w:right="90"/>
              <w:spacing w:after="0"/>
              <w:rPr>
                <w:sz w:val="20"/>
                <w:szCs w:val="20"/>
                <w:color w:val="auto"/>
              </w:rPr>
            </w:pPr>
            <w:r>
              <w:rPr>
                <w:rFonts w:ascii="Arial" w:cs="Arial" w:eastAsia="Arial" w:hAnsi="Arial"/>
                <w:sz w:val="18"/>
                <w:szCs w:val="18"/>
                <w:color w:val="auto"/>
                <w:w w:val="97"/>
              </w:rPr>
              <w:t>101.CAL</w:t>
            </w:r>
          </w:p>
        </w:tc>
        <w:tc>
          <w:tcPr>
            <w:tcW w:w="10240" w:type="dxa"/>
            <w:vAlign w:val="bottom"/>
          </w:tcPr>
          <w:p>
            <w:pPr>
              <w:ind w:left="200"/>
              <w:spacing w:after="0"/>
              <w:rPr>
                <w:sz w:val="20"/>
                <w:szCs w:val="20"/>
                <w:color w:val="auto"/>
              </w:rPr>
            </w:pPr>
            <w:r>
              <w:rPr>
                <w:rFonts w:ascii="Arial" w:cs="Arial" w:eastAsia="Arial" w:hAnsi="Arial"/>
                <w:sz w:val="18"/>
                <w:szCs w:val="18"/>
                <w:color w:val="auto"/>
              </w:rPr>
              <w:t>XBRL Taxonomy Extension Calculation Linkbase Document</w:t>
            </w:r>
          </w:p>
        </w:tc>
      </w:tr>
      <w:tr>
        <w:trPr>
          <w:trHeight w:val="270"/>
        </w:trPr>
        <w:tc>
          <w:tcPr>
            <w:tcW w:w="860" w:type="dxa"/>
            <w:vAlign w:val="bottom"/>
          </w:tcPr>
          <w:p>
            <w:pPr>
              <w:jc w:val="center"/>
              <w:ind w:right="90"/>
              <w:spacing w:after="0"/>
              <w:rPr>
                <w:sz w:val="20"/>
                <w:szCs w:val="20"/>
                <w:color w:val="auto"/>
              </w:rPr>
            </w:pPr>
            <w:r>
              <w:rPr>
                <w:rFonts w:ascii="Arial" w:cs="Arial" w:eastAsia="Arial" w:hAnsi="Arial"/>
                <w:sz w:val="18"/>
                <w:szCs w:val="18"/>
                <w:color w:val="auto"/>
                <w:w w:val="98"/>
              </w:rPr>
              <w:t>101.LAB</w:t>
            </w:r>
          </w:p>
        </w:tc>
        <w:tc>
          <w:tcPr>
            <w:tcW w:w="10240" w:type="dxa"/>
            <w:vAlign w:val="bottom"/>
          </w:tcPr>
          <w:p>
            <w:pPr>
              <w:ind w:left="200"/>
              <w:spacing w:after="0"/>
              <w:rPr>
                <w:sz w:val="20"/>
                <w:szCs w:val="20"/>
                <w:color w:val="auto"/>
              </w:rPr>
            </w:pPr>
            <w:r>
              <w:rPr>
                <w:rFonts w:ascii="Arial" w:cs="Arial" w:eastAsia="Arial" w:hAnsi="Arial"/>
                <w:sz w:val="18"/>
                <w:szCs w:val="18"/>
                <w:color w:val="auto"/>
              </w:rPr>
              <w:t>XBRL Taxonomy Extension Label Linkbase Document</w:t>
            </w:r>
          </w:p>
        </w:tc>
      </w:tr>
      <w:tr>
        <w:trPr>
          <w:trHeight w:val="270"/>
        </w:trPr>
        <w:tc>
          <w:tcPr>
            <w:tcW w:w="860" w:type="dxa"/>
            <w:vAlign w:val="bottom"/>
          </w:tcPr>
          <w:p>
            <w:pPr>
              <w:jc w:val="center"/>
              <w:ind w:right="90"/>
              <w:spacing w:after="0"/>
              <w:rPr>
                <w:sz w:val="20"/>
                <w:szCs w:val="20"/>
                <w:color w:val="auto"/>
              </w:rPr>
            </w:pPr>
            <w:r>
              <w:rPr>
                <w:rFonts w:ascii="Arial" w:cs="Arial" w:eastAsia="Arial" w:hAnsi="Arial"/>
                <w:sz w:val="18"/>
                <w:szCs w:val="18"/>
                <w:color w:val="auto"/>
                <w:w w:val="90"/>
              </w:rPr>
              <w:t>101.DEF</w:t>
            </w:r>
          </w:p>
        </w:tc>
        <w:tc>
          <w:tcPr>
            <w:tcW w:w="10240" w:type="dxa"/>
            <w:vAlign w:val="bottom"/>
          </w:tcPr>
          <w:p>
            <w:pPr>
              <w:ind w:left="200"/>
              <w:spacing w:after="0"/>
              <w:rPr>
                <w:sz w:val="20"/>
                <w:szCs w:val="20"/>
                <w:color w:val="auto"/>
              </w:rPr>
            </w:pPr>
            <w:r>
              <w:rPr>
                <w:rFonts w:ascii="Arial" w:cs="Arial" w:eastAsia="Arial" w:hAnsi="Arial"/>
                <w:sz w:val="18"/>
                <w:szCs w:val="18"/>
                <w:color w:val="auto"/>
              </w:rPr>
              <w:t>XBRL Taxonomy Extension Definition Linkbase Document</w:t>
            </w:r>
          </w:p>
        </w:tc>
      </w:tr>
    </w:tbl>
    <w:p>
      <w:pPr>
        <w:spacing w:after="0" w:line="364" w:lineRule="exact"/>
        <w:rPr>
          <w:sz w:val="20"/>
          <w:szCs w:val="20"/>
          <w:color w:val="auto"/>
        </w:rPr>
      </w:pPr>
    </w:p>
    <w:p>
      <w:pPr>
        <w:ind w:left="1060" w:hanging="763"/>
        <w:spacing w:after="0" w:line="277" w:lineRule="auto"/>
        <w:tabs>
          <w:tab w:leader="none" w:pos="1060" w:val="left"/>
        </w:tabs>
        <w:numPr>
          <w:ilvl w:val="0"/>
          <w:numId w:val="7"/>
        </w:numPr>
        <w:rPr>
          <w:rFonts w:ascii="Arial" w:cs="Arial" w:eastAsia="Arial" w:hAnsi="Arial"/>
          <w:sz w:val="18"/>
          <w:szCs w:val="18"/>
          <w:color w:val="auto"/>
        </w:rPr>
      </w:pPr>
      <w:r>
        <w:rPr>
          <w:rFonts w:ascii="Arial" w:cs="Arial" w:eastAsia="Arial" w:hAnsi="Arial"/>
          <w:sz w:val="18"/>
          <w:szCs w:val="18"/>
          <w:color w:val="auto"/>
        </w:rPr>
        <w:t>Incorporated by reference to the exhibit filed under the corresponding Exhibit Number of the Company’s Current Report on Form 8-K filed on July 31, 2014, File No. 001-36313</w:t>
      </w:r>
    </w:p>
    <w:p>
      <w:pPr>
        <w:spacing w:after="0" w:line="8" w:lineRule="exact"/>
        <w:rPr>
          <w:sz w:val="20"/>
          <w:szCs w:val="20"/>
          <w:color w:val="auto"/>
        </w:rPr>
      </w:pPr>
    </w:p>
    <w:p>
      <w:pPr>
        <w:ind w:left="1060" w:hanging="808"/>
        <w:spacing w:after="0" w:line="277" w:lineRule="auto"/>
        <w:tabs>
          <w:tab w:leader="none" w:pos="106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Incorporated by reference to the exhibit filed under the corresponding Exhibit Number of Amendment No. 3 to the Company’s Registration Statement on Form 10 filed on April 25, 2014, File No. 001-36313</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160"/>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100"/>
          </w:cols>
          <w:pgMar w:left="480" w:top="746" w:right="319" w:bottom="1440" w:gutter="0" w:footer="0" w:header="0"/>
        </w:sectPr>
      </w:pPr>
    </w:p>
    <w:bookmarkStart w:id="33" w:name="page34"/>
    <w:bookmarkEnd w:id="33"/>
    <w:p>
      <w:pPr>
        <w:jc w:val="center"/>
        <w:ind w:right="-19"/>
        <w:spacing w:after="0"/>
        <w:rPr>
          <w:sz w:val="20"/>
          <w:szCs w:val="20"/>
          <w:color w:val="auto"/>
        </w:rPr>
      </w:pPr>
      <w:r>
        <w:rPr>
          <w:rFonts w:ascii="Arial" w:cs="Arial" w:eastAsia="Arial" w:hAnsi="Arial"/>
          <w:sz w:val="18"/>
          <w:szCs w:val="18"/>
          <w:color w:val="auto"/>
        </w:rPr>
        <w:t>SIGNATURES</w:t>
      </w:r>
    </w:p>
    <w:p>
      <w:pPr>
        <w:spacing w:after="0" w:line="22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Section 13 or 15(d)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349" w:lineRule="exact"/>
        <w:rPr>
          <w:sz w:val="20"/>
          <w:szCs w:val="20"/>
          <w:color w:val="auto"/>
        </w:rPr>
      </w:pPr>
    </w:p>
    <w:p>
      <w:pPr>
        <w:jc w:val="center"/>
        <w:ind w:left="2820"/>
        <w:spacing w:after="0"/>
        <w:rPr>
          <w:sz w:val="20"/>
          <w:szCs w:val="20"/>
          <w:color w:val="auto"/>
        </w:rPr>
      </w:pPr>
      <w:r>
        <w:rPr>
          <w:rFonts w:ascii="Arial" w:cs="Arial" w:eastAsia="Arial" w:hAnsi="Arial"/>
          <w:sz w:val="18"/>
          <w:szCs w:val="18"/>
          <w:color w:val="auto"/>
        </w:rPr>
        <w:t>TIMKENSTEEL CORPORATION</w:t>
      </w:r>
    </w:p>
    <w:p>
      <w:pPr>
        <w:spacing w:after="0" w:line="63" w:lineRule="exact"/>
        <w:rPr>
          <w:sz w:val="20"/>
          <w:szCs w:val="20"/>
          <w:color w:val="auto"/>
        </w:rPr>
      </w:pPr>
    </w:p>
    <w:p>
      <w:pPr>
        <w:jc w:val="center"/>
        <w:ind w:left="2760"/>
        <w:spacing w:after="0"/>
        <w:rPr>
          <w:sz w:val="20"/>
          <w:szCs w:val="20"/>
          <w:color w:val="auto"/>
        </w:rPr>
      </w:pPr>
      <w:r>
        <w:rPr>
          <w:rFonts w:ascii="Arial" w:cs="Arial" w:eastAsia="Arial" w:hAnsi="Arial"/>
          <w:sz w:val="18"/>
          <w:szCs w:val="18"/>
          <w:color w:val="auto"/>
        </w:rPr>
        <w:t>(Registrant)</w:t>
      </w:r>
    </w:p>
    <w:p>
      <w:pPr>
        <w:spacing w:after="0" w:line="387" w:lineRule="exact"/>
        <w:rPr>
          <w:sz w:val="20"/>
          <w:szCs w:val="20"/>
          <w:color w:val="auto"/>
        </w:rPr>
      </w:pPr>
    </w:p>
    <w:p>
      <w:pPr>
        <w:ind w:left="40"/>
        <w:spacing w:after="0"/>
        <w:tabs>
          <w:tab w:leader="none" w:pos="700" w:val="left"/>
          <w:tab w:leader="none" w:pos="584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August 14, 2014</w:t>
      </w:r>
      <w:r>
        <w:rPr>
          <w:sz w:val="20"/>
          <w:szCs w:val="20"/>
          <w:color w:val="auto"/>
        </w:rPr>
        <w:tab/>
      </w:r>
      <w:r>
        <w:rPr>
          <w:rFonts w:ascii="Arial" w:cs="Arial" w:eastAsia="Arial" w:hAnsi="Arial"/>
          <w:sz w:val="16"/>
          <w:szCs w:val="16"/>
          <w:color w:val="auto"/>
        </w:rPr>
        <w:t>/s/ Christopher J. Holding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3701415</wp:posOffset>
            </wp:positionH>
            <wp:positionV relativeFrom="paragraph">
              <wp:posOffset>31750</wp:posOffset>
            </wp:positionV>
            <wp:extent cx="3550285"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550285" cy="8890"/>
                    </a:xfrm>
                    <a:prstGeom prst="rect">
                      <a:avLst/>
                    </a:prstGeom>
                    <a:noFill/>
                  </pic:spPr>
                </pic:pic>
              </a:graphicData>
            </a:graphic>
          </wp:anchor>
        </w:drawing>
      </w:r>
    </w:p>
    <w:p>
      <w:pPr>
        <w:spacing w:after="0" w:line="57"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Christopher J. Holding</w:t>
      </w:r>
    </w:p>
    <w:p>
      <w:pPr>
        <w:spacing w:after="0" w:line="23"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Executive Vice President and Chief Financial Officer</w:t>
      </w:r>
    </w:p>
    <w:p>
      <w:pPr>
        <w:spacing w:after="0" w:line="9"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(Principal Financial Officer)</w:t>
      </w:r>
    </w:p>
    <w:p>
      <w:pPr>
        <w:spacing w:after="0" w:line="200" w:lineRule="exact"/>
        <w:rPr>
          <w:sz w:val="20"/>
          <w:szCs w:val="20"/>
          <w:color w:val="auto"/>
        </w:rPr>
      </w:pPr>
    </w:p>
    <w:p>
      <w:pPr>
        <w:spacing w:after="0" w:line="2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32</w:t>
      </w:r>
    </w:p>
    <w:sectPr>
      <w:pgSz w:w="11900" w:h="16838" w:orient="portrait"/>
      <w:cols w:equalWidth="0" w:num="1">
        <w:col w:w="11400"/>
      </w:cols>
      <w:pgMar w:left="240" w:top="584" w:right="2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38E1F29"/>
    <w:multiLevelType w:val="hybridMultilevel"/>
    <w:lvl w:ilvl="0">
      <w:lvlJc w:val="left"/>
      <w:lvlText w:val="☒"/>
      <w:numFmt w:val="bullet"/>
      <w:start w:val="1"/>
    </w:lvl>
  </w:abstractNum>
  <w:abstractNum w:abstractNumId="1">
    <w:nsid w:val="46E87CCD"/>
    <w:multiLevelType w:val="hybridMultilevel"/>
    <w:lvl w:ilvl="0">
      <w:lvlJc w:val="left"/>
      <w:lvlText w:val="o"/>
      <w:numFmt w:val="bullet"/>
      <w:start w:val="1"/>
    </w:lvl>
  </w:abstractNum>
  <w:abstractNum w:abstractNumId="2">
    <w:nsid w:val="3D1B58BA"/>
    <w:multiLevelType w:val="hybridMultilevel"/>
    <w:lvl w:ilvl="0">
      <w:lvlJc w:val="left"/>
      <w:lvlText w:val="•"/>
      <w:numFmt w:val="bullet"/>
      <w:start w:val="1"/>
    </w:lvl>
  </w:abstractNum>
  <w:abstractNum w:abstractNumId="3">
    <w:nsid w:val="507ED7AB"/>
    <w:multiLevelType w:val="hybridMultilevel"/>
    <w:lvl w:ilvl="0">
      <w:lvlJc w:val="left"/>
      <w:lvlText w:val="•"/>
      <w:numFmt w:val="bullet"/>
      <w:start w:val="1"/>
    </w:lvl>
  </w:abstractNum>
  <w:abstractNum w:abstractNumId="4">
    <w:nsid w:val="2EB141F2"/>
    <w:multiLevelType w:val="hybridMultilevel"/>
    <w:lvl w:ilvl="0">
      <w:lvlJc w:val="left"/>
      <w:lvlText w:val="•"/>
      <w:numFmt w:val="bullet"/>
      <w:start w:val="1"/>
    </w:lvl>
  </w:abstractNum>
  <w:abstractNum w:abstractNumId="5">
    <w:nsid w:val="41B71EFB"/>
    <w:multiLevelType w:val="hybridMultilevel"/>
    <w:lvl w:ilvl="0">
      <w:lvlJc w:val="left"/>
      <w:lvlText w:val="(%1)"/>
      <w:numFmt w:val="lowerLetter"/>
      <w:start w:val="1"/>
    </w:lvl>
  </w:abstractNum>
  <w:abstractNum w:abstractNumId="6">
    <w:nsid w:val="79E2A9E3"/>
    <w:multiLevelType w:val="hybridMultilevel"/>
    <w:lvl w:ilvl="0">
      <w:lvlJc w:val="left"/>
      <w:lvlText w:val="†"/>
      <w:numFmt w:val="bullet"/>
      <w:start w:val="1"/>
    </w:lvl>
  </w:abstractNum>
  <w:abstractNum w:abstractNumId="7">
    <w:nsid w:val="7545E146"/>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2020-01-28T06:14:29Z</dcterms:created>
  <dcterms:modified xsi:type="dcterms:W3CDTF">2020-01-28T06:14:29Z</dcterms:modified>
</cp:coreProperties>
</file>