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SEC Form 4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2" w:lineRule="exact"/>
        <w:rPr>
          <w:sz w:val="24"/>
          <w:szCs w:val="24"/>
          <w:color w:val="auto"/>
        </w:rPr>
      </w:pPr>
    </w:p>
    <w:p>
      <w:pPr>
        <w:ind w:left="380"/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39370</wp:posOffset>
            </wp:positionH>
            <wp:positionV relativeFrom="paragraph">
              <wp:posOffset>-244475</wp:posOffset>
            </wp:positionV>
            <wp:extent cx="137160" cy="137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6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5"/>
        </w:trPr>
        <w:tc>
          <w:tcPr>
            <w:tcW w:w="6580" w:type="dxa"/>
            <w:vAlign w:val="bottom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5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5506720</wp:posOffset>
            </wp:positionH>
            <wp:positionV relativeFrom="paragraph">
              <wp:posOffset>-655320</wp:posOffset>
            </wp:positionV>
            <wp:extent cx="59690" cy="6686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4168775</wp:posOffset>
            </wp:positionH>
            <wp:positionV relativeFrom="paragraph">
              <wp:posOffset>-655320</wp:posOffset>
            </wp:positionV>
            <wp:extent cx="59690" cy="6686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-1670685</wp:posOffset>
            </wp:positionH>
            <wp:positionV relativeFrom="paragraph">
              <wp:posOffset>13970</wp:posOffset>
            </wp:positionV>
            <wp:extent cx="7322820" cy="740029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2820" cy="7400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96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380" w:space="240"/>
            <w:col w:w="8900"/>
          </w:cols>
          <w:pgMar w:left="240" w:top="226" w:right="139" w:bottom="0" w:gutter="0" w:footer="0" w:header="0"/>
        </w:sect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1. Name and Address of Reporting Person</w:t>
      </w:r>
      <w:r>
        <w:rPr>
          <w:rFonts w:ascii="Arial" w:cs="Arial" w:eastAsia="Arial" w:hAnsi="Arial"/>
          <w:sz w:val="22"/>
          <w:szCs w:val="22"/>
          <w:color w:val="auto"/>
          <w:vertAlign w:val="superscript"/>
        </w:rPr>
        <w:t>*</w:t>
      </w:r>
    </w:p>
    <w:p>
      <w:pPr>
        <w:ind w:left="120"/>
        <w:spacing w:after="0"/>
        <w:rPr>
          <w:rFonts w:ascii="Arial" w:cs="Arial" w:eastAsia="Arial" w:hAnsi="Arial"/>
          <w:sz w:val="22"/>
          <w:szCs w:val="22"/>
          <w:u w:val="single" w:color="auto"/>
          <w:color w:val="0000EE"/>
        </w:rPr>
      </w:pPr>
      <w:hyperlink r:id="rId12">
        <w:r>
          <w:rPr>
            <w:rFonts w:ascii="Arial" w:cs="Arial" w:eastAsia="Arial" w:hAnsi="Arial"/>
            <w:sz w:val="22"/>
            <w:szCs w:val="22"/>
            <w:u w:val="single" w:color="auto"/>
            <w:color w:val="0000EE"/>
          </w:rPr>
          <w:t>Walker Donald L</w:t>
        </w:r>
      </w:hyperlink>
    </w:p>
    <w:p>
      <w:pPr>
        <w:spacing w:after="0" w:line="317" w:lineRule="exact"/>
        <w:rPr>
          <w:sz w:val="24"/>
          <w:szCs w:val="24"/>
          <w:color w:val="auto"/>
        </w:rPr>
      </w:pPr>
    </w:p>
    <w:p>
      <w:pPr>
        <w:ind w:left="120"/>
        <w:spacing w:after="0"/>
        <w:tabs>
          <w:tab w:leader="none" w:pos="1380" w:val="left"/>
          <w:tab w:leader="none" w:pos="26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(Last)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(First)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(Middle)</w:t>
      </w:r>
    </w:p>
    <w:p>
      <w:pPr>
        <w:spacing w:after="0" w:line="61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1835 DUEBER AVE., S.W.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2. Issuer Name </w:t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and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Ticker or Trading Symbol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spacing w:after="0"/>
        <w:rPr>
          <w:rFonts w:ascii="Arial" w:cs="Arial" w:eastAsia="Arial" w:hAnsi="Arial"/>
          <w:sz w:val="22"/>
          <w:szCs w:val="22"/>
          <w:color w:val="0000EE"/>
        </w:rPr>
      </w:pPr>
      <w:hyperlink r:id="rId13">
        <w:r>
          <w:rPr>
            <w:rFonts w:ascii="Arial" w:cs="Arial" w:eastAsia="Arial" w:hAnsi="Arial"/>
            <w:sz w:val="22"/>
            <w:szCs w:val="22"/>
            <w:u w:val="single" w:color="auto"/>
            <w:color w:val="0000EE"/>
          </w:rPr>
          <w:t>TimkenSteel Corp</w:t>
        </w:r>
        <w:r>
          <w:rPr>
            <w:rFonts w:ascii="Arial" w:cs="Arial" w:eastAsia="Arial" w:hAnsi="Arial"/>
            <w:sz w:val="22"/>
            <w:szCs w:val="22"/>
            <w:color w:val="0000EE"/>
          </w:rPr>
          <w:t xml:space="preserve"> </w:t>
        </w:r>
      </w:hyperlink>
      <w:r>
        <w:rPr>
          <w:rFonts w:ascii="Arial" w:cs="Arial" w:eastAsia="Arial" w:hAnsi="Arial"/>
          <w:sz w:val="22"/>
          <w:szCs w:val="22"/>
          <w:color w:val="000000"/>
        </w:rPr>
        <w:t>[</w:t>
      </w:r>
      <w:r>
        <w:rPr>
          <w:rFonts w:ascii="Arial" w:cs="Arial" w:eastAsia="Arial" w:hAnsi="Arial"/>
          <w:sz w:val="22"/>
          <w:szCs w:val="22"/>
          <w:color w:val="0000EE"/>
        </w:rPr>
        <w:t xml:space="preserve"> </w:t>
      </w:r>
      <w:r>
        <w:rPr>
          <w:rFonts w:ascii="Arial" w:cs="Arial" w:eastAsia="Arial" w:hAnsi="Arial"/>
          <w:sz w:val="17"/>
          <w:szCs w:val="17"/>
          <w:color w:val="0000FF"/>
        </w:rPr>
        <w:t>TMST</w:t>
      </w:r>
      <w:r>
        <w:rPr>
          <w:rFonts w:ascii="Arial" w:cs="Arial" w:eastAsia="Arial" w:hAnsi="Arial"/>
          <w:sz w:val="22"/>
          <w:szCs w:val="22"/>
          <w:color w:val="0000EE"/>
        </w:rPr>
        <w:t xml:space="preserve"> </w:t>
      </w:r>
      <w:r>
        <w:rPr>
          <w:rFonts w:ascii="Arial" w:cs="Arial" w:eastAsia="Arial" w:hAnsi="Arial"/>
          <w:sz w:val="22"/>
          <w:szCs w:val="22"/>
          <w:color w:val="000000"/>
        </w:rPr>
        <w:t>]</w:t>
      </w:r>
    </w:p>
    <w:p>
      <w:pPr>
        <w:spacing w:after="0" w:line="31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3. Date of Earliest Transaction (Month/Day/Year)</w:t>
      </w:r>
    </w:p>
    <w:p>
      <w:pPr>
        <w:spacing w:after="0" w:line="1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08/28/2014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ind w:left="3" w:right="620" w:hanging="3"/>
        <w:spacing w:after="0" w:line="231" w:lineRule="auto"/>
        <w:tabs>
          <w:tab w:leader="none" w:pos="153" w:val="left"/>
        </w:tabs>
        <w:numPr>
          <w:ilvl w:val="0"/>
          <w:numId w:val="1"/>
        </w:numPr>
        <w:rPr>
          <w:rFonts w:ascii="Arial" w:cs="Arial" w:eastAsia="Arial" w:hAnsi="Arial"/>
          <w:sz w:val="14"/>
          <w:szCs w:val="14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Relationship of Reporting Person(s) to Issuer (Check all applicable)</w:t>
      </w:r>
    </w:p>
    <w:p>
      <w:pPr>
        <w:spacing w:after="0" w:line="28" w:lineRule="exact"/>
        <w:rPr>
          <w:sz w:val="24"/>
          <w:szCs w:val="24"/>
          <w:color w:val="auto"/>
        </w:rPr>
      </w:pPr>
    </w:p>
    <w:tbl>
      <w:tblPr>
        <w:tblLayout w:type="fixed"/>
        <w:tblInd w:w="203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2"/>
        </w:trPr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Director</w:t>
            </w:r>
          </w:p>
        </w:tc>
        <w:tc>
          <w:tcPr>
            <w:tcW w:w="118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2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X</w:t>
            </w:r>
          </w:p>
        </w:tc>
        <w:tc>
          <w:tcPr>
            <w:tcW w:w="14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Officer (give title</w:t>
            </w:r>
          </w:p>
        </w:tc>
        <w:tc>
          <w:tcPr>
            <w:tcW w:w="118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4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24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below)</w:t>
            </w:r>
          </w:p>
        </w:tc>
        <w:tc>
          <w:tcPr>
            <w:tcW w:w="1180" w:type="dxa"/>
            <w:vAlign w:val="bottom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below)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6"/>
        </w:trPr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33" w:lineRule="exact"/>
        <w:rPr>
          <w:sz w:val="24"/>
          <w:szCs w:val="24"/>
          <w:color w:val="auto"/>
        </w:rPr>
      </w:pPr>
    </w:p>
    <w:p>
      <w:pPr>
        <w:ind w:left="1183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See Remarks</w:t>
      </w:r>
    </w:p>
    <w:p>
      <w:pPr>
        <w:spacing w:after="0" w:line="315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3">
            <w:col w:w="3360" w:space="720"/>
            <w:col w:w="3257" w:space="720"/>
            <w:col w:w="3463"/>
          </w:cols>
          <w:pgMar w:left="240" w:top="226" w:right="139" w:bottom="0" w:gutter="0" w:footer="0" w:header="0"/>
          <w:type w:val="continuous"/>
        </w:sectPr>
      </w:pPr>
    </w:p>
    <w:p>
      <w:pPr>
        <w:spacing w:after="0" w:line="174" w:lineRule="exact"/>
        <w:rPr>
          <w:sz w:val="24"/>
          <w:szCs w:val="24"/>
          <w:color w:val="auto"/>
        </w:r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2"/>
        </w:trPr>
        <w:tc>
          <w:tcPr>
            <w:tcW w:w="10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(Street)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242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CANTON</w:t>
            </w:r>
          </w:p>
        </w:tc>
        <w:tc>
          <w:tcPr>
            <w:tcW w:w="1120" w:type="dxa"/>
            <w:vAlign w:val="bottom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OH</w:t>
            </w:r>
          </w:p>
        </w:tc>
        <w:tc>
          <w:tcPr>
            <w:tcW w:w="168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44706</w:t>
            </w:r>
          </w:p>
        </w:tc>
      </w:tr>
      <w:tr>
        <w:trPr>
          <w:trHeight w:val="158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310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(City)</w:t>
            </w:r>
          </w:p>
        </w:tc>
        <w:tc>
          <w:tcPr>
            <w:tcW w:w="1120" w:type="dxa"/>
            <w:vAlign w:val="bottom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(State)</w:t>
            </w:r>
          </w:p>
        </w:tc>
        <w:tc>
          <w:tcPr>
            <w:tcW w:w="168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(Zip)</w:t>
            </w: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tabs>
          <w:tab w:leader="none" w:pos="39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4. If Amendment, Date of Original Filed (Month/Day/Year)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6. Individual or Joint/Group Filing (Check Applicable</w:t>
      </w:r>
    </w:p>
    <w:p>
      <w:pPr>
        <w:ind w:left="39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Line)</w:t>
      </w:r>
    </w:p>
    <w:p>
      <w:pPr>
        <w:ind w:left="4180"/>
        <w:spacing w:after="0" w:line="211" w:lineRule="auto"/>
        <w:tabs>
          <w:tab w:leader="none" w:pos="45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Form filed by One Reporting Person</w:t>
      </w:r>
    </w:p>
    <w:p>
      <w:pPr>
        <w:spacing w:after="0" w:line="104" w:lineRule="exact"/>
        <w:rPr>
          <w:sz w:val="24"/>
          <w:szCs w:val="24"/>
          <w:color w:val="auto"/>
        </w:rPr>
      </w:pPr>
    </w:p>
    <w:p>
      <w:pPr>
        <w:ind w:left="45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Form filed by More than One Reporting</w:t>
      </w:r>
    </w:p>
    <w:p>
      <w:pPr>
        <w:ind w:left="45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Person</w:t>
      </w:r>
    </w:p>
    <w:p>
      <w:pPr>
        <w:spacing w:after="0" w:line="307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3920" w:space="160"/>
            <w:col w:w="7440"/>
          </w:cols>
          <w:pgMar w:left="240" w:top="226" w:right="139" w:bottom="0" w:gutter="0" w:footer="0" w:header="0"/>
          <w:type w:val="continuous"/>
        </w:sectPr>
      </w:pPr>
    </w:p>
    <w:p>
      <w:pPr>
        <w:jc w:val="center"/>
        <w:ind w:righ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Table I - Non-Derivative Securities Acquired, Disposed of, or Beneficially Owned</w:t>
      </w:r>
    </w:p>
    <w:p>
      <w:pPr>
        <w:spacing w:after="0" w:line="110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8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580" w:type="dxa"/>
            <w:vAlign w:val="bottom"/>
            <w:gridSpan w:val="2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8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2040" w:type="dxa"/>
            <w:vAlign w:val="bottom"/>
            <w:gridSpan w:val="3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2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5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gridSpan w:val="3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2040" w:type="dxa"/>
            <w:vAlign w:val="bottom"/>
            <w:gridSpan w:val="3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 5)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2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80" w:type="dxa"/>
            <w:vAlign w:val="bottom"/>
            <w:gridSpan w:val="2"/>
          </w:tcPr>
          <w:p>
            <w:pPr>
              <w:ind w:left="5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42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2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gridSpan w:val="3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82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2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20" w:type="dxa"/>
            <w:vAlign w:val="bottom"/>
            <w:gridSpan w:val="2"/>
            <w:vMerge w:val="restart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40" w:type="dxa"/>
            <w:vAlign w:val="bottom"/>
            <w:gridSpan w:val="3"/>
            <w:vMerge w:val="restart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78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580" w:type="dxa"/>
            <w:vAlign w:val="bottom"/>
          </w:tcPr>
          <w:p>
            <w:pPr>
              <w:ind w:left="1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680" w:type="dxa"/>
            <w:vAlign w:val="bottom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2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20" w:type="dxa"/>
            <w:vAlign w:val="bottom"/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8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Shares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80" w:type="dxa"/>
            <w:vAlign w:val="bottom"/>
            <w:gridSpan w:val="2"/>
          </w:tcPr>
          <w:p>
            <w:pPr>
              <w:jc w:val="right"/>
              <w:ind w:right="11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08/28/2014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jc w:val="center"/>
              <w:ind w:right="31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M</w:t>
            </w:r>
          </w:p>
        </w:tc>
        <w:tc>
          <w:tcPr>
            <w:tcW w:w="78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4"/>
              </w:rPr>
              <w:t>1,800</w:t>
            </w:r>
          </w:p>
        </w:tc>
        <w:tc>
          <w:tcPr>
            <w:tcW w:w="58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A</w:t>
            </w:r>
          </w:p>
        </w:tc>
        <w:tc>
          <w:tcPr>
            <w:tcW w:w="680" w:type="dxa"/>
            <w:vAlign w:val="bottom"/>
          </w:tcPr>
          <w:p>
            <w:pPr>
              <w:jc w:val="center"/>
              <w:ind w:left="8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87"/>
              </w:rPr>
              <w:t>$</w:t>
            </w:r>
            <w:r>
              <w:rPr>
                <w:rFonts w:ascii="Arial" w:cs="Arial" w:eastAsia="Arial" w:hAnsi="Arial"/>
                <w:sz w:val="18"/>
                <w:szCs w:val="18"/>
                <w:color w:val="0000FF"/>
                <w:w w:val="87"/>
              </w:rPr>
              <w:t>13.61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40" w:type="dxa"/>
            <w:vAlign w:val="bottom"/>
            <w:gridSpan w:val="3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7"/>
              </w:rPr>
              <w:t>18,594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jc w:val="center"/>
              <w:ind w:right="30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1"/>
              </w:rPr>
              <w:t>D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Shares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80" w:type="dxa"/>
            <w:vAlign w:val="bottom"/>
            <w:gridSpan w:val="2"/>
          </w:tcPr>
          <w:p>
            <w:pPr>
              <w:jc w:val="right"/>
              <w:ind w:right="11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08/28/2014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jc w:val="center"/>
              <w:ind w:right="31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  <w:w w:val="92"/>
              </w:rPr>
              <w:t>F</w:t>
            </w:r>
          </w:p>
        </w:tc>
        <w:tc>
          <w:tcPr>
            <w:tcW w:w="78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6"/>
              </w:rPr>
              <w:t>420</w:t>
            </w:r>
          </w:p>
        </w:tc>
        <w:tc>
          <w:tcPr>
            <w:tcW w:w="58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87"/>
              </w:rPr>
              <w:t>$</w:t>
            </w:r>
            <w:r>
              <w:rPr>
                <w:rFonts w:ascii="Arial" w:cs="Arial" w:eastAsia="Arial" w:hAnsi="Arial"/>
                <w:sz w:val="18"/>
                <w:szCs w:val="18"/>
                <w:color w:val="0000FF"/>
                <w:w w:val="87"/>
              </w:rPr>
              <w:t>47.1125</w:t>
            </w:r>
          </w:p>
        </w:tc>
        <w:tc>
          <w:tcPr>
            <w:tcW w:w="1240" w:type="dxa"/>
            <w:vAlign w:val="bottom"/>
            <w:gridSpan w:val="3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7"/>
              </w:rPr>
              <w:t>18,174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jc w:val="center"/>
              <w:ind w:right="30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1"/>
              </w:rPr>
              <w:t>D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Shares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80" w:type="dxa"/>
            <w:vAlign w:val="bottom"/>
            <w:gridSpan w:val="2"/>
          </w:tcPr>
          <w:p>
            <w:pPr>
              <w:jc w:val="right"/>
              <w:ind w:right="11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08/28/2014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jc w:val="center"/>
              <w:ind w:right="31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  <w:w w:val="85"/>
              </w:rPr>
              <w:t>S</w:t>
            </w:r>
          </w:p>
        </w:tc>
        <w:tc>
          <w:tcPr>
            <w:tcW w:w="78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4"/>
              </w:rPr>
              <w:t>1,380</w:t>
            </w:r>
          </w:p>
        </w:tc>
        <w:tc>
          <w:tcPr>
            <w:tcW w:w="58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87"/>
              </w:rPr>
              <w:t>$</w:t>
            </w:r>
            <w:r>
              <w:rPr>
                <w:rFonts w:ascii="Arial" w:cs="Arial" w:eastAsia="Arial" w:hAnsi="Arial"/>
                <w:sz w:val="18"/>
                <w:szCs w:val="18"/>
                <w:color w:val="0000FF"/>
                <w:w w:val="87"/>
              </w:rPr>
              <w:t>47.1101</w:t>
            </w:r>
          </w:p>
        </w:tc>
        <w:tc>
          <w:tcPr>
            <w:tcW w:w="1240" w:type="dxa"/>
            <w:vAlign w:val="bottom"/>
            <w:gridSpan w:val="3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7"/>
              </w:rPr>
              <w:t>16,794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jc w:val="center"/>
              <w:ind w:right="30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1"/>
              </w:rPr>
              <w:t>D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Shares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80" w:type="dxa"/>
            <w:vAlign w:val="bottom"/>
            <w:gridSpan w:val="2"/>
          </w:tcPr>
          <w:p>
            <w:pPr>
              <w:jc w:val="right"/>
              <w:ind w:right="11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08/28/2014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jc w:val="center"/>
              <w:ind w:right="31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M</w:t>
            </w:r>
          </w:p>
        </w:tc>
        <w:tc>
          <w:tcPr>
            <w:tcW w:w="78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4"/>
              </w:rPr>
              <w:t>3,111</w:t>
            </w:r>
          </w:p>
        </w:tc>
        <w:tc>
          <w:tcPr>
            <w:tcW w:w="58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A</w:t>
            </w:r>
          </w:p>
        </w:tc>
        <w:tc>
          <w:tcPr>
            <w:tcW w:w="680" w:type="dxa"/>
            <w:vAlign w:val="bottom"/>
          </w:tcPr>
          <w:p>
            <w:pPr>
              <w:jc w:val="center"/>
              <w:ind w:left="8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87"/>
              </w:rPr>
              <w:t>$</w:t>
            </w:r>
            <w:r>
              <w:rPr>
                <w:rFonts w:ascii="Arial" w:cs="Arial" w:eastAsia="Arial" w:hAnsi="Arial"/>
                <w:sz w:val="18"/>
                <w:szCs w:val="18"/>
                <w:color w:val="0000FF"/>
                <w:w w:val="87"/>
              </w:rPr>
              <w:t>29.95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40" w:type="dxa"/>
            <w:vAlign w:val="bottom"/>
            <w:gridSpan w:val="3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7"/>
              </w:rPr>
              <w:t>19,905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jc w:val="center"/>
              <w:ind w:right="30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1"/>
              </w:rPr>
              <w:t>D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Shares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80" w:type="dxa"/>
            <w:vAlign w:val="bottom"/>
            <w:gridSpan w:val="2"/>
          </w:tcPr>
          <w:p>
            <w:pPr>
              <w:jc w:val="right"/>
              <w:ind w:right="11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08/28/2014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jc w:val="center"/>
              <w:ind w:right="31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  <w:w w:val="92"/>
              </w:rPr>
              <w:t>F</w:t>
            </w:r>
          </w:p>
        </w:tc>
        <w:tc>
          <w:tcPr>
            <w:tcW w:w="78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6"/>
              </w:rPr>
              <w:t>372</w:t>
            </w:r>
          </w:p>
        </w:tc>
        <w:tc>
          <w:tcPr>
            <w:tcW w:w="58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87"/>
              </w:rPr>
              <w:t>$</w:t>
            </w:r>
            <w:r>
              <w:rPr>
                <w:rFonts w:ascii="Arial" w:cs="Arial" w:eastAsia="Arial" w:hAnsi="Arial"/>
                <w:sz w:val="18"/>
                <w:szCs w:val="18"/>
                <w:color w:val="0000FF"/>
                <w:w w:val="87"/>
              </w:rPr>
              <w:t>47.1125</w:t>
            </w:r>
          </w:p>
        </w:tc>
        <w:tc>
          <w:tcPr>
            <w:tcW w:w="1240" w:type="dxa"/>
            <w:vAlign w:val="bottom"/>
            <w:gridSpan w:val="3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7"/>
              </w:rPr>
              <w:t>19,533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jc w:val="center"/>
              <w:ind w:right="30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1"/>
              </w:rPr>
              <w:t>D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Shares</w:t>
            </w: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jc w:val="right"/>
              <w:ind w:right="11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08/28/2014</w:t>
            </w: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right="31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  <w:w w:val="85"/>
              </w:rPr>
              <w:t>S</w:t>
            </w: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4"/>
              </w:rPr>
              <w:t>2,739</w:t>
            </w: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85"/>
              </w:rPr>
              <w:t>$</w:t>
            </w:r>
            <w:r>
              <w:rPr>
                <w:rFonts w:ascii="Arial" w:cs="Arial" w:eastAsia="Arial" w:hAnsi="Arial"/>
                <w:sz w:val="18"/>
                <w:szCs w:val="18"/>
                <w:color w:val="0000FF"/>
                <w:w w:val="85"/>
              </w:rPr>
              <w:t>47.1594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w w:val="85"/>
                <w:vertAlign w:val="superscript"/>
              </w:rPr>
              <w:t>(1)</w:t>
            </w: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7"/>
              </w:rPr>
              <w:t>16,794</w:t>
            </w: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right="30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1"/>
              </w:rPr>
              <w:t>D</w:t>
            </w: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By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5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Shares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40" w:type="dxa"/>
            <w:vAlign w:val="bottom"/>
            <w:gridSpan w:val="3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8"/>
              </w:rPr>
              <w:t>3,040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jc w:val="center"/>
              <w:ind w:right="32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I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401(k)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Plan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3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920" w:type="dxa"/>
            <w:vAlign w:val="bottom"/>
            <w:tcBorders>
              <w:bottom w:val="single" w:sz="8" w:color="2C2C2C"/>
            </w:tcBorders>
            <w:gridSpan w:val="1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40" w:type="dxa"/>
            <w:vAlign w:val="bottom"/>
            <w:tcBorders>
              <w:top w:val="single" w:sz="8" w:color="2C2C2C"/>
            </w:tcBorders>
            <w:gridSpan w:val="13"/>
          </w:tcPr>
          <w:p>
            <w:pPr>
              <w:ind w:left="10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8"/>
              </w:rPr>
              <w:t>Table II - Derivative Securities Acquired, Disposed of, or Beneficially Owned</w:t>
            </w: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580" w:type="dxa"/>
            <w:vAlign w:val="bottom"/>
            <w:gridSpan w:val="9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9"/>
              </w:rPr>
              <w:t>(e.g., puts, calls, warrants, options, convertible securities)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1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1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4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6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</w:t>
            </w:r>
          </w:p>
        </w:tc>
        <w:tc>
          <w:tcPr>
            <w:tcW w:w="72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700" w:type="dxa"/>
            <w:vAlign w:val="bottom"/>
          </w:tcPr>
          <w:p>
            <w:pPr>
              <w:jc w:val="center"/>
              <w:ind w:right="32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1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460" w:type="dxa"/>
            <w:vAlign w:val="bottom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720" w:type="dxa"/>
            <w:vAlign w:val="bottom"/>
            <w:gridSpan w:val="3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0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Ownership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1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1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6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720" w:type="dxa"/>
            <w:vAlign w:val="bottom"/>
            <w:gridSpan w:val="3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70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4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720" w:type="dxa"/>
            <w:vAlign w:val="bottom"/>
            <w:gridSpan w:val="3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 Security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(I) (Instr. 4)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jc w:val="center"/>
              <w:ind w:right="337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Date</w:t>
            </w: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</w:t>
            </w:r>
          </w:p>
        </w:tc>
        <w:tc>
          <w:tcPr>
            <w:tcW w:w="4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V</w:t>
            </w:r>
          </w:p>
        </w:tc>
        <w:tc>
          <w:tcPr>
            <w:tcW w:w="4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</w:t>
            </w:r>
          </w:p>
        </w:tc>
        <w:tc>
          <w:tcPr>
            <w:tcW w:w="2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5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68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Employee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Stock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8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  <w:w w:val="84"/>
              </w:rPr>
              <w:t>Common</w:t>
            </w:r>
          </w:p>
        </w:tc>
        <w:tc>
          <w:tcPr>
            <w:tcW w:w="680" w:type="dxa"/>
            <w:vAlign w:val="bottom"/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1,800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Option</w:t>
            </w:r>
          </w:p>
        </w:tc>
        <w:tc>
          <w:tcPr>
            <w:tcW w:w="820" w:type="dxa"/>
            <w:vAlign w:val="bottom"/>
          </w:tcPr>
          <w:p>
            <w:pPr>
              <w:ind w:left="2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$</w:t>
            </w: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13.61</w:t>
            </w:r>
          </w:p>
        </w:tc>
        <w:tc>
          <w:tcPr>
            <w:tcW w:w="1140" w:type="dxa"/>
            <w:vAlign w:val="bottom"/>
          </w:tcPr>
          <w:p>
            <w:pPr>
              <w:jc w:val="right"/>
              <w:ind w:right="192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08/28/2014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jc w:val="right"/>
              <w:ind w:right="97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M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1,800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jc w:val="right"/>
              <w:ind w:right="17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06/30/2014</w:t>
            </w:r>
          </w:p>
        </w:tc>
        <w:tc>
          <w:tcPr>
            <w:tcW w:w="780" w:type="dxa"/>
            <w:vAlign w:val="bottom"/>
          </w:tcPr>
          <w:p>
            <w:pPr>
              <w:jc w:val="center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  <w:w w:val="85"/>
              </w:rPr>
              <w:t>02/08/2020</w:t>
            </w:r>
          </w:p>
        </w:tc>
        <w:tc>
          <w:tcPr>
            <w:tcW w:w="58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  <w:gridSpan w:val="2"/>
          </w:tcPr>
          <w:p>
            <w:pPr>
              <w:jc w:val="right"/>
              <w:ind w:right="159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3"/>
              </w:rPr>
              <w:t>$</w:t>
            </w:r>
            <w:r>
              <w:rPr>
                <w:rFonts w:ascii="Arial" w:cs="Arial" w:eastAsia="Arial" w:hAnsi="Arial"/>
                <w:sz w:val="13"/>
                <w:szCs w:val="13"/>
                <w:color w:val="0000FF"/>
                <w:w w:val="93"/>
              </w:rPr>
              <w:t>0.00</w:t>
            </w:r>
          </w:p>
        </w:tc>
        <w:tc>
          <w:tcPr>
            <w:tcW w:w="700" w:type="dxa"/>
            <w:vAlign w:val="bottom"/>
          </w:tcPr>
          <w:p>
            <w:pPr>
              <w:jc w:val="right"/>
              <w:ind w:right="118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0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3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D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(Right to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ind w:left="14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  <w:w w:val="94"/>
              </w:rPr>
              <w:t>Shares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buy)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Employee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Stock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20" w:type="dxa"/>
            <w:vAlign w:val="bottom"/>
            <w:vMerge w:val="restart"/>
          </w:tcPr>
          <w:p>
            <w:pPr>
              <w:jc w:val="right"/>
              <w:ind w:right="25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(2)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8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  <w:w w:val="84"/>
              </w:rPr>
              <w:t>Common</w:t>
            </w:r>
          </w:p>
        </w:tc>
        <w:tc>
          <w:tcPr>
            <w:tcW w:w="680" w:type="dxa"/>
            <w:vAlign w:val="bottom"/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3,111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vMerge w:val="restart"/>
          </w:tcPr>
          <w:p>
            <w:pPr>
              <w:ind w:left="6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Option</w:t>
            </w:r>
          </w:p>
        </w:tc>
        <w:tc>
          <w:tcPr>
            <w:tcW w:w="820" w:type="dxa"/>
            <w:vAlign w:val="bottom"/>
            <w:vMerge w:val="restart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$</w:t>
            </w: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29.95</w:t>
            </w:r>
          </w:p>
        </w:tc>
        <w:tc>
          <w:tcPr>
            <w:tcW w:w="1140" w:type="dxa"/>
            <w:vAlign w:val="bottom"/>
            <w:vMerge w:val="restart"/>
          </w:tcPr>
          <w:p>
            <w:pPr>
              <w:jc w:val="right"/>
              <w:ind w:right="192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08/28/2014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vMerge w:val="restart"/>
          </w:tcPr>
          <w:p>
            <w:pPr>
              <w:jc w:val="right"/>
              <w:ind w:right="97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M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  <w:vMerge w:val="restart"/>
          </w:tcPr>
          <w:p>
            <w:pPr>
              <w:ind w:left="6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3,111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  <w:vMerge w:val="restart"/>
          </w:tcPr>
          <w:p>
            <w:pPr>
              <w:jc w:val="center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  <w:w w:val="85"/>
              </w:rPr>
              <w:t>02/08/2021</w:t>
            </w:r>
          </w:p>
        </w:tc>
        <w:tc>
          <w:tcPr>
            <w:tcW w:w="58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  <w:gridSpan w:val="2"/>
            <w:vMerge w:val="restart"/>
          </w:tcPr>
          <w:p>
            <w:pPr>
              <w:jc w:val="right"/>
              <w:ind w:right="15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3"/>
              </w:rPr>
              <w:t>$</w:t>
            </w:r>
            <w:r>
              <w:rPr>
                <w:rFonts w:ascii="Arial" w:cs="Arial" w:eastAsia="Arial" w:hAnsi="Arial"/>
                <w:sz w:val="13"/>
                <w:szCs w:val="13"/>
                <w:color w:val="0000FF"/>
                <w:w w:val="93"/>
              </w:rPr>
              <w:t>0.00</w:t>
            </w:r>
          </w:p>
        </w:tc>
        <w:tc>
          <w:tcPr>
            <w:tcW w:w="700" w:type="dxa"/>
            <w:vAlign w:val="bottom"/>
            <w:vMerge w:val="restart"/>
          </w:tcPr>
          <w:p>
            <w:pPr>
              <w:jc w:val="right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1,039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  <w:vMerge w:val="restart"/>
          </w:tcPr>
          <w:p>
            <w:pPr>
              <w:ind w:left="34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D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2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6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2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  <w:w w:val="94"/>
              </w:rPr>
              <w:t>Shares</w:t>
            </w:r>
          </w:p>
        </w:tc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(Right to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0000FF"/>
        </w:rPr>
        <w:t>buy)</w:t>
      </w:r>
    </w:p>
    <w:p>
      <w:pPr>
        <w:spacing w:after="0" w:line="91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Explanation of Responses:</w:t>
      </w:r>
    </w:p>
    <w:p>
      <w:pPr>
        <w:spacing w:after="0" w:line="47" w:lineRule="exact"/>
        <w:rPr>
          <w:sz w:val="24"/>
          <w:szCs w:val="24"/>
          <w:color w:val="auto"/>
        </w:rPr>
      </w:pPr>
    </w:p>
    <w:p>
      <w:pPr>
        <w:ind w:left="40" w:right="420" w:firstLine="9"/>
        <w:spacing w:after="0" w:line="239" w:lineRule="auto"/>
        <w:tabs>
          <w:tab w:leader="none" w:pos="175" w:val="left"/>
        </w:tabs>
        <w:numPr>
          <w:ilvl w:val="0"/>
          <w:numId w:val="2"/>
        </w:numPr>
        <w:rPr>
          <w:rFonts w:ascii="Arial" w:cs="Arial" w:eastAsia="Arial" w:hAnsi="Arial"/>
          <w:sz w:val="14"/>
          <w:szCs w:val="14"/>
          <w:color w:val="008000"/>
        </w:rPr>
      </w:pPr>
      <w:r>
        <w:rPr>
          <w:rFonts w:ascii="Arial" w:cs="Arial" w:eastAsia="Arial" w:hAnsi="Arial"/>
          <w:sz w:val="14"/>
          <w:szCs w:val="14"/>
          <w:color w:val="008000"/>
        </w:rPr>
        <w:t>Price reflects a weighted average sale price for multiple transactions that ranged from $47.11 to $47.23 per share. The Reporting Person undertakes to provide, upon request by the Commission Staff, the Issuer or a security holder of the Issuer, full information regarding the number of shares sold at each separate price.</w:t>
      </w:r>
    </w:p>
    <w:p>
      <w:pPr>
        <w:spacing w:after="0" w:line="30" w:lineRule="exact"/>
        <w:rPr>
          <w:rFonts w:ascii="Arial" w:cs="Arial" w:eastAsia="Arial" w:hAnsi="Arial"/>
          <w:sz w:val="14"/>
          <w:szCs w:val="14"/>
          <w:color w:val="008000"/>
        </w:rPr>
      </w:pPr>
    </w:p>
    <w:p>
      <w:pPr>
        <w:ind w:left="180" w:hanging="131"/>
        <w:spacing w:after="0"/>
        <w:tabs>
          <w:tab w:leader="none" w:pos="180" w:val="left"/>
        </w:tabs>
        <w:numPr>
          <w:ilvl w:val="0"/>
          <w:numId w:val="2"/>
        </w:numPr>
        <w:rPr>
          <w:rFonts w:ascii="Arial" w:cs="Arial" w:eastAsia="Arial" w:hAnsi="Arial"/>
          <w:sz w:val="14"/>
          <w:szCs w:val="14"/>
          <w:color w:val="008000"/>
        </w:rPr>
      </w:pPr>
      <w:r>
        <w:rPr>
          <w:rFonts w:ascii="Arial" w:cs="Arial" w:eastAsia="Arial" w:hAnsi="Arial"/>
          <w:sz w:val="14"/>
          <w:szCs w:val="14"/>
          <w:color w:val="008000"/>
        </w:rPr>
        <w:t>Includes 3,112 options to purchase Issuer common shares that are currently vested. Remaining options to purchase Issuer common shares vest on February 8, 2015.</w:t>
      </w:r>
    </w:p>
    <w:p>
      <w:pPr>
        <w:spacing w:after="0" w:line="34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Remarks:</w:t>
      </w:r>
    </w:p>
    <w:p>
      <w:pPr>
        <w:spacing w:after="0" w:line="58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008000"/>
        </w:rPr>
        <w:t>Executive Vice President of Human Resources and Organizational Advancement</w:t>
      </w:r>
    </w:p>
    <w:p>
      <w:pPr>
        <w:spacing w:after="0" w:line="48" w:lineRule="exact"/>
        <w:rPr>
          <w:sz w:val="24"/>
          <w:szCs w:val="24"/>
          <w:color w:val="auto"/>
        </w:rPr>
      </w:pPr>
    </w:p>
    <w:tbl>
      <w:tblPr>
        <w:tblLayout w:type="fixed"/>
        <w:tblInd w:w="68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07"/>
        </w:trPr>
        <w:tc>
          <w:tcPr>
            <w:tcW w:w="21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/s/ Frank A. DiPiero, as</w:t>
            </w:r>
          </w:p>
        </w:tc>
        <w:tc>
          <w:tcPr>
            <w:tcW w:w="980" w:type="dxa"/>
            <w:vAlign w:val="bottom"/>
            <w:gridSpan w:val="2"/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6"/>
              </w:rPr>
              <w:t>08/29/2014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1660" w:type="dxa"/>
            <w:vAlign w:val="bottom"/>
            <w:tcBorders>
              <w:top w:val="single" w:sz="8" w:color="auto"/>
            </w:tcBorders>
            <w:gridSpan w:val="2"/>
            <w:vMerge w:val="restart"/>
          </w:tcPr>
          <w:p>
            <w:pPr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Attorney-in-Fact</w:t>
            </w:r>
          </w:p>
        </w:tc>
        <w:tc>
          <w:tcPr>
            <w:tcW w:w="46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1660" w:type="dxa"/>
            <w:vAlign w:val="bottom"/>
            <w:tcBorders>
              <w:top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6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118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940" w:type="dxa"/>
            <w:vAlign w:val="bottom"/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6"/>
        </w:trPr>
        <w:tc>
          <w:tcPr>
            <w:tcW w:w="21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** Signature of Reporting Person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Date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40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Reminder: Report on a separate line for each class of securities beneficially owned directly or indirectly.</w:t>
      </w:r>
    </w:p>
    <w:p>
      <w:pPr>
        <w:spacing w:after="0" w:line="28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4"/>
          <w:szCs w:val="14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Instruction 4 (b)(v).</w:t>
      </w:r>
    </w:p>
    <w:p>
      <w:pPr>
        <w:spacing w:after="0" w:line="42" w:lineRule="exact"/>
        <w:rPr>
          <w:sz w:val="24"/>
          <w:szCs w:val="24"/>
          <w:color w:val="auto"/>
        </w:rPr>
      </w:pPr>
    </w:p>
    <w:p>
      <w:pPr>
        <w:jc w:val="both"/>
        <w:ind w:left="40" w:right="3680" w:firstLine="9"/>
        <w:spacing w:after="0" w:line="350" w:lineRule="auto"/>
        <w:tabs>
          <w:tab w:leader="none" w:pos="183" w:val="left"/>
        </w:tabs>
        <w:numPr>
          <w:ilvl w:val="0"/>
          <w:numId w:val="3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520"/>
      </w:cols>
      <w:pgMar w:left="240" w:top="226" w:right="139" w:bottom="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6334873"/>
    <w:multiLevelType w:val="hybridMultilevel"/>
    <w:lvl w:ilvl="0">
      <w:lvlJc w:val="left"/>
      <w:lvlText w:val="%1."/>
      <w:numFmt w:val="decimal"/>
      <w:start w:val="5"/>
    </w:lvl>
  </w:abstractNum>
  <w:abstractNum w:abstractNumId="1">
    <w:nsid w:val="74B0DC51"/>
    <w:multiLevelType w:val="hybridMultilevel"/>
    <w:lvl w:ilvl="0">
      <w:lvlJc w:val="left"/>
      <w:lvlText w:val="%1."/>
      <w:numFmt w:val="decimal"/>
      <w:start w:val="1"/>
    </w:lvl>
  </w:abstractNum>
  <w:abstractNum w:abstractNumId="2">
    <w:nsid w:val="19495CFF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hyperlink" Target="http://www.sec.gov/cgi-bin/browse-edgar?action=getcompany&amp;CIK=0001549388" TargetMode="External"/><Relationship Id="rId13" Type="http://schemas.openxmlformats.org/officeDocument/2006/relationships/hyperlink" Target="http://www.sec.gov/cgi-bin/browse-edgar?action=getcompany&amp;CIK=0001598428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2020-01-28T12:46:16Z</dcterms:created>
  <dcterms:modified xsi:type="dcterms:W3CDTF">2020-01-28T12:46:16Z</dcterms:modified>
</cp:coreProperties>
</file>