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32"/>
          <w:szCs w:val="32"/>
          <w:b w:val="1"/>
          <w:bCs w:val="1"/>
          <w:color w:val="auto"/>
        </w:rPr>
        <w:t>UNITED STATES</w:t>
      </w:r>
    </w:p>
    <w:p>
      <w:pPr>
        <w:spacing w:after="0" w:line="46"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SECURITIES AND EXCHANGE COMMISSION</w:t>
      </w:r>
    </w:p>
    <w:p>
      <w:pPr>
        <w:spacing w:after="0" w:line="12"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828675</wp:posOffset>
            </wp:positionH>
            <wp:positionV relativeFrom="paragraph">
              <wp:posOffset>158750</wp:posOffset>
            </wp:positionV>
            <wp:extent cx="5600065"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600065" cy="8890"/>
                    </a:xfrm>
                    <a:prstGeom prst="rect">
                      <a:avLst/>
                    </a:prstGeom>
                    <a:noFill/>
                  </pic:spPr>
                </pic:pic>
              </a:graphicData>
            </a:graphic>
          </wp:anchor>
        </w:drawing>
      </w:r>
    </w:p>
    <w:p>
      <w:pPr>
        <w:spacing w:after="0" w:line="200" w:lineRule="exact"/>
        <w:rPr>
          <w:sz w:val="24"/>
          <w:szCs w:val="24"/>
          <w:color w:val="auto"/>
        </w:rPr>
      </w:pPr>
    </w:p>
    <w:p>
      <w:pPr>
        <w:spacing w:after="0" w:line="246"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828675</wp:posOffset>
            </wp:positionH>
            <wp:positionV relativeFrom="paragraph">
              <wp:posOffset>255270</wp:posOffset>
            </wp:positionV>
            <wp:extent cx="560006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600065" cy="8890"/>
                    </a:xfrm>
                    <a:prstGeom prst="rect">
                      <a:avLst/>
                    </a:prstGeom>
                    <a:noFill/>
                  </pic:spPr>
                </pic:pic>
              </a:graphicData>
            </a:graphic>
          </wp:anchor>
        </w:drawing>
      </w:r>
    </w:p>
    <w:p>
      <w:pPr>
        <w:spacing w:after="0" w:line="200" w:lineRule="exact"/>
        <w:rPr>
          <w:sz w:val="24"/>
          <w:szCs w:val="24"/>
          <w:color w:val="auto"/>
        </w:rPr>
      </w:pPr>
    </w:p>
    <w:p>
      <w:pPr>
        <w:spacing w:after="0" w:line="394"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CURRENT REPORT</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Pursuant to Section 13 OR 15(d) of The Securities Exchange Act of 1934</w:t>
      </w:r>
    </w:p>
    <w:p>
      <w:pPr>
        <w:spacing w:after="0" w:line="369" w:lineRule="exact"/>
        <w:rPr>
          <w:sz w:val="24"/>
          <w:szCs w:val="24"/>
          <w:color w:val="auto"/>
        </w:rPr>
      </w:pPr>
    </w:p>
    <w:p>
      <w:pPr>
        <w:ind w:left="1380"/>
        <w:spacing w:after="0"/>
        <w:tabs>
          <w:tab w:leader="none" w:pos="7460" w:val="left"/>
        </w:tabs>
        <w:rPr>
          <w:sz w:val="20"/>
          <w:szCs w:val="20"/>
          <w:color w:val="auto"/>
        </w:rPr>
      </w:pPr>
      <w:r>
        <w:rPr>
          <w:rFonts w:ascii="Arial" w:cs="Arial" w:eastAsia="Arial" w:hAnsi="Arial"/>
          <w:sz w:val="18"/>
          <w:szCs w:val="18"/>
          <w:b w:val="1"/>
          <w:bCs w:val="1"/>
          <w:color w:val="auto"/>
        </w:rPr>
        <w:t>Date of Report (Date of Earliest Event Reported):</w:t>
      </w:r>
      <w:r>
        <w:rPr>
          <w:sz w:val="20"/>
          <w:szCs w:val="20"/>
          <w:color w:val="auto"/>
        </w:rPr>
        <w:tab/>
      </w:r>
      <w:r>
        <w:rPr>
          <w:rFonts w:ascii="Arial" w:cs="Arial" w:eastAsia="Arial" w:hAnsi="Arial"/>
          <w:sz w:val="16"/>
          <w:szCs w:val="16"/>
          <w:b w:val="1"/>
          <w:bCs w:val="1"/>
          <w:color w:val="auto"/>
        </w:rPr>
        <w:t>October 25, 2018</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48" w:lineRule="exact"/>
        <w:rPr>
          <w:sz w:val="24"/>
          <w:szCs w:val="24"/>
          <w:color w:val="auto"/>
        </w:rPr>
      </w:pPr>
    </w:p>
    <w:p>
      <w:pPr>
        <w:jc w:val="center"/>
        <w:ind w:right="-19"/>
        <w:spacing w:after="0"/>
        <w:rPr>
          <w:sz w:val="20"/>
          <w:szCs w:val="20"/>
          <w:color w:val="auto"/>
        </w:rPr>
      </w:pPr>
      <w:r>
        <w:rPr>
          <w:rFonts w:ascii="Arial" w:cs="Arial" w:eastAsia="Arial" w:hAnsi="Arial"/>
          <w:sz w:val="43"/>
          <w:szCs w:val="43"/>
          <w:b w:val="1"/>
          <w:bCs w:val="1"/>
          <w:color w:val="auto"/>
        </w:rPr>
        <w:t>TIMKENSTEEL CORPORATION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828675</wp:posOffset>
            </wp:positionH>
            <wp:positionV relativeFrom="paragraph">
              <wp:posOffset>-311785</wp:posOffset>
            </wp:positionV>
            <wp:extent cx="560006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600065" cy="8890"/>
                    </a:xfrm>
                    <a:prstGeom prst="rect">
                      <a:avLst/>
                    </a:prstGeom>
                    <a:noFill/>
                  </pic:spPr>
                </pic:pic>
              </a:graphicData>
            </a:graphic>
          </wp:anchor>
        </w:drawing>
      </w:r>
    </w:p>
    <w:p>
      <w:pPr>
        <w:spacing w:after="0" w:line="30"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828675</wp:posOffset>
            </wp:positionH>
            <wp:positionV relativeFrom="paragraph">
              <wp:posOffset>21590</wp:posOffset>
            </wp:positionV>
            <wp:extent cx="560006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600065" cy="8890"/>
                    </a:xfrm>
                    <a:prstGeom prst="rect">
                      <a:avLst/>
                    </a:prstGeom>
                    <a:noFill/>
                  </pic:spPr>
                </pic:pic>
              </a:graphicData>
            </a:graphic>
          </wp:anchor>
        </w:drawing>
      </w:r>
    </w:p>
    <w:p>
      <w:pPr>
        <w:spacing w:after="0" w:line="200" w:lineRule="exact"/>
        <w:rPr>
          <w:sz w:val="24"/>
          <w:szCs w:val="24"/>
          <w:color w:val="auto"/>
        </w:rPr>
      </w:pPr>
    </w:p>
    <w:p>
      <w:pPr>
        <w:spacing w:after="0" w:line="350" w:lineRule="exact"/>
        <w:rPr>
          <w:sz w:val="24"/>
          <w:szCs w:val="24"/>
          <w:color w:val="auto"/>
        </w:rPr>
      </w:pPr>
    </w:p>
    <w:tbl>
      <w:tblPr>
        <w:tblLayout w:type="fixed"/>
        <w:tblInd w:w="80" w:type="dxa"/>
        <w:tblCellMar>
          <w:top w:w="0" w:type="dxa"/>
          <w:left w:w="0" w:type="dxa"/>
          <w:bottom w:w="0" w:type="dxa"/>
          <w:right w:w="0" w:type="dxa"/>
        </w:tblCellMar>
      </w:tblPr>
      <w:tr>
        <w:trPr>
          <w:trHeight w:val="234"/>
        </w:trPr>
        <w:tc>
          <w:tcPr>
            <w:tcW w:w="3740" w:type="dxa"/>
            <w:vAlign w:val="bottom"/>
            <w:gridSpan w:val="2"/>
          </w:tcPr>
          <w:p>
            <w:pPr>
              <w:jc w:val="center"/>
              <w:ind w:right="160"/>
              <w:spacing w:after="0"/>
              <w:rPr>
                <w:sz w:val="20"/>
                <w:szCs w:val="20"/>
                <w:color w:val="auto"/>
              </w:rPr>
            </w:pPr>
            <w:r>
              <w:rPr>
                <w:rFonts w:ascii="Arial" w:cs="Arial" w:eastAsia="Arial" w:hAnsi="Arial"/>
                <w:sz w:val="18"/>
                <w:szCs w:val="18"/>
                <w:b w:val="1"/>
                <w:bCs w:val="1"/>
                <w:color w:val="auto"/>
                <w:w w:val="92"/>
              </w:rPr>
              <w:t>Ohio</w:t>
            </w:r>
          </w:p>
        </w:tc>
        <w:tc>
          <w:tcPr>
            <w:tcW w:w="3720" w:type="dxa"/>
            <w:vAlign w:val="bottom"/>
          </w:tcPr>
          <w:p>
            <w:pPr>
              <w:jc w:val="right"/>
              <w:ind w:right="1470"/>
              <w:spacing w:after="0"/>
              <w:rPr>
                <w:sz w:val="20"/>
                <w:szCs w:val="20"/>
                <w:color w:val="auto"/>
              </w:rPr>
            </w:pPr>
            <w:r>
              <w:rPr>
                <w:rFonts w:ascii="Arial" w:cs="Arial" w:eastAsia="Arial" w:hAnsi="Arial"/>
                <w:sz w:val="18"/>
                <w:szCs w:val="18"/>
                <w:b w:val="1"/>
                <w:bCs w:val="1"/>
                <w:color w:val="auto"/>
              </w:rPr>
              <w:t>1-36313</w:t>
            </w:r>
          </w:p>
        </w:tc>
        <w:tc>
          <w:tcPr>
            <w:tcW w:w="120" w:type="dxa"/>
            <w:vAlign w:val="bottom"/>
          </w:tcPr>
          <w:p>
            <w:pPr>
              <w:spacing w:after="0"/>
              <w:rPr>
                <w:sz w:val="20"/>
                <w:szCs w:val="20"/>
                <w:color w:val="auto"/>
              </w:rPr>
            </w:pPr>
          </w:p>
        </w:tc>
        <w:tc>
          <w:tcPr>
            <w:tcW w:w="3700" w:type="dxa"/>
            <w:vAlign w:val="bottom"/>
          </w:tcPr>
          <w:p>
            <w:pPr>
              <w:jc w:val="right"/>
              <w:ind w:right="1330"/>
              <w:spacing w:after="0"/>
              <w:rPr>
                <w:sz w:val="20"/>
                <w:szCs w:val="20"/>
                <w:color w:val="auto"/>
              </w:rPr>
            </w:pPr>
            <w:r>
              <w:rPr>
                <w:rFonts w:ascii="Arial" w:cs="Arial" w:eastAsia="Arial" w:hAnsi="Arial"/>
                <w:sz w:val="18"/>
                <w:szCs w:val="18"/>
                <w:b w:val="1"/>
                <w:bCs w:val="1"/>
                <w:color w:val="auto"/>
              </w:rPr>
              <w:t>46-4024951</w:t>
            </w:r>
          </w:p>
        </w:tc>
      </w:tr>
      <w:tr>
        <w:trPr>
          <w:trHeight w:val="27"/>
        </w:trPr>
        <w:tc>
          <w:tcPr>
            <w:tcW w:w="36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7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700" w:type="dxa"/>
            <w:vAlign w:val="bottom"/>
            <w:tcBorders>
              <w:bottom w:val="single" w:sz="8" w:color="auto"/>
            </w:tcBorders>
          </w:tcPr>
          <w:p>
            <w:pPr>
              <w:spacing w:after="0"/>
              <w:rPr>
                <w:sz w:val="2"/>
                <w:szCs w:val="2"/>
                <w:color w:val="auto"/>
              </w:rPr>
            </w:pPr>
          </w:p>
        </w:tc>
      </w:tr>
      <w:tr>
        <w:trPr>
          <w:trHeight w:val="237"/>
        </w:trPr>
        <w:tc>
          <w:tcPr>
            <w:tcW w:w="3740" w:type="dxa"/>
            <w:vAlign w:val="bottom"/>
            <w:gridSpan w:val="2"/>
          </w:tcPr>
          <w:p>
            <w:pPr>
              <w:jc w:val="center"/>
              <w:ind w:right="140"/>
              <w:spacing w:after="0"/>
              <w:rPr>
                <w:sz w:val="20"/>
                <w:szCs w:val="20"/>
                <w:color w:val="auto"/>
              </w:rPr>
            </w:pPr>
            <w:r>
              <w:rPr>
                <w:rFonts w:ascii="Arial" w:cs="Arial" w:eastAsia="Arial" w:hAnsi="Arial"/>
                <w:sz w:val="18"/>
                <w:szCs w:val="18"/>
                <w:color w:val="auto"/>
                <w:w w:val="92"/>
              </w:rPr>
              <w:t>(State or Other Jurisdiction of Incorporation)</w:t>
            </w:r>
          </w:p>
        </w:tc>
        <w:tc>
          <w:tcPr>
            <w:tcW w:w="3840" w:type="dxa"/>
            <w:vAlign w:val="bottom"/>
            <w:gridSpan w:val="2"/>
          </w:tcPr>
          <w:p>
            <w:pPr>
              <w:jc w:val="center"/>
              <w:ind w:right="140"/>
              <w:spacing w:after="0"/>
              <w:rPr>
                <w:sz w:val="20"/>
                <w:szCs w:val="20"/>
                <w:color w:val="auto"/>
              </w:rPr>
            </w:pPr>
            <w:r>
              <w:rPr>
                <w:rFonts w:ascii="Arial" w:cs="Arial" w:eastAsia="Arial" w:hAnsi="Arial"/>
                <w:sz w:val="18"/>
                <w:szCs w:val="18"/>
                <w:color w:val="auto"/>
                <w:w w:val="92"/>
              </w:rPr>
              <w:t>(Commission File Number)</w:t>
            </w:r>
          </w:p>
        </w:tc>
        <w:tc>
          <w:tcPr>
            <w:tcW w:w="3700" w:type="dxa"/>
            <w:vAlign w:val="bottom"/>
          </w:tcPr>
          <w:p>
            <w:pPr>
              <w:jc w:val="center"/>
              <w:spacing w:after="0"/>
              <w:rPr>
                <w:sz w:val="20"/>
                <w:szCs w:val="20"/>
                <w:color w:val="auto"/>
              </w:rPr>
            </w:pPr>
            <w:r>
              <w:rPr>
                <w:rFonts w:ascii="Arial" w:cs="Arial" w:eastAsia="Arial" w:hAnsi="Arial"/>
                <w:sz w:val="18"/>
                <w:szCs w:val="18"/>
                <w:color w:val="auto"/>
                <w:w w:val="93"/>
              </w:rPr>
              <w:t>(I.R.S. Employer Identification No.)</w:t>
            </w:r>
          </w:p>
        </w:tc>
      </w:tr>
    </w:tbl>
    <w:p>
      <w:pPr>
        <w:spacing w:after="0" w:line="200" w:lineRule="exact"/>
        <w:rPr>
          <w:sz w:val="24"/>
          <w:szCs w:val="24"/>
          <w:color w:val="auto"/>
        </w:rPr>
      </w:pPr>
    </w:p>
    <w:p>
      <w:pPr>
        <w:spacing w:after="0" w:line="22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1835 Dueber Avenue, SW, Canton, OH 44706</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1394460</wp:posOffset>
            </wp:positionH>
            <wp:positionV relativeFrom="paragraph">
              <wp:posOffset>34290</wp:posOffset>
            </wp:positionV>
            <wp:extent cx="447675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4476750" cy="8890"/>
                    </a:xfrm>
                    <a:prstGeom prst="rect">
                      <a:avLst/>
                    </a:prstGeom>
                    <a:noFill/>
                  </pic:spPr>
                </pic:pic>
              </a:graphicData>
            </a:graphic>
          </wp:anchor>
        </w:drawing>
      </w:r>
    </w:p>
    <w:p>
      <w:pPr>
        <w:spacing w:after="0" w:line="61"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(Address of Principal Executive Offices) (Zip Code)</w:t>
      </w:r>
    </w:p>
    <w:p>
      <w:pPr>
        <w:spacing w:after="0" w:line="200" w:lineRule="exact"/>
        <w:rPr>
          <w:sz w:val="24"/>
          <w:szCs w:val="24"/>
          <w:color w:val="auto"/>
        </w:rPr>
      </w:pPr>
    </w:p>
    <w:p>
      <w:pPr>
        <w:spacing w:after="0" w:line="318"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(330) 471-7000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1394460</wp:posOffset>
            </wp:positionH>
            <wp:positionV relativeFrom="paragraph">
              <wp:posOffset>34290</wp:posOffset>
            </wp:positionV>
            <wp:extent cx="447675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4476750" cy="8890"/>
                    </a:xfrm>
                    <a:prstGeom prst="rect">
                      <a:avLst/>
                    </a:prstGeom>
                    <a:noFill/>
                  </pic:spPr>
                </pic:pic>
              </a:graphicData>
            </a:graphic>
          </wp:anchor>
        </w:drawing>
      </w:r>
    </w:p>
    <w:p>
      <w:pPr>
        <w:spacing w:after="0" w:line="61"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(Registrant's Telephone Number, Including Area Code)</w:t>
      </w:r>
    </w:p>
    <w:p>
      <w:pPr>
        <w:spacing w:after="0" w:line="200" w:lineRule="exact"/>
        <w:rPr>
          <w:sz w:val="24"/>
          <w:szCs w:val="24"/>
          <w:color w:val="auto"/>
        </w:rPr>
      </w:pPr>
    </w:p>
    <w:p>
      <w:pPr>
        <w:spacing w:after="0" w:line="210"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Not Applicable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1394460</wp:posOffset>
            </wp:positionH>
            <wp:positionV relativeFrom="paragraph">
              <wp:posOffset>34290</wp:posOffset>
            </wp:positionV>
            <wp:extent cx="447675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4476750" cy="8890"/>
                    </a:xfrm>
                    <a:prstGeom prst="rect">
                      <a:avLst/>
                    </a:prstGeom>
                    <a:noFill/>
                  </pic:spPr>
                </pic:pic>
              </a:graphicData>
            </a:graphic>
          </wp:anchor>
        </w:drawing>
      </w:r>
    </w:p>
    <w:p>
      <w:pPr>
        <w:spacing w:after="0" w:line="61"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00" w:lineRule="exact"/>
        <w:rPr>
          <w:sz w:val="24"/>
          <w:szCs w:val="24"/>
          <w:color w:val="auto"/>
        </w:rPr>
      </w:pPr>
    </w:p>
    <w:p>
      <w:pPr>
        <w:spacing w:after="0" w:line="295" w:lineRule="exact"/>
        <w:rPr>
          <w:sz w:val="24"/>
          <w:szCs w:val="24"/>
          <w:color w:val="auto"/>
        </w:rPr>
      </w:pPr>
    </w:p>
    <w:p>
      <w:pPr>
        <w:ind w:right="10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200" w:lineRule="exact"/>
        <w:rPr>
          <w:sz w:val="24"/>
          <w:szCs w:val="24"/>
          <w:color w:val="auto"/>
        </w:rPr>
      </w:pPr>
    </w:p>
    <w:p>
      <w:pPr>
        <w:spacing w:after="0" w:line="214" w:lineRule="exact"/>
        <w:rPr>
          <w:sz w:val="24"/>
          <w:szCs w:val="24"/>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71"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71"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71"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00" w:lineRule="exact"/>
        <w:rPr>
          <w:sz w:val="24"/>
          <w:szCs w:val="24"/>
          <w:color w:val="auto"/>
        </w:rPr>
      </w:pPr>
    </w:p>
    <w:p>
      <w:pPr>
        <w:spacing w:after="0" w:line="295" w:lineRule="exact"/>
        <w:rPr>
          <w:sz w:val="24"/>
          <w:szCs w:val="24"/>
          <w:color w:val="auto"/>
        </w:rPr>
      </w:pPr>
    </w:p>
    <w:p>
      <w:pPr>
        <w:ind w:right="40"/>
        <w:spacing w:after="0" w:line="301"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r>
        <w:rPr>
          <w:rFonts w:ascii="Arial" w:cs="Arial" w:eastAsia="Arial" w:hAnsi="Arial"/>
          <w:sz w:val="21"/>
          <w:szCs w:val="21"/>
          <w:color w:val="auto"/>
        </w:rPr>
        <w:t>.</w:t>
      </w:r>
    </w:p>
    <w:p>
      <w:pPr>
        <w:spacing w:after="0" w:line="67" w:lineRule="exact"/>
        <w:rPr>
          <w:sz w:val="24"/>
          <w:szCs w:val="24"/>
          <w:color w:val="auto"/>
        </w:rPr>
      </w:pPr>
    </w:p>
    <w:p>
      <w:pPr>
        <w:ind w:left="7140"/>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123" w:lineRule="exact"/>
        <w:rPr>
          <w:sz w:val="24"/>
          <w:szCs w:val="24"/>
          <w:color w:val="auto"/>
        </w:rPr>
      </w:pPr>
    </w:p>
    <w:p>
      <w:pPr>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ectPr>
          <w:pgSz w:w="11900" w:h="16838" w:orient="portrait"/>
          <w:cols w:equalWidth="0" w:num="1">
            <w:col w:w="11400"/>
          </w:cols>
          <w:pgMar w:left="240" w:top="679" w:right="259" w:bottom="1440" w:gutter="0" w:footer="0" w:header="0"/>
        </w:sectPr>
      </w:pPr>
    </w:p>
    <w:bookmarkStart w:id="1" w:name="page2"/>
    <w:bookmarkEnd w:id="1"/>
    <w:p>
      <w:pPr>
        <w:ind w:left="120"/>
        <w:spacing w:after="0"/>
        <w:tabs>
          <w:tab w:leader="none" w:pos="1460" w:val="left"/>
        </w:tabs>
        <w:rPr>
          <w:sz w:val="20"/>
          <w:szCs w:val="20"/>
          <w:color w:val="auto"/>
        </w:rPr>
      </w:pPr>
      <w:r>
        <w:rPr>
          <w:rFonts w:ascii="Arial" w:cs="Arial" w:eastAsia="Arial" w:hAnsi="Arial"/>
          <w:sz w:val="18"/>
          <w:szCs w:val="18"/>
          <w:b w:val="1"/>
          <w:bCs w:val="1"/>
          <w:color w:val="auto"/>
        </w:rPr>
        <w:t>Item 2.02</w:t>
      </w:r>
      <w:r>
        <w:rPr>
          <w:sz w:val="20"/>
          <w:szCs w:val="20"/>
          <w:color w:val="auto"/>
        </w:rPr>
        <w:tab/>
      </w:r>
      <w:r>
        <w:rPr>
          <w:rFonts w:ascii="Arial" w:cs="Arial" w:eastAsia="Arial" w:hAnsi="Arial"/>
          <w:sz w:val="16"/>
          <w:szCs w:val="16"/>
          <w:b w:val="1"/>
          <w:bCs w:val="1"/>
          <w:color w:val="auto"/>
        </w:rPr>
        <w:t>Results of Operations and Financial Condition.</w:t>
      </w:r>
    </w:p>
    <w:p>
      <w:pPr>
        <w:spacing w:after="0" w:line="200" w:lineRule="exact"/>
        <w:rPr>
          <w:sz w:val="20"/>
          <w:szCs w:val="20"/>
          <w:color w:val="auto"/>
        </w:rPr>
      </w:pPr>
    </w:p>
    <w:p>
      <w:pPr>
        <w:spacing w:after="0" w:line="218"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On October 25, 2018, TimkenSteel Corporation (the “Company”) issued a press release announcing results for the third quarter of 2018. A copy of the press release is attached as Exhibit 99.1 to this Current Report on Form 8-K.</w:t>
      </w:r>
    </w:p>
    <w:p>
      <w:pPr>
        <w:spacing w:after="0" w:line="130"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Additionally on October 25, 2018, the Company posted to the investor relations section of its website at http://timkensteel.com a presentation of third quarter 2018 earnings supporting information.</w:t>
      </w:r>
    </w:p>
    <w:p>
      <w:pPr>
        <w:spacing w:after="0" w:line="130"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The information contained in Item 2.02 of this Current Report, including exhibit 99.1, shall not be deemed to be “filed” for the purposes of Section 18 of the Securities Exchange Act of 1934, as amended (the “Exchange Act”), or otherwise subject to the liabilities of that section, nor shall it be incorporated by reference into a filing under the Securities Act of 1933, as amended, or the Exchange Act, except as shall be expressly set forth by specific reference in such a filing.</w:t>
      </w:r>
    </w:p>
    <w:p>
      <w:pPr>
        <w:spacing w:after="0" w:line="38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380" w:type="dxa"/>
            <w:vAlign w:val="bottom"/>
            <w:gridSpan w:val="2"/>
          </w:tcPr>
          <w:p>
            <w:pPr>
              <w:jc w:val="center"/>
              <w:ind w:right="420"/>
              <w:spacing w:after="0"/>
              <w:rPr>
                <w:sz w:val="20"/>
                <w:szCs w:val="20"/>
                <w:color w:val="auto"/>
              </w:rPr>
            </w:pPr>
            <w:r>
              <w:rPr>
                <w:rFonts w:ascii="Arial" w:cs="Arial" w:eastAsia="Arial" w:hAnsi="Arial"/>
                <w:sz w:val="18"/>
                <w:szCs w:val="18"/>
                <w:b w:val="1"/>
                <w:bCs w:val="1"/>
                <w:color w:val="auto"/>
                <w:w w:val="93"/>
              </w:rPr>
              <w:t>Item 9.01</w:t>
            </w:r>
          </w:p>
        </w:tc>
        <w:tc>
          <w:tcPr>
            <w:tcW w:w="40" w:type="dxa"/>
            <w:vAlign w:val="bottom"/>
          </w:tcPr>
          <w:p>
            <w:pPr>
              <w:spacing w:after="0"/>
              <w:rPr>
                <w:sz w:val="20"/>
                <w:szCs w:val="20"/>
                <w:color w:val="auto"/>
              </w:rPr>
            </w:pPr>
          </w:p>
        </w:tc>
        <w:tc>
          <w:tcPr>
            <w:tcW w:w="9080" w:type="dxa"/>
            <w:vAlign w:val="bottom"/>
            <w:gridSpan w:val="2"/>
          </w:tcPr>
          <w:p>
            <w:pPr>
              <w:ind w:left="60"/>
              <w:spacing w:after="0"/>
              <w:rPr>
                <w:sz w:val="20"/>
                <w:szCs w:val="20"/>
                <w:color w:val="auto"/>
              </w:rPr>
            </w:pPr>
            <w:r>
              <w:rPr>
                <w:rFonts w:ascii="Arial" w:cs="Arial" w:eastAsia="Arial" w:hAnsi="Arial"/>
                <w:sz w:val="18"/>
                <w:szCs w:val="18"/>
                <w:b w:val="1"/>
                <w:bCs w:val="1"/>
                <w:color w:val="auto"/>
              </w:rPr>
              <w:t>Financial Statements and Exhibits.</w:t>
            </w:r>
          </w:p>
        </w:tc>
      </w:tr>
      <w:tr>
        <w:trPr>
          <w:trHeight w:val="324"/>
        </w:trPr>
        <w:tc>
          <w:tcPr>
            <w:tcW w:w="10500" w:type="dxa"/>
            <w:vAlign w:val="bottom"/>
            <w:gridSpan w:val="5"/>
          </w:tcPr>
          <w:p>
            <w:pPr>
              <w:ind w:left="660"/>
              <w:spacing w:after="0"/>
              <w:rPr>
                <w:sz w:val="20"/>
                <w:szCs w:val="20"/>
                <w:color w:val="auto"/>
              </w:rPr>
            </w:pPr>
            <w:r>
              <w:rPr>
                <w:rFonts w:ascii="Arial" w:cs="Arial" w:eastAsia="Arial" w:hAnsi="Arial"/>
                <w:sz w:val="18"/>
                <w:szCs w:val="18"/>
                <w:color w:val="auto"/>
              </w:rPr>
              <w:t>(d) Exhibits</w:t>
            </w:r>
          </w:p>
        </w:tc>
      </w:tr>
      <w:tr>
        <w:trPr>
          <w:trHeight w:val="378"/>
        </w:trPr>
        <w:tc>
          <w:tcPr>
            <w:tcW w:w="1380" w:type="dxa"/>
            <w:vAlign w:val="bottom"/>
            <w:gridSpan w:val="2"/>
          </w:tcPr>
          <w:p>
            <w:pPr>
              <w:jc w:val="center"/>
              <w:ind w:right="420"/>
              <w:spacing w:after="0"/>
              <w:rPr>
                <w:sz w:val="20"/>
                <w:szCs w:val="20"/>
                <w:color w:val="auto"/>
              </w:rPr>
            </w:pPr>
            <w:r>
              <w:rPr>
                <w:rFonts w:ascii="Arial" w:cs="Arial" w:eastAsia="Arial" w:hAnsi="Arial"/>
                <w:sz w:val="18"/>
                <w:szCs w:val="18"/>
                <w:b w:val="1"/>
                <w:bCs w:val="1"/>
                <w:color w:val="auto"/>
                <w:w w:val="93"/>
              </w:rPr>
              <w:t>Exhibit No.</w:t>
            </w:r>
          </w:p>
        </w:tc>
        <w:tc>
          <w:tcPr>
            <w:tcW w:w="40" w:type="dxa"/>
            <w:vAlign w:val="bottom"/>
          </w:tcPr>
          <w:p>
            <w:pPr>
              <w:spacing w:after="0"/>
              <w:rPr>
                <w:sz w:val="24"/>
                <w:szCs w:val="24"/>
                <w:color w:val="auto"/>
              </w:rPr>
            </w:pPr>
          </w:p>
        </w:tc>
        <w:tc>
          <w:tcPr>
            <w:tcW w:w="9080" w:type="dxa"/>
            <w:vAlign w:val="bottom"/>
            <w:gridSpan w:val="2"/>
          </w:tcPr>
          <w:p>
            <w:pPr>
              <w:spacing w:after="0"/>
              <w:rPr>
                <w:sz w:val="20"/>
                <w:szCs w:val="20"/>
                <w:color w:val="auto"/>
              </w:rPr>
            </w:pPr>
            <w:r>
              <w:rPr>
                <w:rFonts w:ascii="Arial" w:cs="Arial" w:eastAsia="Arial" w:hAnsi="Arial"/>
                <w:sz w:val="18"/>
                <w:szCs w:val="18"/>
                <w:b w:val="1"/>
                <w:bCs w:val="1"/>
                <w:color w:val="auto"/>
              </w:rPr>
              <w:t>Description</w:t>
            </w:r>
          </w:p>
        </w:tc>
      </w:tr>
      <w:tr>
        <w:trPr>
          <w:trHeight w:val="27"/>
        </w:trPr>
        <w:tc>
          <w:tcPr>
            <w:tcW w:w="12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4820" w:type="dxa"/>
            <w:vAlign w:val="bottom"/>
            <w:tcBorders>
              <w:bottom w:val="single" w:sz="8" w:color="auto"/>
            </w:tcBorders>
          </w:tcPr>
          <w:p>
            <w:pPr>
              <w:spacing w:after="0"/>
              <w:rPr>
                <w:sz w:val="2"/>
                <w:szCs w:val="2"/>
                <w:color w:val="auto"/>
              </w:rPr>
            </w:pPr>
          </w:p>
        </w:tc>
        <w:tc>
          <w:tcPr>
            <w:tcW w:w="4260" w:type="dxa"/>
            <w:vAlign w:val="bottom"/>
            <w:tcBorders>
              <w:bottom w:val="single" w:sz="8" w:color="auto"/>
            </w:tcBorders>
          </w:tcPr>
          <w:p>
            <w:pPr>
              <w:spacing w:after="0"/>
              <w:rPr>
                <w:sz w:val="2"/>
                <w:szCs w:val="2"/>
                <w:color w:val="auto"/>
              </w:rPr>
            </w:pPr>
          </w:p>
        </w:tc>
      </w:tr>
      <w:tr>
        <w:trPr>
          <w:trHeight w:val="196"/>
        </w:trPr>
        <w:tc>
          <w:tcPr>
            <w:tcW w:w="1280" w:type="dxa"/>
            <w:vAlign w:val="bottom"/>
          </w:tcPr>
          <w:p>
            <w:pPr>
              <w:jc w:val="right"/>
              <w:ind w:right="290"/>
              <w:spacing w:after="0" w:line="196" w:lineRule="exact"/>
              <w:rPr>
                <w:sz w:val="20"/>
                <w:szCs w:val="20"/>
                <w:color w:val="auto"/>
              </w:rPr>
            </w:pPr>
            <w:r>
              <w:rPr>
                <w:rFonts w:ascii="Arial" w:cs="Arial" w:eastAsia="Arial" w:hAnsi="Arial"/>
                <w:sz w:val="18"/>
                <w:szCs w:val="18"/>
                <w:color w:val="auto"/>
              </w:rPr>
              <w:t>99.1**</w:t>
            </w: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9080" w:type="dxa"/>
            <w:vAlign w:val="bottom"/>
            <w:gridSpan w:val="2"/>
          </w:tcPr>
          <w:p>
            <w:pPr>
              <w:spacing w:after="0" w:line="196" w:lineRule="exact"/>
              <w:rPr>
                <w:rFonts w:ascii="Arial" w:cs="Arial" w:eastAsia="Arial" w:hAnsi="Arial"/>
                <w:sz w:val="18"/>
                <w:szCs w:val="18"/>
                <w:color w:val="0000FF"/>
              </w:rPr>
            </w:pPr>
            <w:hyperlink w:anchor="page5">
              <w:r>
                <w:rPr>
                  <w:rFonts w:ascii="Arial" w:cs="Arial" w:eastAsia="Arial" w:hAnsi="Arial"/>
                  <w:sz w:val="18"/>
                  <w:szCs w:val="18"/>
                  <w:color w:val="0000FF"/>
                </w:rPr>
                <w:t>Press Release of TimkenSteel Corporation dated October 25, 2018.</w:t>
              </w:r>
            </w:hyperlink>
          </w:p>
        </w:tc>
      </w:tr>
      <w:tr>
        <w:trPr>
          <w:trHeight w:val="20"/>
        </w:trPr>
        <w:tc>
          <w:tcPr>
            <w:tcW w:w="12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820" w:type="dxa"/>
            <w:vAlign w:val="bottom"/>
            <w:shd w:val="clear" w:color="auto" w:fill="0000FF"/>
          </w:tcPr>
          <w:p>
            <w:pPr>
              <w:spacing w:after="0" w:line="20" w:lineRule="exact"/>
              <w:rPr>
                <w:sz w:val="1"/>
                <w:szCs w:val="1"/>
                <w:color w:val="auto"/>
              </w:rPr>
            </w:pPr>
          </w:p>
        </w:tc>
        <w:tc>
          <w:tcPr>
            <w:tcW w:w="426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7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 Furnished herewith.</w:t>
      </w:r>
    </w:p>
    <w:p>
      <w:pPr>
        <w:sectPr>
          <w:pgSz w:w="11900" w:h="16838" w:orient="portrait"/>
          <w:cols w:equalWidth="0" w:num="1">
            <w:col w:w="11420"/>
          </w:cols>
          <w:pgMar w:left="240" w:top="742" w:right="239" w:bottom="1440" w:gutter="0" w:footer="0" w:header="0"/>
        </w:sectPr>
      </w:pPr>
    </w:p>
    <w:bookmarkStart w:id="2" w:name="page3"/>
    <w:bookmarkEnd w:id="2"/>
    <w:p>
      <w:pPr>
        <w:jc w:val="center"/>
        <w:ind w:right="-219"/>
        <w:spacing w:after="0"/>
        <w:rPr>
          <w:sz w:val="20"/>
          <w:szCs w:val="20"/>
          <w:color w:val="auto"/>
        </w:rPr>
      </w:pPr>
      <w:r>
        <w:rPr>
          <w:rFonts w:ascii="Arial" w:cs="Arial" w:eastAsia="Arial" w:hAnsi="Arial"/>
          <w:sz w:val="18"/>
          <w:szCs w:val="18"/>
          <w:b w:val="1"/>
          <w:bCs w:val="1"/>
          <w:color w:val="auto"/>
        </w:rPr>
        <w:t>SIGNATURES</w:t>
      </w:r>
    </w:p>
    <w:p>
      <w:pPr>
        <w:spacing w:after="0" w:line="27" w:lineRule="exact"/>
        <w:rPr>
          <w:sz w:val="20"/>
          <w:szCs w:val="20"/>
          <w:color w:val="auto"/>
        </w:rPr>
      </w:pPr>
    </w:p>
    <w:p>
      <w:pPr>
        <w:spacing w:after="0" w:line="261"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346" w:lineRule="exact"/>
        <w:rPr>
          <w:sz w:val="20"/>
          <w:szCs w:val="20"/>
          <w:color w:val="auto"/>
        </w:rPr>
      </w:pPr>
    </w:p>
    <w:p>
      <w:pPr>
        <w:ind w:left="6080"/>
        <w:spacing w:after="0"/>
        <w:rPr>
          <w:sz w:val="20"/>
          <w:szCs w:val="20"/>
          <w:color w:val="auto"/>
        </w:rPr>
      </w:pPr>
      <w:r>
        <w:rPr>
          <w:rFonts w:ascii="Arial" w:cs="Arial" w:eastAsia="Arial" w:hAnsi="Arial"/>
          <w:sz w:val="18"/>
          <w:szCs w:val="18"/>
          <w:color w:val="auto"/>
        </w:rPr>
        <w:t>TIMKENSTEEL CORPORATION</w:t>
      </w:r>
    </w:p>
    <w:p>
      <w:pPr>
        <w:spacing w:after="0" w:line="387" w:lineRule="exact"/>
        <w:rPr>
          <w:sz w:val="20"/>
          <w:szCs w:val="20"/>
          <w:color w:val="auto"/>
        </w:rPr>
      </w:pPr>
    </w:p>
    <w:p>
      <w:pPr>
        <w:ind w:left="280"/>
        <w:spacing w:after="0"/>
        <w:tabs>
          <w:tab w:leader="none" w:pos="5760" w:val="left"/>
        </w:tabs>
        <w:rPr>
          <w:sz w:val="20"/>
          <w:szCs w:val="20"/>
          <w:color w:val="auto"/>
        </w:rPr>
      </w:pPr>
      <w:r>
        <w:rPr>
          <w:rFonts w:ascii="Arial" w:cs="Arial" w:eastAsia="Arial" w:hAnsi="Arial"/>
          <w:sz w:val="18"/>
          <w:szCs w:val="18"/>
          <w:color w:val="auto"/>
        </w:rPr>
        <w:t>Date: October 25, 2018</w:t>
      </w:r>
      <w:r>
        <w:rPr>
          <w:sz w:val="20"/>
          <w:szCs w:val="20"/>
          <w:color w:val="auto"/>
        </w:rPr>
        <w:tab/>
      </w:r>
      <w:r>
        <w:rPr>
          <w:rFonts w:ascii="Arial" w:cs="Arial" w:eastAsia="Arial" w:hAnsi="Arial"/>
          <w:sz w:val="16"/>
          <w:szCs w:val="16"/>
          <w:color w:val="auto"/>
        </w:rPr>
        <w:t>By: /s/ Kristopher R. Westbrooks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3846830</wp:posOffset>
            </wp:positionH>
            <wp:positionV relativeFrom="paragraph">
              <wp:posOffset>31750</wp:posOffset>
            </wp:positionV>
            <wp:extent cx="340487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404870" cy="8890"/>
                    </a:xfrm>
                    <a:prstGeom prst="rect">
                      <a:avLst/>
                    </a:prstGeom>
                    <a:noFill/>
                  </pic:spPr>
                </pic:pic>
              </a:graphicData>
            </a:graphic>
          </wp:anchor>
        </w:drawing>
      </w:r>
    </w:p>
    <w:p>
      <w:pPr>
        <w:spacing w:after="0" w:line="57" w:lineRule="exact"/>
        <w:rPr>
          <w:sz w:val="20"/>
          <w:szCs w:val="20"/>
          <w:color w:val="auto"/>
        </w:rPr>
      </w:pPr>
    </w:p>
    <w:p>
      <w:pPr>
        <w:ind w:left="6080"/>
        <w:spacing w:after="0"/>
        <w:rPr>
          <w:sz w:val="20"/>
          <w:szCs w:val="20"/>
          <w:color w:val="auto"/>
        </w:rPr>
      </w:pPr>
      <w:r>
        <w:rPr>
          <w:rFonts w:ascii="Arial" w:cs="Arial" w:eastAsia="Arial" w:hAnsi="Arial"/>
          <w:sz w:val="18"/>
          <w:szCs w:val="18"/>
          <w:color w:val="auto"/>
        </w:rPr>
        <w:t>Kristopher R. Westbrooks</w:t>
      </w:r>
    </w:p>
    <w:p>
      <w:pPr>
        <w:spacing w:after="0" w:line="63" w:lineRule="exact"/>
        <w:rPr>
          <w:sz w:val="20"/>
          <w:szCs w:val="20"/>
          <w:color w:val="auto"/>
        </w:rPr>
      </w:pPr>
    </w:p>
    <w:p>
      <w:pPr>
        <w:ind w:left="6080"/>
        <w:spacing w:after="0"/>
        <w:rPr>
          <w:sz w:val="20"/>
          <w:szCs w:val="20"/>
          <w:color w:val="auto"/>
        </w:rPr>
      </w:pPr>
      <w:r>
        <w:rPr>
          <w:rFonts w:ascii="Arial" w:cs="Arial" w:eastAsia="Arial" w:hAnsi="Arial"/>
          <w:sz w:val="18"/>
          <w:szCs w:val="18"/>
          <w:color w:val="auto"/>
        </w:rPr>
        <w:t>Executive Vice President and Chief Financial Officer</w:t>
      </w:r>
    </w:p>
    <w:p>
      <w:pPr>
        <w:sectPr>
          <w:pgSz w:w="11900" w:h="16838" w:orient="portrait"/>
          <w:cols w:equalWidth="0" w:num="1">
            <w:col w:w="11220"/>
          </w:cols>
          <w:pgMar w:left="240" w:top="796" w:right="439" w:bottom="1440" w:gutter="0" w:footer="0" w:header="0"/>
        </w:sectPr>
      </w:pPr>
    </w:p>
    <w:bookmarkStart w:id="3" w:name="page4"/>
    <w:bookmarkEnd w:id="3"/>
    <w:p>
      <w:pPr>
        <w:jc w:val="right"/>
        <w:ind w:right="3799"/>
        <w:spacing w:after="0"/>
        <w:rPr>
          <w:sz w:val="20"/>
          <w:szCs w:val="20"/>
          <w:color w:val="auto"/>
        </w:rPr>
      </w:pPr>
      <w:r>
        <w:rPr>
          <w:rFonts w:ascii="Arial" w:cs="Arial" w:eastAsia="Arial" w:hAnsi="Arial"/>
          <w:sz w:val="18"/>
          <w:szCs w:val="18"/>
          <w:b w:val="1"/>
          <w:bCs w:val="1"/>
          <w:color w:val="auto"/>
        </w:rPr>
        <w:t>EXHIBIT INDEX</w:t>
      </w:r>
    </w:p>
    <w:p>
      <w:pPr>
        <w:spacing w:after="0" w:line="171" w:lineRule="exact"/>
        <w:rPr>
          <w:sz w:val="20"/>
          <w:szCs w:val="20"/>
          <w:color w:val="auto"/>
        </w:rPr>
      </w:pPr>
    </w:p>
    <w:p>
      <w:pPr>
        <w:spacing w:after="0"/>
        <w:tabs>
          <w:tab w:leader="none" w:pos="1200" w:val="left"/>
        </w:tabs>
        <w:rPr>
          <w:sz w:val="20"/>
          <w:szCs w:val="20"/>
          <w:color w:val="auto"/>
        </w:rPr>
      </w:pPr>
      <w:r>
        <w:rPr>
          <w:rFonts w:ascii="Arial" w:cs="Arial" w:eastAsia="Arial" w:hAnsi="Arial"/>
          <w:sz w:val="18"/>
          <w:szCs w:val="18"/>
          <w:b w:val="1"/>
          <w:bCs w:val="1"/>
          <w:color w:val="auto"/>
        </w:rPr>
        <w:t>Exhibit No.</w:t>
      </w:r>
      <w:r>
        <w:rPr>
          <w:sz w:val="20"/>
          <w:szCs w:val="20"/>
          <w:color w:val="auto"/>
        </w:rPr>
        <w:tab/>
      </w:r>
      <w:r>
        <w:rPr>
          <w:rFonts w:ascii="Arial" w:cs="Arial" w:eastAsia="Arial" w:hAnsi="Arial"/>
          <w:sz w:val="15"/>
          <w:szCs w:val="15"/>
          <w:b w:val="1"/>
          <w:bCs w:val="1"/>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-121285</wp:posOffset>
            </wp:positionH>
            <wp:positionV relativeFrom="paragraph">
              <wp:posOffset>34290</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61" w:lineRule="exact"/>
        <w:rPr>
          <w:sz w:val="20"/>
          <w:szCs w:val="20"/>
          <w:color w:val="auto"/>
        </w:rPr>
      </w:pPr>
    </w:p>
    <w:p>
      <w:pPr>
        <w:ind w:left="280"/>
        <w:spacing w:after="0"/>
        <w:tabs>
          <w:tab w:leader="none" w:pos="1200" w:val="left"/>
        </w:tabs>
        <w:rPr>
          <w:rFonts w:ascii="Arial" w:cs="Arial" w:eastAsia="Arial" w:hAnsi="Arial"/>
          <w:sz w:val="16"/>
          <w:szCs w:val="16"/>
          <w:u w:val="single" w:color="auto"/>
          <w:color w:val="0000FF"/>
        </w:rPr>
      </w:pPr>
      <w:r>
        <w:rPr>
          <w:rFonts w:ascii="Arial" w:cs="Arial" w:eastAsia="Arial" w:hAnsi="Arial"/>
          <w:sz w:val="18"/>
          <w:szCs w:val="18"/>
          <w:color w:val="auto"/>
        </w:rPr>
        <w:t>99.1</w:t>
      </w:r>
      <w:r>
        <w:rPr>
          <w:sz w:val="20"/>
          <w:szCs w:val="20"/>
          <w:color w:val="auto"/>
        </w:rPr>
        <w:tab/>
      </w:r>
      <w:hyperlink w:anchor="page5">
        <w:r>
          <w:rPr>
            <w:rFonts w:ascii="Arial" w:cs="Arial" w:eastAsia="Arial" w:hAnsi="Arial"/>
            <w:sz w:val="16"/>
            <w:szCs w:val="16"/>
            <w:u w:val="single" w:color="auto"/>
            <w:color w:val="0000FF"/>
          </w:rPr>
          <w:t>Press Release of TimkenSteel Corporation dated October 25, 2018.</w:t>
        </w:r>
      </w:hyperlink>
    </w:p>
    <w:p>
      <w:pPr>
        <w:sectPr>
          <w:pgSz w:w="11900" w:h="16838" w:orient="portrait"/>
          <w:cols w:equalWidth="0" w:num="1">
            <w:col w:w="10019"/>
          </w:cols>
          <w:pgMar w:left="440" w:top="796" w:right="1440" w:bottom="1440" w:gutter="0" w:footer="0" w:header="0"/>
        </w:sectPr>
      </w:pPr>
    </w:p>
    <w:bookmarkStart w:id="4" w:name="page5"/>
    <w:bookmarkEnd w:id="4"/>
    <w:p>
      <w:pPr>
        <w:jc w:val="center"/>
        <w:ind w:right="-59"/>
        <w:spacing w:after="0"/>
        <w:rPr>
          <w:sz w:val="20"/>
          <w:szCs w:val="20"/>
          <w:color w:val="auto"/>
        </w:rPr>
      </w:pPr>
      <w:r>
        <w:rPr>
          <w:rFonts w:ascii="Arial" w:cs="Arial" w:eastAsia="Arial" w:hAnsi="Arial"/>
          <w:sz w:val="22"/>
          <w:szCs w:val="22"/>
          <w:b w:val="1"/>
          <w:bCs w:val="1"/>
          <w:color w:val="ACACAC"/>
        </w:rPr>
        <w:drawing>
          <wp:anchor simplePos="0" relativeHeight="251657728" behindDoc="1" locked="0" layoutInCell="0" allowOverlap="1">
            <wp:simplePos x="0" y="0"/>
            <wp:positionH relativeFrom="page">
              <wp:posOffset>1495425</wp:posOffset>
            </wp:positionH>
            <wp:positionV relativeFrom="page">
              <wp:posOffset>88900</wp:posOffset>
            </wp:positionV>
            <wp:extent cx="4570730" cy="58293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clrChange>
                        <a:clrFrom>
                          <a:srgbClr val="FFFFFF"/>
                        </a:clrFrom>
                        <a:clrTo>
                          <a:srgbClr val="FFFFFF">
                            <a:alpha val="0"/>
                          </a:srgbClr>
                        </a:clrTo>
                      </a:clrChange>
                      <a:extLst>
                        <a:ext uri="{28A0092B-C50C-407E-A947-70E740481C1C}"/>
                      </a:extLst>
                    </a:blip>
                    <a:srcRect/>
                    <a:stretch>
                      <a:fillRect/>
                    </a:stretch>
                  </pic:blipFill>
                  <pic:spPr bwMode="auto">
                    <a:xfrm>
                      <a:off x="0" y="0"/>
                      <a:ext cx="4570730" cy="582930"/>
                    </a:xfrm>
                    <a:prstGeom prst="rect">
                      <a:avLst/>
                    </a:prstGeom>
                    <a:noFill/>
                  </pic:spPr>
                </pic:pic>
              </a:graphicData>
            </a:graphic>
          </wp:anchor>
        </w:drawing>
        <w:t>NEWS RELEASE</w:t>
      </w:r>
    </w:p>
    <w:p>
      <w:pPr>
        <w:spacing w:after="0" w:line="355" w:lineRule="exact"/>
        <w:rPr>
          <w:sz w:val="20"/>
          <w:szCs w:val="20"/>
          <w:color w:val="auto"/>
        </w:rPr>
      </w:pPr>
    </w:p>
    <w:p>
      <w:pPr>
        <w:jc w:val="center"/>
        <w:ind w:right="-59"/>
        <w:spacing w:after="0"/>
        <w:rPr>
          <w:sz w:val="20"/>
          <w:szCs w:val="20"/>
          <w:color w:val="auto"/>
        </w:rPr>
      </w:pPr>
      <w:r>
        <w:rPr>
          <w:rFonts w:ascii="Arial" w:cs="Arial" w:eastAsia="Arial" w:hAnsi="Arial"/>
          <w:sz w:val="29"/>
          <w:szCs w:val="29"/>
          <w:b w:val="1"/>
          <w:bCs w:val="1"/>
          <w:color w:val="auto"/>
        </w:rPr>
        <w:t>TimkenSteel Announces Third-Quarter 2018 Results</w:t>
      </w:r>
    </w:p>
    <w:p>
      <w:pPr>
        <w:spacing w:after="0" w:line="200" w:lineRule="exact"/>
        <w:rPr>
          <w:sz w:val="20"/>
          <w:szCs w:val="20"/>
          <w:color w:val="auto"/>
        </w:rPr>
      </w:pPr>
    </w:p>
    <w:p>
      <w:pPr>
        <w:spacing w:after="0" w:line="237" w:lineRule="exact"/>
        <w:rPr>
          <w:sz w:val="20"/>
          <w:szCs w:val="20"/>
          <w:color w:val="auto"/>
        </w:rPr>
      </w:pPr>
    </w:p>
    <w:p>
      <w:pPr>
        <w:ind w:left="340" w:hanging="332"/>
        <w:spacing w:after="0"/>
        <w:tabs>
          <w:tab w:leader="none" w:pos="340" w:val="left"/>
        </w:tabs>
        <w:numPr>
          <w:ilvl w:val="0"/>
          <w:numId w:val="2"/>
        </w:numPr>
        <w:rPr>
          <w:rFonts w:ascii="Arial" w:cs="Arial" w:eastAsia="Arial" w:hAnsi="Arial"/>
          <w:sz w:val="20"/>
          <w:szCs w:val="20"/>
          <w:color w:val="00497F"/>
        </w:rPr>
      </w:pPr>
      <w:r>
        <w:rPr>
          <w:rFonts w:ascii="Arial" w:cs="Arial" w:eastAsia="Arial" w:hAnsi="Arial"/>
          <w:sz w:val="20"/>
          <w:szCs w:val="20"/>
          <w:color w:val="00497F"/>
        </w:rPr>
        <w:t>Delivers net income in-line with guidance; exceeds Adjusted EBITDA</w:t>
      </w:r>
      <w:r>
        <w:rPr>
          <w:rFonts w:ascii="Arial" w:cs="Arial" w:eastAsia="Arial" w:hAnsi="Arial"/>
          <w:sz w:val="25"/>
          <w:szCs w:val="25"/>
          <w:b w:val="1"/>
          <w:bCs w:val="1"/>
          <w:color w:val="00497F"/>
          <w:vertAlign w:val="superscript"/>
        </w:rPr>
        <w:t>(1)</w:t>
      </w:r>
      <w:r>
        <w:rPr>
          <w:rFonts w:ascii="Arial" w:cs="Arial" w:eastAsia="Arial" w:hAnsi="Arial"/>
          <w:sz w:val="20"/>
          <w:szCs w:val="20"/>
          <w:color w:val="00497F"/>
        </w:rPr>
        <w:t xml:space="preserve"> expectations</w:t>
      </w:r>
    </w:p>
    <w:p>
      <w:pPr>
        <w:ind w:left="340" w:right="5160" w:hanging="332"/>
        <w:spacing w:after="0" w:line="242" w:lineRule="auto"/>
        <w:tabs>
          <w:tab w:leader="none" w:pos="340" w:val="left"/>
        </w:tabs>
        <w:numPr>
          <w:ilvl w:val="0"/>
          <w:numId w:val="2"/>
        </w:numPr>
        <w:rPr>
          <w:rFonts w:ascii="Arial" w:cs="Arial" w:eastAsia="Arial" w:hAnsi="Arial"/>
          <w:sz w:val="20"/>
          <w:szCs w:val="20"/>
          <w:color w:val="00497F"/>
        </w:rPr>
      </w:pPr>
      <w:r>
        <w:rPr>
          <w:rFonts w:ascii="Arial" w:cs="Arial" w:eastAsia="Arial" w:hAnsi="Arial"/>
          <w:sz w:val="20"/>
          <w:szCs w:val="20"/>
          <w:color w:val="00497F"/>
        </w:rPr>
        <w:t>Third-quarter net sales increased 21 percent year over year with improved product mix</w:t>
      </w:r>
    </w:p>
    <w:p>
      <w:pPr>
        <w:ind w:left="400" w:hanging="392"/>
        <w:spacing w:after="0"/>
        <w:tabs>
          <w:tab w:leader="none" w:pos="400" w:val="left"/>
        </w:tabs>
        <w:numPr>
          <w:ilvl w:val="0"/>
          <w:numId w:val="2"/>
        </w:numPr>
        <w:rPr>
          <w:rFonts w:ascii="Arial" w:cs="Arial" w:eastAsia="Arial" w:hAnsi="Arial"/>
          <w:sz w:val="20"/>
          <w:szCs w:val="20"/>
          <w:color w:val="00497F"/>
        </w:rPr>
      </w:pPr>
      <w:r>
        <w:rPr>
          <w:rFonts w:ascii="Arial" w:cs="Arial" w:eastAsia="Arial" w:hAnsi="Arial"/>
          <w:sz w:val="20"/>
          <w:szCs w:val="20"/>
          <w:color w:val="00497F"/>
        </w:rPr>
        <w:t>Positioned to deliver continued earnings growth in 2019</w:t>
      </w:r>
    </w:p>
    <w:p>
      <w:pPr>
        <w:spacing w:after="0" w:line="289" w:lineRule="exact"/>
        <w:rPr>
          <w:sz w:val="20"/>
          <w:szCs w:val="20"/>
          <w:color w:val="auto"/>
        </w:rPr>
      </w:pPr>
    </w:p>
    <w:p>
      <w:pPr>
        <w:ind w:right="540" w:firstLine="324"/>
        <w:spacing w:after="0" w:line="352" w:lineRule="auto"/>
        <w:rPr>
          <w:sz w:val="20"/>
          <w:szCs w:val="20"/>
          <w:color w:val="auto"/>
        </w:rPr>
      </w:pPr>
      <w:r>
        <w:rPr>
          <w:rFonts w:ascii="Arial" w:cs="Arial" w:eastAsia="Arial" w:hAnsi="Arial"/>
          <w:sz w:val="20"/>
          <w:szCs w:val="20"/>
          <w:color w:val="auto"/>
        </w:rPr>
        <w:t>CANTON, Ohio: October 25, 2018 - TimkenSteel (NYSE: TMST, timkensteel.com), a leader in customized alloy steel products and services, today reported third-quarter 2018 net sales of</w:t>
      </w:r>
    </w:p>
    <w:p>
      <w:pPr>
        <w:spacing w:after="0" w:line="1" w:lineRule="exact"/>
        <w:rPr>
          <w:sz w:val="20"/>
          <w:szCs w:val="20"/>
          <w:color w:val="auto"/>
        </w:rPr>
      </w:pPr>
    </w:p>
    <w:p>
      <w:pPr>
        <w:ind w:right="40"/>
        <w:spacing w:after="0" w:line="325" w:lineRule="auto"/>
        <w:rPr>
          <w:sz w:val="20"/>
          <w:szCs w:val="20"/>
          <w:color w:val="auto"/>
        </w:rPr>
      </w:pPr>
      <w:r>
        <w:rPr>
          <w:rFonts w:ascii="Arial" w:cs="Arial" w:eastAsia="Arial" w:hAnsi="Arial"/>
          <w:sz w:val="20"/>
          <w:szCs w:val="20"/>
          <w:color w:val="auto"/>
        </w:rPr>
        <w:t>$409.9 million and net income of $1.4 million or $0.03 per diluted share. In the same quarter last year, net sales were $339.1 million with a net loss of $5.9 million or minus $0.13 per diluted share. Adjusted EBITDA</w:t>
      </w:r>
      <w:r>
        <w:rPr>
          <w:rFonts w:ascii="Arial" w:cs="Arial" w:eastAsia="Arial" w:hAnsi="Arial"/>
          <w:sz w:val="25"/>
          <w:szCs w:val="25"/>
          <w:color w:val="auto"/>
          <w:vertAlign w:val="superscript"/>
        </w:rPr>
        <w:t>(1)</w:t>
      </w:r>
      <w:r>
        <w:rPr>
          <w:rFonts w:ascii="Arial" w:cs="Arial" w:eastAsia="Arial" w:hAnsi="Arial"/>
          <w:sz w:val="20"/>
          <w:szCs w:val="20"/>
          <w:color w:val="auto"/>
        </w:rPr>
        <w:t xml:space="preserve"> for the third quarter was $26.5 million, an increase of $7.7 million over the same quarter last year.</w:t>
      </w:r>
    </w:p>
    <w:p>
      <w:pPr>
        <w:spacing w:after="0" w:line="1" w:lineRule="exact"/>
        <w:rPr>
          <w:sz w:val="20"/>
          <w:szCs w:val="20"/>
          <w:color w:val="auto"/>
        </w:rPr>
      </w:pPr>
    </w:p>
    <w:p>
      <w:pPr>
        <w:jc w:val="both"/>
        <w:ind w:right="560" w:firstLine="324"/>
        <w:spacing w:after="0" w:line="483" w:lineRule="auto"/>
        <w:rPr>
          <w:sz w:val="20"/>
          <w:szCs w:val="20"/>
          <w:color w:val="auto"/>
        </w:rPr>
      </w:pPr>
      <w:r>
        <w:rPr>
          <w:rFonts w:ascii="Arial" w:cs="Arial" w:eastAsia="Arial" w:hAnsi="Arial"/>
          <w:sz w:val="16"/>
          <w:szCs w:val="16"/>
          <w:color w:val="auto"/>
        </w:rPr>
        <w:t>"We continue to build on our position as a leader in special bar quality steel to deliver a richer mix of products, and the third quarter demonstrated good results in that regard. Operational performance remains focused on safety and improved delivery,” said Tim Timken, chairman, CEO and president. “We plan to run production aggressively in the fourth quarter in anticipation of a strong start to 2019.”</w:t>
      </w:r>
    </w:p>
    <w:p>
      <w:pPr>
        <w:spacing w:after="0" w:line="58" w:lineRule="exact"/>
        <w:rPr>
          <w:sz w:val="20"/>
          <w:szCs w:val="20"/>
          <w:color w:val="auto"/>
        </w:rPr>
      </w:pPr>
    </w:p>
    <w:p>
      <w:pPr>
        <w:ind w:right="4920"/>
        <w:spacing w:after="0" w:line="355" w:lineRule="auto"/>
        <w:rPr>
          <w:sz w:val="20"/>
          <w:szCs w:val="20"/>
          <w:color w:val="auto"/>
        </w:rPr>
      </w:pPr>
      <w:r>
        <w:rPr>
          <w:rFonts w:ascii="Arial" w:cs="Arial" w:eastAsia="Arial" w:hAnsi="Arial"/>
          <w:sz w:val="20"/>
          <w:szCs w:val="20"/>
          <w:b w:val="1"/>
          <w:bCs w:val="1"/>
          <w:color w:val="auto"/>
        </w:rPr>
        <w:t>THIRD-QUARTER 2018 FINANCIAL SUMMARY Third-quarter net sales increased $70.8 million or 21 percent year over year.</w:t>
      </w:r>
    </w:p>
    <w:p>
      <w:pPr>
        <w:spacing w:after="0" w:line="1" w:lineRule="exact"/>
        <w:rPr>
          <w:sz w:val="20"/>
          <w:szCs w:val="20"/>
          <w:color w:val="auto"/>
        </w:rPr>
      </w:pPr>
    </w:p>
    <w:p>
      <w:pPr>
        <w:ind w:left="340" w:hanging="332"/>
        <w:spacing w:after="0"/>
        <w:tabs>
          <w:tab w:leader="none" w:pos="340" w:val="left"/>
        </w:tabs>
        <w:numPr>
          <w:ilvl w:val="0"/>
          <w:numId w:val="3"/>
        </w:numPr>
        <w:rPr>
          <w:rFonts w:ascii="Arial" w:cs="Arial" w:eastAsia="Arial" w:hAnsi="Arial"/>
          <w:sz w:val="16"/>
          <w:szCs w:val="16"/>
          <w:color w:val="auto"/>
        </w:rPr>
      </w:pPr>
      <w:r>
        <w:rPr>
          <w:rFonts w:ascii="Arial" w:cs="Arial" w:eastAsia="Arial" w:hAnsi="Arial"/>
          <w:sz w:val="18"/>
          <w:szCs w:val="18"/>
          <w:color w:val="auto"/>
        </w:rPr>
        <w:t>Ship tons were approximately 295,500, an increase of 2 percent over the third quarter of 2017, due to continued end-market strength.</w:t>
      </w:r>
    </w:p>
    <w:p>
      <w:pPr>
        <w:spacing w:after="0" w:line="130" w:lineRule="exact"/>
        <w:rPr>
          <w:rFonts w:ascii="Arial" w:cs="Arial" w:eastAsia="Arial" w:hAnsi="Arial"/>
          <w:sz w:val="16"/>
          <w:szCs w:val="16"/>
          <w:color w:val="auto"/>
        </w:rPr>
      </w:pPr>
    </w:p>
    <w:p>
      <w:pPr>
        <w:ind w:left="340" w:hanging="332"/>
        <w:spacing w:after="0"/>
        <w:tabs>
          <w:tab w:leader="none" w:pos="340" w:val="left"/>
        </w:tabs>
        <w:numPr>
          <w:ilvl w:val="0"/>
          <w:numId w:val="3"/>
        </w:numPr>
        <w:rPr>
          <w:rFonts w:ascii="Arial" w:cs="Arial" w:eastAsia="Arial" w:hAnsi="Arial"/>
          <w:sz w:val="20"/>
          <w:szCs w:val="20"/>
          <w:color w:val="auto"/>
        </w:rPr>
      </w:pPr>
      <w:r>
        <w:rPr>
          <w:rFonts w:ascii="Arial" w:cs="Arial" w:eastAsia="Arial" w:hAnsi="Arial"/>
          <w:sz w:val="20"/>
          <w:szCs w:val="20"/>
          <w:color w:val="auto"/>
        </w:rPr>
        <w:t>Net sales benefited from improved product mix, higher prices and surcharges, as well as increased volume.</w:t>
      </w:r>
    </w:p>
    <w:p>
      <w:pPr>
        <w:spacing w:after="0" w:line="107" w:lineRule="exact"/>
        <w:rPr>
          <w:rFonts w:ascii="Arial" w:cs="Arial" w:eastAsia="Arial" w:hAnsi="Arial"/>
          <w:sz w:val="20"/>
          <w:szCs w:val="20"/>
          <w:color w:val="auto"/>
        </w:rPr>
      </w:pPr>
    </w:p>
    <w:p>
      <w:pPr>
        <w:ind w:left="340" w:right="100" w:hanging="332"/>
        <w:spacing w:after="0" w:line="373" w:lineRule="auto"/>
        <w:tabs>
          <w:tab w:leader="none" w:pos="340" w:val="left"/>
        </w:tabs>
        <w:numPr>
          <w:ilvl w:val="0"/>
          <w:numId w:val="3"/>
        </w:numPr>
        <w:rPr>
          <w:rFonts w:ascii="Arial" w:cs="Arial" w:eastAsia="Arial" w:hAnsi="Arial"/>
          <w:sz w:val="20"/>
          <w:szCs w:val="20"/>
          <w:color w:val="auto"/>
        </w:rPr>
      </w:pPr>
      <w:r>
        <w:rPr>
          <w:rFonts w:ascii="Arial" w:cs="Arial" w:eastAsia="Arial" w:hAnsi="Arial"/>
          <w:sz w:val="20"/>
          <w:szCs w:val="20"/>
          <w:color w:val="auto"/>
        </w:rPr>
        <w:t>Surcharge revenue of $107.1 million represents a 37.5 percent increase from the prior-year quarter as a result of higher volumes and a rise in the No. 1 Busheling Index.</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ind w:right="220" w:firstLine="8"/>
        <w:spacing w:after="0" w:line="467" w:lineRule="auto"/>
        <w:tabs>
          <w:tab w:leader="none" w:pos="178" w:val="left"/>
        </w:tabs>
        <w:numPr>
          <w:ilvl w:val="0"/>
          <w:numId w:val="4"/>
        </w:numPr>
        <w:rPr>
          <w:rFonts w:ascii="Arial" w:cs="Arial" w:eastAsia="Arial" w:hAnsi="Arial"/>
          <w:sz w:val="20"/>
          <w:szCs w:val="20"/>
          <w:i w:val="1"/>
          <w:iCs w:val="1"/>
          <w:color w:val="auto"/>
          <w:vertAlign w:val="superscript"/>
        </w:rPr>
      </w:pPr>
      <w:r>
        <w:rPr>
          <w:rFonts w:ascii="Arial" w:cs="Arial" w:eastAsia="Arial" w:hAnsi="Arial"/>
          <w:sz w:val="16"/>
          <w:szCs w:val="16"/>
          <w:i w:val="1"/>
          <w:iCs w:val="1"/>
          <w:color w:val="auto"/>
        </w:rPr>
        <w:t>Please see discussion of non-GAAP financial measures in this news release. Adjusted EBITDA for the third quarter of 2018 excludes $1.7 million of executive severance costs, and for the third-quarter 2017 excludes a $2.3 million loss from the remeasurement of benefit plans.</w:t>
      </w:r>
    </w:p>
    <w:p>
      <w:pPr>
        <w:spacing w:after="0" w:line="305" w:lineRule="exact"/>
        <w:rPr>
          <w:sz w:val="20"/>
          <w:szCs w:val="20"/>
          <w:color w:val="auto"/>
        </w:rPr>
      </w:pPr>
    </w:p>
    <w:p>
      <w:pPr>
        <w:jc w:val="center"/>
        <w:ind w:right="40"/>
        <w:spacing w:after="0"/>
        <w:rPr>
          <w:sz w:val="20"/>
          <w:szCs w:val="20"/>
          <w:color w:val="auto"/>
        </w:rPr>
      </w:pPr>
      <w:r>
        <w:rPr>
          <w:rFonts w:ascii="Arial" w:cs="Arial" w:eastAsia="Arial" w:hAnsi="Arial"/>
          <w:sz w:val="13"/>
          <w:szCs w:val="13"/>
          <w:color w:val="auto"/>
        </w:rPr>
        <w:t>TimkenSteel Corporation</w:t>
      </w:r>
    </w:p>
    <w:p>
      <w:pPr>
        <w:spacing w:after="0" w:line="121" w:lineRule="exact"/>
        <w:rPr>
          <w:sz w:val="20"/>
          <w:szCs w:val="20"/>
          <w:color w:val="auto"/>
        </w:rPr>
      </w:pPr>
    </w:p>
    <w:p>
      <w:pPr>
        <w:jc w:val="center"/>
        <w:ind w:right="40"/>
        <w:spacing w:after="0"/>
        <w:rPr>
          <w:sz w:val="20"/>
          <w:szCs w:val="20"/>
          <w:color w:val="auto"/>
        </w:rPr>
      </w:pPr>
      <w:r>
        <w:rPr>
          <w:rFonts w:ascii="Arial" w:cs="Arial" w:eastAsia="Arial" w:hAnsi="Arial"/>
          <w:sz w:val="13"/>
          <w:szCs w:val="13"/>
          <w:color w:val="auto"/>
        </w:rPr>
        <w:t>1835 Dueber Ave. S.W., GNE-14, Canton, OH 44706</w:t>
      </w:r>
    </w:p>
    <w:p>
      <w:pPr>
        <w:sectPr>
          <w:pgSz w:w="11900" w:h="16838" w:orient="portrait"/>
          <w:cols w:equalWidth="0" w:num="1">
            <w:col w:w="11360"/>
          </w:cols>
          <w:pgMar w:left="240" w:top="1039" w:right="299" w:bottom="1440" w:gutter="0" w:footer="0" w:header="0"/>
        </w:sectPr>
      </w:pPr>
    </w:p>
    <w:p>
      <w:pPr>
        <w:spacing w:after="0" w:line="121" w:lineRule="exact"/>
        <w:rPr>
          <w:sz w:val="20"/>
          <w:szCs w:val="20"/>
          <w:color w:val="auto"/>
        </w:rPr>
      </w:pPr>
    </w:p>
    <w:p>
      <w:pPr>
        <w:ind w:left="60"/>
        <w:spacing w:after="0"/>
        <w:rPr>
          <w:sz w:val="20"/>
          <w:szCs w:val="20"/>
          <w:color w:val="auto"/>
        </w:rPr>
      </w:pPr>
      <w:r>
        <w:rPr>
          <w:rFonts w:ascii="Arial" w:cs="Arial" w:eastAsia="Arial" w:hAnsi="Arial"/>
          <w:sz w:val="11"/>
          <w:szCs w:val="11"/>
          <w:color w:val="auto"/>
        </w:rPr>
        <w:t>Media Contact: Carla Wooley, APR</w:t>
      </w:r>
    </w:p>
    <w:p>
      <w:pPr>
        <w:spacing w:after="0" w:line="20" w:lineRule="exact"/>
        <w:rPr>
          <w:sz w:val="20"/>
          <w:szCs w:val="20"/>
          <w:color w:val="auto"/>
        </w:rPr>
      </w:pPr>
      <w:r>
        <w:rPr>
          <w:sz w:val="20"/>
          <w:szCs w:val="20"/>
          <w:color w:val="auto"/>
        </w:rPr>
        <w:br w:type="column"/>
      </w:r>
    </w:p>
    <w:p>
      <w:pPr>
        <w:spacing w:after="0" w:line="101" w:lineRule="exact"/>
        <w:rPr>
          <w:sz w:val="20"/>
          <w:szCs w:val="20"/>
          <w:color w:val="auto"/>
        </w:rPr>
      </w:pPr>
    </w:p>
    <w:p>
      <w:pPr>
        <w:spacing w:after="0"/>
        <w:rPr>
          <w:sz w:val="20"/>
          <w:szCs w:val="20"/>
          <w:color w:val="auto"/>
        </w:rPr>
      </w:pPr>
      <w:r>
        <w:rPr>
          <w:rFonts w:ascii="Arial" w:cs="Arial" w:eastAsia="Arial" w:hAnsi="Arial"/>
          <w:sz w:val="11"/>
          <w:szCs w:val="11"/>
          <w:color w:val="auto"/>
        </w:rPr>
        <w:t>Investor Contact: Mitch Byrnes</w:t>
      </w:r>
    </w:p>
    <w:p>
      <w:pPr>
        <w:spacing w:after="0" w:line="144" w:lineRule="exact"/>
        <w:rPr>
          <w:sz w:val="20"/>
          <w:szCs w:val="20"/>
          <w:color w:val="auto"/>
        </w:rPr>
      </w:pPr>
    </w:p>
    <w:p>
      <w:pPr>
        <w:sectPr>
          <w:pgSz w:w="11900" w:h="16838" w:orient="portrait"/>
          <w:cols w:equalWidth="0" w:num="2">
            <w:col w:w="9060" w:space="720"/>
            <w:col w:w="1580"/>
          </w:cols>
          <w:pgMar w:left="240" w:top="1039" w:right="299" w:bottom="1440" w:gutter="0" w:footer="0" w:header="0"/>
          <w:type w:val="continuous"/>
        </w:sectPr>
      </w:pPr>
    </w:p>
    <w:p>
      <w:pPr>
        <w:ind w:left="60"/>
        <w:spacing w:after="0"/>
        <w:rPr>
          <w:sz w:val="20"/>
          <w:szCs w:val="20"/>
          <w:color w:val="auto"/>
        </w:rPr>
      </w:pPr>
      <w:r>
        <w:rPr>
          <w:rFonts w:ascii="Arial" w:cs="Arial" w:eastAsia="Arial" w:hAnsi="Arial"/>
          <w:sz w:val="11"/>
          <w:szCs w:val="11"/>
          <w:color w:val="auto"/>
        </w:rPr>
        <w:t>P 330.471.7760</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1"/>
          <w:szCs w:val="11"/>
          <w:color w:val="auto"/>
        </w:rPr>
        <w:t>P 330.471.7000</w:t>
      </w:r>
    </w:p>
    <w:p>
      <w:pPr>
        <w:spacing w:after="0" w:line="144" w:lineRule="exact"/>
        <w:rPr>
          <w:sz w:val="20"/>
          <w:szCs w:val="20"/>
          <w:color w:val="auto"/>
        </w:rPr>
      </w:pPr>
    </w:p>
    <w:p>
      <w:pPr>
        <w:sectPr>
          <w:pgSz w:w="11900" w:h="16838" w:orient="portrait"/>
          <w:cols w:equalWidth="0" w:num="2">
            <w:col w:w="9860" w:space="720"/>
            <w:col w:w="780"/>
          </w:cols>
          <w:pgMar w:left="240" w:top="1039" w:right="299" w:bottom="1440" w:gutter="0" w:footer="0" w:header="0"/>
          <w:type w:val="continuous"/>
        </w:sectPr>
      </w:pPr>
    </w:p>
    <w:p>
      <w:pPr>
        <w:ind w:left="60"/>
        <w:spacing w:after="0"/>
        <w:rPr>
          <w:sz w:val="20"/>
          <w:szCs w:val="20"/>
          <w:color w:val="auto"/>
        </w:rPr>
      </w:pPr>
      <w:r>
        <w:rPr>
          <w:rFonts w:ascii="Arial" w:cs="Arial" w:eastAsia="Arial" w:hAnsi="Arial"/>
          <w:sz w:val="11"/>
          <w:szCs w:val="11"/>
          <w:color w:val="auto"/>
        </w:rPr>
        <w:t>news@timkensteel.com</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1"/>
          <w:szCs w:val="11"/>
          <w:color w:val="auto"/>
        </w:rPr>
        <w:t>ir@timkensteel.com</w:t>
      </w:r>
    </w:p>
    <w:p>
      <w:pPr>
        <w:sectPr>
          <w:pgSz w:w="11900" w:h="16838" w:orient="portrait"/>
          <w:cols w:equalWidth="0" w:num="2">
            <w:col w:w="9620" w:space="720"/>
            <w:col w:w="1020"/>
          </w:cols>
          <w:pgMar w:left="240" w:top="1039" w:right="299" w:bottom="1440" w:gutter="0" w:footer="0" w:header="0"/>
          <w:type w:val="continuous"/>
        </w:sectPr>
      </w:pPr>
    </w:p>
    <w:bookmarkStart w:id="5" w:name="page6"/>
    <w:bookmarkEnd w:id="5"/>
    <w:p>
      <w:pPr>
        <w:spacing w:after="0" w:line="5"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1495425</wp:posOffset>
            </wp:positionH>
            <wp:positionV relativeFrom="page">
              <wp:posOffset>88900</wp:posOffset>
            </wp:positionV>
            <wp:extent cx="4570730" cy="58293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clrChange>
                        <a:clrFrom>
                          <a:srgbClr val="FFFFFF"/>
                        </a:clrFrom>
                        <a:clrTo>
                          <a:srgbClr val="FFFFFF">
                            <a:alpha val="0"/>
                          </a:srgbClr>
                        </a:clrTo>
                      </a:clrChange>
                      <a:extLst>
                        <a:ext uri="{28A0092B-C50C-407E-A947-70E740481C1C}"/>
                      </a:extLst>
                    </a:blip>
                    <a:srcRect/>
                    <a:stretch>
                      <a:fillRect/>
                    </a:stretch>
                  </pic:blipFill>
                  <pic:spPr bwMode="auto">
                    <a:xfrm>
                      <a:off x="0" y="0"/>
                      <a:ext cx="4570730" cy="582930"/>
                    </a:xfrm>
                    <a:prstGeom prst="rect">
                      <a:avLst/>
                    </a:prstGeom>
                    <a:noFill/>
                  </pic:spPr>
                </pic:pic>
              </a:graphicData>
            </a:graphic>
          </wp:anchor>
        </w:drawing>
      </w:r>
    </w:p>
    <w:p>
      <w:pPr>
        <w:ind w:right="140"/>
        <w:spacing w:after="0" w:line="338" w:lineRule="auto"/>
        <w:rPr>
          <w:sz w:val="20"/>
          <w:szCs w:val="20"/>
          <w:color w:val="auto"/>
        </w:rPr>
      </w:pPr>
      <w:r>
        <w:rPr>
          <w:rFonts w:ascii="Arial" w:cs="Arial" w:eastAsia="Arial" w:hAnsi="Arial"/>
          <w:sz w:val="20"/>
          <w:szCs w:val="20"/>
          <w:b w:val="1"/>
          <w:bCs w:val="1"/>
          <w:color w:val="auto"/>
        </w:rPr>
        <w:t>EBIT</w:t>
      </w:r>
      <w:r>
        <w:rPr>
          <w:rFonts w:ascii="Arial" w:cs="Arial" w:eastAsia="Arial" w:hAnsi="Arial"/>
          <w:sz w:val="25"/>
          <w:szCs w:val="25"/>
          <w:b w:val="1"/>
          <w:bCs w:val="1"/>
          <w:color w:val="auto"/>
          <w:vertAlign w:val="superscript"/>
        </w:rPr>
        <w:t>(1)</w:t>
      </w:r>
      <w:r>
        <w:rPr>
          <w:rFonts w:ascii="Arial" w:cs="Arial" w:eastAsia="Arial" w:hAnsi="Arial"/>
          <w:sz w:val="20"/>
          <w:szCs w:val="20"/>
          <w:b w:val="1"/>
          <w:bCs w:val="1"/>
          <w:color w:val="auto"/>
        </w:rPr>
        <w:t xml:space="preserve"> increased to $6.7 million from a loss of $2.1 million for the same period a year ago. Adjusted EBIT</w:t>
      </w:r>
      <w:r>
        <w:rPr>
          <w:rFonts w:ascii="Arial" w:cs="Arial" w:eastAsia="Arial" w:hAnsi="Arial"/>
          <w:sz w:val="25"/>
          <w:szCs w:val="25"/>
          <w:b w:val="1"/>
          <w:bCs w:val="1"/>
          <w:color w:val="auto"/>
          <w:vertAlign w:val="superscript"/>
        </w:rPr>
        <w:t>(1)</w:t>
      </w:r>
      <w:r>
        <w:rPr>
          <w:rFonts w:ascii="Arial" w:cs="Arial" w:eastAsia="Arial" w:hAnsi="Arial"/>
          <w:sz w:val="20"/>
          <w:szCs w:val="20"/>
          <w:b w:val="1"/>
          <w:bCs w:val="1"/>
          <w:color w:val="auto"/>
        </w:rPr>
        <w:t xml:space="preserve"> increased to $8.4 million from $0.2 million in the third quarter of 2017.</w:t>
      </w:r>
    </w:p>
    <w:p>
      <w:pPr>
        <w:spacing w:after="0" w:line="2" w:lineRule="exact"/>
        <w:rPr>
          <w:sz w:val="20"/>
          <w:szCs w:val="20"/>
          <w:color w:val="auto"/>
        </w:rPr>
      </w:pPr>
    </w:p>
    <w:p>
      <w:pPr>
        <w:ind w:left="340" w:hanging="332"/>
        <w:spacing w:after="0"/>
        <w:tabs>
          <w:tab w:leader="none" w:pos="340" w:val="left"/>
        </w:tabs>
        <w:numPr>
          <w:ilvl w:val="0"/>
          <w:numId w:val="5"/>
        </w:numPr>
        <w:rPr>
          <w:rFonts w:ascii="Arial" w:cs="Arial" w:eastAsia="Arial" w:hAnsi="Arial"/>
          <w:sz w:val="20"/>
          <w:szCs w:val="20"/>
          <w:color w:val="auto"/>
        </w:rPr>
      </w:pPr>
      <w:r>
        <w:rPr>
          <w:rFonts w:ascii="Arial" w:cs="Arial" w:eastAsia="Arial" w:hAnsi="Arial"/>
          <w:sz w:val="20"/>
          <w:szCs w:val="20"/>
          <w:color w:val="auto"/>
        </w:rPr>
        <w:t>Improved profitability was primarily due to more favorable product mix resulting from more</w:t>
      </w:r>
    </w:p>
    <w:p>
      <w:pPr>
        <w:spacing w:after="0" w:line="107" w:lineRule="exact"/>
        <w:rPr>
          <w:rFonts w:ascii="Arial" w:cs="Arial" w:eastAsia="Arial" w:hAnsi="Arial"/>
          <w:sz w:val="20"/>
          <w:szCs w:val="20"/>
          <w:color w:val="auto"/>
        </w:rPr>
      </w:pPr>
    </w:p>
    <w:p>
      <w:pPr>
        <w:ind w:left="340"/>
        <w:spacing w:after="0"/>
        <w:rPr>
          <w:rFonts w:ascii="Arial" w:cs="Arial" w:eastAsia="Arial" w:hAnsi="Arial"/>
          <w:sz w:val="20"/>
          <w:szCs w:val="20"/>
          <w:color w:val="auto"/>
        </w:rPr>
      </w:pPr>
      <w:r>
        <w:rPr>
          <w:rFonts w:ascii="Arial" w:cs="Arial" w:eastAsia="Arial" w:hAnsi="Arial"/>
          <w:sz w:val="20"/>
          <w:szCs w:val="20"/>
          <w:color w:val="auto"/>
        </w:rPr>
        <w:t>energy and industrial volume and reduced billet sales, as well as higher prices and increased volume.</w:t>
      </w:r>
    </w:p>
    <w:p>
      <w:pPr>
        <w:spacing w:after="0" w:line="107" w:lineRule="exact"/>
        <w:rPr>
          <w:rFonts w:ascii="Arial" w:cs="Arial" w:eastAsia="Arial" w:hAnsi="Arial"/>
          <w:sz w:val="20"/>
          <w:szCs w:val="20"/>
          <w:color w:val="auto"/>
        </w:rPr>
      </w:pPr>
    </w:p>
    <w:p>
      <w:pPr>
        <w:ind w:left="340" w:right="500" w:hanging="332"/>
        <w:spacing w:after="0" w:line="352" w:lineRule="auto"/>
        <w:tabs>
          <w:tab w:leader="none" w:pos="340" w:val="left"/>
        </w:tabs>
        <w:numPr>
          <w:ilvl w:val="0"/>
          <w:numId w:val="5"/>
        </w:numPr>
        <w:rPr>
          <w:rFonts w:ascii="Arial" w:cs="Arial" w:eastAsia="Arial" w:hAnsi="Arial"/>
          <w:sz w:val="20"/>
          <w:szCs w:val="20"/>
          <w:color w:val="auto"/>
        </w:rPr>
      </w:pPr>
      <w:r>
        <w:rPr>
          <w:rFonts w:ascii="Arial" w:cs="Arial" w:eastAsia="Arial" w:hAnsi="Arial"/>
          <w:sz w:val="20"/>
          <w:szCs w:val="20"/>
          <w:color w:val="auto"/>
        </w:rPr>
        <w:t>Manufacturing costs were higher year over year due to the timing of scheduled maintenance, with prior-year scheduled maintenance occurring in the fourth quarter.</w:t>
      </w:r>
    </w:p>
    <w:p>
      <w:pPr>
        <w:ind w:left="340" w:hanging="332"/>
        <w:spacing w:after="0"/>
        <w:tabs>
          <w:tab w:leader="none" w:pos="340" w:val="left"/>
        </w:tabs>
        <w:numPr>
          <w:ilvl w:val="0"/>
          <w:numId w:val="5"/>
        </w:numPr>
        <w:rPr>
          <w:rFonts w:ascii="Arial" w:cs="Arial" w:eastAsia="Arial" w:hAnsi="Arial"/>
          <w:sz w:val="20"/>
          <w:szCs w:val="20"/>
          <w:color w:val="auto"/>
        </w:rPr>
      </w:pPr>
      <w:r>
        <w:rPr>
          <w:rFonts w:ascii="Arial" w:cs="Arial" w:eastAsia="Arial" w:hAnsi="Arial"/>
          <w:sz w:val="20"/>
          <w:szCs w:val="20"/>
          <w:color w:val="auto"/>
        </w:rPr>
        <w:t>Inflation of consumables not subject to surcharge resulted in higher costs compared to third-quarter 2017.</w:t>
      </w:r>
    </w:p>
    <w:p>
      <w:pPr>
        <w:spacing w:after="0" w:line="107" w:lineRule="exact"/>
        <w:rPr>
          <w:rFonts w:ascii="Arial" w:cs="Arial" w:eastAsia="Arial" w:hAnsi="Arial"/>
          <w:sz w:val="20"/>
          <w:szCs w:val="20"/>
          <w:color w:val="auto"/>
        </w:rPr>
      </w:pPr>
    </w:p>
    <w:p>
      <w:pPr>
        <w:ind w:left="340" w:hanging="332"/>
        <w:spacing w:after="0" w:line="373" w:lineRule="auto"/>
        <w:tabs>
          <w:tab w:leader="none" w:pos="340" w:val="left"/>
        </w:tabs>
        <w:numPr>
          <w:ilvl w:val="0"/>
          <w:numId w:val="5"/>
        </w:numPr>
        <w:rPr>
          <w:rFonts w:ascii="Arial" w:cs="Arial" w:eastAsia="Arial" w:hAnsi="Arial"/>
          <w:sz w:val="20"/>
          <w:szCs w:val="20"/>
          <w:color w:val="auto"/>
        </w:rPr>
      </w:pPr>
      <w:r>
        <w:rPr>
          <w:rFonts w:ascii="Arial" w:cs="Arial" w:eastAsia="Arial" w:hAnsi="Arial"/>
          <w:sz w:val="20"/>
          <w:szCs w:val="20"/>
          <w:color w:val="auto"/>
        </w:rPr>
        <w:t>Melt utilization was 62 percent for the third quarter of 2018, compared with 74 percent in third-quarter 2017. The decrease in third-quarter melt utilization was driven primarily by the scheduled maintenance shutdown.</w:t>
      </w:r>
    </w:p>
    <w:p>
      <w:pPr>
        <w:spacing w:after="0" w:line="11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FOURTH-QUARTER 2018 OUTLOOK</w:t>
      </w:r>
    </w:p>
    <w:p>
      <w:pPr>
        <w:spacing w:after="0" w:line="222" w:lineRule="exact"/>
        <w:rPr>
          <w:sz w:val="20"/>
          <w:szCs w:val="20"/>
          <w:color w:val="auto"/>
        </w:rPr>
      </w:pPr>
    </w:p>
    <w:p>
      <w:pPr>
        <w:ind w:left="340" w:hanging="332"/>
        <w:spacing w:after="0"/>
        <w:tabs>
          <w:tab w:leader="none" w:pos="340" w:val="left"/>
        </w:tabs>
        <w:numPr>
          <w:ilvl w:val="0"/>
          <w:numId w:val="6"/>
        </w:numPr>
        <w:rPr>
          <w:rFonts w:ascii="Arial" w:cs="Arial" w:eastAsia="Arial" w:hAnsi="Arial"/>
          <w:sz w:val="18"/>
          <w:szCs w:val="18"/>
          <w:color w:val="auto"/>
        </w:rPr>
      </w:pPr>
      <w:r>
        <w:rPr>
          <w:rFonts w:ascii="Arial" w:cs="Arial" w:eastAsia="Arial" w:hAnsi="Arial"/>
          <w:sz w:val="20"/>
          <w:szCs w:val="20"/>
          <w:color w:val="auto"/>
        </w:rPr>
        <w:t>Normal seasonality will impact fourth-quarter outlook as customers balance inventories.</w:t>
      </w:r>
    </w:p>
    <w:p>
      <w:pPr>
        <w:spacing w:after="0" w:line="107" w:lineRule="exact"/>
        <w:rPr>
          <w:rFonts w:ascii="Arial" w:cs="Arial" w:eastAsia="Arial" w:hAnsi="Arial"/>
          <w:sz w:val="18"/>
          <w:szCs w:val="18"/>
          <w:color w:val="auto"/>
        </w:rPr>
      </w:pPr>
    </w:p>
    <w:p>
      <w:pPr>
        <w:ind w:left="340" w:hanging="332"/>
        <w:spacing w:after="0"/>
        <w:tabs>
          <w:tab w:leader="none" w:pos="340" w:val="left"/>
        </w:tabs>
        <w:numPr>
          <w:ilvl w:val="0"/>
          <w:numId w:val="6"/>
        </w:numPr>
        <w:rPr>
          <w:rFonts w:ascii="Arial" w:cs="Arial" w:eastAsia="Arial" w:hAnsi="Arial"/>
          <w:sz w:val="20"/>
          <w:szCs w:val="20"/>
          <w:color w:val="auto"/>
        </w:rPr>
      </w:pPr>
      <w:r>
        <w:rPr>
          <w:rFonts w:ascii="Arial" w:cs="Arial" w:eastAsia="Arial" w:hAnsi="Arial"/>
          <w:sz w:val="20"/>
          <w:szCs w:val="20"/>
          <w:color w:val="auto"/>
        </w:rPr>
        <w:t>Shipments are expected to be similar to fourth-quarter 2017 with continued improvement in mix.</w:t>
      </w:r>
    </w:p>
    <w:p>
      <w:pPr>
        <w:spacing w:after="0" w:line="107" w:lineRule="exact"/>
        <w:rPr>
          <w:rFonts w:ascii="Arial" w:cs="Arial" w:eastAsia="Arial" w:hAnsi="Arial"/>
          <w:sz w:val="20"/>
          <w:szCs w:val="20"/>
          <w:color w:val="auto"/>
        </w:rPr>
      </w:pPr>
    </w:p>
    <w:p>
      <w:pPr>
        <w:ind w:left="340" w:hanging="332"/>
        <w:spacing w:after="0"/>
        <w:tabs>
          <w:tab w:leader="none" w:pos="340" w:val="left"/>
        </w:tabs>
        <w:numPr>
          <w:ilvl w:val="0"/>
          <w:numId w:val="6"/>
        </w:numPr>
        <w:rPr>
          <w:rFonts w:ascii="Arial" w:cs="Arial" w:eastAsia="Arial" w:hAnsi="Arial"/>
          <w:sz w:val="20"/>
          <w:szCs w:val="20"/>
          <w:color w:val="auto"/>
        </w:rPr>
      </w:pPr>
      <w:r>
        <w:rPr>
          <w:rFonts w:ascii="Arial" w:cs="Arial" w:eastAsia="Arial" w:hAnsi="Arial"/>
          <w:sz w:val="20"/>
          <w:szCs w:val="20"/>
          <w:color w:val="auto"/>
        </w:rPr>
        <w:t>Raw material spread is expected to be similar to third-quarter 2018.</w:t>
      </w:r>
    </w:p>
    <w:p>
      <w:pPr>
        <w:spacing w:after="0" w:line="107" w:lineRule="exact"/>
        <w:rPr>
          <w:rFonts w:ascii="Arial" w:cs="Arial" w:eastAsia="Arial" w:hAnsi="Arial"/>
          <w:sz w:val="20"/>
          <w:szCs w:val="20"/>
          <w:color w:val="auto"/>
        </w:rPr>
      </w:pPr>
    </w:p>
    <w:p>
      <w:pPr>
        <w:ind w:left="340" w:hanging="332"/>
        <w:spacing w:after="0"/>
        <w:tabs>
          <w:tab w:leader="none" w:pos="340" w:val="left"/>
        </w:tabs>
        <w:numPr>
          <w:ilvl w:val="0"/>
          <w:numId w:val="6"/>
        </w:numPr>
        <w:rPr>
          <w:rFonts w:ascii="Arial" w:cs="Arial" w:eastAsia="Arial" w:hAnsi="Arial"/>
          <w:sz w:val="20"/>
          <w:szCs w:val="20"/>
          <w:color w:val="auto"/>
        </w:rPr>
      </w:pPr>
      <w:r>
        <w:rPr>
          <w:rFonts w:ascii="Arial" w:cs="Arial" w:eastAsia="Arial" w:hAnsi="Arial"/>
          <w:sz w:val="20"/>
          <w:szCs w:val="20"/>
          <w:color w:val="auto"/>
        </w:rPr>
        <w:t>Higher manufacturing costs and consumables inflation will be a headwind.</w:t>
      </w:r>
    </w:p>
    <w:p>
      <w:pPr>
        <w:spacing w:after="0" w:line="56" w:lineRule="exact"/>
        <w:rPr>
          <w:rFonts w:ascii="Arial" w:cs="Arial" w:eastAsia="Arial" w:hAnsi="Arial"/>
          <w:sz w:val="20"/>
          <w:szCs w:val="20"/>
          <w:color w:val="auto"/>
        </w:rPr>
      </w:pPr>
    </w:p>
    <w:p>
      <w:pPr>
        <w:jc w:val="both"/>
        <w:ind w:left="340" w:right="240" w:hanging="332"/>
        <w:spacing w:after="0" w:line="331" w:lineRule="auto"/>
        <w:tabs>
          <w:tab w:leader="none" w:pos="340" w:val="left"/>
        </w:tabs>
        <w:numPr>
          <w:ilvl w:val="0"/>
          <w:numId w:val="6"/>
        </w:numPr>
        <w:rPr>
          <w:rFonts w:ascii="Arial" w:cs="Arial" w:eastAsia="Arial" w:hAnsi="Arial"/>
          <w:sz w:val="19"/>
          <w:szCs w:val="19"/>
          <w:color w:val="auto"/>
        </w:rPr>
      </w:pPr>
      <w:r>
        <w:rPr>
          <w:rFonts w:ascii="Arial" w:cs="Arial" w:eastAsia="Arial" w:hAnsi="Arial"/>
          <w:sz w:val="19"/>
          <w:szCs w:val="19"/>
          <w:color w:val="auto"/>
        </w:rPr>
        <w:t>Adjusted EBITDA</w:t>
      </w:r>
      <w:r>
        <w:rPr>
          <w:rFonts w:ascii="Arial" w:cs="Arial" w:eastAsia="Arial" w:hAnsi="Arial"/>
          <w:sz w:val="24"/>
          <w:szCs w:val="24"/>
          <w:color w:val="auto"/>
          <w:vertAlign w:val="superscript"/>
        </w:rPr>
        <w:t>(1)</w:t>
      </w:r>
      <w:r>
        <w:rPr>
          <w:rFonts w:ascii="Arial" w:cs="Arial" w:eastAsia="Arial" w:hAnsi="Arial"/>
          <w:sz w:val="19"/>
          <w:szCs w:val="19"/>
          <w:color w:val="auto"/>
        </w:rPr>
        <w:t xml:space="preserve"> is projected to be between $15 million and $25 million. At this time, the company is unable to reconcile its fourth-quarter outlook for Adjusted EBITDA</w:t>
      </w:r>
      <w:r>
        <w:rPr>
          <w:rFonts w:ascii="Arial" w:cs="Arial" w:eastAsia="Arial" w:hAnsi="Arial"/>
          <w:sz w:val="24"/>
          <w:szCs w:val="24"/>
          <w:color w:val="auto"/>
          <w:vertAlign w:val="superscript"/>
        </w:rPr>
        <w:t>(1)</w:t>
      </w:r>
      <w:r>
        <w:rPr>
          <w:rFonts w:ascii="Arial" w:cs="Arial" w:eastAsia="Arial" w:hAnsi="Arial"/>
          <w:sz w:val="19"/>
          <w:szCs w:val="19"/>
          <w:color w:val="auto"/>
        </w:rPr>
        <w:t xml:space="preserve"> to a comparable GAAP range due to an expected full re-measurement of its pension and OPEB plan assets and obligations at December 31, 2018. The amount of the gain or loss from the</w:t>
      </w:r>
    </w:p>
    <w:p>
      <w:pPr>
        <w:spacing w:after="0" w:line="1" w:lineRule="exact"/>
        <w:rPr>
          <w:rFonts w:ascii="Arial" w:cs="Arial" w:eastAsia="Arial" w:hAnsi="Arial"/>
          <w:sz w:val="19"/>
          <w:szCs w:val="19"/>
          <w:color w:val="auto"/>
        </w:rPr>
      </w:pPr>
    </w:p>
    <w:p>
      <w:pPr>
        <w:ind w:left="340"/>
        <w:spacing w:after="0"/>
        <w:rPr>
          <w:rFonts w:ascii="Arial" w:cs="Arial" w:eastAsia="Arial" w:hAnsi="Arial"/>
          <w:sz w:val="19"/>
          <w:szCs w:val="19"/>
          <w:color w:val="auto"/>
        </w:rPr>
      </w:pPr>
      <w:r>
        <w:rPr>
          <w:rFonts w:ascii="Arial" w:cs="Arial" w:eastAsia="Arial" w:hAnsi="Arial"/>
          <w:sz w:val="20"/>
          <w:szCs w:val="20"/>
          <w:color w:val="auto"/>
        </w:rPr>
        <w:t>re-measurement cannot currently be estimated.</w:t>
      </w:r>
    </w:p>
    <w:p>
      <w:pPr>
        <w:spacing w:after="0" w:line="26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Other Guidance</w:t>
      </w:r>
    </w:p>
    <w:p>
      <w:pPr>
        <w:spacing w:after="0" w:line="222" w:lineRule="exact"/>
        <w:rPr>
          <w:sz w:val="20"/>
          <w:szCs w:val="20"/>
          <w:color w:val="auto"/>
        </w:rPr>
      </w:pPr>
    </w:p>
    <w:p>
      <w:pPr>
        <w:ind w:left="340" w:hanging="332"/>
        <w:spacing w:after="0"/>
        <w:tabs>
          <w:tab w:leader="none" w:pos="340" w:val="left"/>
        </w:tabs>
        <w:numPr>
          <w:ilvl w:val="0"/>
          <w:numId w:val="7"/>
        </w:numPr>
        <w:rPr>
          <w:rFonts w:ascii="Arial" w:cs="Arial" w:eastAsia="Arial" w:hAnsi="Arial"/>
          <w:sz w:val="18"/>
          <w:szCs w:val="18"/>
          <w:color w:val="auto"/>
        </w:rPr>
      </w:pPr>
      <w:r>
        <w:rPr>
          <w:rFonts w:ascii="Arial" w:cs="Arial" w:eastAsia="Arial" w:hAnsi="Arial"/>
          <w:sz w:val="20"/>
          <w:szCs w:val="20"/>
          <w:color w:val="auto"/>
        </w:rPr>
        <w:t>2018 capital spending is projected to be approximately $40 million.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ind w:right="160" w:firstLine="8"/>
        <w:spacing w:after="0" w:line="467" w:lineRule="auto"/>
        <w:tabs>
          <w:tab w:leader="none" w:pos="178" w:val="left"/>
        </w:tabs>
        <w:numPr>
          <w:ilvl w:val="0"/>
          <w:numId w:val="8"/>
        </w:numPr>
        <w:rPr>
          <w:rFonts w:ascii="Arial" w:cs="Arial" w:eastAsia="Arial" w:hAnsi="Arial"/>
          <w:sz w:val="20"/>
          <w:szCs w:val="20"/>
          <w:i w:val="1"/>
          <w:iCs w:val="1"/>
          <w:color w:val="auto"/>
          <w:vertAlign w:val="superscript"/>
        </w:rPr>
      </w:pPr>
      <w:r>
        <w:rPr>
          <w:rFonts w:ascii="Arial" w:cs="Arial" w:eastAsia="Arial" w:hAnsi="Arial"/>
          <w:sz w:val="16"/>
          <w:szCs w:val="16"/>
          <w:i w:val="1"/>
          <w:iCs w:val="1"/>
          <w:color w:val="auto"/>
        </w:rPr>
        <w:t>Please see discussion of non-GAAP financial measures in this news release. Adjusted EBITDA for the third quarter of 2018 excludes $1.7 million of executive severance costs, and for the third-quarter 2017 excludes a $2.3 million loss from the remeasurement of benefit plans.</w:t>
      </w:r>
    </w:p>
    <w:p>
      <w:pPr>
        <w:spacing w:after="0" w:line="83" w:lineRule="exact"/>
        <w:rPr>
          <w:sz w:val="20"/>
          <w:szCs w:val="20"/>
          <w:color w:val="auto"/>
        </w:rPr>
      </w:pPr>
    </w:p>
    <w:p>
      <w:pPr>
        <w:jc w:val="center"/>
        <w:ind w:right="-119"/>
        <w:spacing w:after="0"/>
        <w:rPr>
          <w:sz w:val="20"/>
          <w:szCs w:val="20"/>
          <w:color w:val="auto"/>
        </w:rPr>
      </w:pPr>
      <w:r>
        <w:rPr>
          <w:rFonts w:ascii="Arial" w:cs="Arial" w:eastAsia="Arial" w:hAnsi="Arial"/>
          <w:sz w:val="22"/>
          <w:szCs w:val="22"/>
          <w:color w:val="auto"/>
        </w:rPr>
        <w:t>NEWS RELEASE - Page 2</w:t>
      </w:r>
    </w:p>
    <w:p>
      <w:pPr>
        <w:sectPr>
          <w:pgSz w:w="11900" w:h="16838" w:orient="portrait"/>
          <w:cols w:equalWidth="0" w:num="1">
            <w:col w:w="11300"/>
          </w:cols>
          <w:pgMar w:left="240" w:top="1440" w:right="359" w:bottom="1440" w:gutter="0" w:footer="0" w:header="0"/>
        </w:sectPr>
      </w:pPr>
    </w:p>
    <w:bookmarkStart w:id="6" w:name="page7"/>
    <w:bookmarkEnd w:id="6"/>
    <w:p>
      <w:pPr>
        <w:spacing w:after="0" w:line="115"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1495425</wp:posOffset>
            </wp:positionH>
            <wp:positionV relativeFrom="page">
              <wp:posOffset>88900</wp:posOffset>
            </wp:positionV>
            <wp:extent cx="4570730" cy="58293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clrChange>
                        <a:clrFrom>
                          <a:srgbClr val="FFFFFF"/>
                        </a:clrFrom>
                        <a:clrTo>
                          <a:srgbClr val="FFFFFF">
                            <a:alpha val="0"/>
                          </a:srgbClr>
                        </a:clrTo>
                      </a:clrChange>
                      <a:extLst>
                        <a:ext uri="{28A0092B-C50C-407E-A947-70E740481C1C}"/>
                      </a:extLst>
                    </a:blip>
                    <a:srcRect/>
                    <a:stretch>
                      <a:fillRect/>
                    </a:stretch>
                  </pic:blipFill>
                  <pic:spPr bwMode="auto">
                    <a:xfrm>
                      <a:off x="0" y="0"/>
                      <a:ext cx="4570730" cy="582930"/>
                    </a:xfrm>
                    <a:prstGeom prst="rect">
                      <a:avLst/>
                    </a:prstGeom>
                    <a:noFill/>
                  </pic:spPr>
                </pic:pic>
              </a:graphicData>
            </a:graphic>
          </wp:anchor>
        </w:drawing>
      </w:r>
    </w:p>
    <w:p>
      <w:pPr>
        <w:ind w:right="200"/>
        <w:spacing w:after="0" w:line="405" w:lineRule="auto"/>
        <w:rPr>
          <w:sz w:val="20"/>
          <w:szCs w:val="20"/>
          <w:color w:val="auto"/>
        </w:rPr>
      </w:pPr>
      <w:r>
        <w:rPr>
          <w:rFonts w:ascii="Arial" w:cs="Arial" w:eastAsia="Arial" w:hAnsi="Arial"/>
          <w:sz w:val="19"/>
          <w:szCs w:val="19"/>
          <w:color w:val="auto"/>
        </w:rPr>
        <w:t xml:space="preserve">The company will host a conference call at 9 a.m. ET on Friday, October 26, to discuss its financial performance with investors and securities analysts. The financial results and conference call materials will be available online at </w:t>
      </w:r>
      <w:r>
        <w:rPr>
          <w:rFonts w:ascii="Arial" w:cs="Arial" w:eastAsia="Arial" w:hAnsi="Arial"/>
          <w:sz w:val="19"/>
          <w:szCs w:val="19"/>
          <w:u w:val="single" w:color="auto"/>
          <w:color w:val="0000FF"/>
        </w:rPr>
        <w:t>investors.timkensteel.com</w:t>
      </w:r>
      <w:r>
        <w:rPr>
          <w:rFonts w:ascii="Arial" w:cs="Arial" w:eastAsia="Arial" w:hAnsi="Arial"/>
          <w:sz w:val="19"/>
          <w:szCs w:val="19"/>
          <w:color w:val="auto"/>
        </w:rPr>
        <w:t>.</w:t>
      </w:r>
    </w:p>
    <w:p>
      <w:pPr>
        <w:spacing w:after="0" w:line="200" w:lineRule="exact"/>
        <w:rPr>
          <w:sz w:val="20"/>
          <w:szCs w:val="20"/>
          <w:color w:val="auto"/>
        </w:rPr>
      </w:pPr>
    </w:p>
    <w:p>
      <w:pPr>
        <w:spacing w:after="0" w:line="31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TimkenSteel Earnings Call Information: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186055</wp:posOffset>
            </wp:positionV>
            <wp:extent cx="5788660" cy="1406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5788660" cy="1406525"/>
                    </a:xfrm>
                    <a:prstGeom prst="rect">
                      <a:avLst/>
                    </a:prstGeom>
                    <a:noFill/>
                  </pic:spPr>
                </pic:pic>
              </a:graphicData>
            </a:graphic>
          </wp:anchor>
        </w:drawing>
      </w:r>
    </w:p>
    <w:p>
      <w:pPr>
        <w:spacing w:after="0" w:line="296" w:lineRule="exact"/>
        <w:rPr>
          <w:sz w:val="20"/>
          <w:szCs w:val="20"/>
          <w:color w:val="auto"/>
        </w:rPr>
      </w:pPr>
    </w:p>
    <w:p>
      <w:pPr>
        <w:ind w:left="3380"/>
        <w:spacing w:after="0"/>
        <w:rPr>
          <w:sz w:val="20"/>
          <w:szCs w:val="20"/>
          <w:color w:val="auto"/>
        </w:rPr>
      </w:pPr>
      <w:r>
        <w:rPr>
          <w:rFonts w:ascii="Arial" w:cs="Arial" w:eastAsia="Arial" w:hAnsi="Arial"/>
          <w:sz w:val="20"/>
          <w:szCs w:val="20"/>
          <w:color w:val="auto"/>
        </w:rPr>
        <w:t>Friday, October 26, 2018</w:t>
      </w:r>
    </w:p>
    <w:p>
      <w:pPr>
        <w:spacing w:after="0" w:line="15" w:lineRule="exact"/>
        <w:rPr>
          <w:sz w:val="20"/>
          <w:szCs w:val="20"/>
          <w:color w:val="auto"/>
        </w:rPr>
      </w:pPr>
    </w:p>
    <w:p>
      <w:pPr>
        <w:ind w:left="3380"/>
        <w:spacing w:after="0"/>
        <w:rPr>
          <w:sz w:val="20"/>
          <w:szCs w:val="20"/>
          <w:color w:val="auto"/>
        </w:rPr>
      </w:pPr>
      <w:r>
        <w:rPr>
          <w:rFonts w:ascii="Arial" w:cs="Arial" w:eastAsia="Arial" w:hAnsi="Arial"/>
          <w:sz w:val="20"/>
          <w:szCs w:val="20"/>
          <w:color w:val="auto"/>
        </w:rPr>
        <w:t>9 a.m. ET</w:t>
      </w:r>
    </w:p>
    <w:p>
      <w:pPr>
        <w:ind w:left="40"/>
        <w:spacing w:after="0"/>
        <w:tabs>
          <w:tab w:leader="none" w:pos="3360" w:val="left"/>
        </w:tabs>
        <w:rPr>
          <w:sz w:val="20"/>
          <w:szCs w:val="20"/>
          <w:color w:val="auto"/>
        </w:rPr>
      </w:pPr>
      <w:r>
        <w:rPr>
          <w:rFonts w:ascii="Arial" w:cs="Arial" w:eastAsia="Arial" w:hAnsi="Arial"/>
          <w:sz w:val="20"/>
          <w:szCs w:val="20"/>
          <w:color w:val="auto"/>
        </w:rPr>
        <w:t>Conference Call</w:t>
      </w:r>
      <w:r>
        <w:rPr>
          <w:sz w:val="20"/>
          <w:szCs w:val="20"/>
          <w:color w:val="auto"/>
        </w:rPr>
        <w:tab/>
      </w:r>
      <w:r>
        <w:rPr>
          <w:rFonts w:ascii="Arial" w:cs="Arial" w:eastAsia="Arial" w:hAnsi="Arial"/>
          <w:sz w:val="18"/>
          <w:szCs w:val="18"/>
          <w:color w:val="auto"/>
        </w:rPr>
        <w:t>Toll-free dial-in: 833-238-7951</w:t>
      </w:r>
    </w:p>
    <w:p>
      <w:pPr>
        <w:ind w:left="3380"/>
        <w:spacing w:after="0"/>
        <w:rPr>
          <w:sz w:val="20"/>
          <w:szCs w:val="20"/>
          <w:color w:val="auto"/>
        </w:rPr>
      </w:pPr>
      <w:r>
        <w:rPr>
          <w:rFonts w:ascii="Arial" w:cs="Arial" w:eastAsia="Arial" w:hAnsi="Arial"/>
          <w:sz w:val="20"/>
          <w:szCs w:val="20"/>
          <w:color w:val="auto"/>
        </w:rPr>
        <w:t>International dial-in: 647-689-4199</w:t>
      </w:r>
    </w:p>
    <w:p>
      <w:pPr>
        <w:ind w:left="3380"/>
        <w:spacing w:after="0"/>
        <w:rPr>
          <w:sz w:val="20"/>
          <w:szCs w:val="20"/>
          <w:color w:val="auto"/>
        </w:rPr>
      </w:pPr>
      <w:r>
        <w:rPr>
          <w:rFonts w:ascii="Arial" w:cs="Arial" w:eastAsia="Arial" w:hAnsi="Arial"/>
          <w:sz w:val="20"/>
          <w:szCs w:val="20"/>
          <w:b w:val="1"/>
          <w:bCs w:val="1"/>
          <w:color w:val="auto"/>
        </w:rPr>
        <w:t xml:space="preserve">Conference ID: </w:t>
      </w:r>
      <w:r>
        <w:rPr>
          <w:rFonts w:ascii="Arial" w:cs="Arial" w:eastAsia="Arial" w:hAnsi="Arial"/>
          <w:sz w:val="20"/>
          <w:szCs w:val="20"/>
          <w:color w:val="auto"/>
        </w:rPr>
        <w:t>7083359</w:t>
      </w:r>
    </w:p>
    <w:p>
      <w:pPr>
        <w:spacing w:after="0" w:line="51" w:lineRule="exact"/>
        <w:rPr>
          <w:sz w:val="20"/>
          <w:szCs w:val="20"/>
          <w:color w:val="auto"/>
        </w:rPr>
      </w:pPr>
    </w:p>
    <w:p>
      <w:pPr>
        <w:ind w:left="3360"/>
        <w:spacing w:after="0"/>
        <w:rPr>
          <w:sz w:val="20"/>
          <w:szCs w:val="20"/>
          <w:color w:val="auto"/>
        </w:rPr>
      </w:pPr>
      <w:r>
        <w:rPr>
          <w:rFonts w:ascii="Arial" w:cs="Arial" w:eastAsia="Arial" w:hAnsi="Arial"/>
          <w:sz w:val="20"/>
          <w:szCs w:val="20"/>
          <w:color w:val="auto"/>
        </w:rPr>
        <w:t>Replay dial-in available through Nov. 2, 2018</w:t>
      </w:r>
    </w:p>
    <w:p>
      <w:pPr>
        <w:ind w:left="40"/>
        <w:spacing w:after="0"/>
        <w:tabs>
          <w:tab w:leader="none" w:pos="3340" w:val="left"/>
        </w:tabs>
        <w:rPr>
          <w:sz w:val="20"/>
          <w:szCs w:val="20"/>
          <w:color w:val="auto"/>
        </w:rPr>
      </w:pPr>
      <w:r>
        <w:rPr>
          <w:rFonts w:ascii="Arial" w:cs="Arial" w:eastAsia="Arial" w:hAnsi="Arial"/>
          <w:sz w:val="28"/>
          <w:szCs w:val="28"/>
          <w:color w:val="auto"/>
          <w:vertAlign w:val="subscript"/>
        </w:rPr>
        <w:t>Conference Call Replay</w:t>
      </w:r>
      <w:r>
        <w:rPr>
          <w:sz w:val="20"/>
          <w:szCs w:val="20"/>
          <w:color w:val="auto"/>
        </w:rPr>
        <w:tab/>
      </w:r>
      <w:r>
        <w:rPr>
          <w:rFonts w:ascii="Arial" w:cs="Arial" w:eastAsia="Arial" w:hAnsi="Arial"/>
          <w:sz w:val="16"/>
          <w:szCs w:val="16"/>
          <w:color w:val="auto"/>
        </w:rPr>
        <w:t>800-585-8367 or 416-621-4642</w:t>
      </w:r>
    </w:p>
    <w:p>
      <w:pPr>
        <w:spacing w:after="0" w:line="1" w:lineRule="exact"/>
        <w:rPr>
          <w:sz w:val="20"/>
          <w:szCs w:val="20"/>
          <w:color w:val="auto"/>
        </w:rPr>
      </w:pPr>
    </w:p>
    <w:p>
      <w:pPr>
        <w:ind w:left="3380"/>
        <w:spacing w:after="0"/>
        <w:rPr>
          <w:sz w:val="20"/>
          <w:szCs w:val="20"/>
          <w:color w:val="auto"/>
        </w:rPr>
      </w:pPr>
      <w:r>
        <w:rPr>
          <w:rFonts w:ascii="Arial" w:cs="Arial" w:eastAsia="Arial" w:hAnsi="Arial"/>
          <w:sz w:val="20"/>
          <w:szCs w:val="20"/>
          <w:b w:val="1"/>
          <w:bCs w:val="1"/>
          <w:color w:val="auto"/>
        </w:rPr>
        <w:t xml:space="preserve">Replay passcode: </w:t>
      </w:r>
      <w:r>
        <w:rPr>
          <w:rFonts w:ascii="Arial" w:cs="Arial" w:eastAsia="Arial" w:hAnsi="Arial"/>
          <w:sz w:val="20"/>
          <w:szCs w:val="20"/>
          <w:color w:val="auto"/>
        </w:rPr>
        <w:t>7083359</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About TimkenSteel Corporation</w:t>
      </w:r>
    </w:p>
    <w:p>
      <w:pPr>
        <w:spacing w:after="0" w:line="118" w:lineRule="exact"/>
        <w:rPr>
          <w:sz w:val="20"/>
          <w:szCs w:val="20"/>
          <w:color w:val="auto"/>
        </w:rPr>
      </w:pPr>
    </w:p>
    <w:p>
      <w:pPr>
        <w:spacing w:after="0" w:line="360" w:lineRule="auto"/>
        <w:rPr>
          <w:sz w:val="20"/>
          <w:szCs w:val="20"/>
          <w:color w:val="auto"/>
        </w:rPr>
      </w:pPr>
      <w:r>
        <w:rPr>
          <w:rFonts w:ascii="Arial" w:cs="Arial" w:eastAsia="Arial" w:hAnsi="Arial"/>
          <w:sz w:val="21"/>
          <w:szCs w:val="21"/>
          <w:color w:val="auto"/>
        </w:rPr>
        <w:t>TimkenSteel (NYSE:TMST, timkensteel.com) creates tailored steel products and services for demanding applications, helping customers push the bounds of what's possible within their industries. The company reaches around the world in its customers' products and leads North America in large alloy steel bars (up to 16 inches in diameter) and seamless mechanical tubing made of its special bar quality (SBQ) steel, as well as supply chain and steel services. TimkenSteel operates warehouses and sales offices in five countries and has made its steel in America for more than 100 years. The company posted sales of $1.3 billion in 2017. Follow us on Twitter @TimkenSteel and on Instagram.</w:t>
      </w:r>
    </w:p>
    <w:p>
      <w:pPr>
        <w:spacing w:after="0" w:line="6"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w:t>
      </w:r>
    </w:p>
    <w:p>
      <w:pPr>
        <w:spacing w:after="0" w:line="321"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NEWS RELEASE - Page 3</w:t>
      </w:r>
    </w:p>
    <w:p>
      <w:pPr>
        <w:sectPr>
          <w:pgSz w:w="11900" w:h="16838" w:orient="portrait"/>
          <w:cols w:equalWidth="0" w:num="1">
            <w:col w:w="11420"/>
          </w:cols>
          <w:pgMar w:left="240" w:top="1440" w:right="239" w:bottom="1440" w:gutter="0" w:footer="0" w:header="0"/>
        </w:sectPr>
      </w:pPr>
    </w:p>
    <w:bookmarkStart w:id="7" w:name="page8"/>
    <w:bookmarkEnd w:id="7"/>
    <w:p>
      <w:pPr>
        <w:spacing w:after="0"/>
        <w:rPr>
          <w:sz w:val="20"/>
          <w:szCs w:val="20"/>
          <w:color w:val="auto"/>
        </w:rPr>
      </w:pPr>
      <w:r>
        <w:rPr>
          <w:rFonts w:ascii="Arial" w:cs="Arial" w:eastAsia="Arial" w:hAnsi="Arial"/>
          <w:sz w:val="20"/>
          <w:szCs w:val="20"/>
          <w:b w:val="1"/>
          <w:bCs w:val="1"/>
          <w:color w:val="auto"/>
        </w:rPr>
        <w:drawing>
          <wp:anchor simplePos="0" relativeHeight="251657728" behindDoc="1" locked="0" layoutInCell="0" allowOverlap="1">
            <wp:simplePos x="0" y="0"/>
            <wp:positionH relativeFrom="page">
              <wp:posOffset>1495425</wp:posOffset>
            </wp:positionH>
            <wp:positionV relativeFrom="page">
              <wp:posOffset>88900</wp:posOffset>
            </wp:positionV>
            <wp:extent cx="4570730" cy="58293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clrChange>
                        <a:clrFrom>
                          <a:srgbClr val="FFFFFF"/>
                        </a:clrFrom>
                        <a:clrTo>
                          <a:srgbClr val="FFFFFF">
                            <a:alpha val="0"/>
                          </a:srgbClr>
                        </a:clrTo>
                      </a:clrChange>
                      <a:extLst>
                        <a:ext uri="{28A0092B-C50C-407E-A947-70E740481C1C}"/>
                      </a:extLst>
                    </a:blip>
                    <a:srcRect/>
                    <a:stretch>
                      <a:fillRect/>
                    </a:stretch>
                  </pic:blipFill>
                  <pic:spPr bwMode="auto">
                    <a:xfrm>
                      <a:off x="0" y="0"/>
                      <a:ext cx="4570730" cy="582930"/>
                    </a:xfrm>
                    <a:prstGeom prst="rect">
                      <a:avLst/>
                    </a:prstGeom>
                    <a:noFill/>
                  </pic:spPr>
                </pic:pic>
              </a:graphicData>
            </a:graphic>
          </wp:anchor>
        </w:drawing>
        <w:t>NON-GAAP FINANCIAL MEASURES</w:t>
      </w:r>
    </w:p>
    <w:p>
      <w:pPr>
        <w:spacing w:after="0" w:line="60" w:lineRule="exact"/>
        <w:rPr>
          <w:sz w:val="20"/>
          <w:szCs w:val="20"/>
          <w:color w:val="auto"/>
        </w:rPr>
      </w:pPr>
    </w:p>
    <w:p>
      <w:pPr>
        <w:spacing w:after="0" w:line="396" w:lineRule="auto"/>
        <w:rPr>
          <w:sz w:val="20"/>
          <w:szCs w:val="20"/>
          <w:color w:val="auto"/>
        </w:rPr>
      </w:pPr>
      <w:r>
        <w:rPr>
          <w:rFonts w:ascii="Arial" w:cs="Arial" w:eastAsia="Arial" w:hAnsi="Arial"/>
          <w:sz w:val="18"/>
          <w:szCs w:val="18"/>
          <w:color w:val="auto"/>
        </w:rPr>
        <w:t>TimkenSteel reports its financial results in accordance with accounting principles generally accepted in the United States (“GAAP”) and corresponding metrics as non-GAAP financial measures. This earnings release includes references to the following non-GAAP financial measures: EBIT, Adjusted EBIT, EBITDA and Adjusted EBITDA. These are important financial measures used in the management of the business, including decisions concerning the allocation of resources and assessment of performance. Management believes that reporting these non-GAAP financial measures is useful to investors as these measures are representative of the Company’s performance and provide improved comparability of results. See the attached schedules for definitions of the non-GAAP financial measures referred to above and corresponding reconciliations of these non-GAAP financial measures to the most comparable GAAP financial measures. At this time, the company is unable to reconcile its fourth quarter outlook for Adjusted EBITDA to a comparable GAAP range due to an expected full re-measurement of its pension and OPEB plan assets and obligations at December 31, 2018. The amount of the gain or loss from the re-measurement cannot currently be estimated. Non-GAAP financial measures should be viewed as additions to, and not as alternatives for, TimkenSteel's results prepared in accordance with GAAP. In addition, the non-GAAP measures TimkenSteel uses may differ from non-GAAP measures used by other companies, and other companies may not define the non-GAAP measures TimkenSteel uses in the same way.</w:t>
      </w:r>
    </w:p>
    <w:p>
      <w:pPr>
        <w:spacing w:after="0" w:line="36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FORWARD-LOOKING STATEMENTS</w:t>
      </w:r>
    </w:p>
    <w:p>
      <w:pPr>
        <w:spacing w:after="0" w:line="60" w:lineRule="exact"/>
        <w:rPr>
          <w:sz w:val="20"/>
          <w:szCs w:val="20"/>
          <w:color w:val="auto"/>
        </w:rPr>
      </w:pPr>
    </w:p>
    <w:p>
      <w:pPr>
        <w:ind w:right="20"/>
        <w:spacing w:after="0" w:line="375" w:lineRule="auto"/>
        <w:rPr>
          <w:sz w:val="20"/>
          <w:szCs w:val="20"/>
          <w:color w:val="auto"/>
        </w:rPr>
      </w:pPr>
      <w:r>
        <w:rPr>
          <w:rFonts w:ascii="Arial" w:cs="Arial" w:eastAsia="Arial" w:hAnsi="Arial"/>
          <w:sz w:val="19"/>
          <w:szCs w:val="19"/>
          <w:i w:val="1"/>
          <w:iCs w:val="1"/>
          <w:color w:val="auto"/>
        </w:rPr>
        <w:t>This news release includes “forward-looking” statements within the meaning of the federal securities laws. You can generally identify the company’s forward-looking statements by words such as “anticipate,” “believe,” “could,” “estimate,” “expect,” “forecast,” “outlook,” “intend,” “may,” “possible,” “potential,” “predict,” “project,” “seek,” “target,” “could,” “may,” “should” or “would” or other similar words, phrases or expressions that convey the uncertainty of future events or outcomes. The company cautions readers that actual results may differ materially from those expressed or implied in forward-looking statements made by or on behalf of the company due to a variety of factors, such as: deterioration in world economic conditions, or in economic conditions in any of the geographic regions in which the company conducts business, including additional adverse effects from global economic slowdown, terrorism or hostilities, including political risks associated with the potential instability of governments and legal systems in countries in which the company or its customers conduct business, and changes in currency valuations; the effects of fluctuations in</w:t>
      </w:r>
    </w:p>
    <w:p>
      <w:pPr>
        <w:spacing w:after="0" w:line="179" w:lineRule="exact"/>
        <w:rPr>
          <w:sz w:val="20"/>
          <w:szCs w:val="20"/>
          <w:color w:val="auto"/>
        </w:rPr>
      </w:pPr>
    </w:p>
    <w:p>
      <w:pPr>
        <w:jc w:val="center"/>
        <w:ind w:right="-39"/>
        <w:spacing w:after="0"/>
        <w:rPr>
          <w:sz w:val="20"/>
          <w:szCs w:val="20"/>
          <w:color w:val="auto"/>
        </w:rPr>
      </w:pPr>
      <w:r>
        <w:rPr>
          <w:rFonts w:ascii="Arial" w:cs="Arial" w:eastAsia="Arial" w:hAnsi="Arial"/>
          <w:sz w:val="22"/>
          <w:szCs w:val="22"/>
          <w:color w:val="auto"/>
        </w:rPr>
        <w:t>NEWS RELEASE - Page 4</w:t>
      </w:r>
    </w:p>
    <w:p>
      <w:pPr>
        <w:sectPr>
          <w:pgSz w:w="11900" w:h="16838" w:orient="portrait"/>
          <w:cols w:equalWidth="0" w:num="1">
            <w:col w:w="11380"/>
          </w:cols>
          <w:pgMar w:left="240" w:top="1278" w:right="279" w:bottom="1440" w:gutter="0" w:footer="0" w:header="0"/>
        </w:sectPr>
      </w:pPr>
    </w:p>
    <w:bookmarkStart w:id="8" w:name="page9"/>
    <w:bookmarkEnd w:id="8"/>
    <w:p>
      <w:pPr>
        <w:spacing w:after="0" w:line="393" w:lineRule="auto"/>
        <w:rPr>
          <w:sz w:val="20"/>
          <w:szCs w:val="20"/>
          <w:color w:val="auto"/>
        </w:rPr>
      </w:pPr>
      <w:r>
        <w:rPr>
          <w:rFonts w:ascii="Arial" w:cs="Arial" w:eastAsia="Arial" w:hAnsi="Arial"/>
          <w:sz w:val="18"/>
          <w:szCs w:val="18"/>
          <w:i w:val="1"/>
          <w:iCs w:val="1"/>
          <w:color w:val="auto"/>
        </w:rPr>
        <w:drawing>
          <wp:anchor simplePos="0" relativeHeight="251657728" behindDoc="1" locked="0" layoutInCell="0" allowOverlap="1">
            <wp:simplePos x="0" y="0"/>
            <wp:positionH relativeFrom="page">
              <wp:posOffset>1495425</wp:posOffset>
            </wp:positionH>
            <wp:positionV relativeFrom="page">
              <wp:posOffset>88900</wp:posOffset>
            </wp:positionV>
            <wp:extent cx="4570730" cy="58293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clrChange>
                        <a:clrFrom>
                          <a:srgbClr val="FFFFFF"/>
                        </a:clrFrom>
                        <a:clrTo>
                          <a:srgbClr val="FFFFFF">
                            <a:alpha val="0"/>
                          </a:srgbClr>
                        </a:clrTo>
                      </a:clrChange>
                      <a:extLst>
                        <a:ext uri="{28A0092B-C50C-407E-A947-70E740481C1C}"/>
                      </a:extLst>
                    </a:blip>
                    <a:srcRect/>
                    <a:stretch>
                      <a:fillRect/>
                    </a:stretch>
                  </pic:blipFill>
                  <pic:spPr bwMode="auto">
                    <a:xfrm>
                      <a:off x="0" y="0"/>
                      <a:ext cx="4570730" cy="582930"/>
                    </a:xfrm>
                    <a:prstGeom prst="rect">
                      <a:avLst/>
                    </a:prstGeom>
                    <a:noFill/>
                  </pic:spPr>
                </pic:pic>
              </a:graphicData>
            </a:graphic>
          </wp:anchor>
        </w:drawing>
        <w:t>customer demand on sales, product mix and prices in the industries in which the company operates, including the ability of the company to respond to rapid changes in customer demand, the effects of customer bankruptcies or liquidations, the impact of changes in industrial business cycles, and whether conditions of fair trade exist in U.S. markets; competitive factors, including changes in market penetration, increasing price competition by existing or new foreign and domestic competitors, the introduction of new products by existing and new competitors, and new technology that may impact the way the company’s products are sold or distributed; changes in operating costs, including the effect of changes in the company’s manufacturing processes, changes in costs associated with varying levels of operations and manufacturing capacity, availability of raw materials and energy, the company’s ability to mitigate the impact of fluctuations in raw materials and energy costs and the effectiveness of its surcharge mechanism, changes in the expected costs associated with product warranty claims, changes resulting from inventory management, cost reduction initiatives and different levels of customer demands, the effects of unplanned work stoppages, and changes in the cost of labor and benefits; the success of the company’s operating plans, announced programs, initiatives and capital investments (including the jumbo bloom vertical caster and advanced quench-and-temper facility), the ability to integrate acquired companies, the ability of acquired companies to achieve satisfactory operating results, including results being accretive to earnings, and the company’s ability to maintain appropriate relations with unions that represent its associates in certain locations in order to avoid disruptions of business; unanticipated litigation, claims or assessments, including claims or problems related to intellectual property, product liability or warranty, and environmental issues and taxes, among other matters; the availability of financing and interest rates, which affect the company’s cost of funds and/or ability to raise capital, the company’s pension obligations and investment performance, and/or customer demand and the ability of customers to obtain financing to purchase the company’s products or equipment that contain its products; the amount of any dividend declared by the company’s Board of Directors on the company’s common shares; and the overall impact of mark-to-market accounting. Additional risks relating to the company’s business, the industries in which the company operates or the company’s common shares may be described from time to time in the company’s filings with the SEC. All of these risk factors are difficult to predict, are subject to material uncertainties that may affect actual results and may be beyond the company’s control. Readers are cautioned that it is not possible to predict or identify all of the risks, uncertainties and other factors that may affect future results and that the above list should not be considered to be a complete list. Except as required by</w:t>
      </w:r>
    </w:p>
    <w:p>
      <w:pPr>
        <w:spacing w:after="0" w:line="183"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NEWS RELEASE - Page 5</w:t>
      </w:r>
    </w:p>
    <w:p>
      <w:pPr>
        <w:sectPr>
          <w:pgSz w:w="11900" w:h="16838" w:orient="portrait"/>
          <w:cols w:equalWidth="0" w:num="1">
            <w:col w:w="11420"/>
          </w:cols>
          <w:pgMar w:left="240" w:top="1338" w:right="239" w:bottom="1440" w:gutter="0" w:footer="0" w:header="0"/>
        </w:sectPr>
      </w:pPr>
    </w:p>
    <w:bookmarkStart w:id="9" w:name="page10"/>
    <w:bookmarkEnd w:id="9"/>
    <w:p>
      <w:pPr>
        <w:spacing w:after="0" w:line="373" w:lineRule="auto"/>
        <w:rPr>
          <w:sz w:val="20"/>
          <w:szCs w:val="20"/>
          <w:color w:val="auto"/>
        </w:rPr>
      </w:pPr>
      <w:r>
        <w:rPr>
          <w:rFonts w:ascii="Arial" w:cs="Arial" w:eastAsia="Arial" w:hAnsi="Arial"/>
          <w:sz w:val="20"/>
          <w:szCs w:val="20"/>
          <w:i w:val="1"/>
          <w:iCs w:val="1"/>
          <w:color w:val="auto"/>
        </w:rPr>
        <w:drawing>
          <wp:anchor simplePos="0" relativeHeight="251657728" behindDoc="1" locked="0" layoutInCell="0" allowOverlap="1">
            <wp:simplePos x="0" y="0"/>
            <wp:positionH relativeFrom="page">
              <wp:posOffset>1495425</wp:posOffset>
            </wp:positionH>
            <wp:positionV relativeFrom="page">
              <wp:posOffset>88900</wp:posOffset>
            </wp:positionV>
            <wp:extent cx="4570730" cy="58293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clrChange>
                        <a:clrFrom>
                          <a:srgbClr val="FFFFFF"/>
                        </a:clrFrom>
                        <a:clrTo>
                          <a:srgbClr val="FFFFFF">
                            <a:alpha val="0"/>
                          </a:srgbClr>
                        </a:clrTo>
                      </a:clrChange>
                      <a:extLst>
                        <a:ext uri="{28A0092B-C50C-407E-A947-70E740481C1C}"/>
                      </a:extLst>
                    </a:blip>
                    <a:srcRect/>
                    <a:stretch>
                      <a:fillRect/>
                    </a:stretch>
                  </pic:blipFill>
                  <pic:spPr bwMode="auto">
                    <a:xfrm>
                      <a:off x="0" y="0"/>
                      <a:ext cx="4570730" cy="582930"/>
                    </a:xfrm>
                    <a:prstGeom prst="rect">
                      <a:avLst/>
                    </a:prstGeom>
                    <a:noFill/>
                  </pic:spPr>
                </pic:pic>
              </a:graphicData>
            </a:graphic>
          </wp:anchor>
        </w:drawing>
        <w:t>the federal securities laws, the company undertakes no obligation to publicly update or revise any forward-looking statement, whether as a result of new information, future events or otherwise.</w:t>
      </w:r>
    </w:p>
    <w:p>
      <w:pPr>
        <w:spacing w:after="0" w:line="173" w:lineRule="exact"/>
        <w:rPr>
          <w:sz w:val="20"/>
          <w:szCs w:val="20"/>
          <w:color w:val="auto"/>
        </w:rPr>
      </w:pPr>
    </w:p>
    <w:p>
      <w:pPr>
        <w:jc w:val="center"/>
        <w:ind w:right="-399"/>
        <w:spacing w:after="0"/>
        <w:rPr>
          <w:sz w:val="20"/>
          <w:szCs w:val="20"/>
          <w:color w:val="auto"/>
        </w:rPr>
      </w:pPr>
      <w:r>
        <w:rPr>
          <w:rFonts w:ascii="Arial" w:cs="Arial" w:eastAsia="Arial" w:hAnsi="Arial"/>
          <w:sz w:val="22"/>
          <w:szCs w:val="22"/>
          <w:color w:val="auto"/>
        </w:rPr>
        <w:t>NEWS RELEASE - Page 6</w:t>
      </w:r>
    </w:p>
    <w:p>
      <w:pPr>
        <w:sectPr>
          <w:pgSz w:w="11900" w:h="16838" w:orient="portrait"/>
          <w:cols w:equalWidth="0" w:num="1">
            <w:col w:w="11020"/>
          </w:cols>
          <w:pgMar w:left="240" w:top="1338" w:right="639" w:bottom="1440" w:gutter="0" w:footer="0" w:header="0"/>
        </w:sectPr>
      </w:pPr>
    </w:p>
    <w:bookmarkStart w:id="10" w:name="page11"/>
    <w:bookmarkEnd w:id="10"/>
    <w:p>
      <w:pPr>
        <w:ind w:left="4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2481580</wp:posOffset>
            </wp:positionH>
            <wp:positionV relativeFrom="page">
              <wp:posOffset>88900</wp:posOffset>
            </wp:positionV>
            <wp:extent cx="2598420" cy="3257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clrChange>
                        <a:clrFrom>
                          <a:srgbClr val="FFFFFF"/>
                        </a:clrFrom>
                        <a:clrTo>
                          <a:srgbClr val="FFFFFF">
                            <a:alpha val="0"/>
                          </a:srgbClr>
                        </a:clrTo>
                      </a:clrChange>
                      <a:extLst>
                        <a:ext uri="{28A0092B-C50C-407E-A947-70E740481C1C}"/>
                      </a:extLst>
                    </a:blip>
                    <a:srcRect/>
                    <a:stretch>
                      <a:fillRect/>
                    </a:stretch>
                  </pic:blipFill>
                  <pic:spPr bwMode="auto">
                    <a:xfrm>
                      <a:off x="0" y="0"/>
                      <a:ext cx="2598420" cy="325755"/>
                    </a:xfrm>
                    <a:prstGeom prst="rect">
                      <a:avLst/>
                    </a:prstGeom>
                    <a:noFill/>
                  </pic:spPr>
                </pic:pic>
              </a:graphicData>
            </a:graphic>
          </wp:anchor>
        </w:drawing>
        <w:t>CONDENSED CONSOLIDATED STATEMENTS OF OPERATIONS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206375</wp:posOffset>
            </wp:positionV>
            <wp:extent cx="7246620"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2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6040" w:type="dxa"/>
            <w:vAlign w:val="bottom"/>
          </w:tcPr>
          <w:p>
            <w:pPr>
              <w:spacing w:after="0"/>
              <w:rPr>
                <w:sz w:val="18"/>
                <w:szCs w:val="18"/>
                <w:color w:val="auto"/>
              </w:rPr>
            </w:pPr>
          </w:p>
        </w:tc>
        <w:tc>
          <w:tcPr>
            <w:tcW w:w="3520" w:type="dxa"/>
            <w:vAlign w:val="bottom"/>
            <w:gridSpan w:val="2"/>
          </w:tcPr>
          <w:p>
            <w:pPr>
              <w:jc w:val="right"/>
              <w:ind w:right="30"/>
              <w:spacing w:after="0"/>
              <w:rPr>
                <w:sz w:val="20"/>
                <w:szCs w:val="20"/>
                <w:color w:val="auto"/>
              </w:rPr>
            </w:pPr>
            <w:r>
              <w:rPr>
                <w:rFonts w:ascii="Arial" w:cs="Arial" w:eastAsia="Arial" w:hAnsi="Arial"/>
                <w:sz w:val="18"/>
                <w:szCs w:val="18"/>
                <w:b w:val="1"/>
                <w:bCs w:val="1"/>
                <w:color w:val="auto"/>
              </w:rPr>
              <w:t>Three Months Ended</w:t>
            </w:r>
          </w:p>
        </w:tc>
        <w:tc>
          <w:tcPr>
            <w:tcW w:w="1860" w:type="dxa"/>
            <w:vAlign w:val="bottom"/>
            <w:gridSpan w:val="2"/>
          </w:tcPr>
          <w:p>
            <w:pPr>
              <w:jc w:val="right"/>
              <w:ind w:right="130"/>
              <w:spacing w:after="0"/>
              <w:rPr>
                <w:sz w:val="20"/>
                <w:szCs w:val="20"/>
                <w:color w:val="auto"/>
              </w:rPr>
            </w:pPr>
            <w:r>
              <w:rPr>
                <w:rFonts w:ascii="Arial" w:cs="Arial" w:eastAsia="Arial" w:hAnsi="Arial"/>
                <w:sz w:val="18"/>
                <w:szCs w:val="18"/>
                <w:b w:val="1"/>
                <w:bCs w:val="1"/>
                <w:color w:val="auto"/>
                <w:w w:val="96"/>
              </w:rPr>
              <w:t>Nine Months Ended</w:t>
            </w:r>
          </w:p>
        </w:tc>
      </w:tr>
      <w:tr>
        <w:trPr>
          <w:trHeight w:val="234"/>
        </w:trPr>
        <w:tc>
          <w:tcPr>
            <w:tcW w:w="6040" w:type="dxa"/>
            <w:vAlign w:val="bottom"/>
          </w:tcPr>
          <w:p>
            <w:pPr>
              <w:spacing w:after="0"/>
              <w:rPr>
                <w:sz w:val="20"/>
                <w:szCs w:val="20"/>
                <w:color w:val="auto"/>
              </w:rPr>
            </w:pPr>
          </w:p>
        </w:tc>
        <w:tc>
          <w:tcPr>
            <w:tcW w:w="3520" w:type="dxa"/>
            <w:vAlign w:val="bottom"/>
            <w:gridSpan w:val="2"/>
          </w:tcPr>
          <w:p>
            <w:pPr>
              <w:jc w:val="right"/>
              <w:ind w:right="290"/>
              <w:spacing w:after="0"/>
              <w:rPr>
                <w:sz w:val="20"/>
                <w:szCs w:val="20"/>
                <w:color w:val="auto"/>
              </w:rPr>
            </w:pPr>
            <w:r>
              <w:rPr>
                <w:rFonts w:ascii="Arial" w:cs="Arial" w:eastAsia="Arial" w:hAnsi="Arial"/>
                <w:sz w:val="18"/>
                <w:szCs w:val="18"/>
                <w:b w:val="1"/>
                <w:bCs w:val="1"/>
                <w:color w:val="auto"/>
              </w:rPr>
              <w:t>September 30,</w:t>
            </w:r>
          </w:p>
        </w:tc>
        <w:tc>
          <w:tcPr>
            <w:tcW w:w="1860" w:type="dxa"/>
            <w:vAlign w:val="bottom"/>
            <w:gridSpan w:val="2"/>
          </w:tcPr>
          <w:p>
            <w:pPr>
              <w:jc w:val="right"/>
              <w:ind w:right="330"/>
              <w:spacing w:after="0"/>
              <w:rPr>
                <w:sz w:val="20"/>
                <w:szCs w:val="20"/>
                <w:color w:val="auto"/>
              </w:rPr>
            </w:pPr>
            <w:r>
              <w:rPr>
                <w:rFonts w:ascii="Arial" w:cs="Arial" w:eastAsia="Arial" w:hAnsi="Arial"/>
                <w:sz w:val="18"/>
                <w:szCs w:val="18"/>
                <w:b w:val="1"/>
                <w:bCs w:val="1"/>
                <w:color w:val="auto"/>
              </w:rPr>
              <w:t>September 30,</w:t>
            </w:r>
          </w:p>
        </w:tc>
      </w:tr>
      <w:tr>
        <w:trPr>
          <w:trHeight w:val="27"/>
        </w:trPr>
        <w:tc>
          <w:tcPr>
            <w:tcW w:w="6040" w:type="dxa"/>
            <w:vAlign w:val="bottom"/>
            <w:tcBorders>
              <w:bottom w:val="single" w:sz="8" w:color="auto"/>
            </w:tcBorders>
          </w:tcPr>
          <w:p>
            <w:pPr>
              <w:spacing w:after="0"/>
              <w:rPr>
                <w:sz w:val="2"/>
                <w:szCs w:val="2"/>
                <w:color w:val="auto"/>
              </w:rPr>
            </w:pPr>
          </w:p>
        </w:tc>
        <w:tc>
          <w:tcPr>
            <w:tcW w:w="26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r>
      <w:tr>
        <w:trPr>
          <w:trHeight w:val="237"/>
        </w:trPr>
        <w:tc>
          <w:tcPr>
            <w:tcW w:w="6040" w:type="dxa"/>
            <w:vAlign w:val="bottom"/>
          </w:tcPr>
          <w:p>
            <w:pPr>
              <w:ind w:left="40"/>
              <w:spacing w:after="0"/>
              <w:rPr>
                <w:sz w:val="20"/>
                <w:szCs w:val="20"/>
                <w:color w:val="auto"/>
              </w:rPr>
            </w:pPr>
            <w:r>
              <w:rPr>
                <w:rFonts w:ascii="Arial" w:cs="Arial" w:eastAsia="Arial" w:hAnsi="Arial"/>
                <w:sz w:val="18"/>
                <w:szCs w:val="18"/>
                <w:b w:val="1"/>
                <w:bCs w:val="1"/>
                <w:color w:val="auto"/>
              </w:rPr>
              <w:t>(Dollars in millions, except per share data) (Unaudited)</w:t>
            </w:r>
          </w:p>
        </w:tc>
        <w:tc>
          <w:tcPr>
            <w:tcW w:w="2620" w:type="dxa"/>
            <w:vAlign w:val="bottom"/>
          </w:tcPr>
          <w:p>
            <w:pPr>
              <w:jc w:val="right"/>
              <w:ind w:right="210"/>
              <w:spacing w:after="0"/>
              <w:rPr>
                <w:sz w:val="20"/>
                <w:szCs w:val="20"/>
                <w:color w:val="auto"/>
              </w:rPr>
            </w:pPr>
            <w:r>
              <w:rPr>
                <w:rFonts w:ascii="Arial" w:cs="Arial" w:eastAsia="Arial" w:hAnsi="Arial"/>
                <w:sz w:val="18"/>
                <w:szCs w:val="18"/>
                <w:b w:val="1"/>
                <w:bCs w:val="1"/>
                <w:color w:val="auto"/>
              </w:rPr>
              <w:t>2018</w:t>
            </w:r>
          </w:p>
        </w:tc>
        <w:tc>
          <w:tcPr>
            <w:tcW w:w="900" w:type="dxa"/>
            <w:vAlign w:val="bottom"/>
          </w:tcPr>
          <w:p>
            <w:pPr>
              <w:jc w:val="right"/>
              <w:ind w:right="210"/>
              <w:spacing w:after="0"/>
              <w:rPr>
                <w:sz w:val="20"/>
                <w:szCs w:val="20"/>
                <w:color w:val="auto"/>
              </w:rPr>
            </w:pPr>
            <w:r>
              <w:rPr>
                <w:rFonts w:ascii="Arial" w:cs="Arial" w:eastAsia="Arial" w:hAnsi="Arial"/>
                <w:sz w:val="18"/>
                <w:szCs w:val="18"/>
                <w:b w:val="1"/>
                <w:bCs w:val="1"/>
                <w:color w:val="auto"/>
              </w:rPr>
              <w:t>2017</w:t>
            </w:r>
          </w:p>
        </w:tc>
        <w:tc>
          <w:tcPr>
            <w:tcW w:w="960" w:type="dxa"/>
            <w:vAlign w:val="bottom"/>
          </w:tcPr>
          <w:p>
            <w:pPr>
              <w:jc w:val="right"/>
              <w:ind w:right="250"/>
              <w:spacing w:after="0"/>
              <w:rPr>
                <w:sz w:val="20"/>
                <w:szCs w:val="20"/>
                <w:color w:val="auto"/>
              </w:rPr>
            </w:pPr>
            <w:r>
              <w:rPr>
                <w:rFonts w:ascii="Arial" w:cs="Arial" w:eastAsia="Arial" w:hAnsi="Arial"/>
                <w:sz w:val="18"/>
                <w:szCs w:val="18"/>
                <w:b w:val="1"/>
                <w:bCs w:val="1"/>
                <w:color w:val="auto"/>
              </w:rPr>
              <w:t>2018</w:t>
            </w:r>
          </w:p>
        </w:tc>
        <w:tc>
          <w:tcPr>
            <w:tcW w:w="900" w:type="dxa"/>
            <w:vAlign w:val="bottom"/>
          </w:tcPr>
          <w:p>
            <w:pPr>
              <w:jc w:val="right"/>
              <w:ind w:right="230"/>
              <w:spacing w:after="0"/>
              <w:rPr>
                <w:sz w:val="20"/>
                <w:szCs w:val="20"/>
                <w:color w:val="auto"/>
              </w:rPr>
            </w:pPr>
            <w:r>
              <w:rPr>
                <w:rFonts w:ascii="Arial" w:cs="Arial" w:eastAsia="Arial" w:hAnsi="Arial"/>
                <w:sz w:val="18"/>
                <w:szCs w:val="18"/>
                <w:b w:val="1"/>
                <w:bCs w:val="1"/>
                <w:color w:val="auto"/>
              </w:rPr>
              <w:t>2017</w:t>
            </w:r>
          </w:p>
        </w:tc>
      </w:tr>
      <w:tr>
        <w:trPr>
          <w:trHeight w:val="27"/>
        </w:trPr>
        <w:tc>
          <w:tcPr>
            <w:tcW w:w="6040" w:type="dxa"/>
            <w:vAlign w:val="bottom"/>
            <w:tcBorders>
              <w:bottom w:val="single" w:sz="8" w:color="auto"/>
            </w:tcBorders>
          </w:tcPr>
          <w:p>
            <w:pPr>
              <w:spacing w:after="0"/>
              <w:rPr>
                <w:sz w:val="2"/>
                <w:szCs w:val="2"/>
                <w:color w:val="auto"/>
              </w:rPr>
            </w:pPr>
          </w:p>
        </w:tc>
        <w:tc>
          <w:tcPr>
            <w:tcW w:w="26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r>
      <w:tr>
        <w:trPr>
          <w:trHeight w:val="237"/>
        </w:trPr>
        <w:tc>
          <w:tcPr>
            <w:tcW w:w="6040" w:type="dxa"/>
            <w:vAlign w:val="bottom"/>
          </w:tcPr>
          <w:p>
            <w:pPr>
              <w:ind w:left="40"/>
              <w:spacing w:after="0"/>
              <w:rPr>
                <w:sz w:val="20"/>
                <w:szCs w:val="20"/>
                <w:color w:val="auto"/>
              </w:rPr>
            </w:pPr>
            <w:r>
              <w:rPr>
                <w:rFonts w:ascii="Arial" w:cs="Arial" w:eastAsia="Arial" w:hAnsi="Arial"/>
                <w:sz w:val="18"/>
                <w:szCs w:val="18"/>
                <w:color w:val="auto"/>
              </w:rPr>
              <w:t>Net sales</w:t>
            </w:r>
          </w:p>
        </w:tc>
        <w:tc>
          <w:tcPr>
            <w:tcW w:w="2620" w:type="dxa"/>
            <w:vAlign w:val="bottom"/>
          </w:tcPr>
          <w:p>
            <w:pPr>
              <w:jc w:val="right"/>
              <w:ind w:right="110"/>
              <w:spacing w:after="0"/>
              <w:rPr>
                <w:sz w:val="20"/>
                <w:szCs w:val="20"/>
                <w:color w:val="auto"/>
              </w:rPr>
            </w:pPr>
            <w:r>
              <w:rPr>
                <w:rFonts w:ascii="Arial" w:cs="Arial" w:eastAsia="Arial" w:hAnsi="Arial"/>
                <w:sz w:val="18"/>
                <w:szCs w:val="18"/>
                <w:b w:val="1"/>
                <w:bCs w:val="1"/>
                <w:color w:val="auto"/>
              </w:rPr>
              <w:t>$409.9</w:t>
            </w:r>
          </w:p>
        </w:tc>
        <w:tc>
          <w:tcPr>
            <w:tcW w:w="900" w:type="dxa"/>
            <w:vAlign w:val="bottom"/>
          </w:tcPr>
          <w:p>
            <w:pPr>
              <w:jc w:val="right"/>
              <w:ind w:right="110"/>
              <w:spacing w:after="0"/>
              <w:rPr>
                <w:sz w:val="20"/>
                <w:szCs w:val="20"/>
                <w:color w:val="auto"/>
              </w:rPr>
            </w:pPr>
            <w:r>
              <w:rPr>
                <w:rFonts w:ascii="Arial" w:cs="Arial" w:eastAsia="Arial" w:hAnsi="Arial"/>
                <w:sz w:val="18"/>
                <w:szCs w:val="18"/>
                <w:color w:val="auto"/>
              </w:rPr>
              <w:t>$339.1</w:t>
            </w:r>
          </w:p>
        </w:tc>
        <w:tc>
          <w:tcPr>
            <w:tcW w:w="960" w:type="dxa"/>
            <w:vAlign w:val="bottom"/>
          </w:tcPr>
          <w:p>
            <w:pPr>
              <w:jc w:val="right"/>
              <w:ind w:right="110"/>
              <w:spacing w:after="0"/>
              <w:rPr>
                <w:sz w:val="20"/>
                <w:szCs w:val="20"/>
                <w:color w:val="auto"/>
              </w:rPr>
            </w:pPr>
            <w:r>
              <w:rPr>
                <w:rFonts w:ascii="Arial" w:cs="Arial" w:eastAsia="Arial" w:hAnsi="Arial"/>
                <w:sz w:val="18"/>
                <w:szCs w:val="18"/>
                <w:b w:val="1"/>
                <w:bCs w:val="1"/>
                <w:color w:val="auto"/>
              </w:rPr>
              <w:t>$1,204.2</w:t>
            </w:r>
          </w:p>
        </w:tc>
        <w:tc>
          <w:tcPr>
            <w:tcW w:w="900" w:type="dxa"/>
            <w:vAlign w:val="bottom"/>
          </w:tcPr>
          <w:p>
            <w:pPr>
              <w:jc w:val="right"/>
              <w:ind w:right="130"/>
              <w:spacing w:after="0"/>
              <w:rPr>
                <w:sz w:val="20"/>
                <w:szCs w:val="20"/>
                <w:color w:val="auto"/>
              </w:rPr>
            </w:pPr>
            <w:r>
              <w:rPr>
                <w:rFonts w:ascii="Arial" w:cs="Arial" w:eastAsia="Arial" w:hAnsi="Arial"/>
                <w:sz w:val="18"/>
                <w:szCs w:val="18"/>
                <w:color w:val="auto"/>
              </w:rPr>
              <w:t>$987.8</w:t>
            </w:r>
          </w:p>
        </w:tc>
      </w:tr>
      <w:tr>
        <w:trPr>
          <w:trHeight w:val="270"/>
        </w:trPr>
        <w:tc>
          <w:tcPr>
            <w:tcW w:w="6040" w:type="dxa"/>
            <w:vAlign w:val="bottom"/>
          </w:tcPr>
          <w:p>
            <w:pPr>
              <w:ind w:left="40"/>
              <w:spacing w:after="0"/>
              <w:rPr>
                <w:sz w:val="20"/>
                <w:szCs w:val="20"/>
                <w:color w:val="auto"/>
              </w:rPr>
            </w:pPr>
            <w:r>
              <w:rPr>
                <w:rFonts w:ascii="Arial" w:cs="Arial" w:eastAsia="Arial" w:hAnsi="Arial"/>
                <w:sz w:val="18"/>
                <w:szCs w:val="18"/>
                <w:color w:val="auto"/>
              </w:rPr>
              <w:t>Cost of products sold</w:t>
            </w:r>
          </w:p>
        </w:tc>
        <w:tc>
          <w:tcPr>
            <w:tcW w:w="2620" w:type="dxa"/>
            <w:vAlign w:val="bottom"/>
          </w:tcPr>
          <w:p>
            <w:pPr>
              <w:jc w:val="right"/>
              <w:ind w:right="110"/>
              <w:spacing w:after="0"/>
              <w:rPr>
                <w:sz w:val="20"/>
                <w:szCs w:val="20"/>
                <w:color w:val="auto"/>
              </w:rPr>
            </w:pPr>
            <w:r>
              <w:rPr>
                <w:rFonts w:ascii="Arial" w:cs="Arial" w:eastAsia="Arial" w:hAnsi="Arial"/>
                <w:sz w:val="18"/>
                <w:szCs w:val="18"/>
                <w:b w:val="1"/>
                <w:bCs w:val="1"/>
                <w:color w:val="auto"/>
              </w:rPr>
              <w:t>385.3</w:t>
            </w:r>
          </w:p>
        </w:tc>
        <w:tc>
          <w:tcPr>
            <w:tcW w:w="900" w:type="dxa"/>
            <w:vAlign w:val="bottom"/>
          </w:tcPr>
          <w:p>
            <w:pPr>
              <w:jc w:val="right"/>
              <w:ind w:right="110"/>
              <w:spacing w:after="0"/>
              <w:rPr>
                <w:sz w:val="20"/>
                <w:szCs w:val="20"/>
                <w:color w:val="auto"/>
              </w:rPr>
            </w:pPr>
            <w:r>
              <w:rPr>
                <w:rFonts w:ascii="Arial" w:cs="Arial" w:eastAsia="Arial" w:hAnsi="Arial"/>
                <w:sz w:val="18"/>
                <w:szCs w:val="18"/>
                <w:color w:val="auto"/>
              </w:rPr>
              <w:t>320.6</w:t>
            </w:r>
          </w:p>
        </w:tc>
        <w:tc>
          <w:tcPr>
            <w:tcW w:w="960" w:type="dxa"/>
            <w:vAlign w:val="bottom"/>
          </w:tcPr>
          <w:p>
            <w:pPr>
              <w:jc w:val="right"/>
              <w:ind w:right="110"/>
              <w:spacing w:after="0"/>
              <w:rPr>
                <w:sz w:val="20"/>
                <w:szCs w:val="20"/>
                <w:color w:val="auto"/>
              </w:rPr>
            </w:pPr>
            <w:r>
              <w:rPr>
                <w:rFonts w:ascii="Arial" w:cs="Arial" w:eastAsia="Arial" w:hAnsi="Arial"/>
                <w:sz w:val="18"/>
                <w:szCs w:val="18"/>
                <w:b w:val="1"/>
                <w:bCs w:val="1"/>
                <w:color w:val="auto"/>
              </w:rPr>
              <w:t>1,126.4</w:t>
            </w:r>
          </w:p>
        </w:tc>
        <w:tc>
          <w:tcPr>
            <w:tcW w:w="900" w:type="dxa"/>
            <w:vAlign w:val="bottom"/>
          </w:tcPr>
          <w:p>
            <w:pPr>
              <w:jc w:val="right"/>
              <w:ind w:right="130"/>
              <w:spacing w:after="0"/>
              <w:rPr>
                <w:sz w:val="20"/>
                <w:szCs w:val="20"/>
                <w:color w:val="auto"/>
              </w:rPr>
            </w:pPr>
            <w:r>
              <w:rPr>
                <w:rFonts w:ascii="Arial" w:cs="Arial" w:eastAsia="Arial" w:hAnsi="Arial"/>
                <w:sz w:val="18"/>
                <w:szCs w:val="18"/>
                <w:color w:val="auto"/>
              </w:rPr>
              <w:t>928.5</w:t>
            </w:r>
          </w:p>
        </w:tc>
      </w:tr>
      <w:tr>
        <w:trPr>
          <w:trHeight w:val="27"/>
        </w:trPr>
        <w:tc>
          <w:tcPr>
            <w:tcW w:w="6040" w:type="dxa"/>
            <w:vAlign w:val="bottom"/>
            <w:tcBorders>
              <w:bottom w:val="single" w:sz="8" w:color="auto"/>
            </w:tcBorders>
          </w:tcPr>
          <w:p>
            <w:pPr>
              <w:spacing w:after="0"/>
              <w:rPr>
                <w:sz w:val="2"/>
                <w:szCs w:val="2"/>
                <w:color w:val="auto"/>
              </w:rPr>
            </w:pPr>
          </w:p>
        </w:tc>
        <w:tc>
          <w:tcPr>
            <w:tcW w:w="26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r>
      <w:tr>
        <w:trPr>
          <w:trHeight w:val="237"/>
        </w:trPr>
        <w:tc>
          <w:tcPr>
            <w:tcW w:w="6040" w:type="dxa"/>
            <w:vAlign w:val="bottom"/>
          </w:tcPr>
          <w:p>
            <w:pPr>
              <w:ind w:left="180"/>
              <w:spacing w:after="0"/>
              <w:rPr>
                <w:sz w:val="20"/>
                <w:szCs w:val="20"/>
                <w:color w:val="auto"/>
              </w:rPr>
            </w:pPr>
            <w:r>
              <w:rPr>
                <w:rFonts w:ascii="Arial" w:cs="Arial" w:eastAsia="Arial" w:hAnsi="Arial"/>
                <w:sz w:val="18"/>
                <w:szCs w:val="18"/>
                <w:b w:val="1"/>
                <w:bCs w:val="1"/>
                <w:color w:val="auto"/>
              </w:rPr>
              <w:t>Gross Profit</w:t>
            </w:r>
          </w:p>
        </w:tc>
        <w:tc>
          <w:tcPr>
            <w:tcW w:w="2620" w:type="dxa"/>
            <w:vAlign w:val="bottom"/>
          </w:tcPr>
          <w:p>
            <w:pPr>
              <w:jc w:val="right"/>
              <w:ind w:right="110"/>
              <w:spacing w:after="0"/>
              <w:rPr>
                <w:sz w:val="20"/>
                <w:szCs w:val="20"/>
                <w:color w:val="auto"/>
              </w:rPr>
            </w:pPr>
            <w:r>
              <w:rPr>
                <w:rFonts w:ascii="Arial" w:cs="Arial" w:eastAsia="Arial" w:hAnsi="Arial"/>
                <w:sz w:val="18"/>
                <w:szCs w:val="18"/>
                <w:b w:val="1"/>
                <w:bCs w:val="1"/>
                <w:color w:val="auto"/>
              </w:rPr>
              <w:t>24.6</w:t>
            </w:r>
          </w:p>
        </w:tc>
        <w:tc>
          <w:tcPr>
            <w:tcW w:w="900" w:type="dxa"/>
            <w:vAlign w:val="bottom"/>
          </w:tcPr>
          <w:p>
            <w:pPr>
              <w:jc w:val="right"/>
              <w:ind w:right="110"/>
              <w:spacing w:after="0"/>
              <w:rPr>
                <w:sz w:val="20"/>
                <w:szCs w:val="20"/>
                <w:color w:val="auto"/>
              </w:rPr>
            </w:pPr>
            <w:r>
              <w:rPr>
                <w:rFonts w:ascii="Arial" w:cs="Arial" w:eastAsia="Arial" w:hAnsi="Arial"/>
                <w:sz w:val="18"/>
                <w:szCs w:val="18"/>
                <w:color w:val="auto"/>
              </w:rPr>
              <w:t>18.5</w:t>
            </w:r>
          </w:p>
        </w:tc>
        <w:tc>
          <w:tcPr>
            <w:tcW w:w="960" w:type="dxa"/>
            <w:vAlign w:val="bottom"/>
          </w:tcPr>
          <w:p>
            <w:pPr>
              <w:jc w:val="right"/>
              <w:ind w:right="110"/>
              <w:spacing w:after="0"/>
              <w:rPr>
                <w:sz w:val="20"/>
                <w:szCs w:val="20"/>
                <w:color w:val="auto"/>
              </w:rPr>
            </w:pPr>
            <w:r>
              <w:rPr>
                <w:rFonts w:ascii="Arial" w:cs="Arial" w:eastAsia="Arial" w:hAnsi="Arial"/>
                <w:sz w:val="18"/>
                <w:szCs w:val="18"/>
                <w:b w:val="1"/>
                <w:bCs w:val="1"/>
                <w:color w:val="auto"/>
              </w:rPr>
              <w:t>77.8</w:t>
            </w:r>
          </w:p>
        </w:tc>
        <w:tc>
          <w:tcPr>
            <w:tcW w:w="900" w:type="dxa"/>
            <w:vAlign w:val="bottom"/>
          </w:tcPr>
          <w:p>
            <w:pPr>
              <w:jc w:val="right"/>
              <w:ind w:right="130"/>
              <w:spacing w:after="0"/>
              <w:rPr>
                <w:sz w:val="20"/>
                <w:szCs w:val="20"/>
                <w:color w:val="auto"/>
              </w:rPr>
            </w:pPr>
            <w:r>
              <w:rPr>
                <w:rFonts w:ascii="Arial" w:cs="Arial" w:eastAsia="Arial" w:hAnsi="Arial"/>
                <w:sz w:val="18"/>
                <w:szCs w:val="18"/>
                <w:color w:val="auto"/>
              </w:rPr>
              <w:t>59.3</w:t>
            </w:r>
          </w:p>
        </w:tc>
      </w:tr>
      <w:tr>
        <w:trPr>
          <w:trHeight w:val="270"/>
        </w:trPr>
        <w:tc>
          <w:tcPr>
            <w:tcW w:w="6040" w:type="dxa"/>
            <w:vAlign w:val="bottom"/>
          </w:tcPr>
          <w:p>
            <w:pPr>
              <w:ind w:left="40"/>
              <w:spacing w:after="0"/>
              <w:rPr>
                <w:sz w:val="20"/>
                <w:szCs w:val="20"/>
                <w:color w:val="auto"/>
              </w:rPr>
            </w:pPr>
            <w:r>
              <w:rPr>
                <w:rFonts w:ascii="Arial" w:cs="Arial" w:eastAsia="Arial" w:hAnsi="Arial"/>
                <w:sz w:val="18"/>
                <w:szCs w:val="18"/>
                <w:color w:val="auto"/>
              </w:rPr>
              <w:t>Selling, general &amp; administrative expenses (SG&amp;A)</w:t>
            </w:r>
          </w:p>
        </w:tc>
        <w:tc>
          <w:tcPr>
            <w:tcW w:w="2620" w:type="dxa"/>
            <w:vAlign w:val="bottom"/>
          </w:tcPr>
          <w:p>
            <w:pPr>
              <w:jc w:val="right"/>
              <w:ind w:right="110"/>
              <w:spacing w:after="0"/>
              <w:rPr>
                <w:sz w:val="20"/>
                <w:szCs w:val="20"/>
                <w:color w:val="auto"/>
              </w:rPr>
            </w:pPr>
            <w:r>
              <w:rPr>
                <w:rFonts w:ascii="Arial" w:cs="Arial" w:eastAsia="Arial" w:hAnsi="Arial"/>
                <w:sz w:val="18"/>
                <w:szCs w:val="18"/>
                <w:b w:val="1"/>
                <w:bCs w:val="1"/>
                <w:color w:val="auto"/>
              </w:rPr>
              <w:t>24.0</w:t>
            </w:r>
          </w:p>
        </w:tc>
        <w:tc>
          <w:tcPr>
            <w:tcW w:w="900" w:type="dxa"/>
            <w:vAlign w:val="bottom"/>
          </w:tcPr>
          <w:p>
            <w:pPr>
              <w:jc w:val="right"/>
              <w:ind w:right="110"/>
              <w:spacing w:after="0"/>
              <w:rPr>
                <w:sz w:val="20"/>
                <w:szCs w:val="20"/>
                <w:color w:val="auto"/>
              </w:rPr>
            </w:pPr>
            <w:r>
              <w:rPr>
                <w:rFonts w:ascii="Arial" w:cs="Arial" w:eastAsia="Arial" w:hAnsi="Arial"/>
                <w:sz w:val="18"/>
                <w:szCs w:val="18"/>
                <w:color w:val="auto"/>
              </w:rPr>
              <w:t>22.5</w:t>
            </w:r>
          </w:p>
        </w:tc>
        <w:tc>
          <w:tcPr>
            <w:tcW w:w="960" w:type="dxa"/>
            <w:vAlign w:val="bottom"/>
          </w:tcPr>
          <w:p>
            <w:pPr>
              <w:jc w:val="right"/>
              <w:ind w:right="110"/>
              <w:spacing w:after="0"/>
              <w:rPr>
                <w:sz w:val="20"/>
                <w:szCs w:val="20"/>
                <w:color w:val="auto"/>
              </w:rPr>
            </w:pPr>
            <w:r>
              <w:rPr>
                <w:rFonts w:ascii="Arial" w:cs="Arial" w:eastAsia="Arial" w:hAnsi="Arial"/>
                <w:sz w:val="18"/>
                <w:szCs w:val="18"/>
                <w:b w:val="1"/>
                <w:bCs w:val="1"/>
                <w:color w:val="auto"/>
              </w:rPr>
              <w:t>73.6</w:t>
            </w:r>
          </w:p>
        </w:tc>
        <w:tc>
          <w:tcPr>
            <w:tcW w:w="900" w:type="dxa"/>
            <w:vAlign w:val="bottom"/>
          </w:tcPr>
          <w:p>
            <w:pPr>
              <w:jc w:val="right"/>
              <w:ind w:right="130"/>
              <w:spacing w:after="0"/>
              <w:rPr>
                <w:sz w:val="20"/>
                <w:szCs w:val="20"/>
                <w:color w:val="auto"/>
              </w:rPr>
            </w:pPr>
            <w:r>
              <w:rPr>
                <w:rFonts w:ascii="Arial" w:cs="Arial" w:eastAsia="Arial" w:hAnsi="Arial"/>
                <w:sz w:val="18"/>
                <w:szCs w:val="18"/>
                <w:color w:val="auto"/>
              </w:rPr>
              <w:t>67.7</w:t>
            </w:r>
          </w:p>
        </w:tc>
      </w:tr>
      <w:tr>
        <w:trPr>
          <w:trHeight w:val="270"/>
        </w:trPr>
        <w:tc>
          <w:tcPr>
            <w:tcW w:w="6040" w:type="dxa"/>
            <w:vAlign w:val="bottom"/>
          </w:tcPr>
          <w:p>
            <w:pPr>
              <w:ind w:left="40"/>
              <w:spacing w:after="0"/>
              <w:rPr>
                <w:sz w:val="20"/>
                <w:szCs w:val="20"/>
                <w:color w:val="auto"/>
              </w:rPr>
            </w:pPr>
            <w:r>
              <w:rPr>
                <w:rFonts w:ascii="Arial" w:cs="Arial" w:eastAsia="Arial" w:hAnsi="Arial"/>
                <w:sz w:val="18"/>
                <w:szCs w:val="18"/>
                <w:color w:val="auto"/>
              </w:rPr>
              <w:t>Impairment charges and loss on sale or disposal of assets</w:t>
            </w:r>
          </w:p>
        </w:tc>
        <w:tc>
          <w:tcPr>
            <w:tcW w:w="2620" w:type="dxa"/>
            <w:vAlign w:val="bottom"/>
          </w:tcPr>
          <w:p>
            <w:pPr>
              <w:jc w:val="right"/>
              <w:ind w:right="110"/>
              <w:spacing w:after="0"/>
              <w:rPr>
                <w:sz w:val="20"/>
                <w:szCs w:val="20"/>
                <w:color w:val="auto"/>
              </w:rPr>
            </w:pPr>
            <w:r>
              <w:rPr>
                <w:rFonts w:ascii="Arial" w:cs="Arial" w:eastAsia="Arial" w:hAnsi="Arial"/>
                <w:sz w:val="18"/>
                <w:szCs w:val="18"/>
                <w:b w:val="1"/>
                <w:bCs w:val="1"/>
                <w:color w:val="auto"/>
              </w:rPr>
              <w:t>—</w:t>
            </w:r>
          </w:p>
        </w:tc>
        <w:tc>
          <w:tcPr>
            <w:tcW w:w="900" w:type="dxa"/>
            <w:vAlign w:val="bottom"/>
          </w:tcPr>
          <w:p>
            <w:pPr>
              <w:jc w:val="right"/>
              <w:ind w:right="110"/>
              <w:spacing w:after="0"/>
              <w:rPr>
                <w:sz w:val="20"/>
                <w:szCs w:val="20"/>
                <w:color w:val="auto"/>
              </w:rPr>
            </w:pPr>
            <w:r>
              <w:rPr>
                <w:rFonts w:ascii="Arial" w:cs="Arial" w:eastAsia="Arial" w:hAnsi="Arial"/>
                <w:sz w:val="18"/>
                <w:szCs w:val="18"/>
                <w:color w:val="auto"/>
              </w:rPr>
              <w:t>—</w:t>
            </w:r>
          </w:p>
        </w:tc>
        <w:tc>
          <w:tcPr>
            <w:tcW w:w="960" w:type="dxa"/>
            <w:vAlign w:val="bottom"/>
          </w:tcPr>
          <w:p>
            <w:pPr>
              <w:jc w:val="right"/>
              <w:ind w:right="110"/>
              <w:spacing w:after="0"/>
              <w:rPr>
                <w:sz w:val="20"/>
                <w:szCs w:val="20"/>
                <w:color w:val="auto"/>
              </w:rPr>
            </w:pPr>
            <w:r>
              <w:rPr>
                <w:rFonts w:ascii="Arial" w:cs="Arial" w:eastAsia="Arial" w:hAnsi="Arial"/>
                <w:sz w:val="18"/>
                <w:szCs w:val="18"/>
                <w:b w:val="1"/>
                <w:bCs w:val="1"/>
                <w:color w:val="auto"/>
              </w:rPr>
              <w:t>0.9</w:t>
            </w:r>
          </w:p>
        </w:tc>
        <w:tc>
          <w:tcPr>
            <w:tcW w:w="900" w:type="dxa"/>
            <w:vAlign w:val="bottom"/>
          </w:tcPr>
          <w:p>
            <w:pPr>
              <w:jc w:val="right"/>
              <w:ind w:right="130"/>
              <w:spacing w:after="0"/>
              <w:rPr>
                <w:sz w:val="20"/>
                <w:szCs w:val="20"/>
                <w:color w:val="auto"/>
              </w:rPr>
            </w:pPr>
            <w:r>
              <w:rPr>
                <w:rFonts w:ascii="Arial" w:cs="Arial" w:eastAsia="Arial" w:hAnsi="Arial"/>
                <w:sz w:val="18"/>
                <w:szCs w:val="18"/>
                <w:color w:val="auto"/>
              </w:rPr>
              <w:t>—</w:t>
            </w:r>
          </w:p>
        </w:tc>
      </w:tr>
      <w:tr>
        <w:trPr>
          <w:trHeight w:val="270"/>
        </w:trPr>
        <w:tc>
          <w:tcPr>
            <w:tcW w:w="6040" w:type="dxa"/>
            <w:vAlign w:val="bottom"/>
          </w:tcPr>
          <w:p>
            <w:pPr>
              <w:ind w:left="40"/>
              <w:spacing w:after="0"/>
              <w:rPr>
                <w:sz w:val="20"/>
                <w:szCs w:val="20"/>
                <w:color w:val="auto"/>
              </w:rPr>
            </w:pPr>
            <w:r>
              <w:rPr>
                <w:rFonts w:ascii="Arial" w:cs="Arial" w:eastAsia="Arial" w:hAnsi="Arial"/>
                <w:sz w:val="18"/>
                <w:szCs w:val="18"/>
                <w:color w:val="auto"/>
              </w:rPr>
              <w:t>Other income, net</w:t>
            </w:r>
          </w:p>
        </w:tc>
        <w:tc>
          <w:tcPr>
            <w:tcW w:w="2620" w:type="dxa"/>
            <w:vAlign w:val="bottom"/>
          </w:tcPr>
          <w:p>
            <w:pPr>
              <w:jc w:val="right"/>
              <w:ind w:right="110"/>
              <w:spacing w:after="0"/>
              <w:rPr>
                <w:sz w:val="20"/>
                <w:szCs w:val="20"/>
                <w:color w:val="auto"/>
              </w:rPr>
            </w:pPr>
            <w:r>
              <w:rPr>
                <w:rFonts w:ascii="Arial" w:cs="Arial" w:eastAsia="Arial" w:hAnsi="Arial"/>
                <w:sz w:val="18"/>
                <w:szCs w:val="18"/>
                <w:b w:val="1"/>
                <w:bCs w:val="1"/>
                <w:color w:val="auto"/>
              </w:rPr>
              <w:t>6.1</w:t>
            </w:r>
          </w:p>
        </w:tc>
        <w:tc>
          <w:tcPr>
            <w:tcW w:w="900" w:type="dxa"/>
            <w:vAlign w:val="bottom"/>
          </w:tcPr>
          <w:p>
            <w:pPr>
              <w:jc w:val="right"/>
              <w:ind w:right="110"/>
              <w:spacing w:after="0"/>
              <w:rPr>
                <w:sz w:val="20"/>
                <w:szCs w:val="20"/>
                <w:color w:val="auto"/>
              </w:rPr>
            </w:pPr>
            <w:r>
              <w:rPr>
                <w:rFonts w:ascii="Arial" w:cs="Arial" w:eastAsia="Arial" w:hAnsi="Arial"/>
                <w:sz w:val="18"/>
                <w:szCs w:val="18"/>
                <w:color w:val="auto"/>
              </w:rPr>
              <w:t>1.9</w:t>
            </w:r>
          </w:p>
        </w:tc>
        <w:tc>
          <w:tcPr>
            <w:tcW w:w="960" w:type="dxa"/>
            <w:vAlign w:val="bottom"/>
          </w:tcPr>
          <w:p>
            <w:pPr>
              <w:jc w:val="right"/>
              <w:ind w:right="110"/>
              <w:spacing w:after="0"/>
              <w:rPr>
                <w:sz w:val="20"/>
                <w:szCs w:val="20"/>
                <w:color w:val="auto"/>
              </w:rPr>
            </w:pPr>
            <w:r>
              <w:rPr>
                <w:rFonts w:ascii="Arial" w:cs="Arial" w:eastAsia="Arial" w:hAnsi="Arial"/>
                <w:sz w:val="18"/>
                <w:szCs w:val="18"/>
                <w:b w:val="1"/>
                <w:bCs w:val="1"/>
                <w:color w:val="auto"/>
              </w:rPr>
              <w:t>18.7</w:t>
            </w:r>
          </w:p>
        </w:tc>
        <w:tc>
          <w:tcPr>
            <w:tcW w:w="900" w:type="dxa"/>
            <w:vAlign w:val="bottom"/>
          </w:tcPr>
          <w:p>
            <w:pPr>
              <w:jc w:val="right"/>
              <w:ind w:right="130"/>
              <w:spacing w:after="0"/>
              <w:rPr>
                <w:sz w:val="20"/>
                <w:szCs w:val="20"/>
                <w:color w:val="auto"/>
              </w:rPr>
            </w:pPr>
            <w:r>
              <w:rPr>
                <w:rFonts w:ascii="Arial" w:cs="Arial" w:eastAsia="Arial" w:hAnsi="Arial"/>
                <w:sz w:val="18"/>
                <w:szCs w:val="18"/>
                <w:color w:val="auto"/>
              </w:rPr>
              <w:t>10.7</w:t>
            </w:r>
          </w:p>
        </w:tc>
      </w:tr>
      <w:tr>
        <w:trPr>
          <w:trHeight w:val="27"/>
        </w:trPr>
        <w:tc>
          <w:tcPr>
            <w:tcW w:w="6040" w:type="dxa"/>
            <w:vAlign w:val="bottom"/>
            <w:tcBorders>
              <w:bottom w:val="single" w:sz="8" w:color="auto"/>
            </w:tcBorders>
          </w:tcPr>
          <w:p>
            <w:pPr>
              <w:spacing w:after="0"/>
              <w:rPr>
                <w:sz w:val="2"/>
                <w:szCs w:val="2"/>
                <w:color w:val="auto"/>
              </w:rPr>
            </w:pPr>
          </w:p>
        </w:tc>
        <w:tc>
          <w:tcPr>
            <w:tcW w:w="26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r>
      <w:tr>
        <w:trPr>
          <w:trHeight w:val="272"/>
        </w:trPr>
        <w:tc>
          <w:tcPr>
            <w:tcW w:w="6040" w:type="dxa"/>
            <w:vAlign w:val="bottom"/>
          </w:tcPr>
          <w:p>
            <w:pPr>
              <w:ind w:left="180"/>
              <w:spacing w:after="0" w:line="272" w:lineRule="exact"/>
              <w:rPr>
                <w:sz w:val="20"/>
                <w:szCs w:val="20"/>
                <w:color w:val="auto"/>
              </w:rPr>
            </w:pPr>
            <w:r>
              <w:rPr>
                <w:rFonts w:ascii="Arial" w:cs="Arial" w:eastAsia="Arial" w:hAnsi="Arial"/>
                <w:sz w:val="18"/>
                <w:szCs w:val="18"/>
                <w:b w:val="1"/>
                <w:bCs w:val="1"/>
                <w:color w:val="auto"/>
              </w:rPr>
              <w:t xml:space="preserve">Earnings (Loss) Before Interest and Taxes (EBIT) </w:t>
            </w:r>
            <w:r>
              <w:rPr>
                <w:rFonts w:ascii="Arial" w:cs="Arial" w:eastAsia="Arial" w:hAnsi="Arial"/>
                <w:sz w:val="25"/>
                <w:szCs w:val="25"/>
                <w:color w:val="auto"/>
                <w:vertAlign w:val="superscript"/>
              </w:rPr>
              <w:t>(1)</w:t>
            </w:r>
          </w:p>
        </w:tc>
        <w:tc>
          <w:tcPr>
            <w:tcW w:w="2620" w:type="dxa"/>
            <w:vAlign w:val="bottom"/>
          </w:tcPr>
          <w:p>
            <w:pPr>
              <w:jc w:val="right"/>
              <w:ind w:right="110"/>
              <w:spacing w:after="0"/>
              <w:rPr>
                <w:sz w:val="20"/>
                <w:szCs w:val="20"/>
                <w:color w:val="auto"/>
              </w:rPr>
            </w:pPr>
            <w:r>
              <w:rPr>
                <w:rFonts w:ascii="Arial" w:cs="Arial" w:eastAsia="Arial" w:hAnsi="Arial"/>
                <w:sz w:val="18"/>
                <w:szCs w:val="18"/>
                <w:b w:val="1"/>
                <w:bCs w:val="1"/>
                <w:color w:val="auto"/>
              </w:rPr>
              <w:t>6.7</w:t>
            </w:r>
          </w:p>
        </w:tc>
        <w:tc>
          <w:tcPr>
            <w:tcW w:w="900" w:type="dxa"/>
            <w:vAlign w:val="bottom"/>
          </w:tcPr>
          <w:p>
            <w:pPr>
              <w:jc w:val="right"/>
              <w:ind w:right="50"/>
              <w:spacing w:after="0"/>
              <w:rPr>
                <w:sz w:val="20"/>
                <w:szCs w:val="20"/>
                <w:color w:val="auto"/>
              </w:rPr>
            </w:pPr>
            <w:r>
              <w:rPr>
                <w:rFonts w:ascii="Arial" w:cs="Arial" w:eastAsia="Arial" w:hAnsi="Arial"/>
                <w:sz w:val="18"/>
                <w:szCs w:val="18"/>
                <w:color w:val="auto"/>
              </w:rPr>
              <w:t>(2.1)</w:t>
            </w:r>
          </w:p>
        </w:tc>
        <w:tc>
          <w:tcPr>
            <w:tcW w:w="960" w:type="dxa"/>
            <w:vAlign w:val="bottom"/>
          </w:tcPr>
          <w:p>
            <w:pPr>
              <w:jc w:val="right"/>
              <w:ind w:right="110"/>
              <w:spacing w:after="0"/>
              <w:rPr>
                <w:sz w:val="20"/>
                <w:szCs w:val="20"/>
                <w:color w:val="auto"/>
              </w:rPr>
            </w:pPr>
            <w:r>
              <w:rPr>
                <w:rFonts w:ascii="Arial" w:cs="Arial" w:eastAsia="Arial" w:hAnsi="Arial"/>
                <w:sz w:val="18"/>
                <w:szCs w:val="18"/>
                <w:b w:val="1"/>
                <w:bCs w:val="1"/>
                <w:color w:val="auto"/>
              </w:rPr>
              <w:t>22.0</w:t>
            </w:r>
          </w:p>
        </w:tc>
        <w:tc>
          <w:tcPr>
            <w:tcW w:w="900" w:type="dxa"/>
            <w:vAlign w:val="bottom"/>
          </w:tcPr>
          <w:p>
            <w:pPr>
              <w:jc w:val="right"/>
              <w:ind w:right="130"/>
              <w:spacing w:after="0"/>
              <w:rPr>
                <w:sz w:val="20"/>
                <w:szCs w:val="20"/>
                <w:color w:val="auto"/>
              </w:rPr>
            </w:pPr>
            <w:r>
              <w:rPr>
                <w:rFonts w:ascii="Arial" w:cs="Arial" w:eastAsia="Arial" w:hAnsi="Arial"/>
                <w:sz w:val="18"/>
                <w:szCs w:val="18"/>
                <w:color w:val="auto"/>
              </w:rPr>
              <w:t>2.3</w:t>
            </w:r>
          </w:p>
        </w:tc>
      </w:tr>
      <w:tr>
        <w:trPr>
          <w:trHeight w:val="234"/>
        </w:trPr>
        <w:tc>
          <w:tcPr>
            <w:tcW w:w="6040" w:type="dxa"/>
            <w:vAlign w:val="bottom"/>
          </w:tcPr>
          <w:p>
            <w:pPr>
              <w:ind w:left="40"/>
              <w:spacing w:after="0"/>
              <w:rPr>
                <w:sz w:val="20"/>
                <w:szCs w:val="20"/>
                <w:color w:val="auto"/>
              </w:rPr>
            </w:pPr>
            <w:r>
              <w:rPr>
                <w:rFonts w:ascii="Arial" w:cs="Arial" w:eastAsia="Arial" w:hAnsi="Arial"/>
                <w:sz w:val="18"/>
                <w:szCs w:val="18"/>
                <w:color w:val="auto"/>
              </w:rPr>
              <w:t>Interest expense</w:t>
            </w:r>
          </w:p>
        </w:tc>
        <w:tc>
          <w:tcPr>
            <w:tcW w:w="2620" w:type="dxa"/>
            <w:vAlign w:val="bottom"/>
          </w:tcPr>
          <w:p>
            <w:pPr>
              <w:jc w:val="right"/>
              <w:ind w:right="110"/>
              <w:spacing w:after="0"/>
              <w:rPr>
                <w:sz w:val="20"/>
                <w:szCs w:val="20"/>
                <w:color w:val="auto"/>
              </w:rPr>
            </w:pPr>
            <w:r>
              <w:rPr>
                <w:rFonts w:ascii="Arial" w:cs="Arial" w:eastAsia="Arial" w:hAnsi="Arial"/>
                <w:sz w:val="18"/>
                <w:szCs w:val="18"/>
                <w:b w:val="1"/>
                <w:bCs w:val="1"/>
                <w:color w:val="auto"/>
              </w:rPr>
              <w:t>4.4</w:t>
            </w:r>
          </w:p>
        </w:tc>
        <w:tc>
          <w:tcPr>
            <w:tcW w:w="900" w:type="dxa"/>
            <w:vAlign w:val="bottom"/>
          </w:tcPr>
          <w:p>
            <w:pPr>
              <w:jc w:val="right"/>
              <w:ind w:right="110"/>
              <w:spacing w:after="0"/>
              <w:rPr>
                <w:sz w:val="20"/>
                <w:szCs w:val="20"/>
                <w:color w:val="auto"/>
              </w:rPr>
            </w:pPr>
            <w:r>
              <w:rPr>
                <w:rFonts w:ascii="Arial" w:cs="Arial" w:eastAsia="Arial" w:hAnsi="Arial"/>
                <w:sz w:val="18"/>
                <w:szCs w:val="18"/>
                <w:color w:val="auto"/>
              </w:rPr>
              <w:t>3.7</w:t>
            </w:r>
          </w:p>
        </w:tc>
        <w:tc>
          <w:tcPr>
            <w:tcW w:w="960" w:type="dxa"/>
            <w:vAlign w:val="bottom"/>
          </w:tcPr>
          <w:p>
            <w:pPr>
              <w:jc w:val="right"/>
              <w:ind w:right="110"/>
              <w:spacing w:after="0"/>
              <w:rPr>
                <w:sz w:val="20"/>
                <w:szCs w:val="20"/>
                <w:color w:val="auto"/>
              </w:rPr>
            </w:pPr>
            <w:r>
              <w:rPr>
                <w:rFonts w:ascii="Arial" w:cs="Arial" w:eastAsia="Arial" w:hAnsi="Arial"/>
                <w:sz w:val="18"/>
                <w:szCs w:val="18"/>
                <w:b w:val="1"/>
                <w:bCs w:val="1"/>
                <w:color w:val="auto"/>
              </w:rPr>
              <w:t>12.9</w:t>
            </w:r>
          </w:p>
        </w:tc>
        <w:tc>
          <w:tcPr>
            <w:tcW w:w="900" w:type="dxa"/>
            <w:vAlign w:val="bottom"/>
          </w:tcPr>
          <w:p>
            <w:pPr>
              <w:jc w:val="right"/>
              <w:ind w:right="130"/>
              <w:spacing w:after="0"/>
              <w:rPr>
                <w:sz w:val="20"/>
                <w:szCs w:val="20"/>
                <w:color w:val="auto"/>
              </w:rPr>
            </w:pPr>
            <w:r>
              <w:rPr>
                <w:rFonts w:ascii="Arial" w:cs="Arial" w:eastAsia="Arial" w:hAnsi="Arial"/>
                <w:sz w:val="18"/>
                <w:szCs w:val="18"/>
                <w:color w:val="auto"/>
              </w:rPr>
              <w:t>11.0</w:t>
            </w:r>
          </w:p>
        </w:tc>
      </w:tr>
      <w:tr>
        <w:trPr>
          <w:trHeight w:val="27"/>
        </w:trPr>
        <w:tc>
          <w:tcPr>
            <w:tcW w:w="6040" w:type="dxa"/>
            <w:vAlign w:val="bottom"/>
            <w:tcBorders>
              <w:bottom w:val="single" w:sz="8" w:color="auto"/>
            </w:tcBorders>
          </w:tcPr>
          <w:p>
            <w:pPr>
              <w:spacing w:after="0"/>
              <w:rPr>
                <w:sz w:val="2"/>
                <w:szCs w:val="2"/>
                <w:color w:val="auto"/>
              </w:rPr>
            </w:pPr>
          </w:p>
        </w:tc>
        <w:tc>
          <w:tcPr>
            <w:tcW w:w="26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r>
      <w:tr>
        <w:trPr>
          <w:trHeight w:val="237"/>
        </w:trPr>
        <w:tc>
          <w:tcPr>
            <w:tcW w:w="6040" w:type="dxa"/>
            <w:vAlign w:val="bottom"/>
          </w:tcPr>
          <w:p>
            <w:pPr>
              <w:ind w:left="180"/>
              <w:spacing w:after="0"/>
              <w:rPr>
                <w:sz w:val="20"/>
                <w:szCs w:val="20"/>
                <w:color w:val="auto"/>
              </w:rPr>
            </w:pPr>
            <w:r>
              <w:rPr>
                <w:rFonts w:ascii="Arial" w:cs="Arial" w:eastAsia="Arial" w:hAnsi="Arial"/>
                <w:sz w:val="18"/>
                <w:szCs w:val="18"/>
                <w:b w:val="1"/>
                <w:bCs w:val="1"/>
                <w:color w:val="auto"/>
              </w:rPr>
              <w:t>Earnings (Loss) Before Income Taxes</w:t>
            </w:r>
          </w:p>
        </w:tc>
        <w:tc>
          <w:tcPr>
            <w:tcW w:w="2620" w:type="dxa"/>
            <w:vAlign w:val="bottom"/>
          </w:tcPr>
          <w:p>
            <w:pPr>
              <w:jc w:val="right"/>
              <w:ind w:right="110"/>
              <w:spacing w:after="0"/>
              <w:rPr>
                <w:sz w:val="20"/>
                <w:szCs w:val="20"/>
                <w:color w:val="auto"/>
              </w:rPr>
            </w:pPr>
            <w:r>
              <w:rPr>
                <w:rFonts w:ascii="Arial" w:cs="Arial" w:eastAsia="Arial" w:hAnsi="Arial"/>
                <w:sz w:val="18"/>
                <w:szCs w:val="18"/>
                <w:b w:val="1"/>
                <w:bCs w:val="1"/>
                <w:color w:val="auto"/>
              </w:rPr>
              <w:t>2.3</w:t>
            </w:r>
          </w:p>
        </w:tc>
        <w:tc>
          <w:tcPr>
            <w:tcW w:w="900" w:type="dxa"/>
            <w:vAlign w:val="bottom"/>
          </w:tcPr>
          <w:p>
            <w:pPr>
              <w:jc w:val="right"/>
              <w:ind w:right="50"/>
              <w:spacing w:after="0"/>
              <w:rPr>
                <w:sz w:val="20"/>
                <w:szCs w:val="20"/>
                <w:color w:val="auto"/>
              </w:rPr>
            </w:pPr>
            <w:r>
              <w:rPr>
                <w:rFonts w:ascii="Arial" w:cs="Arial" w:eastAsia="Arial" w:hAnsi="Arial"/>
                <w:sz w:val="18"/>
                <w:szCs w:val="18"/>
                <w:color w:val="auto"/>
              </w:rPr>
              <w:t>(5.8)</w:t>
            </w:r>
          </w:p>
        </w:tc>
        <w:tc>
          <w:tcPr>
            <w:tcW w:w="960" w:type="dxa"/>
            <w:vAlign w:val="bottom"/>
          </w:tcPr>
          <w:p>
            <w:pPr>
              <w:jc w:val="right"/>
              <w:ind w:right="110"/>
              <w:spacing w:after="0"/>
              <w:rPr>
                <w:sz w:val="20"/>
                <w:szCs w:val="20"/>
                <w:color w:val="auto"/>
              </w:rPr>
            </w:pPr>
            <w:r>
              <w:rPr>
                <w:rFonts w:ascii="Arial" w:cs="Arial" w:eastAsia="Arial" w:hAnsi="Arial"/>
                <w:sz w:val="18"/>
                <w:szCs w:val="18"/>
                <w:b w:val="1"/>
                <w:bCs w:val="1"/>
                <w:color w:val="auto"/>
              </w:rPr>
              <w:t>9.1</w:t>
            </w:r>
          </w:p>
        </w:tc>
        <w:tc>
          <w:tcPr>
            <w:tcW w:w="900" w:type="dxa"/>
            <w:vAlign w:val="bottom"/>
          </w:tcPr>
          <w:p>
            <w:pPr>
              <w:jc w:val="right"/>
              <w:ind w:right="70"/>
              <w:spacing w:after="0"/>
              <w:rPr>
                <w:sz w:val="20"/>
                <w:szCs w:val="20"/>
                <w:color w:val="auto"/>
              </w:rPr>
            </w:pPr>
            <w:r>
              <w:rPr>
                <w:rFonts w:ascii="Arial" w:cs="Arial" w:eastAsia="Arial" w:hAnsi="Arial"/>
                <w:sz w:val="18"/>
                <w:szCs w:val="18"/>
                <w:color w:val="auto"/>
              </w:rPr>
              <w:t>(8.7)</w:t>
            </w:r>
          </w:p>
        </w:tc>
      </w:tr>
      <w:tr>
        <w:trPr>
          <w:trHeight w:val="270"/>
        </w:trPr>
        <w:tc>
          <w:tcPr>
            <w:tcW w:w="6040" w:type="dxa"/>
            <w:vAlign w:val="bottom"/>
          </w:tcPr>
          <w:p>
            <w:pPr>
              <w:ind w:left="40"/>
              <w:spacing w:after="0"/>
              <w:rPr>
                <w:sz w:val="20"/>
                <w:szCs w:val="20"/>
                <w:color w:val="auto"/>
              </w:rPr>
            </w:pPr>
            <w:r>
              <w:rPr>
                <w:rFonts w:ascii="Arial" w:cs="Arial" w:eastAsia="Arial" w:hAnsi="Arial"/>
                <w:sz w:val="18"/>
                <w:szCs w:val="18"/>
                <w:color w:val="auto"/>
              </w:rPr>
              <w:t>Provision for income taxes</w:t>
            </w:r>
          </w:p>
        </w:tc>
        <w:tc>
          <w:tcPr>
            <w:tcW w:w="2620" w:type="dxa"/>
            <w:vAlign w:val="bottom"/>
          </w:tcPr>
          <w:p>
            <w:pPr>
              <w:jc w:val="right"/>
              <w:ind w:right="110"/>
              <w:spacing w:after="0"/>
              <w:rPr>
                <w:sz w:val="20"/>
                <w:szCs w:val="20"/>
                <w:color w:val="auto"/>
              </w:rPr>
            </w:pPr>
            <w:r>
              <w:rPr>
                <w:rFonts w:ascii="Arial" w:cs="Arial" w:eastAsia="Arial" w:hAnsi="Arial"/>
                <w:sz w:val="18"/>
                <w:szCs w:val="18"/>
                <w:b w:val="1"/>
                <w:bCs w:val="1"/>
                <w:color w:val="auto"/>
              </w:rPr>
              <w:t>0.9</w:t>
            </w:r>
          </w:p>
        </w:tc>
        <w:tc>
          <w:tcPr>
            <w:tcW w:w="900" w:type="dxa"/>
            <w:vAlign w:val="bottom"/>
          </w:tcPr>
          <w:p>
            <w:pPr>
              <w:jc w:val="right"/>
              <w:ind w:right="110"/>
              <w:spacing w:after="0"/>
              <w:rPr>
                <w:sz w:val="20"/>
                <w:szCs w:val="20"/>
                <w:color w:val="auto"/>
              </w:rPr>
            </w:pPr>
            <w:r>
              <w:rPr>
                <w:rFonts w:ascii="Arial" w:cs="Arial" w:eastAsia="Arial" w:hAnsi="Arial"/>
                <w:sz w:val="18"/>
                <w:szCs w:val="18"/>
                <w:color w:val="auto"/>
              </w:rPr>
              <w:t>0.1</w:t>
            </w:r>
          </w:p>
        </w:tc>
        <w:tc>
          <w:tcPr>
            <w:tcW w:w="960" w:type="dxa"/>
            <w:vAlign w:val="bottom"/>
          </w:tcPr>
          <w:p>
            <w:pPr>
              <w:jc w:val="right"/>
              <w:ind w:right="110"/>
              <w:spacing w:after="0"/>
              <w:rPr>
                <w:sz w:val="20"/>
                <w:szCs w:val="20"/>
                <w:color w:val="auto"/>
              </w:rPr>
            </w:pPr>
            <w:r>
              <w:rPr>
                <w:rFonts w:ascii="Arial" w:cs="Arial" w:eastAsia="Arial" w:hAnsi="Arial"/>
                <w:sz w:val="18"/>
                <w:szCs w:val="18"/>
                <w:b w:val="1"/>
                <w:bCs w:val="1"/>
                <w:color w:val="auto"/>
              </w:rPr>
              <w:t>1.2</w:t>
            </w:r>
          </w:p>
        </w:tc>
        <w:tc>
          <w:tcPr>
            <w:tcW w:w="900" w:type="dxa"/>
            <w:vAlign w:val="bottom"/>
          </w:tcPr>
          <w:p>
            <w:pPr>
              <w:jc w:val="right"/>
              <w:ind w:right="130"/>
              <w:spacing w:after="0"/>
              <w:rPr>
                <w:sz w:val="20"/>
                <w:szCs w:val="20"/>
                <w:color w:val="auto"/>
              </w:rPr>
            </w:pPr>
            <w:r>
              <w:rPr>
                <w:rFonts w:ascii="Arial" w:cs="Arial" w:eastAsia="Arial" w:hAnsi="Arial"/>
                <w:sz w:val="18"/>
                <w:szCs w:val="18"/>
                <w:color w:val="auto"/>
              </w:rPr>
              <w:t>1.2</w:t>
            </w:r>
          </w:p>
        </w:tc>
      </w:tr>
      <w:tr>
        <w:trPr>
          <w:trHeight w:val="27"/>
        </w:trPr>
        <w:tc>
          <w:tcPr>
            <w:tcW w:w="6040" w:type="dxa"/>
            <w:vAlign w:val="bottom"/>
            <w:tcBorders>
              <w:bottom w:val="single" w:sz="8" w:color="auto"/>
            </w:tcBorders>
          </w:tcPr>
          <w:p>
            <w:pPr>
              <w:spacing w:after="0"/>
              <w:rPr>
                <w:sz w:val="2"/>
                <w:szCs w:val="2"/>
                <w:color w:val="auto"/>
              </w:rPr>
            </w:pPr>
          </w:p>
        </w:tc>
        <w:tc>
          <w:tcPr>
            <w:tcW w:w="26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r>
      <w:tr>
        <w:trPr>
          <w:trHeight w:val="237"/>
        </w:trPr>
        <w:tc>
          <w:tcPr>
            <w:tcW w:w="6040" w:type="dxa"/>
            <w:vAlign w:val="bottom"/>
          </w:tcPr>
          <w:p>
            <w:pPr>
              <w:ind w:left="180"/>
              <w:spacing w:after="0"/>
              <w:rPr>
                <w:sz w:val="20"/>
                <w:szCs w:val="20"/>
                <w:color w:val="auto"/>
              </w:rPr>
            </w:pPr>
            <w:r>
              <w:rPr>
                <w:rFonts w:ascii="Arial" w:cs="Arial" w:eastAsia="Arial" w:hAnsi="Arial"/>
                <w:sz w:val="18"/>
                <w:szCs w:val="18"/>
                <w:b w:val="1"/>
                <w:bCs w:val="1"/>
                <w:color w:val="auto"/>
              </w:rPr>
              <w:t>Net Income (Loss)</w:t>
            </w:r>
          </w:p>
        </w:tc>
        <w:tc>
          <w:tcPr>
            <w:tcW w:w="2620" w:type="dxa"/>
            <w:vAlign w:val="bottom"/>
          </w:tcPr>
          <w:p>
            <w:pPr>
              <w:jc w:val="right"/>
              <w:ind w:right="110"/>
              <w:spacing w:after="0"/>
              <w:rPr>
                <w:sz w:val="20"/>
                <w:szCs w:val="20"/>
                <w:color w:val="auto"/>
              </w:rPr>
            </w:pPr>
            <w:r>
              <w:rPr>
                <w:rFonts w:ascii="Arial" w:cs="Arial" w:eastAsia="Arial" w:hAnsi="Arial"/>
                <w:sz w:val="18"/>
                <w:szCs w:val="18"/>
                <w:b w:val="1"/>
                <w:bCs w:val="1"/>
                <w:color w:val="auto"/>
              </w:rPr>
              <w:t>$1.4</w:t>
            </w:r>
          </w:p>
        </w:tc>
        <w:tc>
          <w:tcPr>
            <w:tcW w:w="900" w:type="dxa"/>
            <w:vAlign w:val="bottom"/>
          </w:tcPr>
          <w:p>
            <w:pPr>
              <w:jc w:val="right"/>
              <w:ind w:right="50"/>
              <w:spacing w:after="0"/>
              <w:rPr>
                <w:sz w:val="20"/>
                <w:szCs w:val="20"/>
                <w:color w:val="auto"/>
              </w:rPr>
            </w:pPr>
            <w:r>
              <w:rPr>
                <w:rFonts w:ascii="Arial" w:cs="Arial" w:eastAsia="Arial" w:hAnsi="Arial"/>
                <w:sz w:val="18"/>
                <w:szCs w:val="18"/>
                <w:color w:val="auto"/>
              </w:rPr>
              <w:t>($5.9)</w:t>
            </w:r>
          </w:p>
        </w:tc>
        <w:tc>
          <w:tcPr>
            <w:tcW w:w="960" w:type="dxa"/>
            <w:vAlign w:val="bottom"/>
          </w:tcPr>
          <w:p>
            <w:pPr>
              <w:jc w:val="right"/>
              <w:ind w:right="110"/>
              <w:spacing w:after="0"/>
              <w:rPr>
                <w:sz w:val="20"/>
                <w:szCs w:val="20"/>
                <w:color w:val="auto"/>
              </w:rPr>
            </w:pPr>
            <w:r>
              <w:rPr>
                <w:rFonts w:ascii="Arial" w:cs="Arial" w:eastAsia="Arial" w:hAnsi="Arial"/>
                <w:sz w:val="18"/>
                <w:szCs w:val="18"/>
                <w:b w:val="1"/>
                <w:bCs w:val="1"/>
                <w:color w:val="auto"/>
              </w:rPr>
              <w:t>$7.9</w:t>
            </w:r>
          </w:p>
        </w:tc>
        <w:tc>
          <w:tcPr>
            <w:tcW w:w="900" w:type="dxa"/>
            <w:vAlign w:val="bottom"/>
          </w:tcPr>
          <w:p>
            <w:pPr>
              <w:jc w:val="right"/>
              <w:ind w:right="70"/>
              <w:spacing w:after="0"/>
              <w:rPr>
                <w:sz w:val="20"/>
                <w:szCs w:val="20"/>
                <w:color w:val="auto"/>
              </w:rPr>
            </w:pPr>
            <w:r>
              <w:rPr>
                <w:rFonts w:ascii="Arial" w:cs="Arial" w:eastAsia="Arial" w:hAnsi="Arial"/>
                <w:sz w:val="18"/>
                <w:szCs w:val="18"/>
                <w:color w:val="auto"/>
              </w:rPr>
              <w:t>($9.9)</w:t>
            </w:r>
          </w:p>
        </w:tc>
      </w:tr>
      <w:tr>
        <w:trPr>
          <w:trHeight w:val="34"/>
        </w:trPr>
        <w:tc>
          <w:tcPr>
            <w:tcW w:w="6040" w:type="dxa"/>
            <w:vAlign w:val="bottom"/>
            <w:tcBorders>
              <w:bottom w:val="single" w:sz="8" w:color="auto"/>
            </w:tcBorders>
          </w:tcPr>
          <w:p>
            <w:pPr>
              <w:spacing w:after="0"/>
              <w:rPr>
                <w:sz w:val="2"/>
                <w:szCs w:val="2"/>
                <w:color w:val="auto"/>
              </w:rPr>
            </w:pPr>
          </w:p>
        </w:tc>
        <w:tc>
          <w:tcPr>
            <w:tcW w:w="26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r>
      <w:tr>
        <w:trPr>
          <w:trHeight w:val="567"/>
        </w:trPr>
        <w:tc>
          <w:tcPr>
            <w:tcW w:w="6040" w:type="dxa"/>
            <w:vAlign w:val="bottom"/>
          </w:tcPr>
          <w:p>
            <w:pPr>
              <w:ind w:left="40"/>
              <w:spacing w:after="0"/>
              <w:rPr>
                <w:sz w:val="20"/>
                <w:szCs w:val="20"/>
                <w:color w:val="auto"/>
              </w:rPr>
            </w:pPr>
            <w:r>
              <w:rPr>
                <w:rFonts w:ascii="Arial" w:cs="Arial" w:eastAsia="Arial" w:hAnsi="Arial"/>
                <w:sz w:val="18"/>
                <w:szCs w:val="18"/>
                <w:b w:val="1"/>
                <w:bCs w:val="1"/>
                <w:color w:val="auto"/>
              </w:rPr>
              <w:t>Net Income (Loss) per Common Share:</w:t>
            </w:r>
          </w:p>
        </w:tc>
        <w:tc>
          <w:tcPr>
            <w:tcW w:w="26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00" w:type="dxa"/>
            <w:vAlign w:val="bottom"/>
          </w:tcPr>
          <w:p>
            <w:pPr>
              <w:spacing w:after="0"/>
              <w:rPr>
                <w:sz w:val="24"/>
                <w:szCs w:val="24"/>
                <w:color w:val="auto"/>
              </w:rPr>
            </w:pPr>
          </w:p>
        </w:tc>
      </w:tr>
      <w:tr>
        <w:trPr>
          <w:trHeight w:val="270"/>
        </w:trPr>
        <w:tc>
          <w:tcPr>
            <w:tcW w:w="6040" w:type="dxa"/>
            <w:vAlign w:val="bottom"/>
          </w:tcPr>
          <w:p>
            <w:pPr>
              <w:ind w:left="40"/>
              <w:spacing w:after="0"/>
              <w:rPr>
                <w:sz w:val="20"/>
                <w:szCs w:val="20"/>
                <w:color w:val="auto"/>
              </w:rPr>
            </w:pPr>
            <w:r>
              <w:rPr>
                <w:rFonts w:ascii="Arial" w:cs="Arial" w:eastAsia="Arial" w:hAnsi="Arial"/>
                <w:sz w:val="18"/>
                <w:szCs w:val="18"/>
                <w:color w:val="auto"/>
              </w:rPr>
              <w:t>Basic earnings (loss) per share</w:t>
            </w:r>
          </w:p>
        </w:tc>
        <w:tc>
          <w:tcPr>
            <w:tcW w:w="2620" w:type="dxa"/>
            <w:vAlign w:val="bottom"/>
          </w:tcPr>
          <w:p>
            <w:pPr>
              <w:jc w:val="right"/>
              <w:ind w:right="110"/>
              <w:spacing w:after="0"/>
              <w:rPr>
                <w:sz w:val="20"/>
                <w:szCs w:val="20"/>
                <w:color w:val="auto"/>
              </w:rPr>
            </w:pPr>
            <w:r>
              <w:rPr>
                <w:rFonts w:ascii="Arial" w:cs="Arial" w:eastAsia="Arial" w:hAnsi="Arial"/>
                <w:sz w:val="18"/>
                <w:szCs w:val="18"/>
                <w:b w:val="1"/>
                <w:bCs w:val="1"/>
                <w:color w:val="auto"/>
              </w:rPr>
              <w:t>$0.03</w:t>
            </w:r>
          </w:p>
        </w:tc>
        <w:tc>
          <w:tcPr>
            <w:tcW w:w="900" w:type="dxa"/>
            <w:vAlign w:val="bottom"/>
          </w:tcPr>
          <w:p>
            <w:pPr>
              <w:jc w:val="right"/>
              <w:ind w:right="50"/>
              <w:spacing w:after="0"/>
              <w:rPr>
                <w:sz w:val="20"/>
                <w:szCs w:val="20"/>
                <w:color w:val="auto"/>
              </w:rPr>
            </w:pPr>
            <w:r>
              <w:rPr>
                <w:rFonts w:ascii="Arial" w:cs="Arial" w:eastAsia="Arial" w:hAnsi="Arial"/>
                <w:sz w:val="18"/>
                <w:szCs w:val="18"/>
                <w:color w:val="auto"/>
              </w:rPr>
              <w:t>($0.13)</w:t>
            </w:r>
          </w:p>
        </w:tc>
        <w:tc>
          <w:tcPr>
            <w:tcW w:w="960" w:type="dxa"/>
            <w:vAlign w:val="bottom"/>
          </w:tcPr>
          <w:p>
            <w:pPr>
              <w:jc w:val="right"/>
              <w:ind w:right="110"/>
              <w:spacing w:after="0"/>
              <w:rPr>
                <w:sz w:val="20"/>
                <w:szCs w:val="20"/>
                <w:color w:val="auto"/>
              </w:rPr>
            </w:pPr>
            <w:r>
              <w:rPr>
                <w:rFonts w:ascii="Arial" w:cs="Arial" w:eastAsia="Arial" w:hAnsi="Arial"/>
                <w:sz w:val="18"/>
                <w:szCs w:val="18"/>
                <w:b w:val="1"/>
                <w:bCs w:val="1"/>
                <w:color w:val="auto"/>
              </w:rPr>
              <w:t>$0.18</w:t>
            </w:r>
          </w:p>
        </w:tc>
        <w:tc>
          <w:tcPr>
            <w:tcW w:w="900" w:type="dxa"/>
            <w:vAlign w:val="bottom"/>
          </w:tcPr>
          <w:p>
            <w:pPr>
              <w:jc w:val="right"/>
              <w:ind w:right="70"/>
              <w:spacing w:after="0"/>
              <w:rPr>
                <w:sz w:val="20"/>
                <w:szCs w:val="20"/>
                <w:color w:val="auto"/>
              </w:rPr>
            </w:pPr>
            <w:r>
              <w:rPr>
                <w:rFonts w:ascii="Arial" w:cs="Arial" w:eastAsia="Arial" w:hAnsi="Arial"/>
                <w:sz w:val="18"/>
                <w:szCs w:val="18"/>
                <w:color w:val="auto"/>
              </w:rPr>
              <w:t>($0.22)</w:t>
            </w:r>
          </w:p>
        </w:tc>
      </w:tr>
      <w:tr>
        <w:trPr>
          <w:trHeight w:val="368"/>
        </w:trPr>
        <w:tc>
          <w:tcPr>
            <w:tcW w:w="6040" w:type="dxa"/>
            <w:vAlign w:val="bottom"/>
          </w:tcPr>
          <w:p>
            <w:pPr>
              <w:ind w:left="40"/>
              <w:spacing w:after="0"/>
              <w:rPr>
                <w:sz w:val="20"/>
                <w:szCs w:val="20"/>
                <w:color w:val="auto"/>
              </w:rPr>
            </w:pPr>
            <w:r>
              <w:rPr>
                <w:rFonts w:ascii="Arial" w:cs="Arial" w:eastAsia="Arial" w:hAnsi="Arial"/>
                <w:sz w:val="18"/>
                <w:szCs w:val="18"/>
                <w:color w:val="auto"/>
              </w:rPr>
              <w:t xml:space="preserve">Diluted earnings (loss) per share </w:t>
            </w:r>
            <w:r>
              <w:rPr>
                <w:rFonts w:ascii="Arial" w:cs="Arial" w:eastAsia="Arial" w:hAnsi="Arial"/>
                <w:sz w:val="25"/>
                <w:szCs w:val="25"/>
                <w:color w:val="auto"/>
                <w:vertAlign w:val="superscript"/>
              </w:rPr>
              <w:t>(2)</w:t>
            </w:r>
          </w:p>
        </w:tc>
        <w:tc>
          <w:tcPr>
            <w:tcW w:w="2620" w:type="dxa"/>
            <w:vAlign w:val="bottom"/>
          </w:tcPr>
          <w:p>
            <w:pPr>
              <w:jc w:val="right"/>
              <w:ind w:right="110"/>
              <w:spacing w:after="0"/>
              <w:rPr>
                <w:sz w:val="20"/>
                <w:szCs w:val="20"/>
                <w:color w:val="auto"/>
              </w:rPr>
            </w:pPr>
            <w:r>
              <w:rPr>
                <w:rFonts w:ascii="Arial" w:cs="Arial" w:eastAsia="Arial" w:hAnsi="Arial"/>
                <w:sz w:val="18"/>
                <w:szCs w:val="18"/>
                <w:b w:val="1"/>
                <w:bCs w:val="1"/>
                <w:color w:val="auto"/>
              </w:rPr>
              <w:t>$0.03</w:t>
            </w:r>
          </w:p>
        </w:tc>
        <w:tc>
          <w:tcPr>
            <w:tcW w:w="900" w:type="dxa"/>
            <w:vAlign w:val="bottom"/>
          </w:tcPr>
          <w:p>
            <w:pPr>
              <w:jc w:val="right"/>
              <w:ind w:right="50"/>
              <w:spacing w:after="0"/>
              <w:rPr>
                <w:sz w:val="20"/>
                <w:szCs w:val="20"/>
                <w:color w:val="auto"/>
              </w:rPr>
            </w:pPr>
            <w:r>
              <w:rPr>
                <w:rFonts w:ascii="Arial" w:cs="Arial" w:eastAsia="Arial" w:hAnsi="Arial"/>
                <w:sz w:val="18"/>
                <w:szCs w:val="18"/>
                <w:color w:val="auto"/>
              </w:rPr>
              <w:t>($0.13)</w:t>
            </w:r>
          </w:p>
        </w:tc>
        <w:tc>
          <w:tcPr>
            <w:tcW w:w="960" w:type="dxa"/>
            <w:vAlign w:val="bottom"/>
          </w:tcPr>
          <w:p>
            <w:pPr>
              <w:jc w:val="right"/>
              <w:ind w:right="110"/>
              <w:spacing w:after="0"/>
              <w:rPr>
                <w:sz w:val="20"/>
                <w:szCs w:val="20"/>
                <w:color w:val="auto"/>
              </w:rPr>
            </w:pPr>
            <w:r>
              <w:rPr>
                <w:rFonts w:ascii="Arial" w:cs="Arial" w:eastAsia="Arial" w:hAnsi="Arial"/>
                <w:sz w:val="18"/>
                <w:szCs w:val="18"/>
                <w:b w:val="1"/>
                <w:bCs w:val="1"/>
                <w:color w:val="auto"/>
              </w:rPr>
              <w:t>$0.17</w:t>
            </w:r>
          </w:p>
        </w:tc>
        <w:tc>
          <w:tcPr>
            <w:tcW w:w="900" w:type="dxa"/>
            <w:vAlign w:val="bottom"/>
          </w:tcPr>
          <w:p>
            <w:pPr>
              <w:jc w:val="right"/>
              <w:ind w:right="70"/>
              <w:spacing w:after="0"/>
              <w:rPr>
                <w:sz w:val="20"/>
                <w:szCs w:val="20"/>
                <w:color w:val="auto"/>
              </w:rPr>
            </w:pPr>
            <w:r>
              <w:rPr>
                <w:rFonts w:ascii="Arial" w:cs="Arial" w:eastAsia="Arial" w:hAnsi="Arial"/>
                <w:sz w:val="18"/>
                <w:szCs w:val="18"/>
                <w:color w:val="auto"/>
              </w:rPr>
              <w:t>($0.22)</w:t>
            </w:r>
          </w:p>
        </w:tc>
      </w:tr>
      <w:tr>
        <w:trPr>
          <w:trHeight w:val="820"/>
        </w:trPr>
        <w:tc>
          <w:tcPr>
            <w:tcW w:w="6040" w:type="dxa"/>
            <w:vAlign w:val="bottom"/>
          </w:tcPr>
          <w:p>
            <w:pPr>
              <w:ind w:left="40"/>
              <w:spacing w:after="0"/>
              <w:rPr>
                <w:sz w:val="20"/>
                <w:szCs w:val="20"/>
                <w:color w:val="auto"/>
              </w:rPr>
            </w:pPr>
            <w:r>
              <w:rPr>
                <w:rFonts w:ascii="Arial" w:cs="Arial" w:eastAsia="Arial" w:hAnsi="Arial"/>
                <w:sz w:val="18"/>
                <w:szCs w:val="18"/>
                <w:color w:val="auto"/>
              </w:rPr>
              <w:t>Weighted average shares outstanding - basic</w:t>
            </w:r>
          </w:p>
        </w:tc>
        <w:tc>
          <w:tcPr>
            <w:tcW w:w="2620" w:type="dxa"/>
            <w:vAlign w:val="bottom"/>
          </w:tcPr>
          <w:p>
            <w:pPr>
              <w:jc w:val="right"/>
              <w:ind w:right="110"/>
              <w:spacing w:after="0"/>
              <w:rPr>
                <w:sz w:val="20"/>
                <w:szCs w:val="20"/>
                <w:color w:val="auto"/>
              </w:rPr>
            </w:pPr>
            <w:r>
              <w:rPr>
                <w:rFonts w:ascii="Arial" w:cs="Arial" w:eastAsia="Arial" w:hAnsi="Arial"/>
                <w:sz w:val="18"/>
                <w:szCs w:val="18"/>
                <w:b w:val="1"/>
                <w:bCs w:val="1"/>
                <w:color w:val="auto"/>
              </w:rPr>
              <w:t>44.6</w:t>
            </w:r>
          </w:p>
        </w:tc>
        <w:tc>
          <w:tcPr>
            <w:tcW w:w="900" w:type="dxa"/>
            <w:vAlign w:val="bottom"/>
          </w:tcPr>
          <w:p>
            <w:pPr>
              <w:jc w:val="right"/>
              <w:ind w:right="110"/>
              <w:spacing w:after="0"/>
              <w:rPr>
                <w:sz w:val="20"/>
                <w:szCs w:val="20"/>
                <w:color w:val="auto"/>
              </w:rPr>
            </w:pPr>
            <w:r>
              <w:rPr>
                <w:rFonts w:ascii="Arial" w:cs="Arial" w:eastAsia="Arial" w:hAnsi="Arial"/>
                <w:sz w:val="18"/>
                <w:szCs w:val="18"/>
                <w:color w:val="auto"/>
              </w:rPr>
              <w:t>44.4</w:t>
            </w:r>
          </w:p>
        </w:tc>
        <w:tc>
          <w:tcPr>
            <w:tcW w:w="960" w:type="dxa"/>
            <w:vAlign w:val="bottom"/>
          </w:tcPr>
          <w:p>
            <w:pPr>
              <w:jc w:val="right"/>
              <w:ind w:right="110"/>
              <w:spacing w:after="0"/>
              <w:rPr>
                <w:sz w:val="20"/>
                <w:szCs w:val="20"/>
                <w:color w:val="auto"/>
              </w:rPr>
            </w:pPr>
            <w:r>
              <w:rPr>
                <w:rFonts w:ascii="Arial" w:cs="Arial" w:eastAsia="Arial" w:hAnsi="Arial"/>
                <w:sz w:val="18"/>
                <w:szCs w:val="18"/>
                <w:b w:val="1"/>
                <w:bCs w:val="1"/>
                <w:color w:val="auto"/>
              </w:rPr>
              <w:t>44.5</w:t>
            </w:r>
          </w:p>
        </w:tc>
        <w:tc>
          <w:tcPr>
            <w:tcW w:w="900" w:type="dxa"/>
            <w:vAlign w:val="bottom"/>
          </w:tcPr>
          <w:p>
            <w:pPr>
              <w:jc w:val="right"/>
              <w:ind w:right="130"/>
              <w:spacing w:after="0"/>
              <w:rPr>
                <w:sz w:val="20"/>
                <w:szCs w:val="20"/>
                <w:color w:val="auto"/>
              </w:rPr>
            </w:pPr>
            <w:r>
              <w:rPr>
                <w:rFonts w:ascii="Arial" w:cs="Arial" w:eastAsia="Arial" w:hAnsi="Arial"/>
                <w:sz w:val="18"/>
                <w:szCs w:val="18"/>
                <w:color w:val="auto"/>
              </w:rPr>
              <w:t>44.4</w:t>
            </w:r>
          </w:p>
        </w:tc>
      </w:tr>
      <w:tr>
        <w:trPr>
          <w:trHeight w:val="270"/>
        </w:trPr>
        <w:tc>
          <w:tcPr>
            <w:tcW w:w="6040" w:type="dxa"/>
            <w:vAlign w:val="bottom"/>
          </w:tcPr>
          <w:p>
            <w:pPr>
              <w:ind w:left="40"/>
              <w:spacing w:after="0"/>
              <w:rPr>
                <w:sz w:val="20"/>
                <w:szCs w:val="20"/>
                <w:color w:val="auto"/>
              </w:rPr>
            </w:pPr>
            <w:r>
              <w:rPr>
                <w:rFonts w:ascii="Arial" w:cs="Arial" w:eastAsia="Arial" w:hAnsi="Arial"/>
                <w:sz w:val="18"/>
                <w:szCs w:val="18"/>
                <w:color w:val="auto"/>
              </w:rPr>
              <w:t>Weighted average shares outstanding - diluted</w:t>
            </w:r>
          </w:p>
        </w:tc>
        <w:tc>
          <w:tcPr>
            <w:tcW w:w="2620" w:type="dxa"/>
            <w:vAlign w:val="bottom"/>
          </w:tcPr>
          <w:p>
            <w:pPr>
              <w:jc w:val="right"/>
              <w:ind w:right="110"/>
              <w:spacing w:after="0"/>
              <w:rPr>
                <w:sz w:val="20"/>
                <w:szCs w:val="20"/>
                <w:color w:val="auto"/>
              </w:rPr>
            </w:pPr>
            <w:r>
              <w:rPr>
                <w:rFonts w:ascii="Arial" w:cs="Arial" w:eastAsia="Arial" w:hAnsi="Arial"/>
                <w:sz w:val="18"/>
                <w:szCs w:val="18"/>
                <w:b w:val="1"/>
                <w:bCs w:val="1"/>
                <w:color w:val="auto"/>
              </w:rPr>
              <w:t>45.2</w:t>
            </w:r>
          </w:p>
        </w:tc>
        <w:tc>
          <w:tcPr>
            <w:tcW w:w="900" w:type="dxa"/>
            <w:vAlign w:val="bottom"/>
          </w:tcPr>
          <w:p>
            <w:pPr>
              <w:jc w:val="right"/>
              <w:ind w:right="110"/>
              <w:spacing w:after="0"/>
              <w:rPr>
                <w:sz w:val="20"/>
                <w:szCs w:val="20"/>
                <w:color w:val="auto"/>
              </w:rPr>
            </w:pPr>
            <w:r>
              <w:rPr>
                <w:rFonts w:ascii="Arial" w:cs="Arial" w:eastAsia="Arial" w:hAnsi="Arial"/>
                <w:sz w:val="18"/>
                <w:szCs w:val="18"/>
                <w:color w:val="auto"/>
              </w:rPr>
              <w:t>44.4</w:t>
            </w:r>
          </w:p>
        </w:tc>
        <w:tc>
          <w:tcPr>
            <w:tcW w:w="960" w:type="dxa"/>
            <w:vAlign w:val="bottom"/>
          </w:tcPr>
          <w:p>
            <w:pPr>
              <w:jc w:val="right"/>
              <w:ind w:right="110"/>
              <w:spacing w:after="0"/>
              <w:rPr>
                <w:sz w:val="20"/>
                <w:szCs w:val="20"/>
                <w:color w:val="auto"/>
              </w:rPr>
            </w:pPr>
            <w:r>
              <w:rPr>
                <w:rFonts w:ascii="Arial" w:cs="Arial" w:eastAsia="Arial" w:hAnsi="Arial"/>
                <w:sz w:val="18"/>
                <w:szCs w:val="18"/>
                <w:b w:val="1"/>
                <w:bCs w:val="1"/>
                <w:color w:val="auto"/>
              </w:rPr>
              <w:t>45.2</w:t>
            </w:r>
          </w:p>
        </w:tc>
        <w:tc>
          <w:tcPr>
            <w:tcW w:w="900" w:type="dxa"/>
            <w:vAlign w:val="bottom"/>
          </w:tcPr>
          <w:p>
            <w:pPr>
              <w:jc w:val="right"/>
              <w:ind w:right="130"/>
              <w:spacing w:after="0"/>
              <w:rPr>
                <w:sz w:val="20"/>
                <w:szCs w:val="20"/>
                <w:color w:val="auto"/>
              </w:rPr>
            </w:pPr>
            <w:r>
              <w:rPr>
                <w:rFonts w:ascii="Arial" w:cs="Arial" w:eastAsia="Arial" w:hAnsi="Arial"/>
                <w:sz w:val="18"/>
                <w:szCs w:val="18"/>
                <w:color w:val="auto"/>
              </w:rPr>
              <w:t>44.4</w:t>
            </w:r>
          </w:p>
        </w:tc>
      </w:tr>
      <w:tr>
        <w:trPr>
          <w:trHeight w:val="34"/>
        </w:trPr>
        <w:tc>
          <w:tcPr>
            <w:tcW w:w="6040" w:type="dxa"/>
            <w:vAlign w:val="bottom"/>
            <w:tcBorders>
              <w:bottom w:val="single" w:sz="8" w:color="auto"/>
            </w:tcBorders>
          </w:tcPr>
          <w:p>
            <w:pPr>
              <w:spacing w:after="0"/>
              <w:rPr>
                <w:sz w:val="2"/>
                <w:szCs w:val="2"/>
                <w:color w:val="auto"/>
              </w:rPr>
            </w:pPr>
          </w:p>
        </w:tc>
        <w:tc>
          <w:tcPr>
            <w:tcW w:w="26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205740</wp:posOffset>
            </wp:positionV>
            <wp:extent cx="7246620" cy="171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344" w:lineRule="exact"/>
        <w:rPr>
          <w:sz w:val="20"/>
          <w:szCs w:val="20"/>
          <w:color w:val="auto"/>
        </w:rPr>
      </w:pPr>
    </w:p>
    <w:p>
      <w:pPr>
        <w:ind w:left="40" w:right="380" w:hanging="5"/>
        <w:spacing w:after="0" w:line="227" w:lineRule="auto"/>
        <w:tabs>
          <w:tab w:leader="none" w:pos="232" w:val="left"/>
        </w:tabs>
        <w:numPr>
          <w:ilvl w:val="0"/>
          <w:numId w:val="9"/>
        </w:numPr>
        <w:rPr>
          <w:rFonts w:ascii="Arial" w:cs="Arial" w:eastAsia="Arial" w:hAnsi="Arial"/>
          <w:sz w:val="24"/>
          <w:szCs w:val="24"/>
          <w:color w:val="auto"/>
          <w:vertAlign w:val="superscript"/>
        </w:rPr>
      </w:pPr>
      <w:r>
        <w:rPr>
          <w:rFonts w:ascii="Arial" w:cs="Arial" w:eastAsia="Arial" w:hAnsi="Arial"/>
          <w:sz w:val="17"/>
          <w:szCs w:val="17"/>
          <w:color w:val="auto"/>
        </w:rPr>
        <w:t>EBIT is defined as net income (loss) before interest expense and income taxes. EBIT is an important financial measure used in the management of the business,</w:t>
      </w:r>
    </w:p>
    <w:p>
      <w:pPr>
        <w:ind w:left="40" w:right="240"/>
        <w:spacing w:after="0" w:line="250" w:lineRule="auto"/>
        <w:rPr>
          <w:rFonts w:ascii="Arial" w:cs="Arial" w:eastAsia="Arial" w:hAnsi="Arial"/>
          <w:sz w:val="24"/>
          <w:szCs w:val="24"/>
          <w:color w:val="auto"/>
          <w:vertAlign w:val="superscript"/>
        </w:rPr>
      </w:pPr>
      <w:r>
        <w:rPr>
          <w:rFonts w:ascii="Arial" w:cs="Arial" w:eastAsia="Arial" w:hAnsi="Arial"/>
          <w:sz w:val="18"/>
          <w:szCs w:val="18"/>
          <w:color w:val="auto"/>
        </w:rPr>
        <w:t>including decisions concerning the allocation of resources and assessment of performance. Management believes that reporting EBIT is useful to investors as this measure</w:t>
      </w:r>
    </w:p>
    <w:p>
      <w:pPr>
        <w:ind w:left="40"/>
        <w:spacing w:after="0"/>
        <w:rPr>
          <w:rFonts w:ascii="Arial" w:cs="Arial" w:eastAsia="Arial" w:hAnsi="Arial"/>
          <w:sz w:val="24"/>
          <w:szCs w:val="24"/>
          <w:color w:val="auto"/>
          <w:vertAlign w:val="superscript"/>
        </w:rPr>
      </w:pPr>
      <w:r>
        <w:rPr>
          <w:rFonts w:ascii="Arial" w:cs="Arial" w:eastAsia="Arial" w:hAnsi="Arial"/>
          <w:sz w:val="18"/>
          <w:szCs w:val="18"/>
          <w:color w:val="auto"/>
        </w:rPr>
        <w:t>is representative of the Company's performance.</w:t>
      </w:r>
    </w:p>
    <w:p>
      <w:pPr>
        <w:spacing w:after="0" w:line="75" w:lineRule="exact"/>
        <w:rPr>
          <w:rFonts w:ascii="Arial" w:cs="Arial" w:eastAsia="Arial" w:hAnsi="Arial"/>
          <w:sz w:val="24"/>
          <w:szCs w:val="24"/>
          <w:color w:val="auto"/>
          <w:vertAlign w:val="superscript"/>
        </w:rPr>
      </w:pPr>
    </w:p>
    <w:p>
      <w:pPr>
        <w:ind w:left="40" w:right="580" w:hanging="5"/>
        <w:spacing w:after="0" w:line="258" w:lineRule="auto"/>
        <w:tabs>
          <w:tab w:leader="none" w:pos="209" w:val="left"/>
        </w:tabs>
        <w:numPr>
          <w:ilvl w:val="0"/>
          <w:numId w:val="9"/>
        </w:numPr>
        <w:rPr>
          <w:rFonts w:ascii="Arial" w:cs="Arial" w:eastAsia="Arial" w:hAnsi="Arial"/>
          <w:sz w:val="21"/>
          <w:szCs w:val="21"/>
          <w:color w:val="auto"/>
          <w:vertAlign w:val="superscript"/>
        </w:rPr>
      </w:pPr>
      <w:r>
        <w:rPr>
          <w:rFonts w:ascii="Arial" w:cs="Arial" w:eastAsia="Arial" w:hAnsi="Arial"/>
          <w:sz w:val="15"/>
          <w:szCs w:val="15"/>
          <w:color w:val="auto"/>
        </w:rPr>
        <w:t>Common share equivalents for shares issuable for equity-based awards for the three and nine months ended September 30, 2017 and common share equivalents for</w:t>
      </w:r>
    </w:p>
    <w:p>
      <w:pPr>
        <w:spacing w:after="0" w:line="1" w:lineRule="exact"/>
        <w:rPr>
          <w:rFonts w:ascii="Arial" w:cs="Arial" w:eastAsia="Arial" w:hAnsi="Arial"/>
          <w:sz w:val="21"/>
          <w:szCs w:val="21"/>
          <w:color w:val="auto"/>
          <w:vertAlign w:val="superscript"/>
        </w:rPr>
      </w:pPr>
    </w:p>
    <w:p>
      <w:pPr>
        <w:ind w:left="40" w:right="560"/>
        <w:spacing w:after="0" w:line="250" w:lineRule="auto"/>
        <w:rPr>
          <w:rFonts w:ascii="Arial" w:cs="Arial" w:eastAsia="Arial" w:hAnsi="Arial"/>
          <w:sz w:val="21"/>
          <w:szCs w:val="21"/>
          <w:color w:val="auto"/>
          <w:vertAlign w:val="superscript"/>
        </w:rPr>
      </w:pPr>
      <w:r>
        <w:rPr>
          <w:rFonts w:ascii="Arial" w:cs="Arial" w:eastAsia="Arial" w:hAnsi="Arial"/>
          <w:sz w:val="18"/>
          <w:szCs w:val="18"/>
          <w:color w:val="auto"/>
        </w:rPr>
        <w:t>shares issuable upon the conversion of outstanding convertible notes for all periods presented were excluded from the computation of diluted earnings (loss) per share</w:t>
      </w:r>
    </w:p>
    <w:p>
      <w:pPr>
        <w:ind w:left="40"/>
        <w:spacing w:after="0"/>
        <w:rPr>
          <w:rFonts w:ascii="Arial" w:cs="Arial" w:eastAsia="Arial" w:hAnsi="Arial"/>
          <w:sz w:val="21"/>
          <w:szCs w:val="21"/>
          <w:color w:val="auto"/>
          <w:vertAlign w:val="superscript"/>
        </w:rPr>
      </w:pPr>
      <w:r>
        <w:rPr>
          <w:rFonts w:ascii="Arial" w:cs="Arial" w:eastAsia="Arial" w:hAnsi="Arial"/>
          <w:sz w:val="18"/>
          <w:szCs w:val="18"/>
          <w:color w:val="auto"/>
        </w:rPr>
        <w:t>because the effect of their inclusion would have been anti-dilutive.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22860</wp:posOffset>
            </wp:positionV>
            <wp:extent cx="7246620" cy="171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46620"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-713740</wp:posOffset>
            </wp:positionV>
            <wp:extent cx="7246620" cy="171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27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Table Page 1</w:t>
      </w:r>
    </w:p>
    <w:p>
      <w:pPr>
        <w:sectPr>
          <w:pgSz w:w="11900" w:h="16838" w:orient="portrait"/>
          <w:cols w:equalWidth="0" w:num="1">
            <w:col w:w="11420"/>
          </w:cols>
          <w:pgMar w:left="240" w:top="1040" w:right="239" w:bottom="1440" w:gutter="0" w:footer="0" w:header="0"/>
        </w:sectPr>
      </w:pPr>
    </w:p>
    <w:bookmarkStart w:id="11" w:name="page12"/>
    <w:bookmarkEnd w:id="11"/>
    <w:p>
      <w:pPr>
        <w:ind w:left="40"/>
        <w:spacing w:after="0"/>
        <w:rPr>
          <w:sz w:val="20"/>
          <w:szCs w:val="20"/>
          <w:color w:val="auto"/>
        </w:rPr>
      </w:pPr>
      <w:r>
        <w:rPr>
          <w:rFonts w:ascii="Arial" w:cs="Arial" w:eastAsia="Arial" w:hAnsi="Arial"/>
          <w:sz w:val="16"/>
          <w:szCs w:val="16"/>
          <w:b w:val="1"/>
          <w:bCs w:val="1"/>
          <w:color w:val="auto"/>
        </w:rPr>
        <w:drawing>
          <wp:anchor simplePos="0" relativeHeight="251657728" behindDoc="1" locked="0" layoutInCell="0" allowOverlap="1">
            <wp:simplePos x="0" y="0"/>
            <wp:positionH relativeFrom="page">
              <wp:posOffset>2481580</wp:posOffset>
            </wp:positionH>
            <wp:positionV relativeFrom="page">
              <wp:posOffset>88900</wp:posOffset>
            </wp:positionV>
            <wp:extent cx="2598420" cy="3257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clrChange>
                        <a:clrFrom>
                          <a:srgbClr val="FFFFFF"/>
                        </a:clrFrom>
                        <a:clrTo>
                          <a:srgbClr val="FFFFFF">
                            <a:alpha val="0"/>
                          </a:srgbClr>
                        </a:clrTo>
                      </a:clrChange>
                      <a:extLst>
                        <a:ext uri="{28A0092B-C50C-407E-A947-70E740481C1C}"/>
                      </a:extLst>
                    </a:blip>
                    <a:srcRect/>
                    <a:stretch>
                      <a:fillRect/>
                    </a:stretch>
                  </pic:blipFill>
                  <pic:spPr bwMode="auto">
                    <a:xfrm>
                      <a:off x="0" y="0"/>
                      <a:ext cx="2598420" cy="325755"/>
                    </a:xfrm>
                    <a:prstGeom prst="rect">
                      <a:avLst/>
                    </a:prstGeom>
                    <a:noFill/>
                  </pic:spPr>
                </pic:pic>
              </a:graphicData>
            </a:graphic>
          </wp:anchor>
        </w:drawing>
        <w:t>CONDENSED CONSOLIDATED BALANCE SHEETS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37465</wp:posOffset>
            </wp:positionV>
            <wp:extent cx="7246620"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66"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6140" w:type="dxa"/>
            <w:vAlign w:val="bottom"/>
          </w:tcPr>
          <w:p>
            <w:pPr>
              <w:spacing w:after="0"/>
              <w:rPr>
                <w:sz w:val="17"/>
                <w:szCs w:val="17"/>
                <w:color w:val="auto"/>
              </w:rPr>
            </w:pPr>
          </w:p>
        </w:tc>
        <w:tc>
          <w:tcPr>
            <w:tcW w:w="4200" w:type="dxa"/>
            <w:vAlign w:val="bottom"/>
          </w:tcPr>
          <w:p>
            <w:pPr>
              <w:jc w:val="right"/>
              <w:ind w:right="99"/>
              <w:spacing w:after="0"/>
              <w:rPr>
                <w:sz w:val="20"/>
                <w:szCs w:val="20"/>
                <w:color w:val="auto"/>
              </w:rPr>
            </w:pPr>
            <w:r>
              <w:rPr>
                <w:rFonts w:ascii="Arial" w:cs="Arial" w:eastAsia="Arial" w:hAnsi="Arial"/>
                <w:sz w:val="16"/>
                <w:szCs w:val="16"/>
                <w:b w:val="1"/>
                <w:bCs w:val="1"/>
                <w:color w:val="auto"/>
              </w:rPr>
              <w:t>September</w:t>
            </w:r>
          </w:p>
        </w:tc>
        <w:tc>
          <w:tcPr>
            <w:tcW w:w="1080" w:type="dxa"/>
            <w:vAlign w:val="bottom"/>
          </w:tcPr>
          <w:p>
            <w:pPr>
              <w:jc w:val="right"/>
              <w:spacing w:after="0"/>
              <w:rPr>
                <w:sz w:val="20"/>
                <w:szCs w:val="20"/>
                <w:color w:val="auto"/>
              </w:rPr>
            </w:pPr>
            <w:r>
              <w:rPr>
                <w:rFonts w:ascii="Arial" w:cs="Arial" w:eastAsia="Arial" w:hAnsi="Arial"/>
                <w:sz w:val="16"/>
                <w:szCs w:val="16"/>
                <w:b w:val="1"/>
                <w:bCs w:val="1"/>
                <w:color w:val="auto"/>
                <w:w w:val="97"/>
              </w:rPr>
              <w:t>December 31,</w:t>
            </w:r>
          </w:p>
        </w:tc>
      </w:tr>
      <w:tr>
        <w:trPr>
          <w:trHeight w:val="210"/>
        </w:trPr>
        <w:tc>
          <w:tcPr>
            <w:tcW w:w="6140" w:type="dxa"/>
            <w:vAlign w:val="bottom"/>
          </w:tcPr>
          <w:p>
            <w:pPr>
              <w:ind w:left="80"/>
              <w:spacing w:after="0"/>
              <w:rPr>
                <w:sz w:val="20"/>
                <w:szCs w:val="20"/>
                <w:color w:val="auto"/>
              </w:rPr>
            </w:pPr>
            <w:r>
              <w:rPr>
                <w:rFonts w:ascii="Arial" w:cs="Arial" w:eastAsia="Arial" w:hAnsi="Arial"/>
                <w:sz w:val="16"/>
                <w:szCs w:val="16"/>
                <w:b w:val="1"/>
                <w:bCs w:val="1"/>
                <w:color w:val="auto"/>
              </w:rPr>
              <w:t>(Dollars in millions) (Unaudited)</w:t>
            </w:r>
          </w:p>
        </w:tc>
        <w:tc>
          <w:tcPr>
            <w:tcW w:w="4200" w:type="dxa"/>
            <w:vAlign w:val="bottom"/>
          </w:tcPr>
          <w:p>
            <w:pPr>
              <w:jc w:val="right"/>
              <w:ind w:right="199"/>
              <w:spacing w:after="0"/>
              <w:rPr>
                <w:sz w:val="20"/>
                <w:szCs w:val="20"/>
                <w:color w:val="auto"/>
              </w:rPr>
            </w:pPr>
            <w:r>
              <w:rPr>
                <w:rFonts w:ascii="Arial" w:cs="Arial" w:eastAsia="Arial" w:hAnsi="Arial"/>
                <w:sz w:val="16"/>
                <w:szCs w:val="16"/>
                <w:b w:val="1"/>
                <w:bCs w:val="1"/>
                <w:color w:val="auto"/>
              </w:rPr>
              <w:t>30, 2018</w:t>
            </w:r>
          </w:p>
        </w:tc>
        <w:tc>
          <w:tcPr>
            <w:tcW w:w="1080" w:type="dxa"/>
            <w:vAlign w:val="bottom"/>
          </w:tcPr>
          <w:p>
            <w:pPr>
              <w:jc w:val="right"/>
              <w:ind w:right="259"/>
              <w:spacing w:after="0"/>
              <w:rPr>
                <w:sz w:val="20"/>
                <w:szCs w:val="20"/>
                <w:color w:val="auto"/>
              </w:rPr>
            </w:pPr>
            <w:r>
              <w:rPr>
                <w:rFonts w:ascii="Arial" w:cs="Arial" w:eastAsia="Arial" w:hAnsi="Arial"/>
                <w:sz w:val="16"/>
                <w:szCs w:val="16"/>
                <w:b w:val="1"/>
                <w:bCs w:val="1"/>
                <w:color w:val="auto"/>
              </w:rPr>
              <w:t>2017</w:t>
            </w:r>
          </w:p>
        </w:tc>
      </w:tr>
      <w:tr>
        <w:trPr>
          <w:trHeight w:val="33"/>
        </w:trPr>
        <w:tc>
          <w:tcPr>
            <w:tcW w:w="6140" w:type="dxa"/>
            <w:vAlign w:val="bottom"/>
            <w:tcBorders>
              <w:bottom w:val="single" w:sz="8" w:color="auto"/>
            </w:tcBorders>
          </w:tcPr>
          <w:p>
            <w:pPr>
              <w:spacing w:after="0"/>
              <w:rPr>
                <w:sz w:val="2"/>
                <w:szCs w:val="2"/>
                <w:color w:val="auto"/>
              </w:rPr>
            </w:pPr>
          </w:p>
        </w:tc>
        <w:tc>
          <w:tcPr>
            <w:tcW w:w="42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r>
      <w:tr>
        <w:trPr>
          <w:trHeight w:val="231"/>
        </w:trPr>
        <w:tc>
          <w:tcPr>
            <w:tcW w:w="6140" w:type="dxa"/>
            <w:vAlign w:val="bottom"/>
          </w:tcPr>
          <w:p>
            <w:pPr>
              <w:ind w:left="40"/>
              <w:spacing w:after="0"/>
              <w:rPr>
                <w:sz w:val="20"/>
                <w:szCs w:val="20"/>
                <w:color w:val="auto"/>
              </w:rPr>
            </w:pPr>
            <w:r>
              <w:rPr>
                <w:rFonts w:ascii="Arial" w:cs="Arial" w:eastAsia="Arial" w:hAnsi="Arial"/>
                <w:sz w:val="16"/>
                <w:szCs w:val="16"/>
                <w:b w:val="1"/>
                <w:bCs w:val="1"/>
                <w:color w:val="auto"/>
              </w:rPr>
              <w:t>ASSETS</w:t>
            </w:r>
          </w:p>
        </w:tc>
        <w:tc>
          <w:tcPr>
            <w:tcW w:w="4200" w:type="dxa"/>
            <w:vAlign w:val="bottom"/>
          </w:tcPr>
          <w:p>
            <w:pPr>
              <w:spacing w:after="0"/>
              <w:rPr>
                <w:sz w:val="20"/>
                <w:szCs w:val="20"/>
                <w:color w:val="auto"/>
              </w:rPr>
            </w:pPr>
          </w:p>
        </w:tc>
        <w:tc>
          <w:tcPr>
            <w:tcW w:w="1080" w:type="dxa"/>
            <w:vAlign w:val="bottom"/>
          </w:tcPr>
          <w:p>
            <w:pPr>
              <w:spacing w:after="0"/>
              <w:rPr>
                <w:sz w:val="20"/>
                <w:szCs w:val="20"/>
                <w:color w:val="auto"/>
              </w:rPr>
            </w:pPr>
          </w:p>
        </w:tc>
      </w:tr>
      <w:tr>
        <w:trPr>
          <w:trHeight w:val="270"/>
        </w:trPr>
        <w:tc>
          <w:tcPr>
            <w:tcW w:w="6140" w:type="dxa"/>
            <w:vAlign w:val="bottom"/>
          </w:tcPr>
          <w:p>
            <w:pPr>
              <w:ind w:left="180"/>
              <w:spacing w:after="0"/>
              <w:rPr>
                <w:sz w:val="20"/>
                <w:szCs w:val="20"/>
                <w:color w:val="auto"/>
              </w:rPr>
            </w:pPr>
            <w:r>
              <w:rPr>
                <w:rFonts w:ascii="Arial" w:cs="Arial" w:eastAsia="Arial" w:hAnsi="Arial"/>
                <w:sz w:val="16"/>
                <w:szCs w:val="16"/>
                <w:color w:val="auto"/>
              </w:rPr>
              <w:t>Cash and cash equivalents</w:t>
            </w:r>
          </w:p>
        </w:tc>
        <w:tc>
          <w:tcPr>
            <w:tcW w:w="4200" w:type="dxa"/>
            <w:vAlign w:val="bottom"/>
          </w:tcPr>
          <w:p>
            <w:pPr>
              <w:jc w:val="right"/>
              <w:ind w:right="59"/>
              <w:spacing w:after="0"/>
              <w:rPr>
                <w:sz w:val="20"/>
                <w:szCs w:val="20"/>
                <w:color w:val="auto"/>
              </w:rPr>
            </w:pPr>
            <w:r>
              <w:rPr>
                <w:rFonts w:ascii="Arial" w:cs="Arial" w:eastAsia="Arial" w:hAnsi="Arial"/>
                <w:sz w:val="16"/>
                <w:szCs w:val="16"/>
                <w:b w:val="1"/>
                <w:bCs w:val="1"/>
                <w:color w:val="auto"/>
              </w:rPr>
              <w:t>$27.0</w:t>
            </w: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$24.5</w:t>
            </w:r>
          </w:p>
        </w:tc>
      </w:tr>
      <w:tr>
        <w:trPr>
          <w:trHeight w:val="270"/>
        </w:trPr>
        <w:tc>
          <w:tcPr>
            <w:tcW w:w="6140" w:type="dxa"/>
            <w:vAlign w:val="bottom"/>
          </w:tcPr>
          <w:p>
            <w:pPr>
              <w:ind w:left="180"/>
              <w:spacing w:after="0"/>
              <w:rPr>
                <w:sz w:val="20"/>
                <w:szCs w:val="20"/>
                <w:color w:val="auto"/>
              </w:rPr>
            </w:pPr>
            <w:r>
              <w:rPr>
                <w:rFonts w:ascii="Arial" w:cs="Arial" w:eastAsia="Arial" w:hAnsi="Arial"/>
                <w:sz w:val="16"/>
                <w:szCs w:val="16"/>
                <w:color w:val="auto"/>
              </w:rPr>
              <w:t>Accounts receivable, net of allowances</w:t>
            </w:r>
          </w:p>
        </w:tc>
        <w:tc>
          <w:tcPr>
            <w:tcW w:w="4200" w:type="dxa"/>
            <w:vAlign w:val="bottom"/>
          </w:tcPr>
          <w:p>
            <w:pPr>
              <w:jc w:val="right"/>
              <w:ind w:right="59"/>
              <w:spacing w:after="0"/>
              <w:rPr>
                <w:sz w:val="20"/>
                <w:szCs w:val="20"/>
                <w:color w:val="auto"/>
              </w:rPr>
            </w:pPr>
            <w:r>
              <w:rPr>
                <w:rFonts w:ascii="Arial" w:cs="Arial" w:eastAsia="Arial" w:hAnsi="Arial"/>
                <w:sz w:val="16"/>
                <w:szCs w:val="16"/>
                <w:b w:val="1"/>
                <w:bCs w:val="1"/>
                <w:color w:val="auto"/>
              </w:rPr>
              <w:t>172.1</w:t>
            </w: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149.8</w:t>
            </w:r>
          </w:p>
        </w:tc>
      </w:tr>
      <w:tr>
        <w:trPr>
          <w:trHeight w:val="270"/>
        </w:trPr>
        <w:tc>
          <w:tcPr>
            <w:tcW w:w="6140" w:type="dxa"/>
            <w:vAlign w:val="bottom"/>
          </w:tcPr>
          <w:p>
            <w:pPr>
              <w:ind w:left="180"/>
              <w:spacing w:after="0"/>
              <w:rPr>
                <w:sz w:val="20"/>
                <w:szCs w:val="20"/>
                <w:color w:val="auto"/>
              </w:rPr>
            </w:pPr>
            <w:r>
              <w:rPr>
                <w:rFonts w:ascii="Arial" w:cs="Arial" w:eastAsia="Arial" w:hAnsi="Arial"/>
                <w:sz w:val="16"/>
                <w:szCs w:val="16"/>
                <w:color w:val="auto"/>
              </w:rPr>
              <w:t>Inventories, net</w:t>
            </w:r>
          </w:p>
        </w:tc>
        <w:tc>
          <w:tcPr>
            <w:tcW w:w="4200" w:type="dxa"/>
            <w:vAlign w:val="bottom"/>
          </w:tcPr>
          <w:p>
            <w:pPr>
              <w:jc w:val="right"/>
              <w:ind w:right="59"/>
              <w:spacing w:after="0"/>
              <w:rPr>
                <w:sz w:val="20"/>
                <w:szCs w:val="20"/>
                <w:color w:val="auto"/>
              </w:rPr>
            </w:pPr>
            <w:r>
              <w:rPr>
                <w:rFonts w:ascii="Arial" w:cs="Arial" w:eastAsia="Arial" w:hAnsi="Arial"/>
                <w:sz w:val="16"/>
                <w:szCs w:val="16"/>
                <w:b w:val="1"/>
                <w:bCs w:val="1"/>
                <w:color w:val="auto"/>
              </w:rPr>
              <w:t>285.3</w:t>
            </w: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224.0</w:t>
            </w:r>
          </w:p>
        </w:tc>
      </w:tr>
      <w:tr>
        <w:trPr>
          <w:trHeight w:val="270"/>
        </w:trPr>
        <w:tc>
          <w:tcPr>
            <w:tcW w:w="6140" w:type="dxa"/>
            <w:vAlign w:val="bottom"/>
          </w:tcPr>
          <w:p>
            <w:pPr>
              <w:ind w:left="180"/>
              <w:spacing w:after="0"/>
              <w:rPr>
                <w:sz w:val="20"/>
                <w:szCs w:val="20"/>
                <w:color w:val="auto"/>
              </w:rPr>
            </w:pPr>
            <w:r>
              <w:rPr>
                <w:rFonts w:ascii="Arial" w:cs="Arial" w:eastAsia="Arial" w:hAnsi="Arial"/>
                <w:sz w:val="16"/>
                <w:szCs w:val="16"/>
                <w:color w:val="auto"/>
              </w:rPr>
              <w:t>Deferred charges and prepaid expenses</w:t>
            </w:r>
          </w:p>
        </w:tc>
        <w:tc>
          <w:tcPr>
            <w:tcW w:w="4200" w:type="dxa"/>
            <w:vAlign w:val="bottom"/>
          </w:tcPr>
          <w:p>
            <w:pPr>
              <w:jc w:val="right"/>
              <w:ind w:right="59"/>
              <w:spacing w:after="0"/>
              <w:rPr>
                <w:sz w:val="20"/>
                <w:szCs w:val="20"/>
                <w:color w:val="auto"/>
              </w:rPr>
            </w:pPr>
            <w:r>
              <w:rPr>
                <w:rFonts w:ascii="Arial" w:cs="Arial" w:eastAsia="Arial" w:hAnsi="Arial"/>
                <w:sz w:val="16"/>
                <w:szCs w:val="16"/>
                <w:b w:val="1"/>
                <w:bCs w:val="1"/>
                <w:color w:val="auto"/>
              </w:rPr>
              <w:t>4.7</w:t>
            </w: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3.9</w:t>
            </w:r>
          </w:p>
        </w:tc>
      </w:tr>
      <w:tr>
        <w:trPr>
          <w:trHeight w:val="270"/>
        </w:trPr>
        <w:tc>
          <w:tcPr>
            <w:tcW w:w="6140" w:type="dxa"/>
            <w:vAlign w:val="bottom"/>
          </w:tcPr>
          <w:p>
            <w:pPr>
              <w:ind w:left="180"/>
              <w:spacing w:after="0"/>
              <w:rPr>
                <w:sz w:val="20"/>
                <w:szCs w:val="20"/>
                <w:color w:val="auto"/>
              </w:rPr>
            </w:pPr>
            <w:r>
              <w:rPr>
                <w:rFonts w:ascii="Arial" w:cs="Arial" w:eastAsia="Arial" w:hAnsi="Arial"/>
                <w:sz w:val="16"/>
                <w:szCs w:val="16"/>
                <w:color w:val="auto"/>
              </w:rPr>
              <w:t>Other current assets</w:t>
            </w:r>
          </w:p>
        </w:tc>
        <w:tc>
          <w:tcPr>
            <w:tcW w:w="4200" w:type="dxa"/>
            <w:vAlign w:val="bottom"/>
          </w:tcPr>
          <w:p>
            <w:pPr>
              <w:jc w:val="right"/>
              <w:ind w:right="59"/>
              <w:spacing w:after="0"/>
              <w:rPr>
                <w:sz w:val="20"/>
                <w:szCs w:val="20"/>
                <w:color w:val="auto"/>
              </w:rPr>
            </w:pPr>
            <w:r>
              <w:rPr>
                <w:rFonts w:ascii="Arial" w:cs="Arial" w:eastAsia="Arial" w:hAnsi="Arial"/>
                <w:sz w:val="16"/>
                <w:szCs w:val="16"/>
                <w:b w:val="1"/>
                <w:bCs w:val="1"/>
                <w:color w:val="auto"/>
              </w:rPr>
              <w:t>8.3</w:t>
            </w: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8.0</w:t>
            </w:r>
          </w:p>
        </w:tc>
      </w:tr>
      <w:tr>
        <w:trPr>
          <w:trHeight w:val="33"/>
        </w:trPr>
        <w:tc>
          <w:tcPr>
            <w:tcW w:w="6140" w:type="dxa"/>
            <w:vAlign w:val="bottom"/>
            <w:tcBorders>
              <w:bottom w:val="single" w:sz="8" w:color="auto"/>
            </w:tcBorders>
          </w:tcPr>
          <w:p>
            <w:pPr>
              <w:spacing w:after="0"/>
              <w:rPr>
                <w:sz w:val="2"/>
                <w:szCs w:val="2"/>
                <w:color w:val="auto"/>
              </w:rPr>
            </w:pPr>
          </w:p>
        </w:tc>
        <w:tc>
          <w:tcPr>
            <w:tcW w:w="42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r>
      <w:tr>
        <w:trPr>
          <w:trHeight w:val="231"/>
        </w:trPr>
        <w:tc>
          <w:tcPr>
            <w:tcW w:w="6140" w:type="dxa"/>
            <w:vAlign w:val="bottom"/>
          </w:tcPr>
          <w:p>
            <w:pPr>
              <w:ind w:left="280"/>
              <w:spacing w:after="0"/>
              <w:rPr>
                <w:sz w:val="20"/>
                <w:szCs w:val="20"/>
                <w:color w:val="auto"/>
              </w:rPr>
            </w:pPr>
            <w:r>
              <w:rPr>
                <w:rFonts w:ascii="Arial" w:cs="Arial" w:eastAsia="Arial" w:hAnsi="Arial"/>
                <w:sz w:val="16"/>
                <w:szCs w:val="16"/>
                <w:color w:val="auto"/>
              </w:rPr>
              <w:t>Total Current Assets</w:t>
            </w:r>
          </w:p>
        </w:tc>
        <w:tc>
          <w:tcPr>
            <w:tcW w:w="4200" w:type="dxa"/>
            <w:vAlign w:val="bottom"/>
          </w:tcPr>
          <w:p>
            <w:pPr>
              <w:jc w:val="right"/>
              <w:ind w:right="59"/>
              <w:spacing w:after="0"/>
              <w:rPr>
                <w:sz w:val="20"/>
                <w:szCs w:val="20"/>
                <w:color w:val="auto"/>
              </w:rPr>
            </w:pPr>
            <w:r>
              <w:rPr>
                <w:rFonts w:ascii="Arial" w:cs="Arial" w:eastAsia="Arial" w:hAnsi="Arial"/>
                <w:sz w:val="16"/>
                <w:szCs w:val="16"/>
                <w:b w:val="1"/>
                <w:bCs w:val="1"/>
                <w:color w:val="auto"/>
              </w:rPr>
              <w:t>497.4</w:t>
            </w: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410.2</w:t>
            </w:r>
          </w:p>
        </w:tc>
      </w:tr>
      <w:tr>
        <w:trPr>
          <w:trHeight w:val="270"/>
        </w:trPr>
        <w:tc>
          <w:tcPr>
            <w:tcW w:w="6140" w:type="dxa"/>
            <w:vAlign w:val="bottom"/>
          </w:tcPr>
          <w:p>
            <w:pPr>
              <w:ind w:left="180"/>
              <w:spacing w:after="0"/>
              <w:rPr>
                <w:sz w:val="20"/>
                <w:szCs w:val="20"/>
                <w:color w:val="auto"/>
              </w:rPr>
            </w:pPr>
            <w:r>
              <w:rPr>
                <w:rFonts w:ascii="Arial" w:cs="Arial" w:eastAsia="Arial" w:hAnsi="Arial"/>
                <w:sz w:val="16"/>
                <w:szCs w:val="16"/>
                <w:color w:val="auto"/>
              </w:rPr>
              <w:t>Property, Plant and Equipment, net</w:t>
            </w:r>
          </w:p>
        </w:tc>
        <w:tc>
          <w:tcPr>
            <w:tcW w:w="4200" w:type="dxa"/>
            <w:vAlign w:val="bottom"/>
          </w:tcPr>
          <w:p>
            <w:pPr>
              <w:jc w:val="right"/>
              <w:ind w:right="59"/>
              <w:spacing w:after="0"/>
              <w:rPr>
                <w:sz w:val="20"/>
                <w:szCs w:val="20"/>
                <w:color w:val="auto"/>
              </w:rPr>
            </w:pPr>
            <w:r>
              <w:rPr>
                <w:rFonts w:ascii="Arial" w:cs="Arial" w:eastAsia="Arial" w:hAnsi="Arial"/>
                <w:sz w:val="16"/>
                <w:szCs w:val="16"/>
                <w:b w:val="1"/>
                <w:bCs w:val="1"/>
                <w:color w:val="auto"/>
              </w:rPr>
              <w:t>670.2</w:t>
            </w: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706.7</w:t>
            </w:r>
          </w:p>
        </w:tc>
      </w:tr>
      <w:tr>
        <w:trPr>
          <w:trHeight w:val="270"/>
        </w:trPr>
        <w:tc>
          <w:tcPr>
            <w:tcW w:w="6140" w:type="dxa"/>
            <w:vAlign w:val="bottom"/>
          </w:tcPr>
          <w:p>
            <w:pPr>
              <w:ind w:left="180"/>
              <w:spacing w:after="0"/>
              <w:rPr>
                <w:sz w:val="20"/>
                <w:szCs w:val="20"/>
                <w:color w:val="auto"/>
              </w:rPr>
            </w:pPr>
            <w:r>
              <w:rPr>
                <w:rFonts w:ascii="Arial" w:cs="Arial" w:eastAsia="Arial" w:hAnsi="Arial"/>
                <w:sz w:val="16"/>
                <w:szCs w:val="16"/>
                <w:color w:val="auto"/>
              </w:rPr>
              <w:t>Pension assets</w:t>
            </w:r>
          </w:p>
        </w:tc>
        <w:tc>
          <w:tcPr>
            <w:tcW w:w="4200" w:type="dxa"/>
            <w:vAlign w:val="bottom"/>
          </w:tcPr>
          <w:p>
            <w:pPr>
              <w:jc w:val="right"/>
              <w:ind w:right="59"/>
              <w:spacing w:after="0"/>
              <w:rPr>
                <w:sz w:val="20"/>
                <w:szCs w:val="20"/>
                <w:color w:val="auto"/>
              </w:rPr>
            </w:pPr>
            <w:r>
              <w:rPr>
                <w:rFonts w:ascii="Arial" w:cs="Arial" w:eastAsia="Arial" w:hAnsi="Arial"/>
                <w:sz w:val="16"/>
                <w:szCs w:val="16"/>
                <w:b w:val="1"/>
                <w:bCs w:val="1"/>
                <w:color w:val="auto"/>
              </w:rPr>
              <w:t>18.0</w:t>
            </w: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14.6</w:t>
            </w:r>
          </w:p>
        </w:tc>
      </w:tr>
      <w:tr>
        <w:trPr>
          <w:trHeight w:val="270"/>
        </w:trPr>
        <w:tc>
          <w:tcPr>
            <w:tcW w:w="6140" w:type="dxa"/>
            <w:vAlign w:val="bottom"/>
          </w:tcPr>
          <w:p>
            <w:pPr>
              <w:ind w:left="180"/>
              <w:spacing w:after="0"/>
              <w:rPr>
                <w:sz w:val="20"/>
                <w:szCs w:val="20"/>
                <w:color w:val="auto"/>
              </w:rPr>
            </w:pPr>
            <w:r>
              <w:rPr>
                <w:rFonts w:ascii="Arial" w:cs="Arial" w:eastAsia="Arial" w:hAnsi="Arial"/>
                <w:sz w:val="16"/>
                <w:szCs w:val="16"/>
                <w:color w:val="auto"/>
              </w:rPr>
              <w:t>Intangible assets, net</w:t>
            </w:r>
          </w:p>
        </w:tc>
        <w:tc>
          <w:tcPr>
            <w:tcW w:w="4200" w:type="dxa"/>
            <w:vAlign w:val="bottom"/>
          </w:tcPr>
          <w:p>
            <w:pPr>
              <w:jc w:val="right"/>
              <w:ind w:right="59"/>
              <w:spacing w:after="0"/>
              <w:rPr>
                <w:sz w:val="20"/>
                <w:szCs w:val="20"/>
                <w:color w:val="auto"/>
              </w:rPr>
            </w:pPr>
            <w:r>
              <w:rPr>
                <w:rFonts w:ascii="Arial" w:cs="Arial" w:eastAsia="Arial" w:hAnsi="Arial"/>
                <w:sz w:val="16"/>
                <w:szCs w:val="16"/>
                <w:b w:val="1"/>
                <w:bCs w:val="1"/>
                <w:color w:val="auto"/>
              </w:rPr>
              <w:t>16.8</w:t>
            </w: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19.9</w:t>
            </w:r>
          </w:p>
        </w:tc>
      </w:tr>
      <w:tr>
        <w:trPr>
          <w:trHeight w:val="270"/>
        </w:trPr>
        <w:tc>
          <w:tcPr>
            <w:tcW w:w="6140" w:type="dxa"/>
            <w:vAlign w:val="bottom"/>
          </w:tcPr>
          <w:p>
            <w:pPr>
              <w:ind w:left="180"/>
              <w:spacing w:after="0"/>
              <w:rPr>
                <w:sz w:val="20"/>
                <w:szCs w:val="20"/>
                <w:color w:val="auto"/>
              </w:rPr>
            </w:pPr>
            <w:r>
              <w:rPr>
                <w:rFonts w:ascii="Arial" w:cs="Arial" w:eastAsia="Arial" w:hAnsi="Arial"/>
                <w:sz w:val="16"/>
                <w:szCs w:val="16"/>
                <w:color w:val="auto"/>
              </w:rPr>
              <w:t>Other non-current assets</w:t>
            </w:r>
          </w:p>
        </w:tc>
        <w:tc>
          <w:tcPr>
            <w:tcW w:w="4200" w:type="dxa"/>
            <w:vAlign w:val="bottom"/>
          </w:tcPr>
          <w:p>
            <w:pPr>
              <w:jc w:val="right"/>
              <w:ind w:right="59"/>
              <w:spacing w:after="0"/>
              <w:rPr>
                <w:sz w:val="20"/>
                <w:szCs w:val="20"/>
                <w:color w:val="auto"/>
              </w:rPr>
            </w:pPr>
            <w:r>
              <w:rPr>
                <w:rFonts w:ascii="Arial" w:cs="Arial" w:eastAsia="Arial" w:hAnsi="Arial"/>
                <w:sz w:val="16"/>
                <w:szCs w:val="16"/>
                <w:b w:val="1"/>
                <w:bCs w:val="1"/>
                <w:color w:val="auto"/>
              </w:rPr>
              <w:t>4.9</w:t>
            </w: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5.2</w:t>
            </w:r>
          </w:p>
        </w:tc>
      </w:tr>
      <w:tr>
        <w:trPr>
          <w:trHeight w:val="33"/>
        </w:trPr>
        <w:tc>
          <w:tcPr>
            <w:tcW w:w="6140" w:type="dxa"/>
            <w:vAlign w:val="bottom"/>
            <w:tcBorders>
              <w:bottom w:val="single" w:sz="8" w:color="auto"/>
            </w:tcBorders>
          </w:tcPr>
          <w:p>
            <w:pPr>
              <w:spacing w:after="0"/>
              <w:rPr>
                <w:sz w:val="2"/>
                <w:szCs w:val="2"/>
                <w:color w:val="auto"/>
              </w:rPr>
            </w:pPr>
          </w:p>
        </w:tc>
        <w:tc>
          <w:tcPr>
            <w:tcW w:w="42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r>
      <w:tr>
        <w:trPr>
          <w:trHeight w:val="231"/>
        </w:trPr>
        <w:tc>
          <w:tcPr>
            <w:tcW w:w="6140" w:type="dxa"/>
            <w:vAlign w:val="bottom"/>
          </w:tcPr>
          <w:p>
            <w:pPr>
              <w:ind w:left="280"/>
              <w:spacing w:after="0"/>
              <w:rPr>
                <w:sz w:val="20"/>
                <w:szCs w:val="20"/>
                <w:color w:val="auto"/>
              </w:rPr>
            </w:pPr>
            <w:r>
              <w:rPr>
                <w:rFonts w:ascii="Arial" w:cs="Arial" w:eastAsia="Arial" w:hAnsi="Arial"/>
                <w:sz w:val="16"/>
                <w:szCs w:val="16"/>
                <w:color w:val="auto"/>
              </w:rPr>
              <w:t>Total Other Assets</w:t>
            </w:r>
          </w:p>
        </w:tc>
        <w:tc>
          <w:tcPr>
            <w:tcW w:w="4200" w:type="dxa"/>
            <w:vAlign w:val="bottom"/>
          </w:tcPr>
          <w:p>
            <w:pPr>
              <w:jc w:val="right"/>
              <w:ind w:right="59"/>
              <w:spacing w:after="0"/>
              <w:rPr>
                <w:sz w:val="20"/>
                <w:szCs w:val="20"/>
                <w:color w:val="auto"/>
              </w:rPr>
            </w:pPr>
            <w:r>
              <w:rPr>
                <w:rFonts w:ascii="Arial" w:cs="Arial" w:eastAsia="Arial" w:hAnsi="Arial"/>
                <w:sz w:val="16"/>
                <w:szCs w:val="16"/>
                <w:b w:val="1"/>
                <w:bCs w:val="1"/>
                <w:color w:val="auto"/>
              </w:rPr>
              <w:t>39.7</w:t>
            </w: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39.7</w:t>
            </w:r>
          </w:p>
        </w:tc>
      </w:tr>
      <w:tr>
        <w:trPr>
          <w:trHeight w:val="33"/>
        </w:trPr>
        <w:tc>
          <w:tcPr>
            <w:tcW w:w="6140" w:type="dxa"/>
            <w:vAlign w:val="bottom"/>
            <w:tcBorders>
              <w:bottom w:val="single" w:sz="8" w:color="auto"/>
            </w:tcBorders>
          </w:tcPr>
          <w:p>
            <w:pPr>
              <w:spacing w:after="0"/>
              <w:rPr>
                <w:sz w:val="2"/>
                <w:szCs w:val="2"/>
                <w:color w:val="auto"/>
              </w:rPr>
            </w:pPr>
          </w:p>
        </w:tc>
        <w:tc>
          <w:tcPr>
            <w:tcW w:w="42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r>
      <w:tr>
        <w:trPr>
          <w:trHeight w:val="231"/>
        </w:trPr>
        <w:tc>
          <w:tcPr>
            <w:tcW w:w="6140" w:type="dxa"/>
            <w:vAlign w:val="bottom"/>
          </w:tcPr>
          <w:p>
            <w:pPr>
              <w:ind w:left="40"/>
              <w:spacing w:after="0"/>
              <w:rPr>
                <w:sz w:val="20"/>
                <w:szCs w:val="20"/>
                <w:color w:val="auto"/>
              </w:rPr>
            </w:pPr>
            <w:r>
              <w:rPr>
                <w:rFonts w:ascii="Arial" w:cs="Arial" w:eastAsia="Arial" w:hAnsi="Arial"/>
                <w:sz w:val="16"/>
                <w:szCs w:val="16"/>
                <w:color w:val="auto"/>
              </w:rPr>
              <w:t>Total Assets</w:t>
            </w:r>
          </w:p>
        </w:tc>
        <w:tc>
          <w:tcPr>
            <w:tcW w:w="4200" w:type="dxa"/>
            <w:vAlign w:val="bottom"/>
          </w:tcPr>
          <w:p>
            <w:pPr>
              <w:jc w:val="right"/>
              <w:ind w:right="59"/>
              <w:spacing w:after="0"/>
              <w:rPr>
                <w:sz w:val="20"/>
                <w:szCs w:val="20"/>
                <w:color w:val="auto"/>
              </w:rPr>
            </w:pPr>
            <w:r>
              <w:rPr>
                <w:rFonts w:ascii="Arial" w:cs="Arial" w:eastAsia="Arial" w:hAnsi="Arial"/>
                <w:sz w:val="16"/>
                <w:szCs w:val="16"/>
                <w:b w:val="1"/>
                <w:bCs w:val="1"/>
                <w:color w:val="auto"/>
              </w:rPr>
              <w:t>$1,207.3</w:t>
            </w: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$1,156.6</w:t>
            </w:r>
          </w:p>
        </w:tc>
      </w:tr>
      <w:tr>
        <w:trPr>
          <w:trHeight w:val="40"/>
        </w:trPr>
        <w:tc>
          <w:tcPr>
            <w:tcW w:w="6140" w:type="dxa"/>
            <w:vAlign w:val="bottom"/>
            <w:tcBorders>
              <w:bottom w:val="single" w:sz="8" w:color="auto"/>
            </w:tcBorders>
          </w:tcPr>
          <w:p>
            <w:pPr>
              <w:spacing w:after="0"/>
              <w:rPr>
                <w:sz w:val="3"/>
                <w:szCs w:val="3"/>
                <w:color w:val="auto"/>
              </w:rPr>
            </w:pPr>
          </w:p>
        </w:tc>
        <w:tc>
          <w:tcPr>
            <w:tcW w:w="4200" w:type="dxa"/>
            <w:vAlign w:val="bottom"/>
            <w:tcBorders>
              <w:bottom w:val="single" w:sz="8" w:color="auto"/>
            </w:tcBorders>
          </w:tcPr>
          <w:p>
            <w:pPr>
              <w:spacing w:after="0"/>
              <w:rPr>
                <w:sz w:val="3"/>
                <w:szCs w:val="3"/>
                <w:color w:val="auto"/>
              </w:rPr>
            </w:pPr>
          </w:p>
        </w:tc>
        <w:tc>
          <w:tcPr>
            <w:tcW w:w="1080" w:type="dxa"/>
            <w:vAlign w:val="bottom"/>
            <w:tcBorders>
              <w:bottom w:val="single" w:sz="8" w:color="auto"/>
            </w:tcBorders>
          </w:tcPr>
          <w:p>
            <w:pPr>
              <w:spacing w:after="0"/>
              <w:rPr>
                <w:sz w:val="3"/>
                <w:szCs w:val="3"/>
                <w:color w:val="auto"/>
              </w:rPr>
            </w:pPr>
          </w:p>
        </w:tc>
      </w:tr>
      <w:tr>
        <w:trPr>
          <w:trHeight w:val="507"/>
        </w:trPr>
        <w:tc>
          <w:tcPr>
            <w:tcW w:w="6140" w:type="dxa"/>
            <w:vAlign w:val="bottom"/>
          </w:tcPr>
          <w:p>
            <w:pPr>
              <w:ind w:left="40"/>
              <w:spacing w:after="0"/>
              <w:rPr>
                <w:sz w:val="20"/>
                <w:szCs w:val="20"/>
                <w:color w:val="auto"/>
              </w:rPr>
            </w:pPr>
            <w:r>
              <w:rPr>
                <w:rFonts w:ascii="Arial" w:cs="Arial" w:eastAsia="Arial" w:hAnsi="Arial"/>
                <w:sz w:val="16"/>
                <w:szCs w:val="16"/>
                <w:b w:val="1"/>
                <w:bCs w:val="1"/>
                <w:color w:val="auto"/>
              </w:rPr>
              <w:t>LIABILITIES</w:t>
            </w:r>
          </w:p>
        </w:tc>
        <w:tc>
          <w:tcPr>
            <w:tcW w:w="4200" w:type="dxa"/>
            <w:vAlign w:val="bottom"/>
          </w:tcPr>
          <w:p>
            <w:pPr>
              <w:spacing w:after="0"/>
              <w:rPr>
                <w:sz w:val="24"/>
                <w:szCs w:val="24"/>
                <w:color w:val="auto"/>
              </w:rPr>
            </w:pPr>
          </w:p>
        </w:tc>
        <w:tc>
          <w:tcPr>
            <w:tcW w:w="1080" w:type="dxa"/>
            <w:vAlign w:val="bottom"/>
          </w:tcPr>
          <w:p>
            <w:pPr>
              <w:spacing w:after="0"/>
              <w:rPr>
                <w:sz w:val="24"/>
                <w:szCs w:val="24"/>
                <w:color w:val="auto"/>
              </w:rPr>
            </w:pPr>
          </w:p>
        </w:tc>
      </w:tr>
      <w:tr>
        <w:trPr>
          <w:trHeight w:val="270"/>
        </w:trPr>
        <w:tc>
          <w:tcPr>
            <w:tcW w:w="6140" w:type="dxa"/>
            <w:vAlign w:val="bottom"/>
          </w:tcPr>
          <w:p>
            <w:pPr>
              <w:ind w:left="180"/>
              <w:spacing w:after="0"/>
              <w:rPr>
                <w:sz w:val="20"/>
                <w:szCs w:val="20"/>
                <w:color w:val="auto"/>
              </w:rPr>
            </w:pPr>
            <w:r>
              <w:rPr>
                <w:rFonts w:ascii="Arial" w:cs="Arial" w:eastAsia="Arial" w:hAnsi="Arial"/>
                <w:sz w:val="16"/>
                <w:szCs w:val="16"/>
                <w:color w:val="auto"/>
              </w:rPr>
              <w:t>Accounts payable</w:t>
            </w:r>
          </w:p>
        </w:tc>
        <w:tc>
          <w:tcPr>
            <w:tcW w:w="4200" w:type="dxa"/>
            <w:vAlign w:val="bottom"/>
          </w:tcPr>
          <w:p>
            <w:pPr>
              <w:jc w:val="right"/>
              <w:ind w:right="59"/>
              <w:spacing w:after="0"/>
              <w:rPr>
                <w:sz w:val="20"/>
                <w:szCs w:val="20"/>
                <w:color w:val="auto"/>
              </w:rPr>
            </w:pPr>
            <w:r>
              <w:rPr>
                <w:rFonts w:ascii="Arial" w:cs="Arial" w:eastAsia="Arial" w:hAnsi="Arial"/>
                <w:sz w:val="16"/>
                <w:szCs w:val="16"/>
                <w:b w:val="1"/>
                <w:bCs w:val="1"/>
                <w:color w:val="auto"/>
              </w:rPr>
              <w:t>$138.8</w:t>
            </w: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$135.3</w:t>
            </w:r>
          </w:p>
        </w:tc>
      </w:tr>
      <w:tr>
        <w:trPr>
          <w:trHeight w:val="270"/>
        </w:trPr>
        <w:tc>
          <w:tcPr>
            <w:tcW w:w="6140" w:type="dxa"/>
            <w:vAlign w:val="bottom"/>
          </w:tcPr>
          <w:p>
            <w:pPr>
              <w:ind w:left="180"/>
              <w:spacing w:after="0"/>
              <w:rPr>
                <w:sz w:val="20"/>
                <w:szCs w:val="20"/>
                <w:color w:val="auto"/>
              </w:rPr>
            </w:pPr>
            <w:r>
              <w:rPr>
                <w:rFonts w:ascii="Arial" w:cs="Arial" w:eastAsia="Arial" w:hAnsi="Arial"/>
                <w:sz w:val="16"/>
                <w:szCs w:val="16"/>
                <w:color w:val="auto"/>
              </w:rPr>
              <w:t>Salaries, wages and benefits</w:t>
            </w:r>
          </w:p>
        </w:tc>
        <w:tc>
          <w:tcPr>
            <w:tcW w:w="4200" w:type="dxa"/>
            <w:vAlign w:val="bottom"/>
          </w:tcPr>
          <w:p>
            <w:pPr>
              <w:jc w:val="right"/>
              <w:ind w:right="59"/>
              <w:spacing w:after="0"/>
              <w:rPr>
                <w:sz w:val="20"/>
                <w:szCs w:val="20"/>
                <w:color w:val="auto"/>
              </w:rPr>
            </w:pPr>
            <w:r>
              <w:rPr>
                <w:rFonts w:ascii="Arial" w:cs="Arial" w:eastAsia="Arial" w:hAnsi="Arial"/>
                <w:sz w:val="16"/>
                <w:szCs w:val="16"/>
                <w:b w:val="1"/>
                <w:bCs w:val="1"/>
                <w:color w:val="auto"/>
              </w:rPr>
              <w:t>32.2</w:t>
            </w: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32.4</w:t>
            </w:r>
          </w:p>
        </w:tc>
      </w:tr>
      <w:tr>
        <w:trPr>
          <w:trHeight w:val="270"/>
        </w:trPr>
        <w:tc>
          <w:tcPr>
            <w:tcW w:w="6140" w:type="dxa"/>
            <w:vAlign w:val="bottom"/>
          </w:tcPr>
          <w:p>
            <w:pPr>
              <w:ind w:left="180"/>
              <w:spacing w:after="0"/>
              <w:rPr>
                <w:sz w:val="20"/>
                <w:szCs w:val="20"/>
                <w:color w:val="auto"/>
              </w:rPr>
            </w:pPr>
            <w:r>
              <w:rPr>
                <w:rFonts w:ascii="Arial" w:cs="Arial" w:eastAsia="Arial" w:hAnsi="Arial"/>
                <w:sz w:val="16"/>
                <w:szCs w:val="16"/>
                <w:color w:val="auto"/>
              </w:rPr>
              <w:t>Accrued pension and postretirement costs</w:t>
            </w:r>
          </w:p>
        </w:tc>
        <w:tc>
          <w:tcPr>
            <w:tcW w:w="4200" w:type="dxa"/>
            <w:vAlign w:val="bottom"/>
          </w:tcPr>
          <w:p>
            <w:pPr>
              <w:jc w:val="right"/>
              <w:ind w:right="59"/>
              <w:spacing w:after="0"/>
              <w:rPr>
                <w:sz w:val="20"/>
                <w:szCs w:val="20"/>
                <w:color w:val="auto"/>
              </w:rPr>
            </w:pPr>
            <w:r>
              <w:rPr>
                <w:rFonts w:ascii="Arial" w:cs="Arial" w:eastAsia="Arial" w:hAnsi="Arial"/>
                <w:sz w:val="16"/>
                <w:szCs w:val="16"/>
                <w:b w:val="1"/>
                <w:bCs w:val="1"/>
                <w:color w:val="auto"/>
              </w:rPr>
              <w:t>2.9</w:t>
            </w: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11.5</w:t>
            </w:r>
          </w:p>
        </w:tc>
      </w:tr>
      <w:tr>
        <w:trPr>
          <w:trHeight w:val="270"/>
        </w:trPr>
        <w:tc>
          <w:tcPr>
            <w:tcW w:w="6140" w:type="dxa"/>
            <w:vAlign w:val="bottom"/>
          </w:tcPr>
          <w:p>
            <w:pPr>
              <w:ind w:left="180"/>
              <w:spacing w:after="0"/>
              <w:rPr>
                <w:sz w:val="20"/>
                <w:szCs w:val="20"/>
                <w:color w:val="auto"/>
              </w:rPr>
            </w:pPr>
            <w:r>
              <w:rPr>
                <w:rFonts w:ascii="Arial" w:cs="Arial" w:eastAsia="Arial" w:hAnsi="Arial"/>
                <w:sz w:val="16"/>
                <w:szCs w:val="16"/>
                <w:color w:val="auto"/>
              </w:rPr>
              <w:t>Other current liabilities</w:t>
            </w:r>
          </w:p>
        </w:tc>
        <w:tc>
          <w:tcPr>
            <w:tcW w:w="4200" w:type="dxa"/>
            <w:vAlign w:val="bottom"/>
          </w:tcPr>
          <w:p>
            <w:pPr>
              <w:jc w:val="right"/>
              <w:ind w:right="59"/>
              <w:spacing w:after="0"/>
              <w:rPr>
                <w:sz w:val="20"/>
                <w:szCs w:val="20"/>
                <w:color w:val="auto"/>
              </w:rPr>
            </w:pPr>
            <w:r>
              <w:rPr>
                <w:rFonts w:ascii="Arial" w:cs="Arial" w:eastAsia="Arial" w:hAnsi="Arial"/>
                <w:sz w:val="16"/>
                <w:szCs w:val="16"/>
                <w:b w:val="1"/>
                <w:bCs w:val="1"/>
                <w:color w:val="auto"/>
              </w:rPr>
              <w:t>22.7</w:t>
            </w: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27.6</w:t>
            </w:r>
          </w:p>
        </w:tc>
      </w:tr>
      <w:tr>
        <w:trPr>
          <w:trHeight w:val="33"/>
        </w:trPr>
        <w:tc>
          <w:tcPr>
            <w:tcW w:w="6140" w:type="dxa"/>
            <w:vAlign w:val="bottom"/>
            <w:tcBorders>
              <w:bottom w:val="single" w:sz="8" w:color="auto"/>
            </w:tcBorders>
          </w:tcPr>
          <w:p>
            <w:pPr>
              <w:spacing w:after="0"/>
              <w:rPr>
                <w:sz w:val="2"/>
                <w:szCs w:val="2"/>
                <w:color w:val="auto"/>
              </w:rPr>
            </w:pPr>
          </w:p>
        </w:tc>
        <w:tc>
          <w:tcPr>
            <w:tcW w:w="42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r>
      <w:tr>
        <w:trPr>
          <w:trHeight w:val="231"/>
        </w:trPr>
        <w:tc>
          <w:tcPr>
            <w:tcW w:w="6140" w:type="dxa"/>
            <w:vAlign w:val="bottom"/>
          </w:tcPr>
          <w:p>
            <w:pPr>
              <w:ind w:left="280"/>
              <w:spacing w:after="0"/>
              <w:rPr>
                <w:sz w:val="20"/>
                <w:szCs w:val="20"/>
                <w:color w:val="auto"/>
              </w:rPr>
            </w:pPr>
            <w:r>
              <w:rPr>
                <w:rFonts w:ascii="Arial" w:cs="Arial" w:eastAsia="Arial" w:hAnsi="Arial"/>
                <w:sz w:val="16"/>
                <w:szCs w:val="16"/>
                <w:color w:val="auto"/>
              </w:rPr>
              <w:t>Total Current Liabilities</w:t>
            </w:r>
          </w:p>
        </w:tc>
        <w:tc>
          <w:tcPr>
            <w:tcW w:w="4200" w:type="dxa"/>
            <w:vAlign w:val="bottom"/>
          </w:tcPr>
          <w:p>
            <w:pPr>
              <w:jc w:val="right"/>
              <w:ind w:right="59"/>
              <w:spacing w:after="0"/>
              <w:rPr>
                <w:sz w:val="20"/>
                <w:szCs w:val="20"/>
                <w:color w:val="auto"/>
              </w:rPr>
            </w:pPr>
            <w:r>
              <w:rPr>
                <w:rFonts w:ascii="Arial" w:cs="Arial" w:eastAsia="Arial" w:hAnsi="Arial"/>
                <w:sz w:val="16"/>
                <w:szCs w:val="16"/>
                <w:b w:val="1"/>
                <w:bCs w:val="1"/>
                <w:color w:val="auto"/>
              </w:rPr>
              <w:t>196.6</w:t>
            </w: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206.8</w:t>
            </w:r>
          </w:p>
        </w:tc>
      </w:tr>
      <w:tr>
        <w:trPr>
          <w:trHeight w:val="270"/>
        </w:trPr>
        <w:tc>
          <w:tcPr>
            <w:tcW w:w="6140" w:type="dxa"/>
            <w:vAlign w:val="bottom"/>
          </w:tcPr>
          <w:p>
            <w:pPr>
              <w:ind w:left="180"/>
              <w:spacing w:after="0"/>
              <w:rPr>
                <w:sz w:val="20"/>
                <w:szCs w:val="20"/>
                <w:color w:val="auto"/>
              </w:rPr>
            </w:pPr>
            <w:r>
              <w:rPr>
                <w:rFonts w:ascii="Arial" w:cs="Arial" w:eastAsia="Arial" w:hAnsi="Arial"/>
                <w:sz w:val="16"/>
                <w:szCs w:val="16"/>
                <w:color w:val="auto"/>
              </w:rPr>
              <w:t>Convertible notes, net</w:t>
            </w:r>
          </w:p>
        </w:tc>
        <w:tc>
          <w:tcPr>
            <w:tcW w:w="4200" w:type="dxa"/>
            <w:vAlign w:val="bottom"/>
          </w:tcPr>
          <w:p>
            <w:pPr>
              <w:jc w:val="right"/>
              <w:ind w:right="59"/>
              <w:spacing w:after="0"/>
              <w:rPr>
                <w:sz w:val="20"/>
                <w:szCs w:val="20"/>
                <w:color w:val="auto"/>
              </w:rPr>
            </w:pPr>
            <w:r>
              <w:rPr>
                <w:rFonts w:ascii="Arial" w:cs="Arial" w:eastAsia="Arial" w:hAnsi="Arial"/>
                <w:sz w:val="16"/>
                <w:szCs w:val="16"/>
                <w:b w:val="1"/>
                <w:bCs w:val="1"/>
                <w:color w:val="auto"/>
              </w:rPr>
              <w:t>73.0</w:t>
            </w: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70.1</w:t>
            </w:r>
          </w:p>
        </w:tc>
      </w:tr>
      <w:tr>
        <w:trPr>
          <w:trHeight w:val="270"/>
        </w:trPr>
        <w:tc>
          <w:tcPr>
            <w:tcW w:w="6140" w:type="dxa"/>
            <w:vAlign w:val="bottom"/>
          </w:tcPr>
          <w:p>
            <w:pPr>
              <w:ind w:left="180"/>
              <w:spacing w:after="0"/>
              <w:rPr>
                <w:sz w:val="20"/>
                <w:szCs w:val="20"/>
                <w:color w:val="auto"/>
              </w:rPr>
            </w:pPr>
            <w:r>
              <w:rPr>
                <w:rFonts w:ascii="Arial" w:cs="Arial" w:eastAsia="Arial" w:hAnsi="Arial"/>
                <w:sz w:val="16"/>
                <w:szCs w:val="16"/>
                <w:color w:val="auto"/>
              </w:rPr>
              <w:t>Other long-term debt</w:t>
            </w:r>
          </w:p>
        </w:tc>
        <w:tc>
          <w:tcPr>
            <w:tcW w:w="4200" w:type="dxa"/>
            <w:vAlign w:val="bottom"/>
          </w:tcPr>
          <w:p>
            <w:pPr>
              <w:jc w:val="right"/>
              <w:ind w:right="59"/>
              <w:spacing w:after="0"/>
              <w:rPr>
                <w:sz w:val="20"/>
                <w:szCs w:val="20"/>
                <w:color w:val="auto"/>
              </w:rPr>
            </w:pPr>
            <w:r>
              <w:rPr>
                <w:rFonts w:ascii="Arial" w:cs="Arial" w:eastAsia="Arial" w:hAnsi="Arial"/>
                <w:sz w:val="16"/>
                <w:szCs w:val="16"/>
                <w:b w:val="1"/>
                <w:bCs w:val="1"/>
                <w:color w:val="auto"/>
              </w:rPr>
              <w:t>145.0</w:t>
            </w: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95.2</w:t>
            </w:r>
          </w:p>
        </w:tc>
      </w:tr>
      <w:tr>
        <w:trPr>
          <w:trHeight w:val="270"/>
        </w:trPr>
        <w:tc>
          <w:tcPr>
            <w:tcW w:w="6140" w:type="dxa"/>
            <w:vAlign w:val="bottom"/>
          </w:tcPr>
          <w:p>
            <w:pPr>
              <w:ind w:left="180"/>
              <w:spacing w:after="0"/>
              <w:rPr>
                <w:sz w:val="20"/>
                <w:szCs w:val="20"/>
                <w:color w:val="auto"/>
              </w:rPr>
            </w:pPr>
            <w:r>
              <w:rPr>
                <w:rFonts w:ascii="Arial" w:cs="Arial" w:eastAsia="Arial" w:hAnsi="Arial"/>
                <w:sz w:val="16"/>
                <w:szCs w:val="16"/>
                <w:color w:val="auto"/>
              </w:rPr>
              <w:t>Accrued pension and postretirement costs</w:t>
            </w:r>
          </w:p>
        </w:tc>
        <w:tc>
          <w:tcPr>
            <w:tcW w:w="4200" w:type="dxa"/>
            <w:vAlign w:val="bottom"/>
          </w:tcPr>
          <w:p>
            <w:pPr>
              <w:jc w:val="right"/>
              <w:ind w:right="59"/>
              <w:spacing w:after="0"/>
              <w:rPr>
                <w:sz w:val="20"/>
                <w:szCs w:val="20"/>
                <w:color w:val="auto"/>
              </w:rPr>
            </w:pPr>
            <w:r>
              <w:rPr>
                <w:rFonts w:ascii="Arial" w:cs="Arial" w:eastAsia="Arial" w:hAnsi="Arial"/>
                <w:sz w:val="16"/>
                <w:szCs w:val="16"/>
                <w:b w:val="1"/>
                <w:bCs w:val="1"/>
                <w:color w:val="auto"/>
              </w:rPr>
              <w:t>205.9</w:t>
            </w: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210.8</w:t>
            </w:r>
          </w:p>
        </w:tc>
      </w:tr>
      <w:tr>
        <w:trPr>
          <w:trHeight w:val="270"/>
        </w:trPr>
        <w:tc>
          <w:tcPr>
            <w:tcW w:w="6140" w:type="dxa"/>
            <w:vAlign w:val="bottom"/>
          </w:tcPr>
          <w:p>
            <w:pPr>
              <w:ind w:left="180"/>
              <w:spacing w:after="0"/>
              <w:rPr>
                <w:sz w:val="20"/>
                <w:szCs w:val="20"/>
                <w:color w:val="auto"/>
              </w:rPr>
            </w:pPr>
            <w:r>
              <w:rPr>
                <w:rFonts w:ascii="Arial" w:cs="Arial" w:eastAsia="Arial" w:hAnsi="Arial"/>
                <w:sz w:val="16"/>
                <w:szCs w:val="16"/>
                <w:color w:val="auto"/>
              </w:rPr>
              <w:t>Deferred income taxes</w:t>
            </w:r>
          </w:p>
        </w:tc>
        <w:tc>
          <w:tcPr>
            <w:tcW w:w="4200" w:type="dxa"/>
            <w:vAlign w:val="bottom"/>
          </w:tcPr>
          <w:p>
            <w:pPr>
              <w:jc w:val="right"/>
              <w:ind w:right="59"/>
              <w:spacing w:after="0"/>
              <w:rPr>
                <w:sz w:val="20"/>
                <w:szCs w:val="20"/>
                <w:color w:val="auto"/>
              </w:rPr>
            </w:pPr>
            <w:r>
              <w:rPr>
                <w:rFonts w:ascii="Arial" w:cs="Arial" w:eastAsia="Arial" w:hAnsi="Arial"/>
                <w:sz w:val="16"/>
                <w:szCs w:val="16"/>
                <w:b w:val="1"/>
                <w:bCs w:val="1"/>
                <w:color w:val="auto"/>
              </w:rPr>
              <w:t>0.6</w:t>
            </w: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0.3</w:t>
            </w:r>
          </w:p>
        </w:tc>
      </w:tr>
      <w:tr>
        <w:trPr>
          <w:trHeight w:val="270"/>
        </w:trPr>
        <w:tc>
          <w:tcPr>
            <w:tcW w:w="6140" w:type="dxa"/>
            <w:vAlign w:val="bottom"/>
          </w:tcPr>
          <w:p>
            <w:pPr>
              <w:ind w:left="180"/>
              <w:spacing w:after="0"/>
              <w:rPr>
                <w:sz w:val="20"/>
                <w:szCs w:val="20"/>
                <w:color w:val="auto"/>
              </w:rPr>
            </w:pPr>
            <w:r>
              <w:rPr>
                <w:rFonts w:ascii="Arial" w:cs="Arial" w:eastAsia="Arial" w:hAnsi="Arial"/>
                <w:sz w:val="16"/>
                <w:szCs w:val="16"/>
                <w:color w:val="auto"/>
              </w:rPr>
              <w:t>Other non-current liabilities</w:t>
            </w:r>
          </w:p>
        </w:tc>
        <w:tc>
          <w:tcPr>
            <w:tcW w:w="4200" w:type="dxa"/>
            <w:vAlign w:val="bottom"/>
          </w:tcPr>
          <w:p>
            <w:pPr>
              <w:jc w:val="right"/>
              <w:ind w:right="59"/>
              <w:spacing w:after="0"/>
              <w:rPr>
                <w:sz w:val="20"/>
                <w:szCs w:val="20"/>
                <w:color w:val="auto"/>
              </w:rPr>
            </w:pPr>
            <w:r>
              <w:rPr>
                <w:rFonts w:ascii="Arial" w:cs="Arial" w:eastAsia="Arial" w:hAnsi="Arial"/>
                <w:sz w:val="16"/>
                <w:szCs w:val="16"/>
                <w:b w:val="1"/>
                <w:bCs w:val="1"/>
                <w:color w:val="auto"/>
              </w:rPr>
              <w:t>11.9</w:t>
            </w: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12.7</w:t>
            </w:r>
          </w:p>
        </w:tc>
      </w:tr>
      <w:tr>
        <w:trPr>
          <w:trHeight w:val="33"/>
        </w:trPr>
        <w:tc>
          <w:tcPr>
            <w:tcW w:w="6140" w:type="dxa"/>
            <w:vAlign w:val="bottom"/>
            <w:tcBorders>
              <w:bottom w:val="single" w:sz="8" w:color="auto"/>
            </w:tcBorders>
          </w:tcPr>
          <w:p>
            <w:pPr>
              <w:spacing w:after="0"/>
              <w:rPr>
                <w:sz w:val="2"/>
                <w:szCs w:val="2"/>
                <w:color w:val="auto"/>
              </w:rPr>
            </w:pPr>
          </w:p>
        </w:tc>
        <w:tc>
          <w:tcPr>
            <w:tcW w:w="42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r>
      <w:tr>
        <w:trPr>
          <w:trHeight w:val="231"/>
        </w:trPr>
        <w:tc>
          <w:tcPr>
            <w:tcW w:w="6140" w:type="dxa"/>
            <w:vAlign w:val="bottom"/>
          </w:tcPr>
          <w:p>
            <w:pPr>
              <w:ind w:left="280"/>
              <w:spacing w:after="0"/>
              <w:rPr>
                <w:sz w:val="20"/>
                <w:szCs w:val="20"/>
                <w:color w:val="auto"/>
              </w:rPr>
            </w:pPr>
            <w:r>
              <w:rPr>
                <w:rFonts w:ascii="Arial" w:cs="Arial" w:eastAsia="Arial" w:hAnsi="Arial"/>
                <w:sz w:val="16"/>
                <w:szCs w:val="16"/>
                <w:color w:val="auto"/>
              </w:rPr>
              <w:t>Total Non-Current Liabilities</w:t>
            </w:r>
          </w:p>
        </w:tc>
        <w:tc>
          <w:tcPr>
            <w:tcW w:w="4200" w:type="dxa"/>
            <w:vAlign w:val="bottom"/>
          </w:tcPr>
          <w:p>
            <w:pPr>
              <w:jc w:val="right"/>
              <w:ind w:right="59"/>
              <w:spacing w:after="0"/>
              <w:rPr>
                <w:sz w:val="20"/>
                <w:szCs w:val="20"/>
                <w:color w:val="auto"/>
              </w:rPr>
            </w:pPr>
            <w:r>
              <w:rPr>
                <w:rFonts w:ascii="Arial" w:cs="Arial" w:eastAsia="Arial" w:hAnsi="Arial"/>
                <w:sz w:val="16"/>
                <w:szCs w:val="16"/>
                <w:b w:val="1"/>
                <w:bCs w:val="1"/>
                <w:color w:val="auto"/>
              </w:rPr>
              <w:t>436.4</w:t>
            </w: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389.1</w:t>
            </w:r>
          </w:p>
        </w:tc>
      </w:tr>
      <w:tr>
        <w:trPr>
          <w:trHeight w:val="270"/>
        </w:trPr>
        <w:tc>
          <w:tcPr>
            <w:tcW w:w="6140" w:type="dxa"/>
            <w:vAlign w:val="bottom"/>
          </w:tcPr>
          <w:p>
            <w:pPr>
              <w:ind w:left="40"/>
              <w:spacing w:after="0"/>
              <w:rPr>
                <w:sz w:val="20"/>
                <w:szCs w:val="20"/>
                <w:color w:val="auto"/>
              </w:rPr>
            </w:pPr>
            <w:r>
              <w:rPr>
                <w:rFonts w:ascii="Arial" w:cs="Arial" w:eastAsia="Arial" w:hAnsi="Arial"/>
                <w:sz w:val="16"/>
                <w:szCs w:val="16"/>
                <w:b w:val="1"/>
                <w:bCs w:val="1"/>
                <w:color w:val="auto"/>
              </w:rPr>
              <w:t>SHAREHOLDERS' EQUITY</w:t>
            </w:r>
          </w:p>
        </w:tc>
        <w:tc>
          <w:tcPr>
            <w:tcW w:w="4200" w:type="dxa"/>
            <w:vAlign w:val="bottom"/>
          </w:tcPr>
          <w:p>
            <w:pPr>
              <w:spacing w:after="0"/>
              <w:rPr>
                <w:sz w:val="23"/>
                <w:szCs w:val="23"/>
                <w:color w:val="auto"/>
              </w:rPr>
            </w:pPr>
          </w:p>
        </w:tc>
        <w:tc>
          <w:tcPr>
            <w:tcW w:w="1080" w:type="dxa"/>
            <w:vAlign w:val="bottom"/>
          </w:tcPr>
          <w:p>
            <w:pPr>
              <w:spacing w:after="0"/>
              <w:rPr>
                <w:sz w:val="23"/>
                <w:szCs w:val="23"/>
                <w:color w:val="auto"/>
              </w:rPr>
            </w:pPr>
          </w:p>
        </w:tc>
      </w:tr>
      <w:tr>
        <w:trPr>
          <w:trHeight w:val="270"/>
        </w:trPr>
        <w:tc>
          <w:tcPr>
            <w:tcW w:w="6140" w:type="dxa"/>
            <w:vAlign w:val="bottom"/>
          </w:tcPr>
          <w:p>
            <w:pPr>
              <w:ind w:left="180"/>
              <w:spacing w:after="0"/>
              <w:rPr>
                <w:sz w:val="20"/>
                <w:szCs w:val="20"/>
                <w:color w:val="auto"/>
              </w:rPr>
            </w:pPr>
            <w:r>
              <w:rPr>
                <w:rFonts w:ascii="Arial" w:cs="Arial" w:eastAsia="Arial" w:hAnsi="Arial"/>
                <w:sz w:val="16"/>
                <w:szCs w:val="16"/>
                <w:color w:val="auto"/>
              </w:rPr>
              <w:t>Additional paid-in capital</w:t>
            </w:r>
          </w:p>
        </w:tc>
        <w:tc>
          <w:tcPr>
            <w:tcW w:w="4200" w:type="dxa"/>
            <w:vAlign w:val="bottom"/>
          </w:tcPr>
          <w:p>
            <w:pPr>
              <w:jc w:val="right"/>
              <w:ind w:right="59"/>
              <w:spacing w:after="0"/>
              <w:rPr>
                <w:sz w:val="20"/>
                <w:szCs w:val="20"/>
                <w:color w:val="auto"/>
              </w:rPr>
            </w:pPr>
            <w:r>
              <w:rPr>
                <w:rFonts w:ascii="Arial" w:cs="Arial" w:eastAsia="Arial" w:hAnsi="Arial"/>
                <w:sz w:val="16"/>
                <w:szCs w:val="16"/>
                <w:b w:val="1"/>
                <w:bCs w:val="1"/>
                <w:color w:val="auto"/>
              </w:rPr>
              <w:t>844.9</w:t>
            </w: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843.7</w:t>
            </w:r>
          </w:p>
        </w:tc>
      </w:tr>
      <w:tr>
        <w:trPr>
          <w:trHeight w:val="270"/>
        </w:trPr>
        <w:tc>
          <w:tcPr>
            <w:tcW w:w="6140" w:type="dxa"/>
            <w:vAlign w:val="bottom"/>
          </w:tcPr>
          <w:p>
            <w:pPr>
              <w:ind w:left="180"/>
              <w:spacing w:after="0"/>
              <w:rPr>
                <w:sz w:val="20"/>
                <w:szCs w:val="20"/>
                <w:color w:val="auto"/>
              </w:rPr>
            </w:pPr>
            <w:r>
              <w:rPr>
                <w:rFonts w:ascii="Arial" w:cs="Arial" w:eastAsia="Arial" w:hAnsi="Arial"/>
                <w:sz w:val="16"/>
                <w:szCs w:val="16"/>
                <w:color w:val="auto"/>
              </w:rPr>
              <w:t>Retained deficit</w:t>
            </w:r>
          </w:p>
        </w:tc>
        <w:tc>
          <w:tcPr>
            <w:tcW w:w="4200" w:type="dxa"/>
            <w:vAlign w:val="bottom"/>
          </w:tcPr>
          <w:p>
            <w:pPr>
              <w:jc w:val="right"/>
              <w:ind w:right="19"/>
              <w:spacing w:after="0"/>
              <w:rPr>
                <w:sz w:val="20"/>
                <w:szCs w:val="20"/>
                <w:color w:val="auto"/>
              </w:rPr>
            </w:pPr>
            <w:r>
              <w:rPr>
                <w:rFonts w:ascii="Arial" w:cs="Arial" w:eastAsia="Arial" w:hAnsi="Arial"/>
                <w:sz w:val="16"/>
                <w:szCs w:val="16"/>
                <w:b w:val="1"/>
                <w:bCs w:val="1"/>
                <w:color w:val="auto"/>
              </w:rPr>
              <w:t>(229.6)</w:t>
            </w:r>
          </w:p>
        </w:tc>
        <w:tc>
          <w:tcPr>
            <w:tcW w:w="1080" w:type="dxa"/>
            <w:vAlign w:val="bottom"/>
          </w:tcPr>
          <w:p>
            <w:pPr>
              <w:jc w:val="right"/>
              <w:spacing w:after="0"/>
              <w:rPr>
                <w:sz w:val="20"/>
                <w:szCs w:val="20"/>
                <w:color w:val="auto"/>
              </w:rPr>
            </w:pPr>
            <w:r>
              <w:rPr>
                <w:rFonts w:ascii="Arial" w:cs="Arial" w:eastAsia="Arial" w:hAnsi="Arial"/>
                <w:sz w:val="16"/>
                <w:szCs w:val="16"/>
                <w:color w:val="auto"/>
              </w:rPr>
              <w:t>(238.0)</w:t>
            </w:r>
          </w:p>
        </w:tc>
      </w:tr>
      <w:tr>
        <w:trPr>
          <w:trHeight w:val="270"/>
        </w:trPr>
        <w:tc>
          <w:tcPr>
            <w:tcW w:w="6140" w:type="dxa"/>
            <w:vAlign w:val="bottom"/>
          </w:tcPr>
          <w:p>
            <w:pPr>
              <w:ind w:left="180"/>
              <w:spacing w:after="0"/>
              <w:rPr>
                <w:sz w:val="20"/>
                <w:szCs w:val="20"/>
                <w:color w:val="auto"/>
              </w:rPr>
            </w:pPr>
            <w:r>
              <w:rPr>
                <w:rFonts w:ascii="Arial" w:cs="Arial" w:eastAsia="Arial" w:hAnsi="Arial"/>
                <w:sz w:val="16"/>
                <w:szCs w:val="16"/>
                <w:color w:val="auto"/>
              </w:rPr>
              <w:t>Treasury shares</w:t>
            </w:r>
          </w:p>
        </w:tc>
        <w:tc>
          <w:tcPr>
            <w:tcW w:w="4200" w:type="dxa"/>
            <w:vAlign w:val="bottom"/>
          </w:tcPr>
          <w:p>
            <w:pPr>
              <w:jc w:val="right"/>
              <w:ind w:right="19"/>
              <w:spacing w:after="0"/>
              <w:rPr>
                <w:sz w:val="20"/>
                <w:szCs w:val="20"/>
                <w:color w:val="auto"/>
              </w:rPr>
            </w:pPr>
            <w:r>
              <w:rPr>
                <w:rFonts w:ascii="Arial" w:cs="Arial" w:eastAsia="Arial" w:hAnsi="Arial"/>
                <w:sz w:val="16"/>
                <w:szCs w:val="16"/>
                <w:b w:val="1"/>
                <w:bCs w:val="1"/>
                <w:color w:val="auto"/>
              </w:rPr>
              <w:t>(33.0)</w:t>
            </w:r>
          </w:p>
        </w:tc>
        <w:tc>
          <w:tcPr>
            <w:tcW w:w="1080" w:type="dxa"/>
            <w:vAlign w:val="bottom"/>
          </w:tcPr>
          <w:p>
            <w:pPr>
              <w:jc w:val="right"/>
              <w:spacing w:after="0"/>
              <w:rPr>
                <w:sz w:val="20"/>
                <w:szCs w:val="20"/>
                <w:color w:val="auto"/>
              </w:rPr>
            </w:pPr>
            <w:r>
              <w:rPr>
                <w:rFonts w:ascii="Arial" w:cs="Arial" w:eastAsia="Arial" w:hAnsi="Arial"/>
                <w:sz w:val="16"/>
                <w:szCs w:val="16"/>
                <w:color w:val="auto"/>
              </w:rPr>
              <w:t>(37.4)</w:t>
            </w:r>
          </w:p>
        </w:tc>
      </w:tr>
      <w:tr>
        <w:trPr>
          <w:trHeight w:val="270"/>
        </w:trPr>
        <w:tc>
          <w:tcPr>
            <w:tcW w:w="6140" w:type="dxa"/>
            <w:vAlign w:val="bottom"/>
          </w:tcPr>
          <w:p>
            <w:pPr>
              <w:ind w:left="180"/>
              <w:spacing w:after="0"/>
              <w:rPr>
                <w:sz w:val="20"/>
                <w:szCs w:val="20"/>
                <w:color w:val="auto"/>
              </w:rPr>
            </w:pPr>
            <w:r>
              <w:rPr>
                <w:rFonts w:ascii="Arial" w:cs="Arial" w:eastAsia="Arial" w:hAnsi="Arial"/>
                <w:sz w:val="16"/>
                <w:szCs w:val="16"/>
                <w:color w:val="auto"/>
              </w:rPr>
              <w:t>Accumulated other comprehensive loss</w:t>
            </w:r>
          </w:p>
        </w:tc>
        <w:tc>
          <w:tcPr>
            <w:tcW w:w="4200" w:type="dxa"/>
            <w:vAlign w:val="bottom"/>
          </w:tcPr>
          <w:p>
            <w:pPr>
              <w:jc w:val="right"/>
              <w:ind w:right="19"/>
              <w:spacing w:after="0"/>
              <w:rPr>
                <w:sz w:val="20"/>
                <w:szCs w:val="20"/>
                <w:color w:val="auto"/>
              </w:rPr>
            </w:pPr>
            <w:r>
              <w:rPr>
                <w:rFonts w:ascii="Arial" w:cs="Arial" w:eastAsia="Arial" w:hAnsi="Arial"/>
                <w:sz w:val="16"/>
                <w:szCs w:val="16"/>
                <w:b w:val="1"/>
                <w:bCs w:val="1"/>
                <w:color w:val="auto"/>
              </w:rPr>
              <w:t>(8.0)</w:t>
            </w:r>
          </w:p>
        </w:tc>
        <w:tc>
          <w:tcPr>
            <w:tcW w:w="1080" w:type="dxa"/>
            <w:vAlign w:val="bottom"/>
          </w:tcPr>
          <w:p>
            <w:pPr>
              <w:jc w:val="right"/>
              <w:spacing w:after="0"/>
              <w:rPr>
                <w:sz w:val="20"/>
                <w:szCs w:val="20"/>
                <w:color w:val="auto"/>
              </w:rPr>
            </w:pPr>
            <w:r>
              <w:rPr>
                <w:rFonts w:ascii="Arial" w:cs="Arial" w:eastAsia="Arial" w:hAnsi="Arial"/>
                <w:sz w:val="16"/>
                <w:szCs w:val="16"/>
                <w:color w:val="auto"/>
              </w:rPr>
              <w:t>(7.6)</w:t>
            </w:r>
          </w:p>
        </w:tc>
      </w:tr>
      <w:tr>
        <w:trPr>
          <w:trHeight w:val="33"/>
        </w:trPr>
        <w:tc>
          <w:tcPr>
            <w:tcW w:w="6140" w:type="dxa"/>
            <w:vAlign w:val="bottom"/>
            <w:tcBorders>
              <w:bottom w:val="single" w:sz="8" w:color="auto"/>
            </w:tcBorders>
          </w:tcPr>
          <w:p>
            <w:pPr>
              <w:spacing w:after="0"/>
              <w:rPr>
                <w:sz w:val="2"/>
                <w:szCs w:val="2"/>
                <w:color w:val="auto"/>
              </w:rPr>
            </w:pPr>
          </w:p>
        </w:tc>
        <w:tc>
          <w:tcPr>
            <w:tcW w:w="42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r>
      <w:tr>
        <w:trPr>
          <w:trHeight w:val="231"/>
        </w:trPr>
        <w:tc>
          <w:tcPr>
            <w:tcW w:w="6140" w:type="dxa"/>
            <w:vAlign w:val="bottom"/>
          </w:tcPr>
          <w:p>
            <w:pPr>
              <w:ind w:left="280"/>
              <w:spacing w:after="0"/>
              <w:rPr>
                <w:sz w:val="20"/>
                <w:szCs w:val="20"/>
                <w:color w:val="auto"/>
              </w:rPr>
            </w:pPr>
            <w:r>
              <w:rPr>
                <w:rFonts w:ascii="Arial" w:cs="Arial" w:eastAsia="Arial" w:hAnsi="Arial"/>
                <w:sz w:val="16"/>
                <w:szCs w:val="16"/>
                <w:color w:val="auto"/>
              </w:rPr>
              <w:t>Total Shareholders' Equity</w:t>
            </w:r>
          </w:p>
        </w:tc>
        <w:tc>
          <w:tcPr>
            <w:tcW w:w="4200" w:type="dxa"/>
            <w:vAlign w:val="bottom"/>
          </w:tcPr>
          <w:p>
            <w:pPr>
              <w:jc w:val="right"/>
              <w:ind w:right="59"/>
              <w:spacing w:after="0"/>
              <w:rPr>
                <w:sz w:val="20"/>
                <w:szCs w:val="20"/>
                <w:color w:val="auto"/>
              </w:rPr>
            </w:pPr>
            <w:r>
              <w:rPr>
                <w:rFonts w:ascii="Arial" w:cs="Arial" w:eastAsia="Arial" w:hAnsi="Arial"/>
                <w:sz w:val="16"/>
                <w:szCs w:val="16"/>
                <w:b w:val="1"/>
                <w:bCs w:val="1"/>
                <w:color w:val="auto"/>
              </w:rPr>
              <w:t>574.3</w:t>
            </w: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560.7</w:t>
            </w:r>
          </w:p>
        </w:tc>
      </w:tr>
      <w:tr>
        <w:trPr>
          <w:trHeight w:val="33"/>
        </w:trPr>
        <w:tc>
          <w:tcPr>
            <w:tcW w:w="6140" w:type="dxa"/>
            <w:vAlign w:val="bottom"/>
            <w:tcBorders>
              <w:bottom w:val="single" w:sz="8" w:color="auto"/>
            </w:tcBorders>
          </w:tcPr>
          <w:p>
            <w:pPr>
              <w:spacing w:after="0"/>
              <w:rPr>
                <w:sz w:val="2"/>
                <w:szCs w:val="2"/>
                <w:color w:val="auto"/>
              </w:rPr>
            </w:pPr>
          </w:p>
        </w:tc>
        <w:tc>
          <w:tcPr>
            <w:tcW w:w="42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r>
      <w:tr>
        <w:trPr>
          <w:trHeight w:val="231"/>
        </w:trPr>
        <w:tc>
          <w:tcPr>
            <w:tcW w:w="6140" w:type="dxa"/>
            <w:vAlign w:val="bottom"/>
          </w:tcPr>
          <w:p>
            <w:pPr>
              <w:ind w:left="40"/>
              <w:spacing w:after="0"/>
              <w:rPr>
                <w:sz w:val="20"/>
                <w:szCs w:val="20"/>
                <w:color w:val="auto"/>
              </w:rPr>
            </w:pPr>
            <w:r>
              <w:rPr>
                <w:rFonts w:ascii="Arial" w:cs="Arial" w:eastAsia="Arial" w:hAnsi="Arial"/>
                <w:sz w:val="16"/>
                <w:szCs w:val="16"/>
                <w:color w:val="auto"/>
              </w:rPr>
              <w:t>Total Liabilities and Shareholders' Equity</w:t>
            </w:r>
          </w:p>
        </w:tc>
        <w:tc>
          <w:tcPr>
            <w:tcW w:w="4200" w:type="dxa"/>
            <w:vAlign w:val="bottom"/>
          </w:tcPr>
          <w:p>
            <w:pPr>
              <w:jc w:val="right"/>
              <w:ind w:right="59"/>
              <w:spacing w:after="0"/>
              <w:rPr>
                <w:sz w:val="20"/>
                <w:szCs w:val="20"/>
                <w:color w:val="auto"/>
              </w:rPr>
            </w:pPr>
            <w:r>
              <w:rPr>
                <w:rFonts w:ascii="Arial" w:cs="Arial" w:eastAsia="Arial" w:hAnsi="Arial"/>
                <w:sz w:val="16"/>
                <w:szCs w:val="16"/>
                <w:b w:val="1"/>
                <w:bCs w:val="1"/>
                <w:color w:val="auto"/>
              </w:rPr>
              <w:t>$1,207.3</w:t>
            </w: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$1,156.6</w:t>
            </w:r>
          </w:p>
        </w:tc>
      </w:tr>
      <w:tr>
        <w:trPr>
          <w:trHeight w:val="40"/>
        </w:trPr>
        <w:tc>
          <w:tcPr>
            <w:tcW w:w="6140" w:type="dxa"/>
            <w:vAlign w:val="bottom"/>
            <w:tcBorders>
              <w:bottom w:val="single" w:sz="8" w:color="auto"/>
            </w:tcBorders>
          </w:tcPr>
          <w:p>
            <w:pPr>
              <w:spacing w:after="0"/>
              <w:rPr>
                <w:sz w:val="3"/>
                <w:szCs w:val="3"/>
                <w:color w:val="auto"/>
              </w:rPr>
            </w:pPr>
          </w:p>
        </w:tc>
        <w:tc>
          <w:tcPr>
            <w:tcW w:w="4200" w:type="dxa"/>
            <w:vAlign w:val="bottom"/>
            <w:tcBorders>
              <w:bottom w:val="single" w:sz="8" w:color="auto"/>
            </w:tcBorders>
          </w:tcPr>
          <w:p>
            <w:pPr>
              <w:spacing w:after="0"/>
              <w:rPr>
                <w:sz w:val="3"/>
                <w:szCs w:val="3"/>
                <w:color w:val="auto"/>
              </w:rPr>
            </w:pPr>
          </w:p>
        </w:tc>
        <w:tc>
          <w:tcPr>
            <w:tcW w:w="1080" w:type="dxa"/>
            <w:vAlign w:val="bottom"/>
            <w:tcBorders>
              <w:bottom w:val="single" w:sz="8" w:color="auto"/>
            </w:tcBorders>
          </w:tcPr>
          <w:p>
            <w:pPr>
              <w:spacing w:after="0"/>
              <w:rPr>
                <w:sz w:val="3"/>
                <w:szCs w:val="3"/>
                <w:color w:val="auto"/>
              </w:rPr>
            </w:pPr>
          </w:p>
        </w:tc>
      </w:tr>
    </w:tbl>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Table Page 2</w:t>
      </w:r>
    </w:p>
    <w:p>
      <w:pPr>
        <w:sectPr>
          <w:pgSz w:w="11900" w:h="16838" w:orient="portrait"/>
          <w:cols w:equalWidth="0" w:num="1">
            <w:col w:w="11420"/>
          </w:cols>
          <w:pgMar w:left="240" w:top="1274" w:right="239" w:bottom="1440" w:gutter="0" w:footer="0" w:header="0"/>
        </w:sectPr>
      </w:pPr>
    </w:p>
    <w:bookmarkStart w:id="12" w:name="page13"/>
    <w:bookmarkEnd w:id="12"/>
    <w:p>
      <w:pPr>
        <w:ind w:left="40"/>
        <w:spacing w:after="0"/>
        <w:rPr>
          <w:sz w:val="20"/>
          <w:szCs w:val="20"/>
          <w:color w:val="auto"/>
        </w:rPr>
      </w:pPr>
      <w:r>
        <w:rPr>
          <w:rFonts w:ascii="Arial" w:cs="Arial" w:eastAsia="Arial" w:hAnsi="Arial"/>
          <w:sz w:val="14"/>
          <w:szCs w:val="14"/>
          <w:b w:val="1"/>
          <w:bCs w:val="1"/>
          <w:color w:val="auto"/>
        </w:rPr>
        <w:drawing>
          <wp:anchor simplePos="0" relativeHeight="251657728" behindDoc="1" locked="0" layoutInCell="0" allowOverlap="1">
            <wp:simplePos x="0" y="0"/>
            <wp:positionH relativeFrom="page">
              <wp:posOffset>2481580</wp:posOffset>
            </wp:positionH>
            <wp:positionV relativeFrom="page">
              <wp:posOffset>88900</wp:posOffset>
            </wp:positionV>
            <wp:extent cx="2598420" cy="3257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clrChange>
                        <a:clrFrom>
                          <a:srgbClr val="FFFFFF"/>
                        </a:clrFrom>
                        <a:clrTo>
                          <a:srgbClr val="FFFFFF">
                            <a:alpha val="0"/>
                          </a:srgbClr>
                        </a:clrTo>
                      </a:clrChange>
                      <a:extLst>
                        <a:ext uri="{28A0092B-C50C-407E-A947-70E740481C1C}"/>
                      </a:extLst>
                    </a:blip>
                    <a:srcRect/>
                    <a:stretch>
                      <a:fillRect/>
                    </a:stretch>
                  </pic:blipFill>
                  <pic:spPr bwMode="auto">
                    <a:xfrm>
                      <a:off x="0" y="0"/>
                      <a:ext cx="2598420" cy="325755"/>
                    </a:xfrm>
                    <a:prstGeom prst="rect">
                      <a:avLst/>
                    </a:prstGeom>
                    <a:noFill/>
                  </pic:spPr>
                </pic:pic>
              </a:graphicData>
            </a:graphic>
          </wp:anchor>
        </w:drawing>
        <w:t>CONDENSED CONSOLIDATED STATEMENTS OF CASH FLOWS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194945</wp:posOffset>
            </wp:positionV>
            <wp:extent cx="7246620"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73"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5840" w:type="dxa"/>
            <w:vAlign w:val="bottom"/>
          </w:tcPr>
          <w:p>
            <w:pPr>
              <w:spacing w:after="0"/>
              <w:rPr>
                <w:sz w:val="16"/>
                <w:szCs w:val="16"/>
                <w:color w:val="auto"/>
              </w:rPr>
            </w:pPr>
          </w:p>
        </w:tc>
        <w:tc>
          <w:tcPr>
            <w:tcW w:w="3200" w:type="dxa"/>
            <w:vAlign w:val="bottom"/>
            <w:gridSpan w:val="3"/>
          </w:tcPr>
          <w:p>
            <w:pPr>
              <w:jc w:val="right"/>
              <w:ind w:right="108"/>
              <w:spacing w:after="0"/>
              <w:rPr>
                <w:sz w:val="20"/>
                <w:szCs w:val="20"/>
                <w:color w:val="auto"/>
              </w:rPr>
            </w:pPr>
            <w:r>
              <w:rPr>
                <w:rFonts w:ascii="Arial" w:cs="Arial" w:eastAsia="Arial" w:hAnsi="Arial"/>
                <w:sz w:val="14"/>
                <w:szCs w:val="14"/>
                <w:b w:val="1"/>
                <w:bCs w:val="1"/>
                <w:color w:val="auto"/>
              </w:rPr>
              <w:t>Three Months Ended September 30,</w:t>
            </w:r>
          </w:p>
        </w:tc>
        <w:tc>
          <w:tcPr>
            <w:tcW w:w="2380" w:type="dxa"/>
            <w:vAlign w:val="bottom"/>
            <w:gridSpan w:val="2"/>
          </w:tcPr>
          <w:p>
            <w:pPr>
              <w:jc w:val="right"/>
              <w:ind w:right="8"/>
              <w:spacing w:after="0"/>
              <w:rPr>
                <w:sz w:val="20"/>
                <w:szCs w:val="20"/>
                <w:color w:val="auto"/>
              </w:rPr>
            </w:pPr>
            <w:r>
              <w:rPr>
                <w:rFonts w:ascii="Arial" w:cs="Arial" w:eastAsia="Arial" w:hAnsi="Arial"/>
                <w:sz w:val="14"/>
                <w:szCs w:val="14"/>
                <w:b w:val="1"/>
                <w:bCs w:val="1"/>
                <w:color w:val="auto"/>
                <w:w w:val="98"/>
              </w:rPr>
              <w:t>Nine Months Ended September 30,</w:t>
            </w:r>
          </w:p>
        </w:tc>
        <w:tc>
          <w:tcPr>
            <w:tcW w:w="0" w:type="dxa"/>
            <w:vAlign w:val="bottom"/>
          </w:tcPr>
          <w:p>
            <w:pPr>
              <w:spacing w:after="0"/>
              <w:rPr>
                <w:sz w:val="1"/>
                <w:szCs w:val="1"/>
                <w:color w:val="auto"/>
              </w:rPr>
            </w:pPr>
          </w:p>
        </w:tc>
      </w:tr>
      <w:tr>
        <w:trPr>
          <w:trHeight w:val="276"/>
        </w:trPr>
        <w:tc>
          <w:tcPr>
            <w:tcW w:w="5840" w:type="dxa"/>
            <w:vAlign w:val="bottom"/>
            <w:tcBorders>
              <w:bottom w:val="single" w:sz="8" w:color="auto"/>
            </w:tcBorders>
          </w:tcPr>
          <w:p>
            <w:pPr>
              <w:ind w:left="80"/>
              <w:spacing w:after="0"/>
              <w:rPr>
                <w:sz w:val="20"/>
                <w:szCs w:val="20"/>
                <w:color w:val="auto"/>
              </w:rPr>
            </w:pPr>
            <w:r>
              <w:rPr>
                <w:rFonts w:ascii="Arial" w:cs="Arial" w:eastAsia="Arial" w:hAnsi="Arial"/>
                <w:sz w:val="14"/>
                <w:szCs w:val="14"/>
                <w:b w:val="1"/>
                <w:bCs w:val="1"/>
                <w:color w:val="auto"/>
              </w:rPr>
              <w:t>(Dollars in millions) (Unaudited)</w:t>
            </w:r>
          </w:p>
        </w:tc>
        <w:tc>
          <w:tcPr>
            <w:tcW w:w="1840" w:type="dxa"/>
            <w:vAlign w:val="bottom"/>
            <w:tcBorders>
              <w:bottom w:val="single" w:sz="8" w:color="auto"/>
            </w:tcBorders>
          </w:tcPr>
          <w:p>
            <w:pPr>
              <w:jc w:val="right"/>
              <w:ind w:right="368"/>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auto"/>
            </w:tcBorders>
          </w:tcPr>
          <w:p>
            <w:pPr>
              <w:spacing w:after="0"/>
              <w:rPr>
                <w:sz w:val="24"/>
                <w:szCs w:val="24"/>
                <w:color w:val="auto"/>
              </w:rPr>
            </w:pPr>
          </w:p>
        </w:tc>
        <w:tc>
          <w:tcPr>
            <w:tcW w:w="124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2017</w:t>
            </w:r>
          </w:p>
        </w:tc>
        <w:tc>
          <w:tcPr>
            <w:tcW w:w="1380" w:type="dxa"/>
            <w:vAlign w:val="bottom"/>
            <w:tcBorders>
              <w:bottom w:val="single" w:sz="8" w:color="auto"/>
            </w:tcBorders>
          </w:tcPr>
          <w:p>
            <w:pPr>
              <w:jc w:val="right"/>
              <w:ind w:right="568"/>
              <w:spacing w:after="0"/>
              <w:rPr>
                <w:sz w:val="20"/>
                <w:szCs w:val="20"/>
                <w:color w:val="auto"/>
              </w:rPr>
            </w:pPr>
            <w:r>
              <w:rPr>
                <w:rFonts w:ascii="Arial" w:cs="Arial" w:eastAsia="Arial" w:hAnsi="Arial"/>
                <w:sz w:val="14"/>
                <w:szCs w:val="14"/>
                <w:b w:val="1"/>
                <w:bCs w:val="1"/>
                <w:color w:val="auto"/>
              </w:rPr>
              <w:t>2018</w:t>
            </w:r>
          </w:p>
        </w:tc>
        <w:tc>
          <w:tcPr>
            <w:tcW w:w="100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2017</w:t>
            </w:r>
          </w:p>
        </w:tc>
        <w:tc>
          <w:tcPr>
            <w:tcW w:w="0" w:type="dxa"/>
            <w:vAlign w:val="bottom"/>
          </w:tcPr>
          <w:p>
            <w:pPr>
              <w:spacing w:after="0"/>
              <w:rPr>
                <w:sz w:val="1"/>
                <w:szCs w:val="1"/>
                <w:color w:val="auto"/>
              </w:rPr>
            </w:pPr>
          </w:p>
        </w:tc>
      </w:tr>
      <w:tr>
        <w:trPr>
          <w:trHeight w:val="258"/>
        </w:trPr>
        <w:tc>
          <w:tcPr>
            <w:tcW w:w="5840" w:type="dxa"/>
            <w:vAlign w:val="bottom"/>
          </w:tcPr>
          <w:p>
            <w:pPr>
              <w:ind w:left="40"/>
              <w:spacing w:after="0"/>
              <w:rPr>
                <w:sz w:val="20"/>
                <w:szCs w:val="20"/>
                <w:color w:val="auto"/>
              </w:rPr>
            </w:pPr>
            <w:r>
              <w:rPr>
                <w:rFonts w:ascii="Arial" w:cs="Arial" w:eastAsia="Arial" w:hAnsi="Arial"/>
                <w:sz w:val="14"/>
                <w:szCs w:val="14"/>
                <w:b w:val="1"/>
                <w:bCs w:val="1"/>
                <w:color w:val="auto"/>
              </w:rPr>
              <w:t>Operating Activities</w:t>
            </w:r>
          </w:p>
        </w:tc>
        <w:tc>
          <w:tcPr>
            <w:tcW w:w="18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138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0"/>
        </w:trPr>
        <w:tc>
          <w:tcPr>
            <w:tcW w:w="5840" w:type="dxa"/>
            <w:vAlign w:val="bottom"/>
          </w:tcPr>
          <w:p>
            <w:pPr>
              <w:ind w:left="40"/>
              <w:spacing w:after="0"/>
              <w:rPr>
                <w:sz w:val="20"/>
                <w:szCs w:val="20"/>
                <w:color w:val="auto"/>
              </w:rPr>
            </w:pPr>
            <w:r>
              <w:rPr>
                <w:rFonts w:ascii="Arial" w:cs="Arial" w:eastAsia="Arial" w:hAnsi="Arial"/>
                <w:sz w:val="14"/>
                <w:szCs w:val="14"/>
                <w:color w:val="auto"/>
              </w:rPr>
              <w:t>Net income (loss)</w:t>
            </w:r>
          </w:p>
        </w:tc>
        <w:tc>
          <w:tcPr>
            <w:tcW w:w="1840" w:type="dxa"/>
            <w:vAlign w:val="bottom"/>
          </w:tcPr>
          <w:p>
            <w:pPr>
              <w:jc w:val="right"/>
              <w:ind w:right="48"/>
              <w:spacing w:after="0"/>
              <w:rPr>
                <w:sz w:val="20"/>
                <w:szCs w:val="20"/>
                <w:color w:val="auto"/>
              </w:rPr>
            </w:pPr>
            <w:r>
              <w:rPr>
                <w:rFonts w:ascii="Arial" w:cs="Arial" w:eastAsia="Arial" w:hAnsi="Arial"/>
                <w:sz w:val="14"/>
                <w:szCs w:val="14"/>
                <w:b w:val="1"/>
                <w:bCs w:val="1"/>
                <w:color w:val="auto"/>
              </w:rPr>
              <w:t>$1.4</w:t>
            </w:r>
          </w:p>
        </w:tc>
        <w:tc>
          <w:tcPr>
            <w:tcW w:w="120" w:type="dxa"/>
            <w:vAlign w:val="bottom"/>
          </w:tcPr>
          <w:p>
            <w:pPr>
              <w:spacing w:after="0"/>
              <w:rPr>
                <w:sz w:val="23"/>
                <w:szCs w:val="23"/>
                <w:color w:val="auto"/>
              </w:rPr>
            </w:pPr>
          </w:p>
        </w:tc>
        <w:tc>
          <w:tcPr>
            <w:tcW w:w="1240" w:type="dxa"/>
            <w:vAlign w:val="bottom"/>
          </w:tcPr>
          <w:p>
            <w:pPr>
              <w:jc w:val="right"/>
              <w:ind w:right="88"/>
              <w:spacing w:after="0"/>
              <w:rPr>
                <w:sz w:val="20"/>
                <w:szCs w:val="20"/>
                <w:color w:val="auto"/>
              </w:rPr>
            </w:pPr>
            <w:r>
              <w:rPr>
                <w:rFonts w:ascii="Arial" w:cs="Arial" w:eastAsia="Arial" w:hAnsi="Arial"/>
                <w:sz w:val="14"/>
                <w:szCs w:val="14"/>
                <w:color w:val="auto"/>
              </w:rPr>
              <w:t>($5.9)</w:t>
            </w:r>
          </w:p>
        </w:tc>
        <w:tc>
          <w:tcPr>
            <w:tcW w:w="1380" w:type="dxa"/>
            <w:vAlign w:val="bottom"/>
          </w:tcPr>
          <w:p>
            <w:pPr>
              <w:jc w:val="right"/>
              <w:ind w:right="268"/>
              <w:spacing w:after="0"/>
              <w:rPr>
                <w:sz w:val="20"/>
                <w:szCs w:val="20"/>
                <w:color w:val="auto"/>
              </w:rPr>
            </w:pPr>
            <w:r>
              <w:rPr>
                <w:rFonts w:ascii="Arial" w:cs="Arial" w:eastAsia="Arial" w:hAnsi="Arial"/>
                <w:sz w:val="14"/>
                <w:szCs w:val="14"/>
                <w:b w:val="1"/>
                <w:bCs w:val="1"/>
                <w:color w:val="auto"/>
              </w:rPr>
              <w:t>$7.9</w:t>
            </w:r>
          </w:p>
        </w:tc>
        <w:tc>
          <w:tcPr>
            <w:tcW w:w="1000" w:type="dxa"/>
            <w:vAlign w:val="bottom"/>
          </w:tcPr>
          <w:p>
            <w:pPr>
              <w:jc w:val="right"/>
              <w:spacing w:after="0"/>
              <w:rPr>
                <w:sz w:val="20"/>
                <w:szCs w:val="20"/>
                <w:color w:val="auto"/>
              </w:rPr>
            </w:pPr>
            <w:r>
              <w:rPr>
                <w:rFonts w:ascii="Arial" w:cs="Arial" w:eastAsia="Arial" w:hAnsi="Arial"/>
                <w:sz w:val="14"/>
                <w:szCs w:val="14"/>
                <w:color w:val="auto"/>
              </w:rPr>
              <w:t>($9.9)</w:t>
            </w:r>
          </w:p>
        </w:tc>
        <w:tc>
          <w:tcPr>
            <w:tcW w:w="0" w:type="dxa"/>
            <w:vAlign w:val="bottom"/>
          </w:tcPr>
          <w:p>
            <w:pPr>
              <w:spacing w:after="0"/>
              <w:rPr>
                <w:sz w:val="1"/>
                <w:szCs w:val="1"/>
                <w:color w:val="auto"/>
              </w:rPr>
            </w:pPr>
          </w:p>
        </w:tc>
      </w:tr>
      <w:tr>
        <w:trPr>
          <w:trHeight w:val="270"/>
        </w:trPr>
        <w:tc>
          <w:tcPr>
            <w:tcW w:w="5840" w:type="dxa"/>
            <w:vAlign w:val="bottom"/>
          </w:tcPr>
          <w:p>
            <w:pPr>
              <w:ind w:left="40"/>
              <w:spacing w:after="0"/>
              <w:rPr>
                <w:sz w:val="20"/>
                <w:szCs w:val="20"/>
                <w:color w:val="auto"/>
              </w:rPr>
            </w:pPr>
            <w:r>
              <w:rPr>
                <w:rFonts w:ascii="Arial" w:cs="Arial" w:eastAsia="Arial" w:hAnsi="Arial"/>
                <w:sz w:val="14"/>
                <w:szCs w:val="14"/>
                <w:color w:val="auto"/>
              </w:rPr>
              <w:t>Adjustments to reconcile net income (loss) to net cash provided by operating activities:</w:t>
            </w:r>
          </w:p>
        </w:tc>
        <w:tc>
          <w:tcPr>
            <w:tcW w:w="18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240" w:type="dxa"/>
            <w:vAlign w:val="bottom"/>
          </w:tcPr>
          <w:p>
            <w:pPr>
              <w:spacing w:after="0"/>
              <w:rPr>
                <w:sz w:val="23"/>
                <w:szCs w:val="23"/>
                <w:color w:val="auto"/>
              </w:rPr>
            </w:pPr>
          </w:p>
        </w:tc>
        <w:tc>
          <w:tcPr>
            <w:tcW w:w="1380" w:type="dxa"/>
            <w:vAlign w:val="bottom"/>
          </w:tcPr>
          <w:p>
            <w:pPr>
              <w:spacing w:after="0"/>
              <w:rPr>
                <w:sz w:val="23"/>
                <w:szCs w:val="23"/>
                <w:color w:val="auto"/>
              </w:rPr>
            </w:pPr>
          </w:p>
        </w:tc>
        <w:tc>
          <w:tcPr>
            <w:tcW w:w="10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5840" w:type="dxa"/>
            <w:vAlign w:val="bottom"/>
          </w:tcPr>
          <w:p>
            <w:pPr>
              <w:ind w:left="40"/>
              <w:spacing w:after="0"/>
              <w:rPr>
                <w:sz w:val="20"/>
                <w:szCs w:val="20"/>
                <w:color w:val="auto"/>
              </w:rPr>
            </w:pPr>
            <w:r>
              <w:rPr>
                <w:rFonts w:ascii="Arial" w:cs="Arial" w:eastAsia="Arial" w:hAnsi="Arial"/>
                <w:sz w:val="14"/>
                <w:szCs w:val="14"/>
                <w:color w:val="auto"/>
              </w:rPr>
              <w:t>Depreciation and amortization</w:t>
            </w:r>
          </w:p>
        </w:tc>
        <w:tc>
          <w:tcPr>
            <w:tcW w:w="1840" w:type="dxa"/>
            <w:vAlign w:val="bottom"/>
          </w:tcPr>
          <w:p>
            <w:pPr>
              <w:jc w:val="right"/>
              <w:ind w:right="48"/>
              <w:spacing w:after="0"/>
              <w:rPr>
                <w:sz w:val="20"/>
                <w:szCs w:val="20"/>
                <w:color w:val="auto"/>
              </w:rPr>
            </w:pPr>
            <w:r>
              <w:rPr>
                <w:rFonts w:ascii="Arial" w:cs="Arial" w:eastAsia="Arial" w:hAnsi="Arial"/>
                <w:sz w:val="14"/>
                <w:szCs w:val="14"/>
                <w:b w:val="1"/>
                <w:bCs w:val="1"/>
                <w:color w:val="auto"/>
              </w:rPr>
              <w:t>18.1</w:t>
            </w:r>
          </w:p>
        </w:tc>
        <w:tc>
          <w:tcPr>
            <w:tcW w:w="120" w:type="dxa"/>
            <w:vAlign w:val="bottom"/>
          </w:tcPr>
          <w:p>
            <w:pPr>
              <w:spacing w:after="0"/>
              <w:rPr>
                <w:sz w:val="23"/>
                <w:szCs w:val="23"/>
                <w:color w:val="auto"/>
              </w:rPr>
            </w:pPr>
          </w:p>
        </w:tc>
        <w:tc>
          <w:tcPr>
            <w:tcW w:w="1240" w:type="dxa"/>
            <w:vAlign w:val="bottom"/>
          </w:tcPr>
          <w:p>
            <w:pPr>
              <w:jc w:val="right"/>
              <w:ind w:right="128"/>
              <w:spacing w:after="0"/>
              <w:rPr>
                <w:sz w:val="20"/>
                <w:szCs w:val="20"/>
                <w:color w:val="auto"/>
              </w:rPr>
            </w:pPr>
            <w:r>
              <w:rPr>
                <w:rFonts w:ascii="Arial" w:cs="Arial" w:eastAsia="Arial" w:hAnsi="Arial"/>
                <w:sz w:val="14"/>
                <w:szCs w:val="14"/>
                <w:color w:val="auto"/>
              </w:rPr>
              <w:t>18.6</w:t>
            </w:r>
          </w:p>
        </w:tc>
        <w:tc>
          <w:tcPr>
            <w:tcW w:w="1380" w:type="dxa"/>
            <w:vAlign w:val="bottom"/>
          </w:tcPr>
          <w:p>
            <w:pPr>
              <w:jc w:val="right"/>
              <w:ind w:right="268"/>
              <w:spacing w:after="0"/>
              <w:rPr>
                <w:sz w:val="20"/>
                <w:szCs w:val="20"/>
                <w:color w:val="auto"/>
              </w:rPr>
            </w:pPr>
            <w:r>
              <w:rPr>
                <w:rFonts w:ascii="Arial" w:cs="Arial" w:eastAsia="Arial" w:hAnsi="Arial"/>
                <w:sz w:val="14"/>
                <w:szCs w:val="14"/>
                <w:b w:val="1"/>
                <w:bCs w:val="1"/>
                <w:color w:val="auto"/>
              </w:rPr>
              <w:t>55.0</w:t>
            </w:r>
          </w:p>
        </w:tc>
        <w:tc>
          <w:tcPr>
            <w:tcW w:w="1000" w:type="dxa"/>
            <w:vAlign w:val="bottom"/>
          </w:tcPr>
          <w:p>
            <w:pPr>
              <w:jc w:val="right"/>
              <w:ind w:right="28"/>
              <w:spacing w:after="0"/>
              <w:rPr>
                <w:sz w:val="20"/>
                <w:szCs w:val="20"/>
                <w:color w:val="auto"/>
              </w:rPr>
            </w:pPr>
            <w:r>
              <w:rPr>
                <w:rFonts w:ascii="Arial" w:cs="Arial" w:eastAsia="Arial" w:hAnsi="Arial"/>
                <w:sz w:val="14"/>
                <w:szCs w:val="14"/>
                <w:color w:val="auto"/>
              </w:rPr>
              <w:t>56.4</w:t>
            </w:r>
          </w:p>
        </w:tc>
        <w:tc>
          <w:tcPr>
            <w:tcW w:w="0" w:type="dxa"/>
            <w:vAlign w:val="bottom"/>
          </w:tcPr>
          <w:p>
            <w:pPr>
              <w:spacing w:after="0"/>
              <w:rPr>
                <w:sz w:val="1"/>
                <w:szCs w:val="1"/>
                <w:color w:val="auto"/>
              </w:rPr>
            </w:pPr>
          </w:p>
        </w:tc>
      </w:tr>
      <w:tr>
        <w:trPr>
          <w:trHeight w:val="270"/>
        </w:trPr>
        <w:tc>
          <w:tcPr>
            <w:tcW w:w="5840" w:type="dxa"/>
            <w:vAlign w:val="bottom"/>
          </w:tcPr>
          <w:p>
            <w:pPr>
              <w:ind w:left="40"/>
              <w:spacing w:after="0"/>
              <w:rPr>
                <w:sz w:val="20"/>
                <w:szCs w:val="20"/>
                <w:color w:val="auto"/>
              </w:rPr>
            </w:pPr>
            <w:r>
              <w:rPr>
                <w:rFonts w:ascii="Arial" w:cs="Arial" w:eastAsia="Arial" w:hAnsi="Arial"/>
                <w:sz w:val="14"/>
                <w:szCs w:val="14"/>
                <w:color w:val="auto"/>
              </w:rPr>
              <w:t>Amortization of deferred financing fees and debt discount</w:t>
            </w:r>
          </w:p>
        </w:tc>
        <w:tc>
          <w:tcPr>
            <w:tcW w:w="1840" w:type="dxa"/>
            <w:vAlign w:val="bottom"/>
          </w:tcPr>
          <w:p>
            <w:pPr>
              <w:jc w:val="right"/>
              <w:ind w:right="48"/>
              <w:spacing w:after="0"/>
              <w:rPr>
                <w:sz w:val="20"/>
                <w:szCs w:val="20"/>
                <w:color w:val="auto"/>
              </w:rPr>
            </w:pPr>
            <w:r>
              <w:rPr>
                <w:rFonts w:ascii="Arial" w:cs="Arial" w:eastAsia="Arial" w:hAnsi="Arial"/>
                <w:sz w:val="14"/>
                <w:szCs w:val="14"/>
                <w:b w:val="1"/>
                <w:bCs w:val="1"/>
                <w:color w:val="auto"/>
              </w:rPr>
              <w:t>1.3</w:t>
            </w:r>
          </w:p>
        </w:tc>
        <w:tc>
          <w:tcPr>
            <w:tcW w:w="120" w:type="dxa"/>
            <w:vAlign w:val="bottom"/>
          </w:tcPr>
          <w:p>
            <w:pPr>
              <w:spacing w:after="0"/>
              <w:rPr>
                <w:sz w:val="23"/>
                <w:szCs w:val="23"/>
                <w:color w:val="auto"/>
              </w:rPr>
            </w:pPr>
          </w:p>
        </w:tc>
        <w:tc>
          <w:tcPr>
            <w:tcW w:w="1240" w:type="dxa"/>
            <w:vAlign w:val="bottom"/>
          </w:tcPr>
          <w:p>
            <w:pPr>
              <w:jc w:val="right"/>
              <w:ind w:right="128"/>
              <w:spacing w:after="0"/>
              <w:rPr>
                <w:sz w:val="20"/>
                <w:szCs w:val="20"/>
                <w:color w:val="auto"/>
              </w:rPr>
            </w:pPr>
            <w:r>
              <w:rPr>
                <w:rFonts w:ascii="Arial" w:cs="Arial" w:eastAsia="Arial" w:hAnsi="Arial"/>
                <w:sz w:val="14"/>
                <w:szCs w:val="14"/>
                <w:color w:val="auto"/>
              </w:rPr>
              <w:t>1.0</w:t>
            </w:r>
          </w:p>
        </w:tc>
        <w:tc>
          <w:tcPr>
            <w:tcW w:w="1380" w:type="dxa"/>
            <w:vAlign w:val="bottom"/>
          </w:tcPr>
          <w:p>
            <w:pPr>
              <w:jc w:val="right"/>
              <w:ind w:right="268"/>
              <w:spacing w:after="0"/>
              <w:rPr>
                <w:sz w:val="20"/>
                <w:szCs w:val="20"/>
                <w:color w:val="auto"/>
              </w:rPr>
            </w:pPr>
            <w:r>
              <w:rPr>
                <w:rFonts w:ascii="Arial" w:cs="Arial" w:eastAsia="Arial" w:hAnsi="Arial"/>
                <w:sz w:val="14"/>
                <w:szCs w:val="14"/>
                <w:b w:val="1"/>
                <w:bCs w:val="1"/>
                <w:color w:val="auto"/>
              </w:rPr>
              <w:t>4.3</w:t>
            </w:r>
          </w:p>
        </w:tc>
        <w:tc>
          <w:tcPr>
            <w:tcW w:w="1000" w:type="dxa"/>
            <w:vAlign w:val="bottom"/>
          </w:tcPr>
          <w:p>
            <w:pPr>
              <w:jc w:val="right"/>
              <w:ind w:right="28"/>
              <w:spacing w:after="0"/>
              <w:rPr>
                <w:sz w:val="20"/>
                <w:szCs w:val="20"/>
                <w:color w:val="auto"/>
              </w:rPr>
            </w:pPr>
            <w:r>
              <w:rPr>
                <w:rFonts w:ascii="Arial" w:cs="Arial" w:eastAsia="Arial" w:hAnsi="Arial"/>
                <w:sz w:val="14"/>
                <w:szCs w:val="14"/>
                <w:color w:val="auto"/>
              </w:rPr>
              <w:t>3.1</w:t>
            </w:r>
          </w:p>
        </w:tc>
        <w:tc>
          <w:tcPr>
            <w:tcW w:w="0" w:type="dxa"/>
            <w:vAlign w:val="bottom"/>
          </w:tcPr>
          <w:p>
            <w:pPr>
              <w:spacing w:after="0"/>
              <w:rPr>
                <w:sz w:val="1"/>
                <w:szCs w:val="1"/>
                <w:color w:val="auto"/>
              </w:rPr>
            </w:pPr>
          </w:p>
        </w:tc>
      </w:tr>
      <w:tr>
        <w:trPr>
          <w:trHeight w:val="270"/>
        </w:trPr>
        <w:tc>
          <w:tcPr>
            <w:tcW w:w="5840" w:type="dxa"/>
            <w:vAlign w:val="bottom"/>
          </w:tcPr>
          <w:p>
            <w:pPr>
              <w:ind w:left="40"/>
              <w:spacing w:after="0"/>
              <w:rPr>
                <w:sz w:val="20"/>
                <w:szCs w:val="20"/>
                <w:color w:val="auto"/>
              </w:rPr>
            </w:pPr>
            <w:r>
              <w:rPr>
                <w:rFonts w:ascii="Arial" w:cs="Arial" w:eastAsia="Arial" w:hAnsi="Arial"/>
                <w:sz w:val="14"/>
                <w:szCs w:val="14"/>
                <w:color w:val="auto"/>
              </w:rPr>
              <w:t>Impairment charges and loss on sale or disposal of assets</w:t>
            </w:r>
          </w:p>
        </w:tc>
        <w:tc>
          <w:tcPr>
            <w:tcW w:w="1960" w:type="dxa"/>
            <w:vAlign w:val="bottom"/>
            <w:gridSpan w:val="2"/>
          </w:tcPr>
          <w:p>
            <w:pPr>
              <w:jc w:val="right"/>
              <w:ind w:right="240"/>
              <w:spacing w:after="0"/>
              <w:rPr>
                <w:sz w:val="20"/>
                <w:szCs w:val="20"/>
                <w:color w:val="auto"/>
              </w:rPr>
            </w:pPr>
            <w:r>
              <w:rPr>
                <w:rFonts w:ascii="Arial" w:cs="Arial" w:eastAsia="Arial" w:hAnsi="Arial"/>
                <w:sz w:val="14"/>
                <w:szCs w:val="14"/>
                <w:b w:val="1"/>
                <w:bCs w:val="1"/>
                <w:color w:val="auto"/>
              </w:rPr>
              <w:t>—</w:t>
            </w:r>
          </w:p>
        </w:tc>
        <w:tc>
          <w:tcPr>
            <w:tcW w:w="124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1380" w:type="dxa"/>
            <w:vAlign w:val="bottom"/>
          </w:tcPr>
          <w:p>
            <w:pPr>
              <w:jc w:val="right"/>
              <w:ind w:right="268"/>
              <w:spacing w:after="0"/>
              <w:rPr>
                <w:sz w:val="20"/>
                <w:szCs w:val="20"/>
                <w:color w:val="auto"/>
              </w:rPr>
            </w:pPr>
            <w:r>
              <w:rPr>
                <w:rFonts w:ascii="Arial" w:cs="Arial" w:eastAsia="Arial" w:hAnsi="Arial"/>
                <w:sz w:val="14"/>
                <w:szCs w:val="14"/>
                <w:b w:val="1"/>
                <w:bCs w:val="1"/>
                <w:color w:val="auto"/>
              </w:rPr>
              <w:t>0.9</w:t>
            </w:r>
          </w:p>
        </w:tc>
        <w:tc>
          <w:tcPr>
            <w:tcW w:w="1000" w:type="dxa"/>
            <w:vAlign w:val="bottom"/>
          </w:tcPr>
          <w:p>
            <w:pPr>
              <w:jc w:val="right"/>
              <w:ind w:right="28"/>
              <w:spacing w:after="0"/>
              <w:rPr>
                <w:sz w:val="20"/>
                <w:szCs w:val="20"/>
                <w:color w:val="auto"/>
              </w:rPr>
            </w:pPr>
            <w:r>
              <w:rPr>
                <w:rFonts w:ascii="Arial" w:cs="Arial" w:eastAsia="Arial" w:hAnsi="Arial"/>
                <w:sz w:val="14"/>
                <w:szCs w:val="14"/>
                <w:color w:val="auto"/>
              </w:rPr>
              <w:t>0.4</w:t>
            </w:r>
          </w:p>
        </w:tc>
        <w:tc>
          <w:tcPr>
            <w:tcW w:w="0" w:type="dxa"/>
            <w:vAlign w:val="bottom"/>
          </w:tcPr>
          <w:p>
            <w:pPr>
              <w:spacing w:after="0"/>
              <w:rPr>
                <w:sz w:val="1"/>
                <w:szCs w:val="1"/>
                <w:color w:val="auto"/>
              </w:rPr>
            </w:pPr>
          </w:p>
        </w:tc>
      </w:tr>
      <w:tr>
        <w:trPr>
          <w:trHeight w:val="270"/>
        </w:trPr>
        <w:tc>
          <w:tcPr>
            <w:tcW w:w="5840" w:type="dxa"/>
            <w:vAlign w:val="bottom"/>
          </w:tcPr>
          <w:p>
            <w:pPr>
              <w:ind w:left="40"/>
              <w:spacing w:after="0"/>
              <w:rPr>
                <w:sz w:val="20"/>
                <w:szCs w:val="20"/>
                <w:color w:val="auto"/>
              </w:rPr>
            </w:pPr>
            <w:r>
              <w:rPr>
                <w:rFonts w:ascii="Arial" w:cs="Arial" w:eastAsia="Arial" w:hAnsi="Arial"/>
                <w:sz w:val="14"/>
                <w:szCs w:val="14"/>
                <w:color w:val="auto"/>
              </w:rPr>
              <w:t>Deferred income taxes</w:t>
            </w:r>
          </w:p>
        </w:tc>
        <w:tc>
          <w:tcPr>
            <w:tcW w:w="1840" w:type="dxa"/>
            <w:vAlign w:val="bottom"/>
          </w:tcPr>
          <w:p>
            <w:pPr>
              <w:jc w:val="right"/>
              <w:ind w:right="48"/>
              <w:spacing w:after="0"/>
              <w:rPr>
                <w:sz w:val="20"/>
                <w:szCs w:val="20"/>
                <w:color w:val="auto"/>
              </w:rPr>
            </w:pPr>
            <w:r>
              <w:rPr>
                <w:rFonts w:ascii="Arial" w:cs="Arial" w:eastAsia="Arial" w:hAnsi="Arial"/>
                <w:sz w:val="14"/>
                <w:szCs w:val="14"/>
                <w:b w:val="1"/>
                <w:bCs w:val="1"/>
                <w:color w:val="auto"/>
              </w:rPr>
              <w:t>0.6</w:t>
            </w:r>
          </w:p>
        </w:tc>
        <w:tc>
          <w:tcPr>
            <w:tcW w:w="120" w:type="dxa"/>
            <w:vAlign w:val="bottom"/>
          </w:tcPr>
          <w:p>
            <w:pPr>
              <w:spacing w:after="0"/>
              <w:rPr>
                <w:sz w:val="23"/>
                <w:szCs w:val="23"/>
                <w:color w:val="auto"/>
              </w:rPr>
            </w:pPr>
          </w:p>
        </w:tc>
        <w:tc>
          <w:tcPr>
            <w:tcW w:w="1240" w:type="dxa"/>
            <w:vAlign w:val="bottom"/>
          </w:tcPr>
          <w:p>
            <w:pPr>
              <w:jc w:val="right"/>
              <w:ind w:right="128"/>
              <w:spacing w:after="0"/>
              <w:rPr>
                <w:sz w:val="20"/>
                <w:szCs w:val="20"/>
                <w:color w:val="auto"/>
              </w:rPr>
            </w:pPr>
            <w:r>
              <w:rPr>
                <w:rFonts w:ascii="Arial" w:cs="Arial" w:eastAsia="Arial" w:hAnsi="Arial"/>
                <w:sz w:val="14"/>
                <w:szCs w:val="14"/>
                <w:color w:val="auto"/>
              </w:rPr>
              <w:t>0.5</w:t>
            </w:r>
          </w:p>
        </w:tc>
        <w:tc>
          <w:tcPr>
            <w:tcW w:w="1380" w:type="dxa"/>
            <w:vAlign w:val="bottom"/>
          </w:tcPr>
          <w:p>
            <w:pPr>
              <w:jc w:val="right"/>
              <w:ind w:right="268"/>
              <w:spacing w:after="0"/>
              <w:rPr>
                <w:sz w:val="20"/>
                <w:szCs w:val="20"/>
                <w:color w:val="auto"/>
              </w:rPr>
            </w:pPr>
            <w:r>
              <w:rPr>
                <w:rFonts w:ascii="Arial" w:cs="Arial" w:eastAsia="Arial" w:hAnsi="Arial"/>
                <w:sz w:val="14"/>
                <w:szCs w:val="14"/>
                <w:b w:val="1"/>
                <w:bCs w:val="1"/>
                <w:color w:val="auto"/>
              </w:rPr>
              <w:t>0.3</w:t>
            </w:r>
          </w:p>
        </w:tc>
        <w:tc>
          <w:tcPr>
            <w:tcW w:w="1000" w:type="dxa"/>
            <w:vAlign w:val="bottom"/>
          </w:tcPr>
          <w:p>
            <w:pPr>
              <w:jc w:val="right"/>
              <w:ind w:right="28"/>
              <w:spacing w:after="0"/>
              <w:rPr>
                <w:sz w:val="20"/>
                <w:szCs w:val="20"/>
                <w:color w:val="auto"/>
              </w:rPr>
            </w:pPr>
            <w:r>
              <w:rPr>
                <w:rFonts w:ascii="Arial" w:cs="Arial" w:eastAsia="Arial" w:hAnsi="Arial"/>
                <w:sz w:val="14"/>
                <w:szCs w:val="14"/>
                <w:color w:val="auto"/>
              </w:rPr>
              <w:t>0.7</w:t>
            </w:r>
          </w:p>
        </w:tc>
        <w:tc>
          <w:tcPr>
            <w:tcW w:w="0" w:type="dxa"/>
            <w:vAlign w:val="bottom"/>
          </w:tcPr>
          <w:p>
            <w:pPr>
              <w:spacing w:after="0"/>
              <w:rPr>
                <w:sz w:val="1"/>
                <w:szCs w:val="1"/>
                <w:color w:val="auto"/>
              </w:rPr>
            </w:pPr>
          </w:p>
        </w:tc>
      </w:tr>
      <w:tr>
        <w:trPr>
          <w:trHeight w:val="270"/>
        </w:trPr>
        <w:tc>
          <w:tcPr>
            <w:tcW w:w="5840" w:type="dxa"/>
            <w:vAlign w:val="bottom"/>
          </w:tcPr>
          <w:p>
            <w:pPr>
              <w:ind w:left="40"/>
              <w:spacing w:after="0"/>
              <w:rPr>
                <w:sz w:val="20"/>
                <w:szCs w:val="20"/>
                <w:color w:val="auto"/>
              </w:rPr>
            </w:pPr>
            <w:r>
              <w:rPr>
                <w:rFonts w:ascii="Arial" w:cs="Arial" w:eastAsia="Arial" w:hAnsi="Arial"/>
                <w:sz w:val="14"/>
                <w:szCs w:val="14"/>
                <w:color w:val="auto"/>
              </w:rPr>
              <w:t>Stock-based compensation expense</w:t>
            </w:r>
          </w:p>
        </w:tc>
        <w:tc>
          <w:tcPr>
            <w:tcW w:w="1840" w:type="dxa"/>
            <w:vAlign w:val="bottom"/>
          </w:tcPr>
          <w:p>
            <w:pPr>
              <w:jc w:val="right"/>
              <w:ind w:right="48"/>
              <w:spacing w:after="0"/>
              <w:rPr>
                <w:sz w:val="20"/>
                <w:szCs w:val="20"/>
                <w:color w:val="auto"/>
              </w:rPr>
            </w:pPr>
            <w:r>
              <w:rPr>
                <w:rFonts w:ascii="Arial" w:cs="Arial" w:eastAsia="Arial" w:hAnsi="Arial"/>
                <w:sz w:val="14"/>
                <w:szCs w:val="14"/>
                <w:b w:val="1"/>
                <w:bCs w:val="1"/>
                <w:color w:val="auto"/>
              </w:rPr>
              <w:t>2.2</w:t>
            </w:r>
          </w:p>
        </w:tc>
        <w:tc>
          <w:tcPr>
            <w:tcW w:w="120" w:type="dxa"/>
            <w:vAlign w:val="bottom"/>
          </w:tcPr>
          <w:p>
            <w:pPr>
              <w:spacing w:after="0"/>
              <w:rPr>
                <w:sz w:val="23"/>
                <w:szCs w:val="23"/>
                <w:color w:val="auto"/>
              </w:rPr>
            </w:pPr>
          </w:p>
        </w:tc>
        <w:tc>
          <w:tcPr>
            <w:tcW w:w="1240" w:type="dxa"/>
            <w:vAlign w:val="bottom"/>
          </w:tcPr>
          <w:p>
            <w:pPr>
              <w:jc w:val="right"/>
              <w:ind w:right="128"/>
              <w:spacing w:after="0"/>
              <w:rPr>
                <w:sz w:val="20"/>
                <w:szCs w:val="20"/>
                <w:color w:val="auto"/>
              </w:rPr>
            </w:pPr>
            <w:r>
              <w:rPr>
                <w:rFonts w:ascii="Arial" w:cs="Arial" w:eastAsia="Arial" w:hAnsi="Arial"/>
                <w:sz w:val="14"/>
                <w:szCs w:val="14"/>
                <w:color w:val="auto"/>
              </w:rPr>
              <w:t>1.5</w:t>
            </w:r>
          </w:p>
        </w:tc>
        <w:tc>
          <w:tcPr>
            <w:tcW w:w="1380" w:type="dxa"/>
            <w:vAlign w:val="bottom"/>
          </w:tcPr>
          <w:p>
            <w:pPr>
              <w:jc w:val="right"/>
              <w:ind w:right="268"/>
              <w:spacing w:after="0"/>
              <w:rPr>
                <w:sz w:val="20"/>
                <w:szCs w:val="20"/>
                <w:color w:val="auto"/>
              </w:rPr>
            </w:pPr>
            <w:r>
              <w:rPr>
                <w:rFonts w:ascii="Arial" w:cs="Arial" w:eastAsia="Arial" w:hAnsi="Arial"/>
                <w:sz w:val="14"/>
                <w:szCs w:val="14"/>
                <w:b w:val="1"/>
                <w:bCs w:val="1"/>
                <w:color w:val="auto"/>
              </w:rPr>
              <w:t>5.9</w:t>
            </w:r>
          </w:p>
        </w:tc>
        <w:tc>
          <w:tcPr>
            <w:tcW w:w="1000" w:type="dxa"/>
            <w:vAlign w:val="bottom"/>
          </w:tcPr>
          <w:p>
            <w:pPr>
              <w:jc w:val="right"/>
              <w:ind w:right="28"/>
              <w:spacing w:after="0"/>
              <w:rPr>
                <w:sz w:val="20"/>
                <w:szCs w:val="20"/>
                <w:color w:val="auto"/>
              </w:rPr>
            </w:pPr>
            <w:r>
              <w:rPr>
                <w:rFonts w:ascii="Arial" w:cs="Arial" w:eastAsia="Arial" w:hAnsi="Arial"/>
                <w:sz w:val="14"/>
                <w:szCs w:val="14"/>
                <w:color w:val="auto"/>
              </w:rPr>
              <w:t>4.9</w:t>
            </w:r>
          </w:p>
        </w:tc>
        <w:tc>
          <w:tcPr>
            <w:tcW w:w="0" w:type="dxa"/>
            <w:vAlign w:val="bottom"/>
          </w:tcPr>
          <w:p>
            <w:pPr>
              <w:spacing w:after="0"/>
              <w:rPr>
                <w:sz w:val="1"/>
                <w:szCs w:val="1"/>
                <w:color w:val="auto"/>
              </w:rPr>
            </w:pPr>
          </w:p>
        </w:tc>
      </w:tr>
      <w:tr>
        <w:trPr>
          <w:trHeight w:val="203"/>
        </w:trPr>
        <w:tc>
          <w:tcPr>
            <w:tcW w:w="5840" w:type="dxa"/>
            <w:vAlign w:val="bottom"/>
          </w:tcPr>
          <w:p>
            <w:pPr>
              <w:ind w:left="40"/>
              <w:spacing w:after="0"/>
              <w:rPr>
                <w:sz w:val="20"/>
                <w:szCs w:val="20"/>
                <w:color w:val="auto"/>
              </w:rPr>
            </w:pPr>
            <w:r>
              <w:rPr>
                <w:rFonts w:ascii="Arial" w:cs="Arial" w:eastAsia="Arial" w:hAnsi="Arial"/>
                <w:sz w:val="14"/>
                <w:szCs w:val="14"/>
                <w:color w:val="auto"/>
              </w:rPr>
              <w:t>Pension and postretirement expense (benefit), net</w:t>
            </w:r>
          </w:p>
        </w:tc>
        <w:tc>
          <w:tcPr>
            <w:tcW w:w="1840" w:type="dxa"/>
            <w:vAlign w:val="bottom"/>
            <w:vMerge w:val="restart"/>
          </w:tcPr>
          <w:p>
            <w:pPr>
              <w:jc w:val="right"/>
              <w:ind w:right="8"/>
              <w:spacing w:after="0"/>
              <w:rPr>
                <w:sz w:val="20"/>
                <w:szCs w:val="20"/>
                <w:color w:val="auto"/>
              </w:rPr>
            </w:pPr>
            <w:r>
              <w:rPr>
                <w:rFonts w:ascii="Arial" w:cs="Arial" w:eastAsia="Arial" w:hAnsi="Arial"/>
                <w:sz w:val="14"/>
                <w:szCs w:val="14"/>
                <w:b w:val="1"/>
                <w:bCs w:val="1"/>
                <w:color w:val="auto"/>
              </w:rPr>
              <w:t>(1.4)</w:t>
            </w:r>
          </w:p>
        </w:tc>
        <w:tc>
          <w:tcPr>
            <w:tcW w:w="120" w:type="dxa"/>
            <w:vAlign w:val="bottom"/>
          </w:tcPr>
          <w:p>
            <w:pPr>
              <w:spacing w:after="0"/>
              <w:rPr>
                <w:sz w:val="17"/>
                <w:szCs w:val="17"/>
                <w:color w:val="auto"/>
              </w:rPr>
            </w:pPr>
          </w:p>
        </w:tc>
        <w:tc>
          <w:tcPr>
            <w:tcW w:w="1240" w:type="dxa"/>
            <w:vAlign w:val="bottom"/>
            <w:vMerge w:val="restart"/>
          </w:tcPr>
          <w:p>
            <w:pPr>
              <w:jc w:val="right"/>
              <w:ind w:right="128"/>
              <w:spacing w:after="0"/>
              <w:rPr>
                <w:sz w:val="20"/>
                <w:szCs w:val="20"/>
                <w:color w:val="auto"/>
              </w:rPr>
            </w:pPr>
            <w:r>
              <w:rPr>
                <w:rFonts w:ascii="Arial" w:cs="Arial" w:eastAsia="Arial" w:hAnsi="Arial"/>
                <w:sz w:val="14"/>
                <w:szCs w:val="14"/>
                <w:color w:val="auto"/>
              </w:rPr>
              <w:t>3.0</w:t>
            </w:r>
          </w:p>
        </w:tc>
        <w:tc>
          <w:tcPr>
            <w:tcW w:w="1380" w:type="dxa"/>
            <w:vAlign w:val="bottom"/>
            <w:vMerge w:val="restart"/>
          </w:tcPr>
          <w:p>
            <w:pPr>
              <w:jc w:val="right"/>
              <w:ind w:right="208"/>
              <w:spacing w:after="0"/>
              <w:rPr>
                <w:sz w:val="20"/>
                <w:szCs w:val="20"/>
                <w:color w:val="auto"/>
              </w:rPr>
            </w:pPr>
            <w:r>
              <w:rPr>
                <w:rFonts w:ascii="Arial" w:cs="Arial" w:eastAsia="Arial" w:hAnsi="Arial"/>
                <w:sz w:val="14"/>
                <w:szCs w:val="14"/>
                <w:b w:val="1"/>
                <w:bCs w:val="1"/>
                <w:color w:val="auto"/>
              </w:rPr>
              <w:t>(4.3)</w:t>
            </w:r>
          </w:p>
        </w:tc>
        <w:tc>
          <w:tcPr>
            <w:tcW w:w="1000" w:type="dxa"/>
            <w:vAlign w:val="bottom"/>
            <w:vMerge w:val="restart"/>
          </w:tcPr>
          <w:p>
            <w:pPr>
              <w:jc w:val="right"/>
              <w:ind w:right="28"/>
              <w:spacing w:after="0"/>
              <w:rPr>
                <w:sz w:val="20"/>
                <w:szCs w:val="20"/>
                <w:color w:val="auto"/>
              </w:rPr>
            </w:pPr>
            <w:r>
              <w:rPr>
                <w:rFonts w:ascii="Arial" w:cs="Arial" w:eastAsia="Arial" w:hAnsi="Arial"/>
                <w:sz w:val="14"/>
                <w:szCs w:val="14"/>
                <w:color w:val="auto"/>
              </w:rPr>
              <w:t>4.6</w:t>
            </w:r>
          </w:p>
        </w:tc>
        <w:tc>
          <w:tcPr>
            <w:tcW w:w="0" w:type="dxa"/>
            <w:vAlign w:val="bottom"/>
          </w:tcPr>
          <w:p>
            <w:pPr>
              <w:spacing w:after="0"/>
              <w:rPr>
                <w:sz w:val="1"/>
                <w:szCs w:val="1"/>
                <w:color w:val="auto"/>
              </w:rPr>
            </w:pPr>
          </w:p>
        </w:tc>
      </w:tr>
      <w:tr>
        <w:trPr>
          <w:trHeight w:val="149"/>
        </w:trPr>
        <w:tc>
          <w:tcPr>
            <w:tcW w:w="5840" w:type="dxa"/>
            <w:vAlign w:val="bottom"/>
          </w:tcPr>
          <w:p>
            <w:pPr>
              <w:spacing w:after="0"/>
              <w:rPr>
                <w:sz w:val="12"/>
                <w:szCs w:val="12"/>
                <w:color w:val="auto"/>
              </w:rPr>
            </w:pPr>
          </w:p>
        </w:tc>
        <w:tc>
          <w:tcPr>
            <w:tcW w:w="1840" w:type="dxa"/>
            <w:vAlign w:val="bottom"/>
            <w:vMerge w:val="continue"/>
          </w:tcPr>
          <w:p>
            <w:pPr>
              <w:spacing w:after="0"/>
              <w:rPr>
                <w:sz w:val="12"/>
                <w:szCs w:val="12"/>
                <w:color w:val="auto"/>
              </w:rPr>
            </w:pPr>
          </w:p>
        </w:tc>
        <w:tc>
          <w:tcPr>
            <w:tcW w:w="120" w:type="dxa"/>
            <w:vAlign w:val="bottom"/>
          </w:tcPr>
          <w:p>
            <w:pPr>
              <w:spacing w:after="0"/>
              <w:rPr>
                <w:sz w:val="12"/>
                <w:szCs w:val="12"/>
                <w:color w:val="auto"/>
              </w:rPr>
            </w:pPr>
          </w:p>
        </w:tc>
        <w:tc>
          <w:tcPr>
            <w:tcW w:w="1240" w:type="dxa"/>
            <w:vAlign w:val="bottom"/>
            <w:vMerge w:val="continue"/>
          </w:tcPr>
          <w:p>
            <w:pPr>
              <w:spacing w:after="0"/>
              <w:rPr>
                <w:sz w:val="12"/>
                <w:szCs w:val="12"/>
                <w:color w:val="auto"/>
              </w:rPr>
            </w:pPr>
          </w:p>
        </w:tc>
        <w:tc>
          <w:tcPr>
            <w:tcW w:w="1380" w:type="dxa"/>
            <w:vAlign w:val="bottom"/>
            <w:vMerge w:val="continue"/>
          </w:tcPr>
          <w:p>
            <w:pPr>
              <w:spacing w:after="0"/>
              <w:rPr>
                <w:sz w:val="12"/>
                <w:szCs w:val="12"/>
                <w:color w:val="auto"/>
              </w:rPr>
            </w:pPr>
          </w:p>
        </w:tc>
        <w:tc>
          <w:tcPr>
            <w:tcW w:w="10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70"/>
        </w:trPr>
        <w:tc>
          <w:tcPr>
            <w:tcW w:w="5840" w:type="dxa"/>
            <w:vAlign w:val="bottom"/>
          </w:tcPr>
          <w:p>
            <w:pPr>
              <w:ind w:left="40"/>
              <w:spacing w:after="0"/>
              <w:rPr>
                <w:sz w:val="20"/>
                <w:szCs w:val="20"/>
                <w:color w:val="auto"/>
              </w:rPr>
            </w:pPr>
            <w:r>
              <w:rPr>
                <w:rFonts w:ascii="Arial" w:cs="Arial" w:eastAsia="Arial" w:hAnsi="Arial"/>
                <w:sz w:val="14"/>
                <w:szCs w:val="14"/>
                <w:color w:val="auto"/>
              </w:rPr>
              <w:t>Pension and postretirement contributions and payments</w:t>
            </w:r>
          </w:p>
        </w:tc>
        <w:tc>
          <w:tcPr>
            <w:tcW w:w="1840" w:type="dxa"/>
            <w:vAlign w:val="bottom"/>
          </w:tcPr>
          <w:p>
            <w:pPr>
              <w:jc w:val="right"/>
              <w:ind w:right="48"/>
              <w:spacing w:after="0"/>
              <w:rPr>
                <w:sz w:val="20"/>
                <w:szCs w:val="20"/>
                <w:color w:val="auto"/>
              </w:rPr>
            </w:pPr>
            <w:r>
              <w:rPr>
                <w:rFonts w:ascii="Arial" w:cs="Arial" w:eastAsia="Arial" w:hAnsi="Arial"/>
                <w:sz w:val="14"/>
                <w:szCs w:val="14"/>
                <w:b w:val="1"/>
                <w:bCs w:val="1"/>
                <w:color w:val="auto"/>
              </w:rPr>
              <w:t>0.5</w:t>
            </w:r>
          </w:p>
        </w:tc>
        <w:tc>
          <w:tcPr>
            <w:tcW w:w="120" w:type="dxa"/>
            <w:vAlign w:val="bottom"/>
          </w:tcPr>
          <w:p>
            <w:pPr>
              <w:spacing w:after="0"/>
              <w:rPr>
                <w:sz w:val="23"/>
                <w:szCs w:val="23"/>
                <w:color w:val="auto"/>
              </w:rPr>
            </w:pPr>
          </w:p>
        </w:tc>
        <w:tc>
          <w:tcPr>
            <w:tcW w:w="1240" w:type="dxa"/>
            <w:vAlign w:val="bottom"/>
          </w:tcPr>
          <w:p>
            <w:pPr>
              <w:jc w:val="right"/>
              <w:ind w:right="128"/>
              <w:spacing w:after="0"/>
              <w:rPr>
                <w:sz w:val="20"/>
                <w:szCs w:val="20"/>
                <w:color w:val="auto"/>
              </w:rPr>
            </w:pPr>
            <w:r>
              <w:rPr>
                <w:rFonts w:ascii="Arial" w:cs="Arial" w:eastAsia="Arial" w:hAnsi="Arial"/>
                <w:sz w:val="14"/>
                <w:szCs w:val="14"/>
                <w:color w:val="auto"/>
              </w:rPr>
              <w:t>0.2</w:t>
            </w:r>
          </w:p>
        </w:tc>
        <w:tc>
          <w:tcPr>
            <w:tcW w:w="1380" w:type="dxa"/>
            <w:vAlign w:val="bottom"/>
          </w:tcPr>
          <w:p>
            <w:pPr>
              <w:jc w:val="right"/>
              <w:ind w:right="208"/>
              <w:spacing w:after="0"/>
              <w:rPr>
                <w:sz w:val="20"/>
                <w:szCs w:val="20"/>
                <w:color w:val="auto"/>
              </w:rPr>
            </w:pPr>
            <w:r>
              <w:rPr>
                <w:rFonts w:ascii="Arial" w:cs="Arial" w:eastAsia="Arial" w:hAnsi="Arial"/>
                <w:sz w:val="14"/>
                <w:szCs w:val="14"/>
                <w:b w:val="1"/>
                <w:bCs w:val="1"/>
                <w:color w:val="auto"/>
              </w:rPr>
              <w:t>(12.4)</w:t>
            </w:r>
          </w:p>
        </w:tc>
        <w:tc>
          <w:tcPr>
            <w:tcW w:w="1000" w:type="dxa"/>
            <w:vAlign w:val="bottom"/>
          </w:tcPr>
          <w:p>
            <w:pPr>
              <w:jc w:val="right"/>
              <w:spacing w:after="0"/>
              <w:rPr>
                <w:sz w:val="20"/>
                <w:szCs w:val="20"/>
                <w:color w:val="auto"/>
              </w:rPr>
            </w:pPr>
            <w:r>
              <w:rPr>
                <w:rFonts w:ascii="Arial" w:cs="Arial" w:eastAsia="Arial" w:hAnsi="Arial"/>
                <w:sz w:val="14"/>
                <w:szCs w:val="14"/>
                <w:color w:val="auto"/>
              </w:rPr>
              <w:t>(2.5)</w:t>
            </w:r>
          </w:p>
        </w:tc>
        <w:tc>
          <w:tcPr>
            <w:tcW w:w="0" w:type="dxa"/>
            <w:vAlign w:val="bottom"/>
          </w:tcPr>
          <w:p>
            <w:pPr>
              <w:spacing w:after="0"/>
              <w:rPr>
                <w:sz w:val="1"/>
                <w:szCs w:val="1"/>
                <w:color w:val="auto"/>
              </w:rPr>
            </w:pPr>
          </w:p>
        </w:tc>
      </w:tr>
      <w:tr>
        <w:trPr>
          <w:trHeight w:val="270"/>
        </w:trPr>
        <w:tc>
          <w:tcPr>
            <w:tcW w:w="5840" w:type="dxa"/>
            <w:vAlign w:val="bottom"/>
          </w:tcPr>
          <w:p>
            <w:pPr>
              <w:ind w:left="40"/>
              <w:spacing w:after="0"/>
              <w:rPr>
                <w:sz w:val="20"/>
                <w:szCs w:val="20"/>
                <w:color w:val="auto"/>
              </w:rPr>
            </w:pPr>
            <w:r>
              <w:rPr>
                <w:rFonts w:ascii="Arial" w:cs="Arial" w:eastAsia="Arial" w:hAnsi="Arial"/>
                <w:sz w:val="14"/>
                <w:szCs w:val="14"/>
                <w:color w:val="auto"/>
              </w:rPr>
              <w:t>Changes in operating assets and liabilities:</w:t>
            </w:r>
          </w:p>
        </w:tc>
        <w:tc>
          <w:tcPr>
            <w:tcW w:w="18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240" w:type="dxa"/>
            <w:vAlign w:val="bottom"/>
          </w:tcPr>
          <w:p>
            <w:pPr>
              <w:spacing w:after="0"/>
              <w:rPr>
                <w:sz w:val="23"/>
                <w:szCs w:val="23"/>
                <w:color w:val="auto"/>
              </w:rPr>
            </w:pPr>
          </w:p>
        </w:tc>
        <w:tc>
          <w:tcPr>
            <w:tcW w:w="1380" w:type="dxa"/>
            <w:vAlign w:val="bottom"/>
          </w:tcPr>
          <w:p>
            <w:pPr>
              <w:spacing w:after="0"/>
              <w:rPr>
                <w:sz w:val="23"/>
                <w:szCs w:val="23"/>
                <w:color w:val="auto"/>
              </w:rPr>
            </w:pPr>
          </w:p>
        </w:tc>
        <w:tc>
          <w:tcPr>
            <w:tcW w:w="10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5840" w:type="dxa"/>
            <w:vAlign w:val="bottom"/>
          </w:tcPr>
          <w:p>
            <w:pPr>
              <w:ind w:left="360"/>
              <w:spacing w:after="0"/>
              <w:rPr>
                <w:sz w:val="20"/>
                <w:szCs w:val="20"/>
                <w:color w:val="auto"/>
              </w:rPr>
            </w:pPr>
            <w:r>
              <w:rPr>
                <w:rFonts w:ascii="Arial" w:cs="Arial" w:eastAsia="Arial" w:hAnsi="Arial"/>
                <w:sz w:val="14"/>
                <w:szCs w:val="14"/>
                <w:color w:val="auto"/>
              </w:rPr>
              <w:t>Accounts receivable, net</w:t>
            </w:r>
          </w:p>
        </w:tc>
        <w:tc>
          <w:tcPr>
            <w:tcW w:w="1840" w:type="dxa"/>
            <w:vAlign w:val="bottom"/>
          </w:tcPr>
          <w:p>
            <w:pPr>
              <w:jc w:val="right"/>
              <w:ind w:right="48"/>
              <w:spacing w:after="0"/>
              <w:rPr>
                <w:sz w:val="20"/>
                <w:szCs w:val="20"/>
                <w:color w:val="auto"/>
              </w:rPr>
            </w:pPr>
            <w:r>
              <w:rPr>
                <w:rFonts w:ascii="Arial" w:cs="Arial" w:eastAsia="Arial" w:hAnsi="Arial"/>
                <w:sz w:val="14"/>
                <w:szCs w:val="14"/>
                <w:b w:val="1"/>
                <w:bCs w:val="1"/>
                <w:color w:val="auto"/>
              </w:rPr>
              <w:t>1.5</w:t>
            </w:r>
          </w:p>
        </w:tc>
        <w:tc>
          <w:tcPr>
            <w:tcW w:w="120" w:type="dxa"/>
            <w:vAlign w:val="bottom"/>
          </w:tcPr>
          <w:p>
            <w:pPr>
              <w:spacing w:after="0"/>
              <w:rPr>
                <w:sz w:val="23"/>
                <w:szCs w:val="23"/>
                <w:color w:val="auto"/>
              </w:rPr>
            </w:pPr>
          </w:p>
        </w:tc>
        <w:tc>
          <w:tcPr>
            <w:tcW w:w="1240" w:type="dxa"/>
            <w:vAlign w:val="bottom"/>
          </w:tcPr>
          <w:p>
            <w:pPr>
              <w:jc w:val="right"/>
              <w:ind w:right="88"/>
              <w:spacing w:after="0"/>
              <w:rPr>
                <w:sz w:val="20"/>
                <w:szCs w:val="20"/>
                <w:color w:val="auto"/>
              </w:rPr>
            </w:pPr>
            <w:r>
              <w:rPr>
                <w:rFonts w:ascii="Arial" w:cs="Arial" w:eastAsia="Arial" w:hAnsi="Arial"/>
                <w:sz w:val="14"/>
                <w:szCs w:val="14"/>
                <w:color w:val="auto"/>
              </w:rPr>
              <w:t>(7.1)</w:t>
            </w:r>
          </w:p>
        </w:tc>
        <w:tc>
          <w:tcPr>
            <w:tcW w:w="1380" w:type="dxa"/>
            <w:vAlign w:val="bottom"/>
          </w:tcPr>
          <w:p>
            <w:pPr>
              <w:jc w:val="right"/>
              <w:ind w:right="208"/>
              <w:spacing w:after="0"/>
              <w:rPr>
                <w:sz w:val="20"/>
                <w:szCs w:val="20"/>
                <w:color w:val="auto"/>
              </w:rPr>
            </w:pPr>
            <w:r>
              <w:rPr>
                <w:rFonts w:ascii="Arial" w:cs="Arial" w:eastAsia="Arial" w:hAnsi="Arial"/>
                <w:sz w:val="14"/>
                <w:szCs w:val="14"/>
                <w:b w:val="1"/>
                <w:bCs w:val="1"/>
                <w:color w:val="auto"/>
              </w:rPr>
              <w:t>(22.3)</w:t>
            </w:r>
          </w:p>
        </w:tc>
        <w:tc>
          <w:tcPr>
            <w:tcW w:w="1000" w:type="dxa"/>
            <w:vAlign w:val="bottom"/>
          </w:tcPr>
          <w:p>
            <w:pPr>
              <w:jc w:val="right"/>
              <w:spacing w:after="0"/>
              <w:rPr>
                <w:sz w:val="20"/>
                <w:szCs w:val="20"/>
                <w:color w:val="auto"/>
              </w:rPr>
            </w:pPr>
            <w:r>
              <w:rPr>
                <w:rFonts w:ascii="Arial" w:cs="Arial" w:eastAsia="Arial" w:hAnsi="Arial"/>
                <w:sz w:val="14"/>
                <w:szCs w:val="14"/>
                <w:color w:val="auto"/>
              </w:rPr>
              <w:t>(69.0)</w:t>
            </w:r>
          </w:p>
        </w:tc>
        <w:tc>
          <w:tcPr>
            <w:tcW w:w="0" w:type="dxa"/>
            <w:vAlign w:val="bottom"/>
          </w:tcPr>
          <w:p>
            <w:pPr>
              <w:spacing w:after="0"/>
              <w:rPr>
                <w:sz w:val="1"/>
                <w:szCs w:val="1"/>
                <w:color w:val="auto"/>
              </w:rPr>
            </w:pPr>
          </w:p>
        </w:tc>
      </w:tr>
      <w:tr>
        <w:trPr>
          <w:trHeight w:val="270"/>
        </w:trPr>
        <w:tc>
          <w:tcPr>
            <w:tcW w:w="5840" w:type="dxa"/>
            <w:vAlign w:val="bottom"/>
          </w:tcPr>
          <w:p>
            <w:pPr>
              <w:ind w:left="360"/>
              <w:spacing w:after="0"/>
              <w:rPr>
                <w:sz w:val="20"/>
                <w:szCs w:val="20"/>
                <w:color w:val="auto"/>
              </w:rPr>
            </w:pPr>
            <w:r>
              <w:rPr>
                <w:rFonts w:ascii="Arial" w:cs="Arial" w:eastAsia="Arial" w:hAnsi="Arial"/>
                <w:sz w:val="14"/>
                <w:szCs w:val="14"/>
                <w:color w:val="auto"/>
              </w:rPr>
              <w:t>Inventories, net</w:t>
            </w:r>
          </w:p>
        </w:tc>
        <w:tc>
          <w:tcPr>
            <w:tcW w:w="1840" w:type="dxa"/>
            <w:vAlign w:val="bottom"/>
          </w:tcPr>
          <w:p>
            <w:pPr>
              <w:jc w:val="right"/>
              <w:ind w:right="48"/>
              <w:spacing w:after="0"/>
              <w:rPr>
                <w:sz w:val="20"/>
                <w:szCs w:val="20"/>
                <w:color w:val="auto"/>
              </w:rPr>
            </w:pPr>
            <w:r>
              <w:rPr>
                <w:rFonts w:ascii="Arial" w:cs="Arial" w:eastAsia="Arial" w:hAnsi="Arial"/>
                <w:sz w:val="14"/>
                <w:szCs w:val="14"/>
                <w:b w:val="1"/>
                <w:bCs w:val="1"/>
                <w:color w:val="auto"/>
              </w:rPr>
              <w:t>9.2</w:t>
            </w:r>
          </w:p>
        </w:tc>
        <w:tc>
          <w:tcPr>
            <w:tcW w:w="120" w:type="dxa"/>
            <w:vAlign w:val="bottom"/>
          </w:tcPr>
          <w:p>
            <w:pPr>
              <w:spacing w:after="0"/>
              <w:rPr>
                <w:sz w:val="23"/>
                <w:szCs w:val="23"/>
                <w:color w:val="auto"/>
              </w:rPr>
            </w:pPr>
          </w:p>
        </w:tc>
        <w:tc>
          <w:tcPr>
            <w:tcW w:w="1240" w:type="dxa"/>
            <w:vAlign w:val="bottom"/>
          </w:tcPr>
          <w:p>
            <w:pPr>
              <w:jc w:val="right"/>
              <w:ind w:right="88"/>
              <w:spacing w:after="0"/>
              <w:rPr>
                <w:sz w:val="20"/>
                <w:szCs w:val="20"/>
                <w:color w:val="auto"/>
              </w:rPr>
            </w:pPr>
            <w:r>
              <w:rPr>
                <w:rFonts w:ascii="Arial" w:cs="Arial" w:eastAsia="Arial" w:hAnsi="Arial"/>
                <w:sz w:val="14"/>
                <w:szCs w:val="14"/>
                <w:color w:val="auto"/>
              </w:rPr>
              <w:t>(20.2)</w:t>
            </w:r>
          </w:p>
        </w:tc>
        <w:tc>
          <w:tcPr>
            <w:tcW w:w="1380" w:type="dxa"/>
            <w:vAlign w:val="bottom"/>
          </w:tcPr>
          <w:p>
            <w:pPr>
              <w:jc w:val="right"/>
              <w:ind w:right="208"/>
              <w:spacing w:after="0"/>
              <w:rPr>
                <w:sz w:val="20"/>
                <w:szCs w:val="20"/>
                <w:color w:val="auto"/>
              </w:rPr>
            </w:pPr>
            <w:r>
              <w:rPr>
                <w:rFonts w:ascii="Arial" w:cs="Arial" w:eastAsia="Arial" w:hAnsi="Arial"/>
                <w:sz w:val="14"/>
                <w:szCs w:val="14"/>
                <w:b w:val="1"/>
                <w:bCs w:val="1"/>
                <w:color w:val="auto"/>
              </w:rPr>
              <w:t>(61.3)</w:t>
            </w:r>
          </w:p>
        </w:tc>
        <w:tc>
          <w:tcPr>
            <w:tcW w:w="1000" w:type="dxa"/>
            <w:vAlign w:val="bottom"/>
          </w:tcPr>
          <w:p>
            <w:pPr>
              <w:jc w:val="right"/>
              <w:spacing w:after="0"/>
              <w:rPr>
                <w:sz w:val="20"/>
                <w:szCs w:val="20"/>
                <w:color w:val="auto"/>
              </w:rPr>
            </w:pPr>
            <w:r>
              <w:rPr>
                <w:rFonts w:ascii="Arial" w:cs="Arial" w:eastAsia="Arial" w:hAnsi="Arial"/>
                <w:sz w:val="14"/>
                <w:szCs w:val="14"/>
                <w:color w:val="auto"/>
              </w:rPr>
              <w:t>(55.3)</w:t>
            </w:r>
          </w:p>
        </w:tc>
        <w:tc>
          <w:tcPr>
            <w:tcW w:w="0" w:type="dxa"/>
            <w:vAlign w:val="bottom"/>
          </w:tcPr>
          <w:p>
            <w:pPr>
              <w:spacing w:after="0"/>
              <w:rPr>
                <w:sz w:val="1"/>
                <w:szCs w:val="1"/>
                <w:color w:val="auto"/>
              </w:rPr>
            </w:pPr>
          </w:p>
        </w:tc>
      </w:tr>
      <w:tr>
        <w:trPr>
          <w:trHeight w:val="270"/>
        </w:trPr>
        <w:tc>
          <w:tcPr>
            <w:tcW w:w="5840" w:type="dxa"/>
            <w:vAlign w:val="bottom"/>
          </w:tcPr>
          <w:p>
            <w:pPr>
              <w:ind w:left="360"/>
              <w:spacing w:after="0"/>
              <w:rPr>
                <w:sz w:val="20"/>
                <w:szCs w:val="20"/>
                <w:color w:val="auto"/>
              </w:rPr>
            </w:pPr>
            <w:r>
              <w:rPr>
                <w:rFonts w:ascii="Arial" w:cs="Arial" w:eastAsia="Arial" w:hAnsi="Arial"/>
                <w:sz w:val="14"/>
                <w:szCs w:val="14"/>
                <w:color w:val="auto"/>
              </w:rPr>
              <w:t>Accounts payable</w:t>
            </w:r>
          </w:p>
        </w:tc>
        <w:tc>
          <w:tcPr>
            <w:tcW w:w="1840" w:type="dxa"/>
            <w:vAlign w:val="bottom"/>
          </w:tcPr>
          <w:p>
            <w:pPr>
              <w:jc w:val="right"/>
              <w:ind w:right="8"/>
              <w:spacing w:after="0"/>
              <w:rPr>
                <w:sz w:val="20"/>
                <w:szCs w:val="20"/>
                <w:color w:val="auto"/>
              </w:rPr>
            </w:pPr>
            <w:r>
              <w:rPr>
                <w:rFonts w:ascii="Arial" w:cs="Arial" w:eastAsia="Arial" w:hAnsi="Arial"/>
                <w:sz w:val="14"/>
                <w:szCs w:val="14"/>
                <w:b w:val="1"/>
                <w:bCs w:val="1"/>
                <w:color w:val="auto"/>
              </w:rPr>
              <w:t>(39.0)</w:t>
            </w:r>
          </w:p>
        </w:tc>
        <w:tc>
          <w:tcPr>
            <w:tcW w:w="120" w:type="dxa"/>
            <w:vAlign w:val="bottom"/>
          </w:tcPr>
          <w:p>
            <w:pPr>
              <w:spacing w:after="0"/>
              <w:rPr>
                <w:sz w:val="23"/>
                <w:szCs w:val="23"/>
                <w:color w:val="auto"/>
              </w:rPr>
            </w:pPr>
          </w:p>
        </w:tc>
        <w:tc>
          <w:tcPr>
            <w:tcW w:w="1240" w:type="dxa"/>
            <w:vAlign w:val="bottom"/>
          </w:tcPr>
          <w:p>
            <w:pPr>
              <w:jc w:val="right"/>
              <w:ind w:right="128"/>
              <w:spacing w:after="0"/>
              <w:rPr>
                <w:sz w:val="20"/>
                <w:szCs w:val="20"/>
                <w:color w:val="auto"/>
              </w:rPr>
            </w:pPr>
            <w:r>
              <w:rPr>
                <w:rFonts w:ascii="Arial" w:cs="Arial" w:eastAsia="Arial" w:hAnsi="Arial"/>
                <w:sz w:val="14"/>
                <w:szCs w:val="14"/>
                <w:color w:val="auto"/>
              </w:rPr>
              <w:t>3.0</w:t>
            </w:r>
          </w:p>
        </w:tc>
        <w:tc>
          <w:tcPr>
            <w:tcW w:w="1380" w:type="dxa"/>
            <w:vAlign w:val="bottom"/>
          </w:tcPr>
          <w:p>
            <w:pPr>
              <w:jc w:val="right"/>
              <w:ind w:right="268"/>
              <w:spacing w:after="0"/>
              <w:rPr>
                <w:sz w:val="20"/>
                <w:szCs w:val="20"/>
                <w:color w:val="auto"/>
              </w:rPr>
            </w:pPr>
            <w:r>
              <w:rPr>
                <w:rFonts w:ascii="Arial" w:cs="Arial" w:eastAsia="Arial" w:hAnsi="Arial"/>
                <w:sz w:val="14"/>
                <w:szCs w:val="14"/>
                <w:b w:val="1"/>
                <w:bCs w:val="1"/>
                <w:color w:val="auto"/>
              </w:rPr>
              <w:t>3.5</w:t>
            </w:r>
          </w:p>
        </w:tc>
        <w:tc>
          <w:tcPr>
            <w:tcW w:w="1000" w:type="dxa"/>
            <w:vAlign w:val="bottom"/>
          </w:tcPr>
          <w:p>
            <w:pPr>
              <w:jc w:val="right"/>
              <w:ind w:right="28"/>
              <w:spacing w:after="0"/>
              <w:rPr>
                <w:sz w:val="20"/>
                <w:szCs w:val="20"/>
                <w:color w:val="auto"/>
              </w:rPr>
            </w:pPr>
            <w:r>
              <w:rPr>
                <w:rFonts w:ascii="Arial" w:cs="Arial" w:eastAsia="Arial" w:hAnsi="Arial"/>
                <w:sz w:val="14"/>
                <w:szCs w:val="14"/>
                <w:color w:val="auto"/>
              </w:rPr>
              <w:t>46.8</w:t>
            </w:r>
          </w:p>
        </w:tc>
        <w:tc>
          <w:tcPr>
            <w:tcW w:w="0" w:type="dxa"/>
            <w:vAlign w:val="bottom"/>
          </w:tcPr>
          <w:p>
            <w:pPr>
              <w:spacing w:after="0"/>
              <w:rPr>
                <w:sz w:val="1"/>
                <w:szCs w:val="1"/>
                <w:color w:val="auto"/>
              </w:rPr>
            </w:pPr>
          </w:p>
        </w:tc>
      </w:tr>
      <w:tr>
        <w:trPr>
          <w:trHeight w:val="270"/>
        </w:trPr>
        <w:tc>
          <w:tcPr>
            <w:tcW w:w="5840" w:type="dxa"/>
            <w:vAlign w:val="bottom"/>
          </w:tcPr>
          <w:p>
            <w:pPr>
              <w:ind w:left="360"/>
              <w:spacing w:after="0"/>
              <w:rPr>
                <w:sz w:val="20"/>
                <w:szCs w:val="20"/>
                <w:color w:val="auto"/>
              </w:rPr>
            </w:pPr>
            <w:r>
              <w:rPr>
                <w:rFonts w:ascii="Arial" w:cs="Arial" w:eastAsia="Arial" w:hAnsi="Arial"/>
                <w:sz w:val="14"/>
                <w:szCs w:val="14"/>
                <w:color w:val="auto"/>
              </w:rPr>
              <w:t>Other accrued expenses</w:t>
            </w:r>
          </w:p>
        </w:tc>
        <w:tc>
          <w:tcPr>
            <w:tcW w:w="1840" w:type="dxa"/>
            <w:vAlign w:val="bottom"/>
          </w:tcPr>
          <w:p>
            <w:pPr>
              <w:jc w:val="right"/>
              <w:ind w:right="48"/>
              <w:spacing w:after="0"/>
              <w:rPr>
                <w:sz w:val="20"/>
                <w:szCs w:val="20"/>
                <w:color w:val="auto"/>
              </w:rPr>
            </w:pPr>
            <w:r>
              <w:rPr>
                <w:rFonts w:ascii="Arial" w:cs="Arial" w:eastAsia="Arial" w:hAnsi="Arial"/>
                <w:sz w:val="14"/>
                <w:szCs w:val="14"/>
                <w:b w:val="1"/>
                <w:bCs w:val="1"/>
                <w:color w:val="auto"/>
              </w:rPr>
              <w:t>7.0</w:t>
            </w:r>
          </w:p>
        </w:tc>
        <w:tc>
          <w:tcPr>
            <w:tcW w:w="120" w:type="dxa"/>
            <w:vAlign w:val="bottom"/>
          </w:tcPr>
          <w:p>
            <w:pPr>
              <w:spacing w:after="0"/>
              <w:rPr>
                <w:sz w:val="23"/>
                <w:szCs w:val="23"/>
                <w:color w:val="auto"/>
              </w:rPr>
            </w:pPr>
          </w:p>
        </w:tc>
        <w:tc>
          <w:tcPr>
            <w:tcW w:w="1240" w:type="dxa"/>
            <w:vAlign w:val="bottom"/>
          </w:tcPr>
          <w:p>
            <w:pPr>
              <w:jc w:val="right"/>
              <w:ind w:right="128"/>
              <w:spacing w:after="0"/>
              <w:rPr>
                <w:sz w:val="20"/>
                <w:szCs w:val="20"/>
                <w:color w:val="auto"/>
              </w:rPr>
            </w:pPr>
            <w:r>
              <w:rPr>
                <w:rFonts w:ascii="Arial" w:cs="Arial" w:eastAsia="Arial" w:hAnsi="Arial"/>
                <w:sz w:val="14"/>
                <w:szCs w:val="14"/>
                <w:color w:val="auto"/>
              </w:rPr>
              <w:t>9.2</w:t>
            </w:r>
          </w:p>
        </w:tc>
        <w:tc>
          <w:tcPr>
            <w:tcW w:w="1380" w:type="dxa"/>
            <w:vAlign w:val="bottom"/>
          </w:tcPr>
          <w:p>
            <w:pPr>
              <w:jc w:val="right"/>
              <w:ind w:right="208"/>
              <w:spacing w:after="0"/>
              <w:rPr>
                <w:sz w:val="20"/>
                <w:szCs w:val="20"/>
                <w:color w:val="auto"/>
              </w:rPr>
            </w:pPr>
            <w:r>
              <w:rPr>
                <w:rFonts w:ascii="Arial" w:cs="Arial" w:eastAsia="Arial" w:hAnsi="Arial"/>
                <w:sz w:val="14"/>
                <w:szCs w:val="14"/>
                <w:b w:val="1"/>
                <w:bCs w:val="1"/>
                <w:color w:val="auto"/>
              </w:rPr>
              <w:t>(5.9)</w:t>
            </w:r>
          </w:p>
        </w:tc>
        <w:tc>
          <w:tcPr>
            <w:tcW w:w="1000" w:type="dxa"/>
            <w:vAlign w:val="bottom"/>
          </w:tcPr>
          <w:p>
            <w:pPr>
              <w:jc w:val="right"/>
              <w:ind w:right="28"/>
              <w:spacing w:after="0"/>
              <w:rPr>
                <w:sz w:val="20"/>
                <w:szCs w:val="20"/>
                <w:color w:val="auto"/>
              </w:rPr>
            </w:pPr>
            <w:r>
              <w:rPr>
                <w:rFonts w:ascii="Arial" w:cs="Arial" w:eastAsia="Arial" w:hAnsi="Arial"/>
                <w:sz w:val="14"/>
                <w:szCs w:val="14"/>
                <w:color w:val="auto"/>
              </w:rPr>
              <w:t>10.7</w:t>
            </w:r>
          </w:p>
        </w:tc>
        <w:tc>
          <w:tcPr>
            <w:tcW w:w="0" w:type="dxa"/>
            <w:vAlign w:val="bottom"/>
          </w:tcPr>
          <w:p>
            <w:pPr>
              <w:spacing w:after="0"/>
              <w:rPr>
                <w:sz w:val="1"/>
                <w:szCs w:val="1"/>
                <w:color w:val="auto"/>
              </w:rPr>
            </w:pPr>
          </w:p>
        </w:tc>
      </w:tr>
      <w:tr>
        <w:trPr>
          <w:trHeight w:val="270"/>
        </w:trPr>
        <w:tc>
          <w:tcPr>
            <w:tcW w:w="5840" w:type="dxa"/>
            <w:vAlign w:val="bottom"/>
          </w:tcPr>
          <w:p>
            <w:pPr>
              <w:ind w:left="360"/>
              <w:spacing w:after="0"/>
              <w:rPr>
                <w:sz w:val="20"/>
                <w:szCs w:val="20"/>
                <w:color w:val="auto"/>
              </w:rPr>
            </w:pPr>
            <w:r>
              <w:rPr>
                <w:rFonts w:ascii="Arial" w:cs="Arial" w:eastAsia="Arial" w:hAnsi="Arial"/>
                <w:sz w:val="14"/>
                <w:szCs w:val="14"/>
                <w:color w:val="auto"/>
              </w:rPr>
              <w:t>Deferred charges and prepaid expenses</w:t>
            </w:r>
          </w:p>
        </w:tc>
        <w:tc>
          <w:tcPr>
            <w:tcW w:w="1840" w:type="dxa"/>
            <w:vAlign w:val="bottom"/>
          </w:tcPr>
          <w:p>
            <w:pPr>
              <w:jc w:val="right"/>
              <w:ind w:right="8"/>
              <w:spacing w:after="0"/>
              <w:rPr>
                <w:sz w:val="20"/>
                <w:szCs w:val="20"/>
                <w:color w:val="auto"/>
              </w:rPr>
            </w:pPr>
            <w:r>
              <w:rPr>
                <w:rFonts w:ascii="Arial" w:cs="Arial" w:eastAsia="Arial" w:hAnsi="Arial"/>
                <w:sz w:val="14"/>
                <w:szCs w:val="14"/>
                <w:b w:val="1"/>
                <w:bCs w:val="1"/>
                <w:color w:val="auto"/>
              </w:rPr>
              <w:t>(2.4)</w:t>
            </w:r>
          </w:p>
        </w:tc>
        <w:tc>
          <w:tcPr>
            <w:tcW w:w="120" w:type="dxa"/>
            <w:vAlign w:val="bottom"/>
          </w:tcPr>
          <w:p>
            <w:pPr>
              <w:spacing w:after="0"/>
              <w:rPr>
                <w:sz w:val="23"/>
                <w:szCs w:val="23"/>
                <w:color w:val="auto"/>
              </w:rPr>
            </w:pPr>
          </w:p>
        </w:tc>
        <w:tc>
          <w:tcPr>
            <w:tcW w:w="1240" w:type="dxa"/>
            <w:vAlign w:val="bottom"/>
          </w:tcPr>
          <w:p>
            <w:pPr>
              <w:jc w:val="right"/>
              <w:ind w:right="88"/>
              <w:spacing w:after="0"/>
              <w:rPr>
                <w:sz w:val="20"/>
                <w:szCs w:val="20"/>
                <w:color w:val="auto"/>
              </w:rPr>
            </w:pPr>
            <w:r>
              <w:rPr>
                <w:rFonts w:ascii="Arial" w:cs="Arial" w:eastAsia="Arial" w:hAnsi="Arial"/>
                <w:sz w:val="14"/>
                <w:szCs w:val="14"/>
                <w:color w:val="auto"/>
              </w:rPr>
              <w:t>(2.4)</w:t>
            </w:r>
          </w:p>
        </w:tc>
        <w:tc>
          <w:tcPr>
            <w:tcW w:w="1380" w:type="dxa"/>
            <w:vAlign w:val="bottom"/>
          </w:tcPr>
          <w:p>
            <w:pPr>
              <w:jc w:val="right"/>
              <w:ind w:right="208"/>
              <w:spacing w:after="0"/>
              <w:rPr>
                <w:sz w:val="20"/>
                <w:szCs w:val="20"/>
                <w:color w:val="auto"/>
              </w:rPr>
            </w:pPr>
            <w:r>
              <w:rPr>
                <w:rFonts w:ascii="Arial" w:cs="Arial" w:eastAsia="Arial" w:hAnsi="Arial"/>
                <w:sz w:val="14"/>
                <w:szCs w:val="14"/>
                <w:b w:val="1"/>
                <w:bCs w:val="1"/>
                <w:color w:val="auto"/>
              </w:rPr>
              <w:t>(0.8)</w:t>
            </w:r>
          </w:p>
        </w:tc>
        <w:tc>
          <w:tcPr>
            <w:tcW w:w="1000" w:type="dxa"/>
            <w:vAlign w:val="bottom"/>
          </w:tcPr>
          <w:p>
            <w:pPr>
              <w:jc w:val="right"/>
              <w:spacing w:after="0"/>
              <w:rPr>
                <w:sz w:val="20"/>
                <w:szCs w:val="20"/>
                <w:color w:val="auto"/>
              </w:rPr>
            </w:pPr>
            <w:r>
              <w:rPr>
                <w:rFonts w:ascii="Arial" w:cs="Arial" w:eastAsia="Arial" w:hAnsi="Arial"/>
                <w:sz w:val="14"/>
                <w:szCs w:val="14"/>
                <w:color w:val="auto"/>
              </w:rPr>
              <w:t>(1.4)</w:t>
            </w:r>
          </w:p>
        </w:tc>
        <w:tc>
          <w:tcPr>
            <w:tcW w:w="0" w:type="dxa"/>
            <w:vAlign w:val="bottom"/>
          </w:tcPr>
          <w:p>
            <w:pPr>
              <w:spacing w:after="0"/>
              <w:rPr>
                <w:sz w:val="1"/>
                <w:szCs w:val="1"/>
                <w:color w:val="auto"/>
              </w:rPr>
            </w:pPr>
          </w:p>
        </w:tc>
      </w:tr>
      <w:tr>
        <w:trPr>
          <w:trHeight w:val="276"/>
        </w:trPr>
        <w:tc>
          <w:tcPr>
            <w:tcW w:w="5840" w:type="dxa"/>
            <w:vAlign w:val="bottom"/>
            <w:tcBorders>
              <w:bottom w:val="single" w:sz="8" w:color="333333"/>
            </w:tcBorders>
          </w:tcPr>
          <w:p>
            <w:pPr>
              <w:ind w:left="360"/>
              <w:spacing w:after="0"/>
              <w:rPr>
                <w:sz w:val="20"/>
                <w:szCs w:val="20"/>
                <w:color w:val="auto"/>
              </w:rPr>
            </w:pPr>
            <w:r>
              <w:rPr>
                <w:rFonts w:ascii="Arial" w:cs="Arial" w:eastAsia="Arial" w:hAnsi="Arial"/>
                <w:sz w:val="14"/>
                <w:szCs w:val="14"/>
                <w:color w:val="auto"/>
              </w:rPr>
              <w:t>Other, net</w:t>
            </w:r>
          </w:p>
        </w:tc>
        <w:tc>
          <w:tcPr>
            <w:tcW w:w="1840" w:type="dxa"/>
            <w:vAlign w:val="bottom"/>
            <w:tcBorders>
              <w:bottom w:val="single" w:sz="8" w:color="333333"/>
            </w:tcBorders>
          </w:tcPr>
          <w:p>
            <w:pPr>
              <w:jc w:val="right"/>
              <w:ind w:right="48"/>
              <w:spacing w:after="0"/>
              <w:rPr>
                <w:sz w:val="20"/>
                <w:szCs w:val="20"/>
                <w:color w:val="auto"/>
              </w:rPr>
            </w:pPr>
            <w:r>
              <w:rPr>
                <w:rFonts w:ascii="Arial" w:cs="Arial" w:eastAsia="Arial" w:hAnsi="Arial"/>
                <w:sz w:val="14"/>
                <w:szCs w:val="14"/>
                <w:b w:val="1"/>
                <w:bCs w:val="1"/>
                <w:color w:val="auto"/>
              </w:rPr>
              <w:t>2.7</w:t>
            </w:r>
          </w:p>
        </w:tc>
        <w:tc>
          <w:tcPr>
            <w:tcW w:w="120" w:type="dxa"/>
            <w:vAlign w:val="bottom"/>
            <w:tcBorders>
              <w:bottom w:val="single" w:sz="8" w:color="auto"/>
            </w:tcBorders>
          </w:tcPr>
          <w:p>
            <w:pPr>
              <w:spacing w:after="0"/>
              <w:rPr>
                <w:sz w:val="24"/>
                <w:szCs w:val="24"/>
                <w:color w:val="auto"/>
              </w:rPr>
            </w:pPr>
          </w:p>
        </w:tc>
        <w:tc>
          <w:tcPr>
            <w:tcW w:w="1240" w:type="dxa"/>
            <w:vAlign w:val="bottom"/>
            <w:tcBorders>
              <w:bottom w:val="single" w:sz="8" w:color="333333"/>
            </w:tcBorders>
          </w:tcPr>
          <w:p>
            <w:pPr>
              <w:jc w:val="right"/>
              <w:ind w:right="88"/>
              <w:spacing w:after="0"/>
              <w:rPr>
                <w:sz w:val="20"/>
                <w:szCs w:val="20"/>
                <w:color w:val="auto"/>
              </w:rPr>
            </w:pPr>
            <w:r>
              <w:rPr>
                <w:rFonts w:ascii="Arial" w:cs="Arial" w:eastAsia="Arial" w:hAnsi="Arial"/>
                <w:sz w:val="14"/>
                <w:szCs w:val="14"/>
                <w:color w:val="auto"/>
              </w:rPr>
              <w:t>(1.5)</w:t>
            </w:r>
          </w:p>
        </w:tc>
        <w:tc>
          <w:tcPr>
            <w:tcW w:w="1380" w:type="dxa"/>
            <w:vAlign w:val="bottom"/>
            <w:tcBorders>
              <w:bottom w:val="single" w:sz="8" w:color="333333"/>
            </w:tcBorders>
          </w:tcPr>
          <w:p>
            <w:pPr>
              <w:jc w:val="right"/>
              <w:ind w:right="268"/>
              <w:spacing w:after="0"/>
              <w:rPr>
                <w:sz w:val="20"/>
                <w:szCs w:val="20"/>
                <w:color w:val="auto"/>
              </w:rPr>
            </w:pPr>
            <w:r>
              <w:rPr>
                <w:rFonts w:ascii="Arial" w:cs="Arial" w:eastAsia="Arial" w:hAnsi="Arial"/>
                <w:sz w:val="14"/>
                <w:szCs w:val="14"/>
                <w:b w:val="1"/>
                <w:bCs w:val="1"/>
                <w:color w:val="auto"/>
              </w:rPr>
              <w:t>0.8</w:t>
            </w:r>
          </w:p>
        </w:tc>
        <w:tc>
          <w:tcPr>
            <w:tcW w:w="1000" w:type="dxa"/>
            <w:vAlign w:val="bottom"/>
            <w:tcBorders>
              <w:bottom w:val="single" w:sz="8" w:color="333333"/>
            </w:tcBorders>
          </w:tcPr>
          <w:p>
            <w:pPr>
              <w:jc w:val="right"/>
              <w:spacing w:after="0"/>
              <w:rPr>
                <w:sz w:val="20"/>
                <w:szCs w:val="20"/>
                <w:color w:val="auto"/>
              </w:rPr>
            </w:pPr>
            <w:r>
              <w:rPr>
                <w:rFonts w:ascii="Arial" w:cs="Arial" w:eastAsia="Arial" w:hAnsi="Arial"/>
                <w:sz w:val="14"/>
                <w:szCs w:val="14"/>
                <w:color w:val="auto"/>
              </w:rPr>
              <w:t>(1.2)</w:t>
            </w:r>
          </w:p>
        </w:tc>
        <w:tc>
          <w:tcPr>
            <w:tcW w:w="0" w:type="dxa"/>
            <w:vAlign w:val="bottom"/>
          </w:tcPr>
          <w:p>
            <w:pPr>
              <w:spacing w:after="0"/>
              <w:rPr>
                <w:sz w:val="1"/>
                <w:szCs w:val="1"/>
                <w:color w:val="auto"/>
              </w:rPr>
            </w:pPr>
          </w:p>
        </w:tc>
      </w:tr>
      <w:tr>
        <w:trPr>
          <w:trHeight w:val="258"/>
        </w:trPr>
        <w:tc>
          <w:tcPr>
            <w:tcW w:w="5840" w:type="dxa"/>
            <w:vAlign w:val="bottom"/>
          </w:tcPr>
          <w:p>
            <w:pPr>
              <w:ind w:left="360"/>
              <w:spacing w:after="0"/>
              <w:rPr>
                <w:sz w:val="20"/>
                <w:szCs w:val="20"/>
                <w:color w:val="auto"/>
              </w:rPr>
            </w:pPr>
            <w:r>
              <w:rPr>
                <w:rFonts w:ascii="Arial" w:cs="Arial" w:eastAsia="Arial" w:hAnsi="Arial"/>
                <w:sz w:val="14"/>
                <w:szCs w:val="14"/>
                <w:b w:val="1"/>
                <w:bCs w:val="1"/>
                <w:color w:val="auto"/>
              </w:rPr>
              <w:t>Net Cash Provided (Used) by Operating Activities</w:t>
            </w:r>
          </w:p>
        </w:tc>
        <w:tc>
          <w:tcPr>
            <w:tcW w:w="1840" w:type="dxa"/>
            <w:vAlign w:val="bottom"/>
          </w:tcPr>
          <w:p>
            <w:pPr>
              <w:jc w:val="right"/>
              <w:ind w:right="48"/>
              <w:spacing w:after="0"/>
              <w:rPr>
                <w:sz w:val="20"/>
                <w:szCs w:val="20"/>
                <w:color w:val="auto"/>
              </w:rPr>
            </w:pPr>
            <w:r>
              <w:rPr>
                <w:rFonts w:ascii="Arial" w:cs="Arial" w:eastAsia="Arial" w:hAnsi="Arial"/>
                <w:sz w:val="14"/>
                <w:szCs w:val="14"/>
                <w:b w:val="1"/>
                <w:bCs w:val="1"/>
                <w:color w:val="auto"/>
              </w:rPr>
              <w:t>1.7</w:t>
            </w:r>
          </w:p>
        </w:tc>
        <w:tc>
          <w:tcPr>
            <w:tcW w:w="120" w:type="dxa"/>
            <w:vAlign w:val="bottom"/>
          </w:tcPr>
          <w:p>
            <w:pPr>
              <w:spacing w:after="0"/>
              <w:rPr>
                <w:sz w:val="22"/>
                <w:szCs w:val="22"/>
                <w:color w:val="auto"/>
              </w:rPr>
            </w:pPr>
          </w:p>
        </w:tc>
        <w:tc>
          <w:tcPr>
            <w:tcW w:w="1240" w:type="dxa"/>
            <w:vAlign w:val="bottom"/>
          </w:tcPr>
          <w:p>
            <w:pPr>
              <w:jc w:val="right"/>
              <w:ind w:right="88"/>
              <w:spacing w:after="0"/>
              <w:rPr>
                <w:sz w:val="20"/>
                <w:szCs w:val="20"/>
                <w:color w:val="auto"/>
              </w:rPr>
            </w:pPr>
            <w:r>
              <w:rPr>
                <w:rFonts w:ascii="Arial" w:cs="Arial" w:eastAsia="Arial" w:hAnsi="Arial"/>
                <w:sz w:val="14"/>
                <w:szCs w:val="14"/>
                <w:color w:val="auto"/>
              </w:rPr>
              <w:t>(0.1)</w:t>
            </w:r>
          </w:p>
        </w:tc>
        <w:tc>
          <w:tcPr>
            <w:tcW w:w="1380" w:type="dxa"/>
            <w:vAlign w:val="bottom"/>
          </w:tcPr>
          <w:p>
            <w:pPr>
              <w:jc w:val="right"/>
              <w:ind w:right="208"/>
              <w:spacing w:after="0"/>
              <w:rPr>
                <w:sz w:val="20"/>
                <w:szCs w:val="20"/>
                <w:color w:val="auto"/>
              </w:rPr>
            </w:pPr>
            <w:r>
              <w:rPr>
                <w:rFonts w:ascii="Arial" w:cs="Arial" w:eastAsia="Arial" w:hAnsi="Arial"/>
                <w:sz w:val="14"/>
                <w:szCs w:val="14"/>
                <w:b w:val="1"/>
                <w:bCs w:val="1"/>
                <w:color w:val="auto"/>
              </w:rPr>
              <w:t>(28.4)</w:t>
            </w:r>
          </w:p>
        </w:tc>
        <w:tc>
          <w:tcPr>
            <w:tcW w:w="1000" w:type="dxa"/>
            <w:vAlign w:val="bottom"/>
          </w:tcPr>
          <w:p>
            <w:pPr>
              <w:jc w:val="right"/>
              <w:spacing w:after="0"/>
              <w:rPr>
                <w:sz w:val="20"/>
                <w:szCs w:val="20"/>
                <w:color w:val="auto"/>
              </w:rPr>
            </w:pPr>
            <w:r>
              <w:rPr>
                <w:rFonts w:ascii="Arial" w:cs="Arial" w:eastAsia="Arial" w:hAnsi="Arial"/>
                <w:sz w:val="14"/>
                <w:szCs w:val="14"/>
                <w:color w:val="auto"/>
              </w:rPr>
              <w:t>(11.7)</w:t>
            </w:r>
          </w:p>
        </w:tc>
        <w:tc>
          <w:tcPr>
            <w:tcW w:w="0" w:type="dxa"/>
            <w:vAlign w:val="bottom"/>
          </w:tcPr>
          <w:p>
            <w:pPr>
              <w:spacing w:after="0"/>
              <w:rPr>
                <w:sz w:val="1"/>
                <w:szCs w:val="1"/>
                <w:color w:val="auto"/>
              </w:rPr>
            </w:pPr>
          </w:p>
        </w:tc>
      </w:tr>
      <w:tr>
        <w:trPr>
          <w:trHeight w:val="270"/>
        </w:trPr>
        <w:tc>
          <w:tcPr>
            <w:tcW w:w="5840" w:type="dxa"/>
            <w:vAlign w:val="bottom"/>
          </w:tcPr>
          <w:p>
            <w:pPr>
              <w:ind w:left="40"/>
              <w:spacing w:after="0"/>
              <w:rPr>
                <w:sz w:val="20"/>
                <w:szCs w:val="20"/>
                <w:color w:val="auto"/>
              </w:rPr>
            </w:pPr>
            <w:r>
              <w:rPr>
                <w:rFonts w:ascii="Arial" w:cs="Arial" w:eastAsia="Arial" w:hAnsi="Arial"/>
                <w:sz w:val="14"/>
                <w:szCs w:val="14"/>
                <w:b w:val="1"/>
                <w:bCs w:val="1"/>
                <w:color w:val="auto"/>
              </w:rPr>
              <w:t>Investing Activities</w:t>
            </w:r>
          </w:p>
        </w:tc>
        <w:tc>
          <w:tcPr>
            <w:tcW w:w="18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240" w:type="dxa"/>
            <w:vAlign w:val="bottom"/>
          </w:tcPr>
          <w:p>
            <w:pPr>
              <w:spacing w:after="0"/>
              <w:rPr>
                <w:sz w:val="23"/>
                <w:szCs w:val="23"/>
                <w:color w:val="auto"/>
              </w:rPr>
            </w:pPr>
          </w:p>
        </w:tc>
        <w:tc>
          <w:tcPr>
            <w:tcW w:w="1380" w:type="dxa"/>
            <w:vAlign w:val="bottom"/>
          </w:tcPr>
          <w:p>
            <w:pPr>
              <w:spacing w:after="0"/>
              <w:rPr>
                <w:sz w:val="23"/>
                <w:szCs w:val="23"/>
                <w:color w:val="auto"/>
              </w:rPr>
            </w:pPr>
          </w:p>
        </w:tc>
        <w:tc>
          <w:tcPr>
            <w:tcW w:w="10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5840" w:type="dxa"/>
            <w:vAlign w:val="bottom"/>
          </w:tcPr>
          <w:p>
            <w:pPr>
              <w:ind w:left="40"/>
              <w:spacing w:after="0"/>
              <w:rPr>
                <w:sz w:val="20"/>
                <w:szCs w:val="20"/>
                <w:color w:val="auto"/>
              </w:rPr>
            </w:pPr>
            <w:r>
              <w:rPr>
                <w:rFonts w:ascii="Arial" w:cs="Arial" w:eastAsia="Arial" w:hAnsi="Arial"/>
                <w:sz w:val="14"/>
                <w:szCs w:val="14"/>
                <w:color w:val="auto"/>
              </w:rPr>
              <w:t>Capital expenditures</w:t>
            </w:r>
          </w:p>
        </w:tc>
        <w:tc>
          <w:tcPr>
            <w:tcW w:w="1840" w:type="dxa"/>
            <w:vAlign w:val="bottom"/>
          </w:tcPr>
          <w:p>
            <w:pPr>
              <w:jc w:val="right"/>
              <w:ind w:right="8"/>
              <w:spacing w:after="0"/>
              <w:rPr>
                <w:sz w:val="20"/>
                <w:szCs w:val="20"/>
                <w:color w:val="auto"/>
              </w:rPr>
            </w:pPr>
            <w:r>
              <w:rPr>
                <w:rFonts w:ascii="Arial" w:cs="Arial" w:eastAsia="Arial" w:hAnsi="Arial"/>
                <w:sz w:val="14"/>
                <w:szCs w:val="14"/>
                <w:b w:val="1"/>
                <w:bCs w:val="1"/>
                <w:color w:val="auto"/>
              </w:rPr>
              <w:t>(8.7)</w:t>
            </w:r>
          </w:p>
        </w:tc>
        <w:tc>
          <w:tcPr>
            <w:tcW w:w="120" w:type="dxa"/>
            <w:vAlign w:val="bottom"/>
          </w:tcPr>
          <w:p>
            <w:pPr>
              <w:spacing w:after="0"/>
              <w:rPr>
                <w:sz w:val="23"/>
                <w:szCs w:val="23"/>
                <w:color w:val="auto"/>
              </w:rPr>
            </w:pPr>
          </w:p>
        </w:tc>
        <w:tc>
          <w:tcPr>
            <w:tcW w:w="1240" w:type="dxa"/>
            <w:vAlign w:val="bottom"/>
          </w:tcPr>
          <w:p>
            <w:pPr>
              <w:jc w:val="right"/>
              <w:ind w:right="88"/>
              <w:spacing w:after="0"/>
              <w:rPr>
                <w:sz w:val="20"/>
                <w:szCs w:val="20"/>
                <w:color w:val="auto"/>
              </w:rPr>
            </w:pPr>
            <w:r>
              <w:rPr>
                <w:rFonts w:ascii="Arial" w:cs="Arial" w:eastAsia="Arial" w:hAnsi="Arial"/>
                <w:sz w:val="14"/>
                <w:szCs w:val="14"/>
                <w:color w:val="auto"/>
              </w:rPr>
              <w:t>(5.1)</w:t>
            </w:r>
          </w:p>
        </w:tc>
        <w:tc>
          <w:tcPr>
            <w:tcW w:w="1380" w:type="dxa"/>
            <w:vAlign w:val="bottom"/>
          </w:tcPr>
          <w:p>
            <w:pPr>
              <w:jc w:val="right"/>
              <w:ind w:right="208"/>
              <w:spacing w:after="0"/>
              <w:rPr>
                <w:sz w:val="20"/>
                <w:szCs w:val="20"/>
                <w:color w:val="auto"/>
              </w:rPr>
            </w:pPr>
            <w:r>
              <w:rPr>
                <w:rFonts w:ascii="Arial" w:cs="Arial" w:eastAsia="Arial" w:hAnsi="Arial"/>
                <w:sz w:val="14"/>
                <w:szCs w:val="14"/>
                <w:b w:val="1"/>
                <w:bCs w:val="1"/>
                <w:color w:val="auto"/>
              </w:rPr>
              <w:t>(17.7)</w:t>
            </w:r>
          </w:p>
        </w:tc>
        <w:tc>
          <w:tcPr>
            <w:tcW w:w="1000" w:type="dxa"/>
            <w:vAlign w:val="bottom"/>
          </w:tcPr>
          <w:p>
            <w:pPr>
              <w:jc w:val="right"/>
              <w:spacing w:after="0"/>
              <w:rPr>
                <w:sz w:val="20"/>
                <w:szCs w:val="20"/>
                <w:color w:val="auto"/>
              </w:rPr>
            </w:pPr>
            <w:r>
              <w:rPr>
                <w:rFonts w:ascii="Arial" w:cs="Arial" w:eastAsia="Arial" w:hAnsi="Arial"/>
                <w:sz w:val="14"/>
                <w:szCs w:val="14"/>
                <w:color w:val="auto"/>
              </w:rPr>
              <w:t>(11.9)</w:t>
            </w:r>
          </w:p>
        </w:tc>
        <w:tc>
          <w:tcPr>
            <w:tcW w:w="0" w:type="dxa"/>
            <w:vAlign w:val="bottom"/>
          </w:tcPr>
          <w:p>
            <w:pPr>
              <w:spacing w:after="0"/>
              <w:rPr>
                <w:sz w:val="1"/>
                <w:szCs w:val="1"/>
                <w:color w:val="auto"/>
              </w:rPr>
            </w:pPr>
          </w:p>
        </w:tc>
      </w:tr>
      <w:tr>
        <w:trPr>
          <w:trHeight w:val="276"/>
        </w:trPr>
        <w:tc>
          <w:tcPr>
            <w:tcW w:w="584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Proceeds from disposals of property, plant and equipment</w:t>
            </w:r>
          </w:p>
        </w:tc>
        <w:tc>
          <w:tcPr>
            <w:tcW w:w="1960" w:type="dxa"/>
            <w:vAlign w:val="bottom"/>
            <w:tcBorders>
              <w:bottom w:val="single" w:sz="8" w:color="auto"/>
            </w:tcBorders>
            <w:gridSpan w:val="2"/>
          </w:tcPr>
          <w:p>
            <w:pPr>
              <w:jc w:val="right"/>
              <w:ind w:right="240"/>
              <w:spacing w:after="0"/>
              <w:rPr>
                <w:sz w:val="20"/>
                <w:szCs w:val="20"/>
                <w:color w:val="auto"/>
              </w:rPr>
            </w:pPr>
            <w:r>
              <w:rPr>
                <w:rFonts w:ascii="Arial" w:cs="Arial" w:eastAsia="Arial" w:hAnsi="Arial"/>
                <w:sz w:val="14"/>
                <w:szCs w:val="14"/>
                <w:b w:val="1"/>
                <w:bCs w:val="1"/>
                <w:color w:val="auto"/>
              </w:rPr>
              <w:t>—</w:t>
            </w:r>
          </w:p>
        </w:tc>
        <w:tc>
          <w:tcPr>
            <w:tcW w:w="124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w:t>
            </w:r>
          </w:p>
        </w:tc>
        <w:tc>
          <w:tcPr>
            <w:tcW w:w="1380" w:type="dxa"/>
            <w:vAlign w:val="bottom"/>
            <w:tcBorders>
              <w:bottom w:val="single" w:sz="8" w:color="auto"/>
            </w:tcBorders>
          </w:tcPr>
          <w:p>
            <w:pPr>
              <w:jc w:val="right"/>
              <w:ind w:right="268"/>
              <w:spacing w:after="0"/>
              <w:rPr>
                <w:sz w:val="20"/>
                <w:szCs w:val="20"/>
                <w:color w:val="auto"/>
              </w:rPr>
            </w:pPr>
            <w:r>
              <w:rPr>
                <w:rFonts w:ascii="Arial" w:cs="Arial" w:eastAsia="Arial" w:hAnsi="Arial"/>
                <w:sz w:val="14"/>
                <w:szCs w:val="14"/>
                <w:b w:val="1"/>
                <w:bCs w:val="1"/>
                <w:color w:val="auto"/>
              </w:rPr>
              <w:t>1.0</w:t>
            </w:r>
          </w:p>
        </w:tc>
        <w:tc>
          <w:tcPr>
            <w:tcW w:w="10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58"/>
        </w:trPr>
        <w:tc>
          <w:tcPr>
            <w:tcW w:w="5840" w:type="dxa"/>
            <w:vAlign w:val="bottom"/>
          </w:tcPr>
          <w:p>
            <w:pPr>
              <w:ind w:left="360"/>
              <w:spacing w:after="0"/>
              <w:rPr>
                <w:sz w:val="20"/>
                <w:szCs w:val="20"/>
                <w:color w:val="auto"/>
              </w:rPr>
            </w:pPr>
            <w:r>
              <w:rPr>
                <w:rFonts w:ascii="Arial" w:cs="Arial" w:eastAsia="Arial" w:hAnsi="Arial"/>
                <w:sz w:val="14"/>
                <w:szCs w:val="14"/>
                <w:b w:val="1"/>
                <w:bCs w:val="1"/>
                <w:color w:val="auto"/>
              </w:rPr>
              <w:t>Net Cash Used by Investing Activities</w:t>
            </w:r>
          </w:p>
        </w:tc>
        <w:tc>
          <w:tcPr>
            <w:tcW w:w="1840" w:type="dxa"/>
            <w:vAlign w:val="bottom"/>
          </w:tcPr>
          <w:p>
            <w:pPr>
              <w:jc w:val="right"/>
              <w:ind w:right="8"/>
              <w:spacing w:after="0"/>
              <w:rPr>
                <w:sz w:val="20"/>
                <w:szCs w:val="20"/>
                <w:color w:val="auto"/>
              </w:rPr>
            </w:pPr>
            <w:r>
              <w:rPr>
                <w:rFonts w:ascii="Arial" w:cs="Arial" w:eastAsia="Arial" w:hAnsi="Arial"/>
                <w:sz w:val="14"/>
                <w:szCs w:val="14"/>
                <w:b w:val="1"/>
                <w:bCs w:val="1"/>
                <w:color w:val="auto"/>
              </w:rPr>
              <w:t>(8.7)</w:t>
            </w:r>
          </w:p>
        </w:tc>
        <w:tc>
          <w:tcPr>
            <w:tcW w:w="120" w:type="dxa"/>
            <w:vAlign w:val="bottom"/>
          </w:tcPr>
          <w:p>
            <w:pPr>
              <w:spacing w:after="0"/>
              <w:rPr>
                <w:sz w:val="22"/>
                <w:szCs w:val="22"/>
                <w:color w:val="auto"/>
              </w:rPr>
            </w:pPr>
          </w:p>
        </w:tc>
        <w:tc>
          <w:tcPr>
            <w:tcW w:w="1240" w:type="dxa"/>
            <w:vAlign w:val="bottom"/>
          </w:tcPr>
          <w:p>
            <w:pPr>
              <w:jc w:val="right"/>
              <w:ind w:right="88"/>
              <w:spacing w:after="0"/>
              <w:rPr>
                <w:sz w:val="20"/>
                <w:szCs w:val="20"/>
                <w:color w:val="auto"/>
              </w:rPr>
            </w:pPr>
            <w:r>
              <w:rPr>
                <w:rFonts w:ascii="Arial" w:cs="Arial" w:eastAsia="Arial" w:hAnsi="Arial"/>
                <w:sz w:val="14"/>
                <w:szCs w:val="14"/>
                <w:color w:val="auto"/>
              </w:rPr>
              <w:t>(5.1)</w:t>
            </w:r>
          </w:p>
        </w:tc>
        <w:tc>
          <w:tcPr>
            <w:tcW w:w="1380" w:type="dxa"/>
            <w:vAlign w:val="bottom"/>
          </w:tcPr>
          <w:p>
            <w:pPr>
              <w:jc w:val="right"/>
              <w:ind w:right="208"/>
              <w:spacing w:after="0"/>
              <w:rPr>
                <w:sz w:val="20"/>
                <w:szCs w:val="20"/>
                <w:color w:val="auto"/>
              </w:rPr>
            </w:pPr>
            <w:r>
              <w:rPr>
                <w:rFonts w:ascii="Arial" w:cs="Arial" w:eastAsia="Arial" w:hAnsi="Arial"/>
                <w:sz w:val="14"/>
                <w:szCs w:val="14"/>
                <w:b w:val="1"/>
                <w:bCs w:val="1"/>
                <w:color w:val="auto"/>
              </w:rPr>
              <w:t>(16.7)</w:t>
            </w:r>
          </w:p>
        </w:tc>
        <w:tc>
          <w:tcPr>
            <w:tcW w:w="1000" w:type="dxa"/>
            <w:vAlign w:val="bottom"/>
          </w:tcPr>
          <w:p>
            <w:pPr>
              <w:jc w:val="right"/>
              <w:spacing w:after="0"/>
              <w:rPr>
                <w:sz w:val="20"/>
                <w:szCs w:val="20"/>
                <w:color w:val="auto"/>
              </w:rPr>
            </w:pPr>
            <w:r>
              <w:rPr>
                <w:rFonts w:ascii="Arial" w:cs="Arial" w:eastAsia="Arial" w:hAnsi="Arial"/>
                <w:sz w:val="14"/>
                <w:szCs w:val="14"/>
                <w:color w:val="auto"/>
              </w:rPr>
              <w:t>(11.9)</w:t>
            </w:r>
          </w:p>
        </w:tc>
        <w:tc>
          <w:tcPr>
            <w:tcW w:w="0" w:type="dxa"/>
            <w:vAlign w:val="bottom"/>
          </w:tcPr>
          <w:p>
            <w:pPr>
              <w:spacing w:after="0"/>
              <w:rPr>
                <w:sz w:val="1"/>
                <w:szCs w:val="1"/>
                <w:color w:val="auto"/>
              </w:rPr>
            </w:pPr>
          </w:p>
        </w:tc>
      </w:tr>
      <w:tr>
        <w:trPr>
          <w:trHeight w:val="270"/>
        </w:trPr>
        <w:tc>
          <w:tcPr>
            <w:tcW w:w="5840" w:type="dxa"/>
            <w:vAlign w:val="bottom"/>
          </w:tcPr>
          <w:p>
            <w:pPr>
              <w:ind w:left="40"/>
              <w:spacing w:after="0"/>
              <w:rPr>
                <w:sz w:val="20"/>
                <w:szCs w:val="20"/>
                <w:color w:val="auto"/>
              </w:rPr>
            </w:pPr>
            <w:r>
              <w:rPr>
                <w:rFonts w:ascii="Arial" w:cs="Arial" w:eastAsia="Arial" w:hAnsi="Arial"/>
                <w:sz w:val="14"/>
                <w:szCs w:val="14"/>
                <w:b w:val="1"/>
                <w:bCs w:val="1"/>
                <w:color w:val="auto"/>
              </w:rPr>
              <w:t>Financing Activities</w:t>
            </w:r>
          </w:p>
        </w:tc>
        <w:tc>
          <w:tcPr>
            <w:tcW w:w="18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240" w:type="dxa"/>
            <w:vAlign w:val="bottom"/>
          </w:tcPr>
          <w:p>
            <w:pPr>
              <w:spacing w:after="0"/>
              <w:rPr>
                <w:sz w:val="23"/>
                <w:szCs w:val="23"/>
                <w:color w:val="auto"/>
              </w:rPr>
            </w:pPr>
          </w:p>
        </w:tc>
        <w:tc>
          <w:tcPr>
            <w:tcW w:w="1380" w:type="dxa"/>
            <w:vAlign w:val="bottom"/>
          </w:tcPr>
          <w:p>
            <w:pPr>
              <w:spacing w:after="0"/>
              <w:rPr>
                <w:sz w:val="23"/>
                <w:szCs w:val="23"/>
                <w:color w:val="auto"/>
              </w:rPr>
            </w:pPr>
          </w:p>
        </w:tc>
        <w:tc>
          <w:tcPr>
            <w:tcW w:w="10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5840" w:type="dxa"/>
            <w:vAlign w:val="bottom"/>
          </w:tcPr>
          <w:p>
            <w:pPr>
              <w:ind w:left="40"/>
              <w:spacing w:after="0"/>
              <w:rPr>
                <w:sz w:val="20"/>
                <w:szCs w:val="20"/>
                <w:color w:val="auto"/>
              </w:rPr>
            </w:pPr>
            <w:r>
              <w:rPr>
                <w:rFonts w:ascii="Arial" w:cs="Arial" w:eastAsia="Arial" w:hAnsi="Arial"/>
                <w:sz w:val="14"/>
                <w:szCs w:val="14"/>
                <w:color w:val="auto"/>
              </w:rPr>
              <w:t>Proceeds from exercise of stock options</w:t>
            </w:r>
          </w:p>
        </w:tc>
        <w:tc>
          <w:tcPr>
            <w:tcW w:w="1960" w:type="dxa"/>
            <w:vAlign w:val="bottom"/>
            <w:gridSpan w:val="2"/>
          </w:tcPr>
          <w:p>
            <w:pPr>
              <w:jc w:val="right"/>
              <w:ind w:right="240"/>
              <w:spacing w:after="0"/>
              <w:rPr>
                <w:sz w:val="20"/>
                <w:szCs w:val="20"/>
                <w:color w:val="auto"/>
              </w:rPr>
            </w:pPr>
            <w:r>
              <w:rPr>
                <w:rFonts w:ascii="Arial" w:cs="Arial" w:eastAsia="Arial" w:hAnsi="Arial"/>
                <w:sz w:val="14"/>
                <w:szCs w:val="14"/>
                <w:b w:val="1"/>
                <w:bCs w:val="1"/>
                <w:color w:val="auto"/>
              </w:rPr>
              <w:t>—</w:t>
            </w:r>
          </w:p>
        </w:tc>
        <w:tc>
          <w:tcPr>
            <w:tcW w:w="124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1380" w:type="dxa"/>
            <w:vAlign w:val="bottom"/>
          </w:tcPr>
          <w:p>
            <w:pPr>
              <w:jc w:val="right"/>
              <w:ind w:right="268"/>
              <w:spacing w:after="0"/>
              <w:rPr>
                <w:sz w:val="20"/>
                <w:szCs w:val="20"/>
                <w:color w:val="auto"/>
              </w:rPr>
            </w:pPr>
            <w:r>
              <w:rPr>
                <w:rFonts w:ascii="Arial" w:cs="Arial" w:eastAsia="Arial" w:hAnsi="Arial"/>
                <w:sz w:val="14"/>
                <w:szCs w:val="14"/>
                <w:b w:val="1"/>
                <w:bCs w:val="1"/>
                <w:color w:val="auto"/>
              </w:rPr>
              <w:t>0.2</w:t>
            </w:r>
          </w:p>
        </w:tc>
        <w:tc>
          <w:tcPr>
            <w:tcW w:w="1000" w:type="dxa"/>
            <w:vAlign w:val="bottom"/>
          </w:tcPr>
          <w:p>
            <w:pPr>
              <w:jc w:val="right"/>
              <w:ind w:right="28"/>
              <w:spacing w:after="0"/>
              <w:rPr>
                <w:sz w:val="20"/>
                <w:szCs w:val="20"/>
                <w:color w:val="auto"/>
              </w:rPr>
            </w:pPr>
            <w:r>
              <w:rPr>
                <w:rFonts w:ascii="Arial" w:cs="Arial" w:eastAsia="Arial" w:hAnsi="Arial"/>
                <w:sz w:val="14"/>
                <w:szCs w:val="14"/>
                <w:color w:val="auto"/>
              </w:rPr>
              <w:t>0.2</w:t>
            </w:r>
          </w:p>
        </w:tc>
        <w:tc>
          <w:tcPr>
            <w:tcW w:w="0" w:type="dxa"/>
            <w:vAlign w:val="bottom"/>
          </w:tcPr>
          <w:p>
            <w:pPr>
              <w:spacing w:after="0"/>
              <w:rPr>
                <w:sz w:val="1"/>
                <w:szCs w:val="1"/>
                <w:color w:val="auto"/>
              </w:rPr>
            </w:pPr>
          </w:p>
        </w:tc>
      </w:tr>
      <w:tr>
        <w:trPr>
          <w:trHeight w:val="270"/>
        </w:trPr>
        <w:tc>
          <w:tcPr>
            <w:tcW w:w="5840" w:type="dxa"/>
            <w:vAlign w:val="bottom"/>
          </w:tcPr>
          <w:p>
            <w:pPr>
              <w:ind w:left="40"/>
              <w:spacing w:after="0"/>
              <w:rPr>
                <w:sz w:val="20"/>
                <w:szCs w:val="20"/>
                <w:color w:val="auto"/>
              </w:rPr>
            </w:pPr>
            <w:r>
              <w:rPr>
                <w:rFonts w:ascii="Arial" w:cs="Arial" w:eastAsia="Arial" w:hAnsi="Arial"/>
                <w:sz w:val="14"/>
                <w:szCs w:val="14"/>
                <w:color w:val="auto"/>
              </w:rPr>
              <w:t>Shares surrendered for employee taxes on stock compensation</w:t>
            </w:r>
          </w:p>
        </w:tc>
        <w:tc>
          <w:tcPr>
            <w:tcW w:w="1960" w:type="dxa"/>
            <w:vAlign w:val="bottom"/>
            <w:gridSpan w:val="2"/>
          </w:tcPr>
          <w:p>
            <w:pPr>
              <w:jc w:val="right"/>
              <w:ind w:right="240"/>
              <w:spacing w:after="0"/>
              <w:rPr>
                <w:sz w:val="20"/>
                <w:szCs w:val="20"/>
                <w:color w:val="auto"/>
              </w:rPr>
            </w:pPr>
            <w:r>
              <w:rPr>
                <w:rFonts w:ascii="Arial" w:cs="Arial" w:eastAsia="Arial" w:hAnsi="Arial"/>
                <w:sz w:val="14"/>
                <w:szCs w:val="14"/>
                <w:b w:val="1"/>
                <w:bCs w:val="1"/>
                <w:color w:val="auto"/>
              </w:rPr>
              <w:t>—</w:t>
            </w:r>
          </w:p>
        </w:tc>
        <w:tc>
          <w:tcPr>
            <w:tcW w:w="1240" w:type="dxa"/>
            <w:vAlign w:val="bottom"/>
          </w:tcPr>
          <w:p>
            <w:pPr>
              <w:jc w:val="right"/>
              <w:ind w:right="88"/>
              <w:spacing w:after="0"/>
              <w:rPr>
                <w:sz w:val="20"/>
                <w:szCs w:val="20"/>
                <w:color w:val="auto"/>
              </w:rPr>
            </w:pPr>
            <w:r>
              <w:rPr>
                <w:rFonts w:ascii="Arial" w:cs="Arial" w:eastAsia="Arial" w:hAnsi="Arial"/>
                <w:sz w:val="14"/>
                <w:szCs w:val="14"/>
                <w:color w:val="auto"/>
              </w:rPr>
              <w:t>(0.2)</w:t>
            </w:r>
          </w:p>
        </w:tc>
        <w:tc>
          <w:tcPr>
            <w:tcW w:w="1380" w:type="dxa"/>
            <w:vAlign w:val="bottom"/>
          </w:tcPr>
          <w:p>
            <w:pPr>
              <w:jc w:val="right"/>
              <w:ind w:right="208"/>
              <w:spacing w:after="0"/>
              <w:rPr>
                <w:sz w:val="20"/>
                <w:szCs w:val="20"/>
                <w:color w:val="auto"/>
              </w:rPr>
            </w:pPr>
            <w:r>
              <w:rPr>
                <w:rFonts w:ascii="Arial" w:cs="Arial" w:eastAsia="Arial" w:hAnsi="Arial"/>
                <w:sz w:val="14"/>
                <w:szCs w:val="14"/>
                <w:b w:val="1"/>
                <w:bCs w:val="1"/>
                <w:color w:val="auto"/>
              </w:rPr>
              <w:t>(0.7)</w:t>
            </w:r>
          </w:p>
        </w:tc>
        <w:tc>
          <w:tcPr>
            <w:tcW w:w="1000" w:type="dxa"/>
            <w:vAlign w:val="bottom"/>
          </w:tcPr>
          <w:p>
            <w:pPr>
              <w:jc w:val="right"/>
              <w:spacing w:after="0"/>
              <w:rPr>
                <w:sz w:val="20"/>
                <w:szCs w:val="20"/>
                <w:color w:val="auto"/>
              </w:rPr>
            </w:pPr>
            <w:r>
              <w:rPr>
                <w:rFonts w:ascii="Arial" w:cs="Arial" w:eastAsia="Arial" w:hAnsi="Arial"/>
                <w:sz w:val="14"/>
                <w:szCs w:val="14"/>
                <w:color w:val="auto"/>
              </w:rPr>
              <w:t>(1.4)</w:t>
            </w:r>
          </w:p>
        </w:tc>
        <w:tc>
          <w:tcPr>
            <w:tcW w:w="0" w:type="dxa"/>
            <w:vAlign w:val="bottom"/>
          </w:tcPr>
          <w:p>
            <w:pPr>
              <w:spacing w:after="0"/>
              <w:rPr>
                <w:sz w:val="1"/>
                <w:szCs w:val="1"/>
                <w:color w:val="auto"/>
              </w:rPr>
            </w:pPr>
          </w:p>
        </w:tc>
      </w:tr>
      <w:tr>
        <w:trPr>
          <w:trHeight w:val="270"/>
        </w:trPr>
        <w:tc>
          <w:tcPr>
            <w:tcW w:w="5840" w:type="dxa"/>
            <w:vAlign w:val="bottom"/>
          </w:tcPr>
          <w:p>
            <w:pPr>
              <w:ind w:left="40"/>
              <w:spacing w:after="0"/>
              <w:rPr>
                <w:sz w:val="20"/>
                <w:szCs w:val="20"/>
                <w:color w:val="auto"/>
              </w:rPr>
            </w:pPr>
            <w:r>
              <w:rPr>
                <w:rFonts w:ascii="Arial" w:cs="Arial" w:eastAsia="Arial" w:hAnsi="Arial"/>
                <w:sz w:val="14"/>
                <w:szCs w:val="14"/>
                <w:color w:val="auto"/>
              </w:rPr>
              <w:t>Revenue Refunding Bonds repayment</w:t>
            </w:r>
          </w:p>
        </w:tc>
        <w:tc>
          <w:tcPr>
            <w:tcW w:w="1960" w:type="dxa"/>
            <w:vAlign w:val="bottom"/>
            <w:gridSpan w:val="2"/>
          </w:tcPr>
          <w:p>
            <w:pPr>
              <w:jc w:val="right"/>
              <w:ind w:right="240"/>
              <w:spacing w:after="0"/>
              <w:rPr>
                <w:sz w:val="20"/>
                <w:szCs w:val="20"/>
                <w:color w:val="auto"/>
              </w:rPr>
            </w:pPr>
            <w:r>
              <w:rPr>
                <w:rFonts w:ascii="Arial" w:cs="Arial" w:eastAsia="Arial" w:hAnsi="Arial"/>
                <w:sz w:val="14"/>
                <w:szCs w:val="14"/>
                <w:b w:val="1"/>
                <w:bCs w:val="1"/>
                <w:color w:val="auto"/>
              </w:rPr>
              <w:t>—</w:t>
            </w:r>
          </w:p>
        </w:tc>
        <w:tc>
          <w:tcPr>
            <w:tcW w:w="124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1380" w:type="dxa"/>
            <w:vAlign w:val="bottom"/>
          </w:tcPr>
          <w:p>
            <w:pPr>
              <w:jc w:val="right"/>
              <w:ind w:right="208"/>
              <w:spacing w:after="0"/>
              <w:rPr>
                <w:sz w:val="20"/>
                <w:szCs w:val="20"/>
                <w:color w:val="auto"/>
              </w:rPr>
            </w:pPr>
            <w:r>
              <w:rPr>
                <w:rFonts w:ascii="Arial" w:cs="Arial" w:eastAsia="Arial" w:hAnsi="Arial"/>
                <w:sz w:val="14"/>
                <w:szCs w:val="14"/>
                <w:b w:val="1"/>
                <w:bCs w:val="1"/>
                <w:color w:val="auto"/>
              </w:rPr>
              <w:t>(30.2)</w:t>
            </w:r>
          </w:p>
        </w:tc>
        <w:tc>
          <w:tcPr>
            <w:tcW w:w="10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0"/>
        </w:trPr>
        <w:tc>
          <w:tcPr>
            <w:tcW w:w="5840" w:type="dxa"/>
            <w:vAlign w:val="bottom"/>
          </w:tcPr>
          <w:p>
            <w:pPr>
              <w:ind w:left="40"/>
              <w:spacing w:after="0"/>
              <w:rPr>
                <w:sz w:val="20"/>
                <w:szCs w:val="20"/>
                <w:color w:val="auto"/>
              </w:rPr>
            </w:pPr>
            <w:r>
              <w:rPr>
                <w:rFonts w:ascii="Arial" w:cs="Arial" w:eastAsia="Arial" w:hAnsi="Arial"/>
                <w:sz w:val="14"/>
                <w:szCs w:val="14"/>
                <w:color w:val="auto"/>
              </w:rPr>
              <w:t>Credit Agreement repayments</w:t>
            </w:r>
          </w:p>
        </w:tc>
        <w:tc>
          <w:tcPr>
            <w:tcW w:w="1960" w:type="dxa"/>
            <w:vAlign w:val="bottom"/>
            <w:gridSpan w:val="2"/>
          </w:tcPr>
          <w:p>
            <w:pPr>
              <w:jc w:val="right"/>
              <w:ind w:right="240"/>
              <w:spacing w:after="0"/>
              <w:rPr>
                <w:sz w:val="20"/>
                <w:szCs w:val="20"/>
                <w:color w:val="auto"/>
              </w:rPr>
            </w:pPr>
            <w:r>
              <w:rPr>
                <w:rFonts w:ascii="Arial" w:cs="Arial" w:eastAsia="Arial" w:hAnsi="Arial"/>
                <w:sz w:val="14"/>
                <w:szCs w:val="14"/>
                <w:b w:val="1"/>
                <w:bCs w:val="1"/>
                <w:color w:val="auto"/>
              </w:rPr>
              <w:t>—</w:t>
            </w:r>
          </w:p>
        </w:tc>
        <w:tc>
          <w:tcPr>
            <w:tcW w:w="1240" w:type="dxa"/>
            <w:vAlign w:val="bottom"/>
          </w:tcPr>
          <w:p>
            <w:pPr>
              <w:jc w:val="right"/>
              <w:ind w:right="88"/>
              <w:spacing w:after="0"/>
              <w:rPr>
                <w:sz w:val="20"/>
                <w:szCs w:val="20"/>
                <w:color w:val="auto"/>
              </w:rPr>
            </w:pPr>
            <w:r>
              <w:rPr>
                <w:rFonts w:ascii="Arial" w:cs="Arial" w:eastAsia="Arial" w:hAnsi="Arial"/>
                <w:sz w:val="14"/>
                <w:szCs w:val="14"/>
                <w:color w:val="auto"/>
              </w:rPr>
              <w:t>(5.0)</w:t>
            </w:r>
          </w:p>
        </w:tc>
        <w:tc>
          <w:tcPr>
            <w:tcW w:w="1380" w:type="dxa"/>
            <w:vAlign w:val="bottom"/>
          </w:tcPr>
          <w:p>
            <w:pPr>
              <w:jc w:val="right"/>
              <w:ind w:right="208"/>
              <w:spacing w:after="0"/>
              <w:rPr>
                <w:sz w:val="20"/>
                <w:szCs w:val="20"/>
                <w:color w:val="auto"/>
              </w:rPr>
            </w:pPr>
            <w:r>
              <w:rPr>
                <w:rFonts w:ascii="Arial" w:cs="Arial" w:eastAsia="Arial" w:hAnsi="Arial"/>
                <w:sz w:val="14"/>
                <w:szCs w:val="14"/>
                <w:b w:val="1"/>
                <w:bCs w:val="1"/>
                <w:color w:val="auto"/>
              </w:rPr>
              <w:t>(65.0)</w:t>
            </w:r>
          </w:p>
        </w:tc>
        <w:tc>
          <w:tcPr>
            <w:tcW w:w="1000" w:type="dxa"/>
            <w:vAlign w:val="bottom"/>
          </w:tcPr>
          <w:p>
            <w:pPr>
              <w:jc w:val="right"/>
              <w:spacing w:after="0"/>
              <w:rPr>
                <w:sz w:val="20"/>
                <w:szCs w:val="20"/>
                <w:color w:val="auto"/>
              </w:rPr>
            </w:pPr>
            <w:r>
              <w:rPr>
                <w:rFonts w:ascii="Arial" w:cs="Arial" w:eastAsia="Arial" w:hAnsi="Arial"/>
                <w:sz w:val="14"/>
                <w:szCs w:val="14"/>
                <w:color w:val="auto"/>
              </w:rPr>
              <w:t>(5.0)</w:t>
            </w:r>
          </w:p>
        </w:tc>
        <w:tc>
          <w:tcPr>
            <w:tcW w:w="0" w:type="dxa"/>
            <w:vAlign w:val="bottom"/>
          </w:tcPr>
          <w:p>
            <w:pPr>
              <w:spacing w:after="0"/>
              <w:rPr>
                <w:sz w:val="1"/>
                <w:szCs w:val="1"/>
                <w:color w:val="auto"/>
              </w:rPr>
            </w:pPr>
          </w:p>
        </w:tc>
      </w:tr>
      <w:tr>
        <w:trPr>
          <w:trHeight w:val="270"/>
        </w:trPr>
        <w:tc>
          <w:tcPr>
            <w:tcW w:w="5840" w:type="dxa"/>
            <w:vAlign w:val="bottom"/>
          </w:tcPr>
          <w:p>
            <w:pPr>
              <w:ind w:left="40"/>
              <w:spacing w:after="0"/>
              <w:rPr>
                <w:sz w:val="20"/>
                <w:szCs w:val="20"/>
                <w:color w:val="auto"/>
              </w:rPr>
            </w:pPr>
            <w:r>
              <w:rPr>
                <w:rFonts w:ascii="Arial" w:cs="Arial" w:eastAsia="Arial" w:hAnsi="Arial"/>
                <w:sz w:val="14"/>
                <w:szCs w:val="14"/>
                <w:color w:val="auto"/>
              </w:rPr>
              <w:t>Amended Credit Agreement borrowings</w:t>
            </w:r>
          </w:p>
        </w:tc>
        <w:tc>
          <w:tcPr>
            <w:tcW w:w="1960" w:type="dxa"/>
            <w:vAlign w:val="bottom"/>
            <w:gridSpan w:val="2"/>
          </w:tcPr>
          <w:p>
            <w:pPr>
              <w:jc w:val="right"/>
              <w:ind w:right="240"/>
              <w:spacing w:after="0"/>
              <w:rPr>
                <w:sz w:val="20"/>
                <w:szCs w:val="20"/>
                <w:color w:val="auto"/>
              </w:rPr>
            </w:pPr>
            <w:r>
              <w:rPr>
                <w:rFonts w:ascii="Arial" w:cs="Arial" w:eastAsia="Arial" w:hAnsi="Arial"/>
                <w:sz w:val="14"/>
                <w:szCs w:val="14"/>
                <w:b w:val="1"/>
                <w:bCs w:val="1"/>
                <w:color w:val="auto"/>
              </w:rPr>
              <w:t>—</w:t>
            </w:r>
          </w:p>
        </w:tc>
        <w:tc>
          <w:tcPr>
            <w:tcW w:w="124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1380" w:type="dxa"/>
            <w:vAlign w:val="bottom"/>
          </w:tcPr>
          <w:p>
            <w:pPr>
              <w:jc w:val="right"/>
              <w:ind w:right="268"/>
              <w:spacing w:after="0"/>
              <w:rPr>
                <w:sz w:val="20"/>
                <w:szCs w:val="20"/>
                <w:color w:val="auto"/>
              </w:rPr>
            </w:pPr>
            <w:r>
              <w:rPr>
                <w:rFonts w:ascii="Arial" w:cs="Arial" w:eastAsia="Arial" w:hAnsi="Arial"/>
                <w:sz w:val="14"/>
                <w:szCs w:val="14"/>
                <w:b w:val="1"/>
                <w:bCs w:val="1"/>
                <w:color w:val="auto"/>
              </w:rPr>
              <w:t>155.0</w:t>
            </w:r>
          </w:p>
        </w:tc>
        <w:tc>
          <w:tcPr>
            <w:tcW w:w="1000" w:type="dxa"/>
            <w:vAlign w:val="bottom"/>
          </w:tcPr>
          <w:p>
            <w:pPr>
              <w:jc w:val="right"/>
              <w:ind w:right="28"/>
              <w:spacing w:after="0"/>
              <w:rPr>
                <w:sz w:val="20"/>
                <w:szCs w:val="20"/>
                <w:color w:val="auto"/>
              </w:rPr>
            </w:pPr>
            <w:r>
              <w:rPr>
                <w:rFonts w:ascii="Arial" w:cs="Arial" w:eastAsia="Arial" w:hAnsi="Arial"/>
                <w:sz w:val="14"/>
                <w:szCs w:val="14"/>
                <w:color w:val="auto"/>
              </w:rPr>
              <w:t>30.0</w:t>
            </w:r>
          </w:p>
        </w:tc>
        <w:tc>
          <w:tcPr>
            <w:tcW w:w="0" w:type="dxa"/>
            <w:vAlign w:val="bottom"/>
          </w:tcPr>
          <w:p>
            <w:pPr>
              <w:spacing w:after="0"/>
              <w:rPr>
                <w:sz w:val="1"/>
                <w:szCs w:val="1"/>
                <w:color w:val="auto"/>
              </w:rPr>
            </w:pPr>
          </w:p>
        </w:tc>
      </w:tr>
      <w:tr>
        <w:trPr>
          <w:trHeight w:val="270"/>
        </w:trPr>
        <w:tc>
          <w:tcPr>
            <w:tcW w:w="5840" w:type="dxa"/>
            <w:vAlign w:val="bottom"/>
          </w:tcPr>
          <w:p>
            <w:pPr>
              <w:ind w:left="40"/>
              <w:spacing w:after="0"/>
              <w:rPr>
                <w:sz w:val="20"/>
                <w:szCs w:val="20"/>
                <w:color w:val="auto"/>
              </w:rPr>
            </w:pPr>
            <w:r>
              <w:rPr>
                <w:rFonts w:ascii="Arial" w:cs="Arial" w:eastAsia="Arial" w:hAnsi="Arial"/>
                <w:sz w:val="14"/>
                <w:szCs w:val="14"/>
                <w:color w:val="auto"/>
              </w:rPr>
              <w:t>Amended Credit Agreement repayments</w:t>
            </w:r>
          </w:p>
        </w:tc>
        <w:tc>
          <w:tcPr>
            <w:tcW w:w="1840" w:type="dxa"/>
            <w:vAlign w:val="bottom"/>
          </w:tcPr>
          <w:p>
            <w:pPr>
              <w:jc w:val="right"/>
              <w:ind w:right="8"/>
              <w:spacing w:after="0"/>
              <w:rPr>
                <w:sz w:val="20"/>
                <w:szCs w:val="20"/>
                <w:color w:val="auto"/>
              </w:rPr>
            </w:pPr>
            <w:r>
              <w:rPr>
                <w:rFonts w:ascii="Arial" w:cs="Arial" w:eastAsia="Arial" w:hAnsi="Arial"/>
                <w:sz w:val="14"/>
                <w:szCs w:val="14"/>
                <w:b w:val="1"/>
                <w:bCs w:val="1"/>
                <w:color w:val="auto"/>
              </w:rPr>
              <w:t>(5.0)</w:t>
            </w:r>
          </w:p>
        </w:tc>
        <w:tc>
          <w:tcPr>
            <w:tcW w:w="120" w:type="dxa"/>
            <w:vAlign w:val="bottom"/>
          </w:tcPr>
          <w:p>
            <w:pPr>
              <w:spacing w:after="0"/>
              <w:rPr>
                <w:sz w:val="23"/>
                <w:szCs w:val="23"/>
                <w:color w:val="auto"/>
              </w:rPr>
            </w:pPr>
          </w:p>
        </w:tc>
        <w:tc>
          <w:tcPr>
            <w:tcW w:w="124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1380" w:type="dxa"/>
            <w:vAlign w:val="bottom"/>
          </w:tcPr>
          <w:p>
            <w:pPr>
              <w:jc w:val="right"/>
              <w:ind w:right="208"/>
              <w:spacing w:after="0"/>
              <w:rPr>
                <w:sz w:val="20"/>
                <w:szCs w:val="20"/>
                <w:color w:val="auto"/>
              </w:rPr>
            </w:pPr>
            <w:r>
              <w:rPr>
                <w:rFonts w:ascii="Arial" w:cs="Arial" w:eastAsia="Arial" w:hAnsi="Arial"/>
                <w:sz w:val="14"/>
                <w:szCs w:val="14"/>
                <w:b w:val="1"/>
                <w:bCs w:val="1"/>
                <w:color w:val="auto"/>
              </w:rPr>
              <w:t>(10.0)</w:t>
            </w:r>
          </w:p>
        </w:tc>
        <w:tc>
          <w:tcPr>
            <w:tcW w:w="10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6"/>
        </w:trPr>
        <w:tc>
          <w:tcPr>
            <w:tcW w:w="5840" w:type="dxa"/>
            <w:vAlign w:val="bottom"/>
            <w:tcBorders>
              <w:bottom w:val="single" w:sz="8" w:color="333333"/>
            </w:tcBorders>
          </w:tcPr>
          <w:p>
            <w:pPr>
              <w:ind w:left="40"/>
              <w:spacing w:after="0"/>
              <w:rPr>
                <w:sz w:val="20"/>
                <w:szCs w:val="20"/>
                <w:color w:val="auto"/>
              </w:rPr>
            </w:pPr>
            <w:r>
              <w:rPr>
                <w:rFonts w:ascii="Arial" w:cs="Arial" w:eastAsia="Arial" w:hAnsi="Arial"/>
                <w:sz w:val="14"/>
                <w:szCs w:val="14"/>
                <w:color w:val="auto"/>
              </w:rPr>
              <w:t>Debt issuance costs related to the Amended Credit Agreement</w:t>
            </w:r>
          </w:p>
        </w:tc>
        <w:tc>
          <w:tcPr>
            <w:tcW w:w="1960" w:type="dxa"/>
            <w:vAlign w:val="bottom"/>
            <w:tcBorders>
              <w:bottom w:val="single" w:sz="8" w:color="333333"/>
            </w:tcBorders>
            <w:gridSpan w:val="2"/>
          </w:tcPr>
          <w:p>
            <w:pPr>
              <w:jc w:val="right"/>
              <w:ind w:right="240"/>
              <w:spacing w:after="0"/>
              <w:rPr>
                <w:sz w:val="20"/>
                <w:szCs w:val="20"/>
                <w:color w:val="auto"/>
              </w:rPr>
            </w:pPr>
            <w:r>
              <w:rPr>
                <w:rFonts w:ascii="Arial" w:cs="Arial" w:eastAsia="Arial" w:hAnsi="Arial"/>
                <w:sz w:val="14"/>
                <w:szCs w:val="14"/>
                <w:b w:val="1"/>
                <w:bCs w:val="1"/>
                <w:color w:val="auto"/>
              </w:rPr>
              <w:t>—</w:t>
            </w:r>
          </w:p>
        </w:tc>
        <w:tc>
          <w:tcPr>
            <w:tcW w:w="1240" w:type="dxa"/>
            <w:vAlign w:val="bottom"/>
            <w:tcBorders>
              <w:bottom w:val="single" w:sz="8" w:color="333333"/>
            </w:tcBorders>
          </w:tcPr>
          <w:p>
            <w:pPr>
              <w:jc w:val="right"/>
              <w:ind w:right="128"/>
              <w:spacing w:after="0"/>
              <w:rPr>
                <w:sz w:val="20"/>
                <w:szCs w:val="20"/>
                <w:color w:val="auto"/>
              </w:rPr>
            </w:pPr>
            <w:r>
              <w:rPr>
                <w:rFonts w:ascii="Arial" w:cs="Arial" w:eastAsia="Arial" w:hAnsi="Arial"/>
                <w:sz w:val="14"/>
                <w:szCs w:val="14"/>
                <w:color w:val="auto"/>
              </w:rPr>
              <w:t>—</w:t>
            </w:r>
          </w:p>
        </w:tc>
        <w:tc>
          <w:tcPr>
            <w:tcW w:w="1380" w:type="dxa"/>
            <w:vAlign w:val="bottom"/>
            <w:tcBorders>
              <w:bottom w:val="single" w:sz="8" w:color="333333"/>
            </w:tcBorders>
          </w:tcPr>
          <w:p>
            <w:pPr>
              <w:jc w:val="right"/>
              <w:ind w:right="208"/>
              <w:spacing w:after="0"/>
              <w:rPr>
                <w:sz w:val="20"/>
                <w:szCs w:val="20"/>
                <w:color w:val="auto"/>
              </w:rPr>
            </w:pPr>
            <w:r>
              <w:rPr>
                <w:rFonts w:ascii="Arial" w:cs="Arial" w:eastAsia="Arial" w:hAnsi="Arial"/>
                <w:sz w:val="14"/>
                <w:szCs w:val="14"/>
                <w:b w:val="1"/>
                <w:bCs w:val="1"/>
                <w:color w:val="auto"/>
              </w:rPr>
              <w:t>(1.7)</w:t>
            </w:r>
          </w:p>
        </w:tc>
        <w:tc>
          <w:tcPr>
            <w:tcW w:w="1000" w:type="dxa"/>
            <w:vAlign w:val="bottom"/>
            <w:tcBorders>
              <w:bottom w:val="single" w:sz="8" w:color="333333"/>
            </w:tcBorders>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4"/>
        </w:trPr>
        <w:tc>
          <w:tcPr>
            <w:tcW w:w="5840" w:type="dxa"/>
            <w:vAlign w:val="bottom"/>
            <w:tcBorders>
              <w:bottom w:val="single" w:sz="8" w:color="333333"/>
            </w:tcBorders>
          </w:tcPr>
          <w:p>
            <w:pPr>
              <w:ind w:left="360"/>
              <w:spacing w:after="0"/>
              <w:rPr>
                <w:sz w:val="20"/>
                <w:szCs w:val="20"/>
                <w:color w:val="auto"/>
              </w:rPr>
            </w:pPr>
            <w:r>
              <w:rPr>
                <w:rFonts w:ascii="Arial" w:cs="Arial" w:eastAsia="Arial" w:hAnsi="Arial"/>
                <w:sz w:val="14"/>
                <w:szCs w:val="14"/>
                <w:b w:val="1"/>
                <w:bCs w:val="1"/>
                <w:color w:val="auto"/>
              </w:rPr>
              <w:t>Net Cash Provided (Used) by Financing Activities</w:t>
            </w:r>
          </w:p>
        </w:tc>
        <w:tc>
          <w:tcPr>
            <w:tcW w:w="1840" w:type="dxa"/>
            <w:vAlign w:val="bottom"/>
            <w:tcBorders>
              <w:bottom w:val="single" w:sz="8" w:color="333333"/>
            </w:tcBorders>
          </w:tcPr>
          <w:p>
            <w:pPr>
              <w:jc w:val="right"/>
              <w:ind w:right="8"/>
              <w:spacing w:after="0"/>
              <w:rPr>
                <w:sz w:val="20"/>
                <w:szCs w:val="20"/>
                <w:color w:val="auto"/>
              </w:rPr>
            </w:pPr>
            <w:r>
              <w:rPr>
                <w:rFonts w:ascii="Arial" w:cs="Arial" w:eastAsia="Arial" w:hAnsi="Arial"/>
                <w:sz w:val="14"/>
                <w:szCs w:val="14"/>
                <w:b w:val="1"/>
                <w:bCs w:val="1"/>
                <w:color w:val="auto"/>
              </w:rPr>
              <w:t>(5.0)</w:t>
            </w:r>
          </w:p>
        </w:tc>
        <w:tc>
          <w:tcPr>
            <w:tcW w:w="120" w:type="dxa"/>
            <w:vAlign w:val="bottom"/>
            <w:tcBorders>
              <w:bottom w:val="single" w:sz="8" w:color="333333"/>
            </w:tcBorders>
          </w:tcPr>
          <w:p>
            <w:pPr>
              <w:spacing w:after="0"/>
              <w:rPr>
                <w:sz w:val="22"/>
                <w:szCs w:val="22"/>
                <w:color w:val="auto"/>
              </w:rPr>
            </w:pPr>
          </w:p>
        </w:tc>
        <w:tc>
          <w:tcPr>
            <w:tcW w:w="1240" w:type="dxa"/>
            <w:vAlign w:val="bottom"/>
            <w:tcBorders>
              <w:bottom w:val="single" w:sz="8" w:color="333333"/>
            </w:tcBorders>
          </w:tcPr>
          <w:p>
            <w:pPr>
              <w:jc w:val="right"/>
              <w:ind w:right="88"/>
              <w:spacing w:after="0"/>
              <w:rPr>
                <w:sz w:val="20"/>
                <w:szCs w:val="20"/>
                <w:color w:val="auto"/>
              </w:rPr>
            </w:pPr>
            <w:r>
              <w:rPr>
                <w:rFonts w:ascii="Arial" w:cs="Arial" w:eastAsia="Arial" w:hAnsi="Arial"/>
                <w:sz w:val="14"/>
                <w:szCs w:val="14"/>
                <w:color w:val="auto"/>
              </w:rPr>
              <w:t>(5.2)</w:t>
            </w:r>
          </w:p>
        </w:tc>
        <w:tc>
          <w:tcPr>
            <w:tcW w:w="1380" w:type="dxa"/>
            <w:vAlign w:val="bottom"/>
            <w:tcBorders>
              <w:bottom w:val="single" w:sz="8" w:color="333333"/>
            </w:tcBorders>
          </w:tcPr>
          <w:p>
            <w:pPr>
              <w:jc w:val="right"/>
              <w:ind w:right="268"/>
              <w:spacing w:after="0"/>
              <w:rPr>
                <w:sz w:val="20"/>
                <w:szCs w:val="20"/>
                <w:color w:val="auto"/>
              </w:rPr>
            </w:pPr>
            <w:r>
              <w:rPr>
                <w:rFonts w:ascii="Arial" w:cs="Arial" w:eastAsia="Arial" w:hAnsi="Arial"/>
                <w:sz w:val="14"/>
                <w:szCs w:val="14"/>
                <w:b w:val="1"/>
                <w:bCs w:val="1"/>
                <w:color w:val="auto"/>
              </w:rPr>
              <w:t>47.6</w:t>
            </w:r>
          </w:p>
        </w:tc>
        <w:tc>
          <w:tcPr>
            <w:tcW w:w="1000" w:type="dxa"/>
            <w:vAlign w:val="bottom"/>
            <w:tcBorders>
              <w:bottom w:val="single" w:sz="8" w:color="333333"/>
            </w:tcBorders>
          </w:tcPr>
          <w:p>
            <w:pPr>
              <w:jc w:val="right"/>
              <w:ind w:right="28"/>
              <w:spacing w:after="0"/>
              <w:rPr>
                <w:sz w:val="20"/>
                <w:szCs w:val="20"/>
                <w:color w:val="auto"/>
              </w:rPr>
            </w:pPr>
            <w:r>
              <w:rPr>
                <w:rFonts w:ascii="Arial" w:cs="Arial" w:eastAsia="Arial" w:hAnsi="Arial"/>
                <w:sz w:val="14"/>
                <w:szCs w:val="14"/>
                <w:color w:val="auto"/>
              </w:rPr>
              <w:t>23.8</w:t>
            </w:r>
          </w:p>
        </w:tc>
        <w:tc>
          <w:tcPr>
            <w:tcW w:w="0" w:type="dxa"/>
            <w:vAlign w:val="bottom"/>
          </w:tcPr>
          <w:p>
            <w:pPr>
              <w:spacing w:after="0"/>
              <w:rPr>
                <w:sz w:val="1"/>
                <w:szCs w:val="1"/>
                <w:color w:val="auto"/>
              </w:rPr>
            </w:pPr>
          </w:p>
        </w:tc>
      </w:tr>
      <w:tr>
        <w:trPr>
          <w:trHeight w:val="258"/>
        </w:trPr>
        <w:tc>
          <w:tcPr>
            <w:tcW w:w="5840" w:type="dxa"/>
            <w:vAlign w:val="bottom"/>
          </w:tcPr>
          <w:p>
            <w:pPr>
              <w:ind w:left="360"/>
              <w:spacing w:after="0"/>
              <w:rPr>
                <w:sz w:val="20"/>
                <w:szCs w:val="20"/>
                <w:color w:val="auto"/>
              </w:rPr>
            </w:pPr>
            <w:r>
              <w:rPr>
                <w:rFonts w:ascii="Arial" w:cs="Arial" w:eastAsia="Arial" w:hAnsi="Arial"/>
                <w:sz w:val="14"/>
                <w:szCs w:val="14"/>
                <w:b w:val="1"/>
                <w:bCs w:val="1"/>
                <w:color w:val="auto"/>
              </w:rPr>
              <w:t>Increase (Decrease) In Cash and Cash Equivalents</w:t>
            </w:r>
          </w:p>
        </w:tc>
        <w:tc>
          <w:tcPr>
            <w:tcW w:w="1840" w:type="dxa"/>
            <w:vAlign w:val="bottom"/>
          </w:tcPr>
          <w:p>
            <w:pPr>
              <w:jc w:val="right"/>
              <w:ind w:right="8"/>
              <w:spacing w:after="0"/>
              <w:rPr>
                <w:sz w:val="20"/>
                <w:szCs w:val="20"/>
                <w:color w:val="auto"/>
              </w:rPr>
            </w:pPr>
            <w:r>
              <w:rPr>
                <w:rFonts w:ascii="Arial" w:cs="Arial" w:eastAsia="Arial" w:hAnsi="Arial"/>
                <w:sz w:val="14"/>
                <w:szCs w:val="14"/>
                <w:b w:val="1"/>
                <w:bCs w:val="1"/>
                <w:color w:val="auto"/>
              </w:rPr>
              <w:t>(12.0)</w:t>
            </w:r>
          </w:p>
        </w:tc>
        <w:tc>
          <w:tcPr>
            <w:tcW w:w="120" w:type="dxa"/>
            <w:vAlign w:val="bottom"/>
          </w:tcPr>
          <w:p>
            <w:pPr>
              <w:spacing w:after="0"/>
              <w:rPr>
                <w:sz w:val="22"/>
                <w:szCs w:val="22"/>
                <w:color w:val="auto"/>
              </w:rPr>
            </w:pPr>
          </w:p>
        </w:tc>
        <w:tc>
          <w:tcPr>
            <w:tcW w:w="1240" w:type="dxa"/>
            <w:vAlign w:val="bottom"/>
          </w:tcPr>
          <w:p>
            <w:pPr>
              <w:jc w:val="right"/>
              <w:ind w:right="88"/>
              <w:spacing w:after="0"/>
              <w:rPr>
                <w:sz w:val="20"/>
                <w:szCs w:val="20"/>
                <w:color w:val="auto"/>
              </w:rPr>
            </w:pPr>
            <w:r>
              <w:rPr>
                <w:rFonts w:ascii="Arial" w:cs="Arial" w:eastAsia="Arial" w:hAnsi="Arial"/>
                <w:sz w:val="14"/>
                <w:szCs w:val="14"/>
                <w:color w:val="auto"/>
              </w:rPr>
              <w:t>(10.4)</w:t>
            </w:r>
          </w:p>
        </w:tc>
        <w:tc>
          <w:tcPr>
            <w:tcW w:w="1380" w:type="dxa"/>
            <w:vAlign w:val="bottom"/>
          </w:tcPr>
          <w:p>
            <w:pPr>
              <w:jc w:val="right"/>
              <w:ind w:right="268"/>
              <w:spacing w:after="0"/>
              <w:rPr>
                <w:sz w:val="20"/>
                <w:szCs w:val="20"/>
                <w:color w:val="auto"/>
              </w:rPr>
            </w:pPr>
            <w:r>
              <w:rPr>
                <w:rFonts w:ascii="Arial" w:cs="Arial" w:eastAsia="Arial" w:hAnsi="Arial"/>
                <w:sz w:val="14"/>
                <w:szCs w:val="14"/>
                <w:b w:val="1"/>
                <w:bCs w:val="1"/>
                <w:color w:val="auto"/>
              </w:rPr>
              <w:t>2.5</w:t>
            </w:r>
          </w:p>
        </w:tc>
        <w:tc>
          <w:tcPr>
            <w:tcW w:w="1000" w:type="dxa"/>
            <w:vAlign w:val="bottom"/>
          </w:tcPr>
          <w:p>
            <w:pPr>
              <w:jc w:val="right"/>
              <w:ind w:right="28"/>
              <w:spacing w:after="0"/>
              <w:rPr>
                <w:sz w:val="20"/>
                <w:szCs w:val="20"/>
                <w:color w:val="auto"/>
              </w:rPr>
            </w:pPr>
            <w:r>
              <w:rPr>
                <w:rFonts w:ascii="Arial" w:cs="Arial" w:eastAsia="Arial" w:hAnsi="Arial"/>
                <w:sz w:val="14"/>
                <w:szCs w:val="14"/>
                <w:color w:val="auto"/>
              </w:rPr>
              <w:t>0.2</w:t>
            </w:r>
          </w:p>
        </w:tc>
        <w:tc>
          <w:tcPr>
            <w:tcW w:w="0" w:type="dxa"/>
            <w:vAlign w:val="bottom"/>
          </w:tcPr>
          <w:p>
            <w:pPr>
              <w:spacing w:after="0"/>
              <w:rPr>
                <w:sz w:val="1"/>
                <w:szCs w:val="1"/>
                <w:color w:val="auto"/>
              </w:rPr>
            </w:pPr>
          </w:p>
        </w:tc>
      </w:tr>
      <w:tr>
        <w:trPr>
          <w:trHeight w:val="276"/>
        </w:trPr>
        <w:tc>
          <w:tcPr>
            <w:tcW w:w="5840" w:type="dxa"/>
            <w:vAlign w:val="bottom"/>
            <w:tcBorders>
              <w:bottom w:val="single" w:sz="8" w:color="333333"/>
            </w:tcBorders>
          </w:tcPr>
          <w:p>
            <w:pPr>
              <w:ind w:left="40"/>
              <w:spacing w:after="0"/>
              <w:rPr>
                <w:sz w:val="20"/>
                <w:szCs w:val="20"/>
                <w:color w:val="auto"/>
              </w:rPr>
            </w:pPr>
            <w:r>
              <w:rPr>
                <w:rFonts w:ascii="Arial" w:cs="Arial" w:eastAsia="Arial" w:hAnsi="Arial"/>
                <w:sz w:val="14"/>
                <w:szCs w:val="14"/>
                <w:color w:val="auto"/>
              </w:rPr>
              <w:t>Cash and cash equivalents at beginning of period</w:t>
            </w:r>
          </w:p>
        </w:tc>
        <w:tc>
          <w:tcPr>
            <w:tcW w:w="1840" w:type="dxa"/>
            <w:vAlign w:val="bottom"/>
            <w:tcBorders>
              <w:bottom w:val="single" w:sz="8" w:color="333333"/>
            </w:tcBorders>
          </w:tcPr>
          <w:p>
            <w:pPr>
              <w:jc w:val="right"/>
              <w:ind w:right="48"/>
              <w:spacing w:after="0"/>
              <w:rPr>
                <w:sz w:val="20"/>
                <w:szCs w:val="20"/>
                <w:color w:val="auto"/>
              </w:rPr>
            </w:pPr>
            <w:r>
              <w:rPr>
                <w:rFonts w:ascii="Arial" w:cs="Arial" w:eastAsia="Arial" w:hAnsi="Arial"/>
                <w:sz w:val="14"/>
                <w:szCs w:val="14"/>
                <w:b w:val="1"/>
                <w:bCs w:val="1"/>
                <w:color w:val="auto"/>
              </w:rPr>
              <w:t>39.0</w:t>
            </w:r>
          </w:p>
        </w:tc>
        <w:tc>
          <w:tcPr>
            <w:tcW w:w="120" w:type="dxa"/>
            <w:vAlign w:val="bottom"/>
            <w:tcBorders>
              <w:bottom w:val="single" w:sz="8" w:color="333333"/>
            </w:tcBorders>
          </w:tcPr>
          <w:p>
            <w:pPr>
              <w:spacing w:after="0"/>
              <w:rPr>
                <w:sz w:val="24"/>
                <w:szCs w:val="24"/>
                <w:color w:val="auto"/>
              </w:rPr>
            </w:pPr>
          </w:p>
        </w:tc>
        <w:tc>
          <w:tcPr>
            <w:tcW w:w="1240" w:type="dxa"/>
            <w:vAlign w:val="bottom"/>
            <w:tcBorders>
              <w:bottom w:val="single" w:sz="8" w:color="333333"/>
            </w:tcBorders>
          </w:tcPr>
          <w:p>
            <w:pPr>
              <w:jc w:val="right"/>
              <w:ind w:right="128"/>
              <w:spacing w:after="0"/>
              <w:rPr>
                <w:sz w:val="20"/>
                <w:szCs w:val="20"/>
                <w:color w:val="auto"/>
              </w:rPr>
            </w:pPr>
            <w:r>
              <w:rPr>
                <w:rFonts w:ascii="Arial" w:cs="Arial" w:eastAsia="Arial" w:hAnsi="Arial"/>
                <w:sz w:val="14"/>
                <w:szCs w:val="14"/>
                <w:color w:val="auto"/>
              </w:rPr>
              <w:t>36.2</w:t>
            </w:r>
          </w:p>
        </w:tc>
        <w:tc>
          <w:tcPr>
            <w:tcW w:w="1380" w:type="dxa"/>
            <w:vAlign w:val="bottom"/>
            <w:tcBorders>
              <w:bottom w:val="single" w:sz="8" w:color="333333"/>
            </w:tcBorders>
          </w:tcPr>
          <w:p>
            <w:pPr>
              <w:jc w:val="right"/>
              <w:ind w:right="268"/>
              <w:spacing w:after="0"/>
              <w:rPr>
                <w:sz w:val="20"/>
                <w:szCs w:val="20"/>
                <w:color w:val="auto"/>
              </w:rPr>
            </w:pPr>
            <w:r>
              <w:rPr>
                <w:rFonts w:ascii="Arial" w:cs="Arial" w:eastAsia="Arial" w:hAnsi="Arial"/>
                <w:sz w:val="14"/>
                <w:szCs w:val="14"/>
                <w:b w:val="1"/>
                <w:bCs w:val="1"/>
                <w:color w:val="auto"/>
              </w:rPr>
              <w:t>24.5</w:t>
            </w:r>
          </w:p>
        </w:tc>
        <w:tc>
          <w:tcPr>
            <w:tcW w:w="1000" w:type="dxa"/>
            <w:vAlign w:val="bottom"/>
            <w:tcBorders>
              <w:bottom w:val="single" w:sz="8" w:color="333333"/>
            </w:tcBorders>
          </w:tcPr>
          <w:p>
            <w:pPr>
              <w:jc w:val="right"/>
              <w:ind w:right="28"/>
              <w:spacing w:after="0"/>
              <w:rPr>
                <w:sz w:val="20"/>
                <w:szCs w:val="20"/>
                <w:color w:val="auto"/>
              </w:rPr>
            </w:pPr>
            <w:r>
              <w:rPr>
                <w:rFonts w:ascii="Arial" w:cs="Arial" w:eastAsia="Arial" w:hAnsi="Arial"/>
                <w:sz w:val="14"/>
                <w:szCs w:val="14"/>
                <w:color w:val="auto"/>
              </w:rPr>
              <w:t>25.6</w:t>
            </w:r>
          </w:p>
        </w:tc>
        <w:tc>
          <w:tcPr>
            <w:tcW w:w="0" w:type="dxa"/>
            <w:vAlign w:val="bottom"/>
          </w:tcPr>
          <w:p>
            <w:pPr>
              <w:spacing w:after="0"/>
              <w:rPr>
                <w:sz w:val="1"/>
                <w:szCs w:val="1"/>
                <w:color w:val="auto"/>
              </w:rPr>
            </w:pPr>
          </w:p>
        </w:tc>
      </w:tr>
      <w:tr>
        <w:trPr>
          <w:trHeight w:val="290"/>
        </w:trPr>
        <w:tc>
          <w:tcPr>
            <w:tcW w:w="5840" w:type="dxa"/>
            <w:vAlign w:val="bottom"/>
            <w:tcBorders>
              <w:bottom w:val="single" w:sz="8" w:color="333333"/>
            </w:tcBorders>
          </w:tcPr>
          <w:p>
            <w:pPr>
              <w:ind w:left="360"/>
              <w:spacing w:after="0"/>
              <w:rPr>
                <w:sz w:val="20"/>
                <w:szCs w:val="20"/>
                <w:color w:val="auto"/>
              </w:rPr>
            </w:pPr>
            <w:r>
              <w:rPr>
                <w:rFonts w:ascii="Arial" w:cs="Arial" w:eastAsia="Arial" w:hAnsi="Arial"/>
                <w:sz w:val="14"/>
                <w:szCs w:val="14"/>
                <w:b w:val="1"/>
                <w:bCs w:val="1"/>
                <w:color w:val="auto"/>
              </w:rPr>
              <w:t>Cash and Cash Equivalents at End of Period</w:t>
            </w:r>
          </w:p>
        </w:tc>
        <w:tc>
          <w:tcPr>
            <w:tcW w:w="1840" w:type="dxa"/>
            <w:vAlign w:val="bottom"/>
            <w:tcBorders>
              <w:bottom w:val="single" w:sz="8" w:color="333333"/>
            </w:tcBorders>
          </w:tcPr>
          <w:p>
            <w:pPr>
              <w:jc w:val="right"/>
              <w:ind w:right="48"/>
              <w:spacing w:after="0"/>
              <w:rPr>
                <w:sz w:val="20"/>
                <w:szCs w:val="20"/>
                <w:color w:val="auto"/>
              </w:rPr>
            </w:pPr>
            <w:r>
              <w:rPr>
                <w:rFonts w:ascii="Arial" w:cs="Arial" w:eastAsia="Arial" w:hAnsi="Arial"/>
                <w:sz w:val="14"/>
                <w:szCs w:val="14"/>
                <w:b w:val="1"/>
                <w:bCs w:val="1"/>
                <w:color w:val="auto"/>
              </w:rPr>
              <w:t>$27.0</w:t>
            </w:r>
          </w:p>
        </w:tc>
        <w:tc>
          <w:tcPr>
            <w:tcW w:w="120" w:type="dxa"/>
            <w:vAlign w:val="bottom"/>
            <w:tcBorders>
              <w:bottom w:val="single" w:sz="8" w:color="333333"/>
            </w:tcBorders>
          </w:tcPr>
          <w:p>
            <w:pPr>
              <w:spacing w:after="0"/>
              <w:rPr>
                <w:sz w:val="24"/>
                <w:szCs w:val="24"/>
                <w:color w:val="auto"/>
              </w:rPr>
            </w:pPr>
          </w:p>
        </w:tc>
        <w:tc>
          <w:tcPr>
            <w:tcW w:w="1240" w:type="dxa"/>
            <w:vAlign w:val="bottom"/>
            <w:tcBorders>
              <w:bottom w:val="single" w:sz="8" w:color="333333"/>
            </w:tcBorders>
          </w:tcPr>
          <w:p>
            <w:pPr>
              <w:jc w:val="right"/>
              <w:ind w:right="128"/>
              <w:spacing w:after="0"/>
              <w:rPr>
                <w:sz w:val="20"/>
                <w:szCs w:val="20"/>
                <w:color w:val="auto"/>
              </w:rPr>
            </w:pPr>
            <w:r>
              <w:rPr>
                <w:rFonts w:ascii="Arial" w:cs="Arial" w:eastAsia="Arial" w:hAnsi="Arial"/>
                <w:sz w:val="14"/>
                <w:szCs w:val="14"/>
                <w:color w:val="auto"/>
              </w:rPr>
              <w:t>$25.8</w:t>
            </w:r>
          </w:p>
        </w:tc>
        <w:tc>
          <w:tcPr>
            <w:tcW w:w="1380" w:type="dxa"/>
            <w:vAlign w:val="bottom"/>
            <w:tcBorders>
              <w:bottom w:val="single" w:sz="8" w:color="333333"/>
            </w:tcBorders>
          </w:tcPr>
          <w:p>
            <w:pPr>
              <w:jc w:val="right"/>
              <w:ind w:right="268"/>
              <w:spacing w:after="0"/>
              <w:rPr>
                <w:sz w:val="20"/>
                <w:szCs w:val="20"/>
                <w:color w:val="auto"/>
              </w:rPr>
            </w:pPr>
            <w:r>
              <w:rPr>
                <w:rFonts w:ascii="Arial" w:cs="Arial" w:eastAsia="Arial" w:hAnsi="Arial"/>
                <w:sz w:val="14"/>
                <w:szCs w:val="14"/>
                <w:b w:val="1"/>
                <w:bCs w:val="1"/>
                <w:color w:val="auto"/>
              </w:rPr>
              <w:t>$27.0</w:t>
            </w:r>
          </w:p>
        </w:tc>
        <w:tc>
          <w:tcPr>
            <w:tcW w:w="1000" w:type="dxa"/>
            <w:vAlign w:val="bottom"/>
            <w:tcBorders>
              <w:bottom w:val="single" w:sz="8" w:color="333333"/>
            </w:tcBorders>
          </w:tcPr>
          <w:p>
            <w:pPr>
              <w:jc w:val="right"/>
              <w:ind w:right="28"/>
              <w:spacing w:after="0"/>
              <w:rPr>
                <w:sz w:val="20"/>
                <w:szCs w:val="20"/>
                <w:color w:val="auto"/>
              </w:rPr>
            </w:pPr>
            <w:r>
              <w:rPr>
                <w:rFonts w:ascii="Arial" w:cs="Arial" w:eastAsia="Arial" w:hAnsi="Arial"/>
                <w:sz w:val="14"/>
                <w:szCs w:val="14"/>
                <w:color w:val="auto"/>
              </w:rPr>
              <w:t>$25.8</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Table Page 3</w:t>
      </w:r>
    </w:p>
    <w:p>
      <w:pPr>
        <w:sectPr>
          <w:pgSz w:w="11900" w:h="16838" w:orient="portrait"/>
          <w:cols w:equalWidth="0" w:num="1">
            <w:col w:w="11420"/>
          </w:cols>
          <w:pgMar w:left="240" w:top="1103" w:right="239" w:bottom="1440" w:gutter="0" w:footer="0" w:header="0"/>
        </w:sectPr>
      </w:pPr>
    </w:p>
    <w:bookmarkStart w:id="13" w:name="page14"/>
    <w:bookmarkEnd w:id="13"/>
    <w:p>
      <w:pPr>
        <w:ind w:left="40"/>
        <w:spacing w:after="0"/>
        <w:rPr>
          <w:sz w:val="20"/>
          <w:szCs w:val="20"/>
          <w:color w:val="auto"/>
        </w:rPr>
      </w:pPr>
      <w:r>
        <w:rPr>
          <w:rFonts w:ascii="Arial" w:cs="Arial" w:eastAsia="Arial" w:hAnsi="Arial"/>
          <w:sz w:val="16"/>
          <w:szCs w:val="16"/>
          <w:b w:val="1"/>
          <w:bCs w:val="1"/>
          <w:color w:val="auto"/>
        </w:rPr>
        <w:drawing>
          <wp:anchor simplePos="0" relativeHeight="251657728" behindDoc="1" locked="0" layoutInCell="0" allowOverlap="1">
            <wp:simplePos x="0" y="0"/>
            <wp:positionH relativeFrom="page">
              <wp:posOffset>2481580</wp:posOffset>
            </wp:positionH>
            <wp:positionV relativeFrom="page">
              <wp:posOffset>88900</wp:posOffset>
            </wp:positionV>
            <wp:extent cx="2598420" cy="3257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clrChange>
                        <a:clrFrom>
                          <a:srgbClr val="FFFFFF"/>
                        </a:clrFrom>
                        <a:clrTo>
                          <a:srgbClr val="FFFFFF">
                            <a:alpha val="0"/>
                          </a:srgbClr>
                        </a:clrTo>
                      </a:clrChange>
                      <a:extLst>
                        <a:ext uri="{28A0092B-C50C-407E-A947-70E740481C1C}"/>
                      </a:extLst>
                    </a:blip>
                    <a:srcRect/>
                    <a:stretch>
                      <a:fillRect/>
                    </a:stretch>
                  </pic:blipFill>
                  <pic:spPr bwMode="auto">
                    <a:xfrm>
                      <a:off x="0" y="0"/>
                      <a:ext cx="2598420" cy="325755"/>
                    </a:xfrm>
                    <a:prstGeom prst="rect">
                      <a:avLst/>
                    </a:prstGeom>
                    <a:noFill/>
                  </pic:spPr>
                </pic:pic>
              </a:graphicData>
            </a:graphic>
          </wp:anchor>
        </w:drawing>
        <w:t xml:space="preserve">Reconciliation of Earnings (Loss) Before Interest and Taxes (EBIT) </w:t>
      </w:r>
      <w:r>
        <w:rPr>
          <w:rFonts w:ascii="Arial" w:cs="Arial" w:eastAsia="Arial" w:hAnsi="Arial"/>
          <w:sz w:val="22"/>
          <w:szCs w:val="22"/>
          <w:b w:val="1"/>
          <w:bCs w:val="1"/>
          <w:color w:val="auto"/>
          <w:vertAlign w:val="superscript"/>
        </w:rPr>
        <w:t>(1)</w:t>
      </w:r>
      <w:r>
        <w:rPr>
          <w:rFonts w:ascii="Arial" w:cs="Arial" w:eastAsia="Arial" w:hAnsi="Arial"/>
          <w:sz w:val="16"/>
          <w:szCs w:val="16"/>
          <w:b w:val="1"/>
          <w:bCs w:val="1"/>
          <w:color w:val="auto"/>
        </w:rPr>
        <w:t xml:space="preserve">, Adjusted EBIT </w:t>
      </w:r>
      <w:r>
        <w:rPr>
          <w:rFonts w:ascii="Arial" w:cs="Arial" w:eastAsia="Arial" w:hAnsi="Arial"/>
          <w:sz w:val="22"/>
          <w:szCs w:val="22"/>
          <w:b w:val="1"/>
          <w:bCs w:val="1"/>
          <w:color w:val="auto"/>
          <w:vertAlign w:val="superscript"/>
        </w:rPr>
        <w:t>(3)</w:t>
      </w:r>
      <w:r>
        <w:rPr>
          <w:rFonts w:ascii="Arial" w:cs="Arial" w:eastAsia="Arial" w:hAnsi="Arial"/>
          <w:sz w:val="16"/>
          <w:szCs w:val="16"/>
          <w:b w:val="1"/>
          <w:bCs w:val="1"/>
          <w:color w:val="auto"/>
        </w:rPr>
        <w:t>, Earnings (Loss) Before Interest, Taxes, Depreciation and</w:t>
      </w:r>
    </w:p>
    <w:p>
      <w:pPr>
        <w:ind w:left="40"/>
        <w:spacing w:after="0"/>
        <w:rPr>
          <w:sz w:val="20"/>
          <w:szCs w:val="20"/>
          <w:color w:val="auto"/>
        </w:rPr>
      </w:pPr>
      <w:r>
        <w:rPr>
          <w:rFonts w:ascii="Arial" w:cs="Arial" w:eastAsia="Arial" w:hAnsi="Arial"/>
          <w:sz w:val="18"/>
          <w:szCs w:val="18"/>
          <w:b w:val="1"/>
          <w:bCs w:val="1"/>
          <w:color w:val="auto"/>
        </w:rPr>
        <w:t xml:space="preserve">Amortization (EBITDA) </w:t>
      </w:r>
      <w:r>
        <w:rPr>
          <w:rFonts w:ascii="Arial" w:cs="Arial" w:eastAsia="Arial" w:hAnsi="Arial"/>
          <w:sz w:val="25"/>
          <w:szCs w:val="25"/>
          <w:b w:val="1"/>
          <w:bCs w:val="1"/>
          <w:color w:val="auto"/>
          <w:vertAlign w:val="superscript"/>
        </w:rPr>
        <w:t>(2)</w:t>
      </w:r>
      <w:r>
        <w:rPr>
          <w:rFonts w:ascii="Arial" w:cs="Arial" w:eastAsia="Arial" w:hAnsi="Arial"/>
          <w:sz w:val="18"/>
          <w:szCs w:val="18"/>
          <w:b w:val="1"/>
          <w:bCs w:val="1"/>
          <w:color w:val="auto"/>
        </w:rPr>
        <w:t xml:space="preserve"> and Adjusted EBITDA </w:t>
      </w:r>
      <w:r>
        <w:rPr>
          <w:rFonts w:ascii="Arial" w:cs="Arial" w:eastAsia="Arial" w:hAnsi="Arial"/>
          <w:sz w:val="25"/>
          <w:szCs w:val="25"/>
          <w:b w:val="1"/>
          <w:bCs w:val="1"/>
          <w:color w:val="auto"/>
          <w:vertAlign w:val="superscript"/>
        </w:rPr>
        <w:t>(4)</w:t>
      </w:r>
      <w:r>
        <w:rPr>
          <w:rFonts w:ascii="Arial" w:cs="Arial" w:eastAsia="Arial" w:hAnsi="Arial"/>
          <w:sz w:val="18"/>
          <w:szCs w:val="18"/>
          <w:b w:val="1"/>
          <w:bCs w:val="1"/>
          <w:color w:val="auto"/>
        </w:rPr>
        <w:t xml:space="preserve"> to GAAP Net Income (Loss):</w:t>
      </w:r>
    </w:p>
    <w:p>
      <w:pPr>
        <w:spacing w:after="0" w:line="399" w:lineRule="exact"/>
        <w:rPr>
          <w:sz w:val="20"/>
          <w:szCs w:val="20"/>
          <w:color w:val="auto"/>
        </w:rPr>
      </w:pPr>
    </w:p>
    <w:p>
      <w:pPr>
        <w:jc w:val="both"/>
        <w:ind w:left="40" w:right="20"/>
        <w:spacing w:after="0" w:line="257" w:lineRule="auto"/>
        <w:rPr>
          <w:sz w:val="20"/>
          <w:szCs w:val="20"/>
          <w:color w:val="auto"/>
        </w:rPr>
      </w:pPr>
      <w:r>
        <w:rPr>
          <w:rFonts w:ascii="Arial" w:cs="Arial" w:eastAsia="Arial" w:hAnsi="Arial"/>
          <w:sz w:val="18"/>
          <w:szCs w:val="18"/>
          <w:color w:val="auto"/>
        </w:rPr>
        <w:t>This reconciliation is provided as additional relevant information about the Company's performance. EBIT, Adjusted EBIT, EBITDA, and Adjusted EBITDA are important financial measures used in the management of the business, including decisions concerning the allocation of resources and assessment of performance. Management believes that reporting EBIT, Adjusted EBIT, EBITDA, and Adjusted EBITDA is useful to investors as these measures are representative of the Company's performance. Management also believes that it is appropriate to compare GAAP net income (loss) to EBIT, Adjusted EBIT, EBITDA and Adjusted EBITDA.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8890</wp:posOffset>
            </wp:positionV>
            <wp:extent cx="7246620" cy="171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8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6840" w:type="dxa"/>
            <w:vAlign w:val="bottom"/>
          </w:tcPr>
          <w:p>
            <w:pPr>
              <w:spacing w:after="0"/>
              <w:rPr>
                <w:sz w:val="18"/>
                <w:szCs w:val="18"/>
                <w:color w:val="auto"/>
              </w:rPr>
            </w:pPr>
          </w:p>
        </w:tc>
        <w:tc>
          <w:tcPr>
            <w:tcW w:w="2740" w:type="dxa"/>
            <w:vAlign w:val="bottom"/>
            <w:gridSpan w:val="2"/>
          </w:tcPr>
          <w:p>
            <w:pPr>
              <w:jc w:val="right"/>
              <w:ind w:right="150"/>
              <w:spacing w:after="0"/>
              <w:rPr>
                <w:sz w:val="20"/>
                <w:szCs w:val="20"/>
                <w:color w:val="auto"/>
              </w:rPr>
            </w:pPr>
            <w:r>
              <w:rPr>
                <w:rFonts w:ascii="Arial" w:cs="Arial" w:eastAsia="Arial" w:hAnsi="Arial"/>
                <w:sz w:val="18"/>
                <w:szCs w:val="18"/>
                <w:b w:val="1"/>
                <w:bCs w:val="1"/>
                <w:color w:val="auto"/>
              </w:rPr>
              <w:t>Three Months Ended</w:t>
            </w:r>
          </w:p>
        </w:tc>
        <w:tc>
          <w:tcPr>
            <w:tcW w:w="1840" w:type="dxa"/>
            <w:vAlign w:val="bottom"/>
            <w:gridSpan w:val="2"/>
          </w:tcPr>
          <w:p>
            <w:pPr>
              <w:jc w:val="right"/>
              <w:ind w:right="50"/>
              <w:spacing w:after="0"/>
              <w:rPr>
                <w:sz w:val="20"/>
                <w:szCs w:val="20"/>
                <w:color w:val="auto"/>
              </w:rPr>
            </w:pPr>
            <w:r>
              <w:rPr>
                <w:rFonts w:ascii="Arial" w:cs="Arial" w:eastAsia="Arial" w:hAnsi="Arial"/>
                <w:sz w:val="18"/>
                <w:szCs w:val="18"/>
                <w:b w:val="1"/>
                <w:bCs w:val="1"/>
                <w:color w:val="auto"/>
                <w:w w:val="99"/>
              </w:rPr>
              <w:t>Nine Months Ended</w:t>
            </w:r>
          </w:p>
        </w:tc>
      </w:tr>
      <w:tr>
        <w:trPr>
          <w:trHeight w:val="234"/>
        </w:trPr>
        <w:tc>
          <w:tcPr>
            <w:tcW w:w="6840" w:type="dxa"/>
            <w:vAlign w:val="bottom"/>
          </w:tcPr>
          <w:p>
            <w:pPr>
              <w:spacing w:after="0"/>
              <w:rPr>
                <w:sz w:val="20"/>
                <w:szCs w:val="20"/>
                <w:color w:val="auto"/>
              </w:rPr>
            </w:pPr>
          </w:p>
        </w:tc>
        <w:tc>
          <w:tcPr>
            <w:tcW w:w="2740" w:type="dxa"/>
            <w:vAlign w:val="bottom"/>
            <w:gridSpan w:val="2"/>
          </w:tcPr>
          <w:p>
            <w:pPr>
              <w:jc w:val="right"/>
              <w:ind w:right="430"/>
              <w:spacing w:after="0"/>
              <w:rPr>
                <w:sz w:val="20"/>
                <w:szCs w:val="20"/>
                <w:color w:val="auto"/>
              </w:rPr>
            </w:pPr>
            <w:r>
              <w:rPr>
                <w:rFonts w:ascii="Arial" w:cs="Arial" w:eastAsia="Arial" w:hAnsi="Arial"/>
                <w:sz w:val="18"/>
                <w:szCs w:val="18"/>
                <w:b w:val="1"/>
                <w:bCs w:val="1"/>
                <w:color w:val="auto"/>
              </w:rPr>
              <w:t>September 30,</w:t>
            </w:r>
          </w:p>
        </w:tc>
        <w:tc>
          <w:tcPr>
            <w:tcW w:w="1840" w:type="dxa"/>
            <w:vAlign w:val="bottom"/>
            <w:gridSpan w:val="2"/>
          </w:tcPr>
          <w:p>
            <w:pPr>
              <w:jc w:val="right"/>
              <w:ind w:right="270"/>
              <w:spacing w:after="0"/>
              <w:rPr>
                <w:sz w:val="20"/>
                <w:szCs w:val="20"/>
                <w:color w:val="auto"/>
              </w:rPr>
            </w:pPr>
            <w:r>
              <w:rPr>
                <w:rFonts w:ascii="Arial" w:cs="Arial" w:eastAsia="Arial" w:hAnsi="Arial"/>
                <w:sz w:val="18"/>
                <w:szCs w:val="18"/>
                <w:b w:val="1"/>
                <w:bCs w:val="1"/>
                <w:color w:val="auto"/>
              </w:rPr>
              <w:t>September 30,</w:t>
            </w:r>
          </w:p>
        </w:tc>
      </w:tr>
      <w:tr>
        <w:trPr>
          <w:trHeight w:val="27"/>
        </w:trPr>
        <w:tc>
          <w:tcPr>
            <w:tcW w:w="684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r>
      <w:tr>
        <w:trPr>
          <w:trHeight w:val="237"/>
        </w:trPr>
        <w:tc>
          <w:tcPr>
            <w:tcW w:w="6840" w:type="dxa"/>
            <w:vAlign w:val="bottom"/>
          </w:tcPr>
          <w:p>
            <w:pPr>
              <w:ind w:left="40"/>
              <w:spacing w:after="0"/>
              <w:rPr>
                <w:sz w:val="20"/>
                <w:szCs w:val="20"/>
                <w:color w:val="auto"/>
              </w:rPr>
            </w:pPr>
            <w:r>
              <w:rPr>
                <w:rFonts w:ascii="Arial" w:cs="Arial" w:eastAsia="Arial" w:hAnsi="Arial"/>
                <w:sz w:val="18"/>
                <w:szCs w:val="18"/>
                <w:b w:val="1"/>
                <w:bCs w:val="1"/>
                <w:color w:val="auto"/>
              </w:rPr>
              <w:t>(Dollars in millions) (Unaudited)</w:t>
            </w:r>
          </w:p>
        </w:tc>
        <w:tc>
          <w:tcPr>
            <w:tcW w:w="1760" w:type="dxa"/>
            <w:vAlign w:val="bottom"/>
          </w:tcPr>
          <w:p>
            <w:pPr>
              <w:jc w:val="right"/>
              <w:ind w:right="350"/>
              <w:spacing w:after="0"/>
              <w:rPr>
                <w:sz w:val="20"/>
                <w:szCs w:val="20"/>
                <w:color w:val="auto"/>
              </w:rPr>
            </w:pPr>
            <w:r>
              <w:rPr>
                <w:rFonts w:ascii="Arial" w:cs="Arial" w:eastAsia="Arial" w:hAnsi="Arial"/>
                <w:sz w:val="18"/>
                <w:szCs w:val="18"/>
                <w:b w:val="1"/>
                <w:bCs w:val="1"/>
                <w:color w:val="auto"/>
              </w:rPr>
              <w:t>2018</w:t>
            </w:r>
          </w:p>
        </w:tc>
        <w:tc>
          <w:tcPr>
            <w:tcW w:w="980" w:type="dxa"/>
            <w:vAlign w:val="bottom"/>
          </w:tcPr>
          <w:p>
            <w:pPr>
              <w:jc w:val="right"/>
              <w:ind w:right="330"/>
              <w:spacing w:after="0"/>
              <w:rPr>
                <w:sz w:val="20"/>
                <w:szCs w:val="20"/>
                <w:color w:val="auto"/>
              </w:rPr>
            </w:pPr>
            <w:r>
              <w:rPr>
                <w:rFonts w:ascii="Arial" w:cs="Arial" w:eastAsia="Arial" w:hAnsi="Arial"/>
                <w:sz w:val="18"/>
                <w:szCs w:val="18"/>
                <w:b w:val="1"/>
                <w:bCs w:val="1"/>
                <w:color w:val="auto"/>
              </w:rPr>
              <w:t>2017</w:t>
            </w:r>
          </w:p>
        </w:tc>
        <w:tc>
          <w:tcPr>
            <w:tcW w:w="1020" w:type="dxa"/>
            <w:vAlign w:val="bottom"/>
          </w:tcPr>
          <w:p>
            <w:pPr>
              <w:jc w:val="right"/>
              <w:ind w:right="330"/>
              <w:spacing w:after="0"/>
              <w:rPr>
                <w:sz w:val="20"/>
                <w:szCs w:val="20"/>
                <w:color w:val="auto"/>
              </w:rPr>
            </w:pPr>
            <w:r>
              <w:rPr>
                <w:rFonts w:ascii="Arial" w:cs="Arial" w:eastAsia="Arial" w:hAnsi="Arial"/>
                <w:sz w:val="18"/>
                <w:szCs w:val="18"/>
                <w:b w:val="1"/>
                <w:bCs w:val="1"/>
                <w:color w:val="auto"/>
              </w:rPr>
              <w:t>2018</w:t>
            </w:r>
          </w:p>
        </w:tc>
        <w:tc>
          <w:tcPr>
            <w:tcW w:w="820" w:type="dxa"/>
            <w:vAlign w:val="bottom"/>
          </w:tcPr>
          <w:p>
            <w:pPr>
              <w:jc w:val="right"/>
              <w:ind w:right="170"/>
              <w:spacing w:after="0"/>
              <w:rPr>
                <w:sz w:val="20"/>
                <w:szCs w:val="20"/>
                <w:color w:val="auto"/>
              </w:rPr>
            </w:pPr>
            <w:r>
              <w:rPr>
                <w:rFonts w:ascii="Arial" w:cs="Arial" w:eastAsia="Arial" w:hAnsi="Arial"/>
                <w:sz w:val="18"/>
                <w:szCs w:val="18"/>
                <w:b w:val="1"/>
                <w:bCs w:val="1"/>
                <w:color w:val="auto"/>
              </w:rPr>
              <w:t>2017</w:t>
            </w:r>
          </w:p>
        </w:tc>
      </w:tr>
      <w:tr>
        <w:trPr>
          <w:trHeight w:val="27"/>
        </w:trPr>
        <w:tc>
          <w:tcPr>
            <w:tcW w:w="684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r>
      <w:tr>
        <w:trPr>
          <w:trHeight w:val="237"/>
        </w:trPr>
        <w:tc>
          <w:tcPr>
            <w:tcW w:w="6840" w:type="dxa"/>
            <w:vAlign w:val="bottom"/>
          </w:tcPr>
          <w:p>
            <w:pPr>
              <w:ind w:left="40"/>
              <w:spacing w:after="0"/>
              <w:rPr>
                <w:sz w:val="20"/>
                <w:szCs w:val="20"/>
                <w:color w:val="auto"/>
              </w:rPr>
            </w:pPr>
            <w:r>
              <w:rPr>
                <w:rFonts w:ascii="Arial" w:cs="Arial" w:eastAsia="Arial" w:hAnsi="Arial"/>
                <w:sz w:val="18"/>
                <w:szCs w:val="18"/>
                <w:color w:val="auto"/>
              </w:rPr>
              <w:t>Net income (loss)</w:t>
            </w:r>
          </w:p>
        </w:tc>
        <w:tc>
          <w:tcPr>
            <w:tcW w:w="1760" w:type="dxa"/>
            <w:vAlign w:val="bottom"/>
          </w:tcPr>
          <w:p>
            <w:pPr>
              <w:jc w:val="right"/>
              <w:ind w:right="310"/>
              <w:spacing w:after="0"/>
              <w:rPr>
                <w:sz w:val="20"/>
                <w:szCs w:val="20"/>
                <w:color w:val="auto"/>
              </w:rPr>
            </w:pPr>
            <w:r>
              <w:rPr>
                <w:rFonts w:ascii="Arial" w:cs="Arial" w:eastAsia="Arial" w:hAnsi="Arial"/>
                <w:sz w:val="18"/>
                <w:szCs w:val="18"/>
                <w:b w:val="1"/>
                <w:bCs w:val="1"/>
                <w:color w:val="auto"/>
              </w:rPr>
              <w:t>$1.4</w:t>
            </w:r>
          </w:p>
        </w:tc>
        <w:tc>
          <w:tcPr>
            <w:tcW w:w="980" w:type="dxa"/>
            <w:vAlign w:val="bottom"/>
          </w:tcPr>
          <w:p>
            <w:pPr>
              <w:jc w:val="right"/>
              <w:ind w:right="230"/>
              <w:spacing w:after="0"/>
              <w:rPr>
                <w:sz w:val="20"/>
                <w:szCs w:val="20"/>
                <w:color w:val="auto"/>
              </w:rPr>
            </w:pPr>
            <w:r>
              <w:rPr>
                <w:rFonts w:ascii="Arial" w:cs="Arial" w:eastAsia="Arial" w:hAnsi="Arial"/>
                <w:sz w:val="18"/>
                <w:szCs w:val="18"/>
                <w:color w:val="auto"/>
              </w:rPr>
              <w:t>($5.9)</w:t>
            </w:r>
          </w:p>
        </w:tc>
        <w:tc>
          <w:tcPr>
            <w:tcW w:w="1020" w:type="dxa"/>
            <w:vAlign w:val="bottom"/>
          </w:tcPr>
          <w:p>
            <w:pPr>
              <w:jc w:val="right"/>
              <w:ind w:right="270"/>
              <w:spacing w:after="0"/>
              <w:rPr>
                <w:sz w:val="20"/>
                <w:szCs w:val="20"/>
                <w:color w:val="auto"/>
              </w:rPr>
            </w:pPr>
            <w:r>
              <w:rPr>
                <w:rFonts w:ascii="Arial" w:cs="Arial" w:eastAsia="Arial" w:hAnsi="Arial"/>
                <w:sz w:val="18"/>
                <w:szCs w:val="18"/>
                <w:b w:val="1"/>
                <w:bCs w:val="1"/>
                <w:color w:val="auto"/>
              </w:rPr>
              <w:t>$7.9</w:t>
            </w:r>
          </w:p>
        </w:tc>
        <w:tc>
          <w:tcPr>
            <w:tcW w:w="820" w:type="dxa"/>
            <w:vAlign w:val="bottom"/>
          </w:tcPr>
          <w:p>
            <w:pPr>
              <w:jc w:val="right"/>
              <w:ind w:right="30"/>
              <w:spacing w:after="0"/>
              <w:rPr>
                <w:sz w:val="20"/>
                <w:szCs w:val="20"/>
                <w:color w:val="auto"/>
              </w:rPr>
            </w:pPr>
            <w:r>
              <w:rPr>
                <w:rFonts w:ascii="Arial" w:cs="Arial" w:eastAsia="Arial" w:hAnsi="Arial"/>
                <w:sz w:val="18"/>
                <w:szCs w:val="18"/>
                <w:color w:val="auto"/>
              </w:rPr>
              <w:t>($9.9)</w:t>
            </w:r>
          </w:p>
        </w:tc>
      </w:tr>
      <w:tr>
        <w:trPr>
          <w:trHeight w:val="594"/>
        </w:trPr>
        <w:tc>
          <w:tcPr>
            <w:tcW w:w="6840" w:type="dxa"/>
            <w:vAlign w:val="bottom"/>
          </w:tcPr>
          <w:p>
            <w:pPr>
              <w:ind w:left="40"/>
              <w:spacing w:after="0"/>
              <w:rPr>
                <w:sz w:val="20"/>
                <w:szCs w:val="20"/>
                <w:color w:val="auto"/>
              </w:rPr>
            </w:pPr>
            <w:r>
              <w:rPr>
                <w:rFonts w:ascii="Arial" w:cs="Arial" w:eastAsia="Arial" w:hAnsi="Arial"/>
                <w:sz w:val="18"/>
                <w:szCs w:val="18"/>
                <w:color w:val="auto"/>
              </w:rPr>
              <w:t>Provision for income taxes</w:t>
            </w:r>
          </w:p>
        </w:tc>
        <w:tc>
          <w:tcPr>
            <w:tcW w:w="1760" w:type="dxa"/>
            <w:vAlign w:val="bottom"/>
          </w:tcPr>
          <w:p>
            <w:pPr>
              <w:jc w:val="right"/>
              <w:ind w:right="310"/>
              <w:spacing w:after="0"/>
              <w:rPr>
                <w:sz w:val="20"/>
                <w:szCs w:val="20"/>
                <w:color w:val="auto"/>
              </w:rPr>
            </w:pPr>
            <w:r>
              <w:rPr>
                <w:rFonts w:ascii="Arial" w:cs="Arial" w:eastAsia="Arial" w:hAnsi="Arial"/>
                <w:sz w:val="18"/>
                <w:szCs w:val="18"/>
                <w:b w:val="1"/>
                <w:bCs w:val="1"/>
                <w:color w:val="auto"/>
              </w:rPr>
              <w:t>0.9</w:t>
            </w:r>
          </w:p>
        </w:tc>
        <w:tc>
          <w:tcPr>
            <w:tcW w:w="980" w:type="dxa"/>
            <w:vAlign w:val="bottom"/>
          </w:tcPr>
          <w:p>
            <w:pPr>
              <w:jc w:val="right"/>
              <w:ind w:right="290"/>
              <w:spacing w:after="0"/>
              <w:rPr>
                <w:sz w:val="20"/>
                <w:szCs w:val="20"/>
                <w:color w:val="auto"/>
              </w:rPr>
            </w:pPr>
            <w:r>
              <w:rPr>
                <w:rFonts w:ascii="Arial" w:cs="Arial" w:eastAsia="Arial" w:hAnsi="Arial"/>
                <w:sz w:val="18"/>
                <w:szCs w:val="18"/>
                <w:color w:val="auto"/>
              </w:rPr>
              <w:t>0.1</w:t>
            </w:r>
          </w:p>
        </w:tc>
        <w:tc>
          <w:tcPr>
            <w:tcW w:w="1020" w:type="dxa"/>
            <w:vAlign w:val="bottom"/>
          </w:tcPr>
          <w:p>
            <w:pPr>
              <w:jc w:val="right"/>
              <w:ind w:right="270"/>
              <w:spacing w:after="0"/>
              <w:rPr>
                <w:sz w:val="20"/>
                <w:szCs w:val="20"/>
                <w:color w:val="auto"/>
              </w:rPr>
            </w:pPr>
            <w:r>
              <w:rPr>
                <w:rFonts w:ascii="Arial" w:cs="Arial" w:eastAsia="Arial" w:hAnsi="Arial"/>
                <w:sz w:val="18"/>
                <w:szCs w:val="18"/>
                <w:b w:val="1"/>
                <w:bCs w:val="1"/>
                <w:color w:val="auto"/>
              </w:rPr>
              <w:t>1.2</w:t>
            </w:r>
          </w:p>
        </w:tc>
        <w:tc>
          <w:tcPr>
            <w:tcW w:w="820" w:type="dxa"/>
            <w:vAlign w:val="bottom"/>
          </w:tcPr>
          <w:p>
            <w:pPr>
              <w:jc w:val="right"/>
              <w:ind w:right="90"/>
              <w:spacing w:after="0"/>
              <w:rPr>
                <w:sz w:val="20"/>
                <w:szCs w:val="20"/>
                <w:color w:val="auto"/>
              </w:rPr>
            </w:pPr>
            <w:r>
              <w:rPr>
                <w:rFonts w:ascii="Arial" w:cs="Arial" w:eastAsia="Arial" w:hAnsi="Arial"/>
                <w:sz w:val="18"/>
                <w:szCs w:val="18"/>
                <w:color w:val="auto"/>
              </w:rPr>
              <w:t>1.2</w:t>
            </w:r>
          </w:p>
        </w:tc>
      </w:tr>
      <w:tr>
        <w:trPr>
          <w:trHeight w:val="270"/>
        </w:trPr>
        <w:tc>
          <w:tcPr>
            <w:tcW w:w="6840" w:type="dxa"/>
            <w:vAlign w:val="bottom"/>
          </w:tcPr>
          <w:p>
            <w:pPr>
              <w:ind w:left="40"/>
              <w:spacing w:after="0"/>
              <w:rPr>
                <w:sz w:val="20"/>
                <w:szCs w:val="20"/>
                <w:color w:val="auto"/>
              </w:rPr>
            </w:pPr>
            <w:r>
              <w:rPr>
                <w:rFonts w:ascii="Arial" w:cs="Arial" w:eastAsia="Arial" w:hAnsi="Arial"/>
                <w:sz w:val="18"/>
                <w:szCs w:val="18"/>
                <w:color w:val="auto"/>
              </w:rPr>
              <w:t>Interest expense</w:t>
            </w:r>
          </w:p>
        </w:tc>
        <w:tc>
          <w:tcPr>
            <w:tcW w:w="1760" w:type="dxa"/>
            <w:vAlign w:val="bottom"/>
          </w:tcPr>
          <w:p>
            <w:pPr>
              <w:jc w:val="right"/>
              <w:ind w:right="310"/>
              <w:spacing w:after="0"/>
              <w:rPr>
                <w:sz w:val="20"/>
                <w:szCs w:val="20"/>
                <w:color w:val="auto"/>
              </w:rPr>
            </w:pPr>
            <w:r>
              <w:rPr>
                <w:rFonts w:ascii="Arial" w:cs="Arial" w:eastAsia="Arial" w:hAnsi="Arial"/>
                <w:sz w:val="18"/>
                <w:szCs w:val="18"/>
                <w:b w:val="1"/>
                <w:bCs w:val="1"/>
                <w:color w:val="auto"/>
              </w:rPr>
              <w:t>4.4</w:t>
            </w:r>
          </w:p>
        </w:tc>
        <w:tc>
          <w:tcPr>
            <w:tcW w:w="980" w:type="dxa"/>
            <w:vAlign w:val="bottom"/>
          </w:tcPr>
          <w:p>
            <w:pPr>
              <w:jc w:val="right"/>
              <w:ind w:right="290"/>
              <w:spacing w:after="0"/>
              <w:rPr>
                <w:sz w:val="20"/>
                <w:szCs w:val="20"/>
                <w:color w:val="auto"/>
              </w:rPr>
            </w:pPr>
            <w:r>
              <w:rPr>
                <w:rFonts w:ascii="Arial" w:cs="Arial" w:eastAsia="Arial" w:hAnsi="Arial"/>
                <w:sz w:val="18"/>
                <w:szCs w:val="18"/>
                <w:color w:val="auto"/>
              </w:rPr>
              <w:t>3.7</w:t>
            </w:r>
          </w:p>
        </w:tc>
        <w:tc>
          <w:tcPr>
            <w:tcW w:w="1020" w:type="dxa"/>
            <w:vAlign w:val="bottom"/>
          </w:tcPr>
          <w:p>
            <w:pPr>
              <w:jc w:val="right"/>
              <w:ind w:right="270"/>
              <w:spacing w:after="0"/>
              <w:rPr>
                <w:sz w:val="20"/>
                <w:szCs w:val="20"/>
                <w:color w:val="auto"/>
              </w:rPr>
            </w:pPr>
            <w:r>
              <w:rPr>
                <w:rFonts w:ascii="Arial" w:cs="Arial" w:eastAsia="Arial" w:hAnsi="Arial"/>
                <w:sz w:val="18"/>
                <w:szCs w:val="18"/>
                <w:b w:val="1"/>
                <w:bCs w:val="1"/>
                <w:color w:val="auto"/>
              </w:rPr>
              <w:t>12.9</w:t>
            </w:r>
          </w:p>
        </w:tc>
        <w:tc>
          <w:tcPr>
            <w:tcW w:w="820" w:type="dxa"/>
            <w:vAlign w:val="bottom"/>
          </w:tcPr>
          <w:p>
            <w:pPr>
              <w:jc w:val="right"/>
              <w:ind w:right="90"/>
              <w:spacing w:after="0"/>
              <w:rPr>
                <w:sz w:val="20"/>
                <w:szCs w:val="20"/>
                <w:color w:val="auto"/>
              </w:rPr>
            </w:pPr>
            <w:r>
              <w:rPr>
                <w:rFonts w:ascii="Arial" w:cs="Arial" w:eastAsia="Arial" w:hAnsi="Arial"/>
                <w:sz w:val="18"/>
                <w:szCs w:val="18"/>
                <w:color w:val="auto"/>
              </w:rPr>
              <w:t>11.0</w:t>
            </w:r>
          </w:p>
        </w:tc>
      </w:tr>
      <w:tr>
        <w:trPr>
          <w:trHeight w:val="27"/>
        </w:trPr>
        <w:tc>
          <w:tcPr>
            <w:tcW w:w="684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r>
      <w:tr>
        <w:trPr>
          <w:trHeight w:val="264"/>
        </w:trPr>
        <w:tc>
          <w:tcPr>
            <w:tcW w:w="6840" w:type="dxa"/>
            <w:vAlign w:val="bottom"/>
            <w:tcBorders>
              <w:bottom w:val="single" w:sz="8" w:color="auto"/>
            </w:tcBorders>
          </w:tcPr>
          <w:p>
            <w:pPr>
              <w:ind w:left="40"/>
              <w:spacing w:after="0" w:line="264" w:lineRule="exact"/>
              <w:rPr>
                <w:sz w:val="20"/>
                <w:szCs w:val="20"/>
                <w:color w:val="auto"/>
              </w:rPr>
            </w:pPr>
            <w:r>
              <w:rPr>
                <w:rFonts w:ascii="Arial" w:cs="Arial" w:eastAsia="Arial" w:hAnsi="Arial"/>
                <w:sz w:val="18"/>
                <w:szCs w:val="18"/>
                <w:b w:val="1"/>
                <w:bCs w:val="1"/>
                <w:color w:val="auto"/>
              </w:rPr>
              <w:t xml:space="preserve">Earnings (Loss) Before Interest and Taxes (EBIT) </w:t>
            </w:r>
            <w:r>
              <w:rPr>
                <w:rFonts w:ascii="Arial" w:cs="Arial" w:eastAsia="Arial" w:hAnsi="Arial"/>
                <w:sz w:val="25"/>
                <w:szCs w:val="25"/>
                <w:b w:val="1"/>
                <w:bCs w:val="1"/>
                <w:color w:val="auto"/>
                <w:vertAlign w:val="superscript"/>
              </w:rPr>
              <w:t>(1)</w:t>
            </w:r>
          </w:p>
        </w:tc>
        <w:tc>
          <w:tcPr>
            <w:tcW w:w="176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$6.7</w:t>
            </w:r>
          </w:p>
        </w:tc>
        <w:tc>
          <w:tcPr>
            <w:tcW w:w="98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color w:val="auto"/>
              </w:rPr>
              <w:t>($2.1)</w:t>
            </w:r>
          </w:p>
        </w:tc>
        <w:tc>
          <w:tcPr>
            <w:tcW w:w="102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b w:val="1"/>
                <w:bCs w:val="1"/>
                <w:color w:val="auto"/>
              </w:rPr>
              <w:t>$22.0</w:t>
            </w:r>
          </w:p>
        </w:tc>
        <w:tc>
          <w:tcPr>
            <w:tcW w:w="82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$2.3</w:t>
            </w:r>
          </w:p>
        </w:tc>
      </w:tr>
      <w:tr>
        <w:trPr>
          <w:trHeight w:val="335"/>
        </w:trPr>
        <w:tc>
          <w:tcPr>
            <w:tcW w:w="6840" w:type="dxa"/>
            <w:vAlign w:val="bottom"/>
          </w:tcPr>
          <w:p>
            <w:pPr>
              <w:ind w:left="40"/>
              <w:spacing w:after="0"/>
              <w:rPr>
                <w:sz w:val="20"/>
                <w:szCs w:val="20"/>
                <w:color w:val="auto"/>
              </w:rPr>
            </w:pPr>
            <w:r>
              <w:rPr>
                <w:rFonts w:ascii="Arial" w:cs="Arial" w:eastAsia="Arial" w:hAnsi="Arial"/>
                <w:sz w:val="18"/>
                <w:szCs w:val="18"/>
                <w:color w:val="auto"/>
              </w:rPr>
              <w:t xml:space="preserve">EBIT Margin </w:t>
            </w:r>
            <w:r>
              <w:rPr>
                <w:rFonts w:ascii="Arial" w:cs="Arial" w:eastAsia="Arial" w:hAnsi="Arial"/>
                <w:sz w:val="25"/>
                <w:szCs w:val="25"/>
                <w:color w:val="auto"/>
                <w:vertAlign w:val="superscript"/>
              </w:rPr>
              <w:t>(1)</w:t>
            </w:r>
          </w:p>
        </w:tc>
        <w:tc>
          <w:tcPr>
            <w:tcW w:w="1760" w:type="dxa"/>
            <w:vAlign w:val="bottom"/>
          </w:tcPr>
          <w:p>
            <w:pPr>
              <w:jc w:val="right"/>
              <w:ind w:right="130"/>
              <w:spacing w:after="0"/>
              <w:rPr>
                <w:sz w:val="20"/>
                <w:szCs w:val="20"/>
                <w:color w:val="auto"/>
              </w:rPr>
            </w:pPr>
            <w:r>
              <w:rPr>
                <w:rFonts w:ascii="Arial" w:cs="Arial" w:eastAsia="Arial" w:hAnsi="Arial"/>
                <w:sz w:val="18"/>
                <w:szCs w:val="18"/>
                <w:b w:val="1"/>
                <w:bCs w:val="1"/>
                <w:color w:val="auto"/>
              </w:rPr>
              <w:t>1.6%</w:t>
            </w:r>
          </w:p>
        </w:tc>
        <w:tc>
          <w:tcPr>
            <w:tcW w:w="980" w:type="dxa"/>
            <w:vAlign w:val="bottom"/>
          </w:tcPr>
          <w:p>
            <w:pPr>
              <w:jc w:val="right"/>
              <w:ind w:right="70"/>
              <w:spacing w:after="0"/>
              <w:rPr>
                <w:sz w:val="20"/>
                <w:szCs w:val="20"/>
                <w:color w:val="auto"/>
              </w:rPr>
            </w:pPr>
            <w:r>
              <w:rPr>
                <w:rFonts w:ascii="Arial" w:cs="Arial" w:eastAsia="Arial" w:hAnsi="Arial"/>
                <w:sz w:val="18"/>
                <w:szCs w:val="18"/>
                <w:color w:val="auto"/>
              </w:rPr>
              <w:t>(0.6)%</w:t>
            </w:r>
          </w:p>
        </w:tc>
        <w:tc>
          <w:tcPr>
            <w:tcW w:w="1020" w:type="dxa"/>
            <w:vAlign w:val="bottom"/>
          </w:tcPr>
          <w:p>
            <w:pPr>
              <w:jc w:val="right"/>
              <w:ind w:right="90"/>
              <w:spacing w:after="0"/>
              <w:rPr>
                <w:sz w:val="20"/>
                <w:szCs w:val="20"/>
                <w:color w:val="auto"/>
              </w:rPr>
            </w:pPr>
            <w:r>
              <w:rPr>
                <w:rFonts w:ascii="Arial" w:cs="Arial" w:eastAsia="Arial" w:hAnsi="Arial"/>
                <w:sz w:val="18"/>
                <w:szCs w:val="18"/>
                <w:b w:val="1"/>
                <w:bCs w:val="1"/>
                <w:color w:val="auto"/>
              </w:rPr>
              <w:t>1.8%</w:t>
            </w:r>
          </w:p>
        </w:tc>
        <w:tc>
          <w:tcPr>
            <w:tcW w:w="820" w:type="dxa"/>
            <w:vAlign w:val="bottom"/>
          </w:tcPr>
          <w:p>
            <w:pPr>
              <w:jc w:val="right"/>
              <w:spacing w:after="0"/>
              <w:rPr>
                <w:sz w:val="20"/>
                <w:szCs w:val="20"/>
                <w:color w:val="auto"/>
              </w:rPr>
            </w:pPr>
            <w:r>
              <w:rPr>
                <w:rFonts w:ascii="Arial" w:cs="Arial" w:eastAsia="Arial" w:hAnsi="Arial"/>
                <w:sz w:val="18"/>
                <w:szCs w:val="18"/>
                <w:color w:val="auto"/>
              </w:rPr>
              <w:t>0.2%</w:t>
            </w:r>
          </w:p>
        </w:tc>
      </w:tr>
      <w:tr>
        <w:trPr>
          <w:trHeight w:val="496"/>
        </w:trPr>
        <w:tc>
          <w:tcPr>
            <w:tcW w:w="6840" w:type="dxa"/>
            <w:vAlign w:val="bottom"/>
          </w:tcPr>
          <w:p>
            <w:pPr>
              <w:ind w:left="40"/>
              <w:spacing w:after="0"/>
              <w:rPr>
                <w:sz w:val="20"/>
                <w:szCs w:val="20"/>
                <w:color w:val="auto"/>
              </w:rPr>
            </w:pPr>
            <w:r>
              <w:rPr>
                <w:rFonts w:ascii="Arial" w:cs="Arial" w:eastAsia="Arial" w:hAnsi="Arial"/>
                <w:sz w:val="18"/>
                <w:szCs w:val="18"/>
                <w:color w:val="auto"/>
              </w:rPr>
              <w:t>Depreciation and amortization</w:t>
            </w:r>
          </w:p>
        </w:tc>
        <w:tc>
          <w:tcPr>
            <w:tcW w:w="1760" w:type="dxa"/>
            <w:vAlign w:val="bottom"/>
          </w:tcPr>
          <w:p>
            <w:pPr>
              <w:jc w:val="right"/>
              <w:ind w:right="310"/>
              <w:spacing w:after="0"/>
              <w:rPr>
                <w:sz w:val="20"/>
                <w:szCs w:val="20"/>
                <w:color w:val="auto"/>
              </w:rPr>
            </w:pPr>
            <w:r>
              <w:rPr>
                <w:rFonts w:ascii="Arial" w:cs="Arial" w:eastAsia="Arial" w:hAnsi="Arial"/>
                <w:sz w:val="18"/>
                <w:szCs w:val="18"/>
                <w:b w:val="1"/>
                <w:bCs w:val="1"/>
                <w:color w:val="auto"/>
              </w:rPr>
              <w:t>18.1</w:t>
            </w:r>
          </w:p>
        </w:tc>
        <w:tc>
          <w:tcPr>
            <w:tcW w:w="980" w:type="dxa"/>
            <w:vAlign w:val="bottom"/>
          </w:tcPr>
          <w:p>
            <w:pPr>
              <w:jc w:val="right"/>
              <w:ind w:right="290"/>
              <w:spacing w:after="0"/>
              <w:rPr>
                <w:sz w:val="20"/>
                <w:szCs w:val="20"/>
                <w:color w:val="auto"/>
              </w:rPr>
            </w:pPr>
            <w:r>
              <w:rPr>
                <w:rFonts w:ascii="Arial" w:cs="Arial" w:eastAsia="Arial" w:hAnsi="Arial"/>
                <w:sz w:val="18"/>
                <w:szCs w:val="18"/>
                <w:color w:val="auto"/>
              </w:rPr>
              <w:t>18.6</w:t>
            </w:r>
          </w:p>
        </w:tc>
        <w:tc>
          <w:tcPr>
            <w:tcW w:w="1020" w:type="dxa"/>
            <w:vAlign w:val="bottom"/>
          </w:tcPr>
          <w:p>
            <w:pPr>
              <w:jc w:val="right"/>
              <w:ind w:right="270"/>
              <w:spacing w:after="0"/>
              <w:rPr>
                <w:sz w:val="20"/>
                <w:szCs w:val="20"/>
                <w:color w:val="auto"/>
              </w:rPr>
            </w:pPr>
            <w:r>
              <w:rPr>
                <w:rFonts w:ascii="Arial" w:cs="Arial" w:eastAsia="Arial" w:hAnsi="Arial"/>
                <w:sz w:val="18"/>
                <w:szCs w:val="18"/>
                <w:b w:val="1"/>
                <w:bCs w:val="1"/>
                <w:color w:val="auto"/>
              </w:rPr>
              <w:t>55.0</w:t>
            </w:r>
          </w:p>
        </w:tc>
        <w:tc>
          <w:tcPr>
            <w:tcW w:w="820" w:type="dxa"/>
            <w:vAlign w:val="bottom"/>
          </w:tcPr>
          <w:p>
            <w:pPr>
              <w:jc w:val="right"/>
              <w:ind w:right="90"/>
              <w:spacing w:after="0"/>
              <w:rPr>
                <w:sz w:val="20"/>
                <w:szCs w:val="20"/>
                <w:color w:val="auto"/>
              </w:rPr>
            </w:pPr>
            <w:r>
              <w:rPr>
                <w:rFonts w:ascii="Arial" w:cs="Arial" w:eastAsia="Arial" w:hAnsi="Arial"/>
                <w:sz w:val="18"/>
                <w:szCs w:val="18"/>
                <w:color w:val="auto"/>
              </w:rPr>
              <w:t>56.4</w:t>
            </w:r>
          </w:p>
        </w:tc>
      </w:tr>
      <w:tr>
        <w:trPr>
          <w:trHeight w:val="27"/>
        </w:trPr>
        <w:tc>
          <w:tcPr>
            <w:tcW w:w="684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r>
      <w:tr>
        <w:trPr>
          <w:trHeight w:val="326"/>
        </w:trPr>
        <w:tc>
          <w:tcPr>
            <w:tcW w:w="6840" w:type="dxa"/>
            <w:vAlign w:val="bottom"/>
          </w:tcPr>
          <w:p>
            <w:pPr>
              <w:ind w:left="40"/>
              <w:spacing w:after="0"/>
              <w:rPr>
                <w:sz w:val="20"/>
                <w:szCs w:val="20"/>
                <w:color w:val="auto"/>
              </w:rPr>
            </w:pPr>
            <w:r>
              <w:rPr>
                <w:rFonts w:ascii="Arial" w:cs="Arial" w:eastAsia="Arial" w:hAnsi="Arial"/>
                <w:sz w:val="18"/>
                <w:szCs w:val="18"/>
                <w:b w:val="1"/>
                <w:bCs w:val="1"/>
                <w:color w:val="auto"/>
              </w:rPr>
              <w:t xml:space="preserve">Earnings Before Interest, Taxes, Depreciation and Amortization (EBITDA) </w:t>
            </w:r>
            <w:r>
              <w:rPr>
                <w:rFonts w:ascii="Arial" w:cs="Arial" w:eastAsia="Arial" w:hAnsi="Arial"/>
                <w:sz w:val="25"/>
                <w:szCs w:val="25"/>
                <w:b w:val="1"/>
                <w:bCs w:val="1"/>
                <w:color w:val="auto"/>
                <w:vertAlign w:val="superscript"/>
              </w:rPr>
              <w:t>(2)</w:t>
            </w:r>
          </w:p>
        </w:tc>
        <w:tc>
          <w:tcPr>
            <w:tcW w:w="1760" w:type="dxa"/>
            <w:vAlign w:val="bottom"/>
          </w:tcPr>
          <w:p>
            <w:pPr>
              <w:jc w:val="right"/>
              <w:ind w:right="310"/>
              <w:spacing w:after="0"/>
              <w:rPr>
                <w:sz w:val="20"/>
                <w:szCs w:val="20"/>
                <w:color w:val="auto"/>
              </w:rPr>
            </w:pPr>
            <w:r>
              <w:rPr>
                <w:rFonts w:ascii="Arial" w:cs="Arial" w:eastAsia="Arial" w:hAnsi="Arial"/>
                <w:sz w:val="18"/>
                <w:szCs w:val="18"/>
                <w:b w:val="1"/>
                <w:bCs w:val="1"/>
                <w:color w:val="auto"/>
              </w:rPr>
              <w:t>$24.8</w:t>
            </w:r>
          </w:p>
        </w:tc>
        <w:tc>
          <w:tcPr>
            <w:tcW w:w="980" w:type="dxa"/>
            <w:vAlign w:val="bottom"/>
          </w:tcPr>
          <w:p>
            <w:pPr>
              <w:jc w:val="right"/>
              <w:ind w:right="290"/>
              <w:spacing w:after="0"/>
              <w:rPr>
                <w:sz w:val="20"/>
                <w:szCs w:val="20"/>
                <w:color w:val="auto"/>
              </w:rPr>
            </w:pPr>
            <w:r>
              <w:rPr>
                <w:rFonts w:ascii="Arial" w:cs="Arial" w:eastAsia="Arial" w:hAnsi="Arial"/>
                <w:sz w:val="18"/>
                <w:szCs w:val="18"/>
                <w:color w:val="auto"/>
              </w:rPr>
              <w:t>$16.5</w:t>
            </w:r>
          </w:p>
        </w:tc>
        <w:tc>
          <w:tcPr>
            <w:tcW w:w="1020" w:type="dxa"/>
            <w:vAlign w:val="bottom"/>
          </w:tcPr>
          <w:p>
            <w:pPr>
              <w:jc w:val="right"/>
              <w:ind w:right="270"/>
              <w:spacing w:after="0"/>
              <w:rPr>
                <w:sz w:val="20"/>
                <w:szCs w:val="20"/>
                <w:color w:val="auto"/>
              </w:rPr>
            </w:pPr>
            <w:r>
              <w:rPr>
                <w:rFonts w:ascii="Arial" w:cs="Arial" w:eastAsia="Arial" w:hAnsi="Arial"/>
                <w:sz w:val="18"/>
                <w:szCs w:val="18"/>
                <w:b w:val="1"/>
                <w:bCs w:val="1"/>
                <w:color w:val="auto"/>
              </w:rPr>
              <w:t>$77.0</w:t>
            </w:r>
          </w:p>
        </w:tc>
        <w:tc>
          <w:tcPr>
            <w:tcW w:w="820" w:type="dxa"/>
            <w:vAlign w:val="bottom"/>
          </w:tcPr>
          <w:p>
            <w:pPr>
              <w:jc w:val="right"/>
              <w:ind w:right="90"/>
              <w:spacing w:after="0"/>
              <w:rPr>
                <w:sz w:val="20"/>
                <w:szCs w:val="20"/>
                <w:color w:val="auto"/>
              </w:rPr>
            </w:pPr>
            <w:r>
              <w:rPr>
                <w:rFonts w:ascii="Arial" w:cs="Arial" w:eastAsia="Arial" w:hAnsi="Arial"/>
                <w:sz w:val="18"/>
                <w:szCs w:val="18"/>
                <w:color w:val="auto"/>
              </w:rPr>
              <w:t>$58.7</w:t>
            </w:r>
          </w:p>
        </w:tc>
      </w:tr>
      <w:tr>
        <w:trPr>
          <w:trHeight w:val="261"/>
        </w:trPr>
        <w:tc>
          <w:tcPr>
            <w:tcW w:w="6840" w:type="dxa"/>
            <w:vAlign w:val="bottom"/>
            <w:tcBorders>
              <w:bottom w:val="single" w:sz="8" w:color="auto"/>
            </w:tcBorders>
          </w:tcPr>
          <w:p>
            <w:pPr>
              <w:ind w:left="40"/>
              <w:spacing w:after="0" w:line="262" w:lineRule="exact"/>
              <w:rPr>
                <w:sz w:val="20"/>
                <w:szCs w:val="20"/>
                <w:color w:val="auto"/>
              </w:rPr>
            </w:pPr>
            <w:r>
              <w:rPr>
                <w:rFonts w:ascii="Arial" w:cs="Arial" w:eastAsia="Arial" w:hAnsi="Arial"/>
                <w:sz w:val="18"/>
                <w:szCs w:val="18"/>
                <w:color w:val="auto"/>
              </w:rPr>
              <w:t xml:space="preserve">EBITDA Margin </w:t>
            </w:r>
            <w:r>
              <w:rPr>
                <w:rFonts w:ascii="Arial" w:cs="Arial" w:eastAsia="Arial" w:hAnsi="Arial"/>
                <w:sz w:val="25"/>
                <w:szCs w:val="25"/>
                <w:color w:val="auto"/>
                <w:vertAlign w:val="superscript"/>
              </w:rPr>
              <w:t>(2)</w:t>
            </w:r>
          </w:p>
        </w:tc>
        <w:tc>
          <w:tcPr>
            <w:tcW w:w="176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b w:val="1"/>
                <w:bCs w:val="1"/>
                <w:color w:val="auto"/>
              </w:rPr>
              <w:t>6.1%</w:t>
            </w:r>
          </w:p>
        </w:tc>
        <w:tc>
          <w:tcPr>
            <w:tcW w:w="98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4.9 %</w:t>
            </w:r>
          </w:p>
        </w:tc>
        <w:tc>
          <w:tcPr>
            <w:tcW w:w="102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b w:val="1"/>
                <w:bCs w:val="1"/>
                <w:color w:val="auto"/>
              </w:rPr>
              <w:t>6.4%</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5.9%</w:t>
            </w:r>
          </w:p>
        </w:tc>
      </w:tr>
      <w:tr>
        <w:trPr>
          <w:trHeight w:val="412"/>
        </w:trPr>
        <w:tc>
          <w:tcPr>
            <w:tcW w:w="6840" w:type="dxa"/>
            <w:vAlign w:val="bottom"/>
          </w:tcPr>
          <w:p>
            <w:pPr>
              <w:ind w:left="40"/>
              <w:spacing w:after="0"/>
              <w:rPr>
                <w:sz w:val="20"/>
                <w:szCs w:val="20"/>
                <w:color w:val="auto"/>
              </w:rPr>
            </w:pPr>
            <w:r>
              <w:rPr>
                <w:rFonts w:ascii="Arial" w:cs="Arial" w:eastAsia="Arial" w:hAnsi="Arial"/>
                <w:sz w:val="18"/>
                <w:szCs w:val="18"/>
                <w:b w:val="1"/>
                <w:bCs w:val="1"/>
                <w:color w:val="auto"/>
              </w:rPr>
              <w:t>Executive severance costs</w:t>
            </w:r>
          </w:p>
        </w:tc>
        <w:tc>
          <w:tcPr>
            <w:tcW w:w="1760" w:type="dxa"/>
            <w:vAlign w:val="bottom"/>
          </w:tcPr>
          <w:p>
            <w:pPr>
              <w:jc w:val="right"/>
              <w:ind w:right="250"/>
              <w:spacing w:after="0"/>
              <w:rPr>
                <w:sz w:val="20"/>
                <w:szCs w:val="20"/>
                <w:color w:val="auto"/>
              </w:rPr>
            </w:pPr>
            <w:r>
              <w:rPr>
                <w:rFonts w:ascii="Arial" w:cs="Arial" w:eastAsia="Arial" w:hAnsi="Arial"/>
                <w:sz w:val="18"/>
                <w:szCs w:val="18"/>
                <w:b w:val="1"/>
                <w:bCs w:val="1"/>
                <w:color w:val="auto"/>
              </w:rPr>
              <w:t>(1.7)</w:t>
            </w:r>
          </w:p>
        </w:tc>
        <w:tc>
          <w:tcPr>
            <w:tcW w:w="980" w:type="dxa"/>
            <w:vAlign w:val="bottom"/>
          </w:tcPr>
          <w:p>
            <w:pPr>
              <w:jc w:val="right"/>
              <w:ind w:right="290"/>
              <w:spacing w:after="0"/>
              <w:rPr>
                <w:sz w:val="20"/>
                <w:szCs w:val="20"/>
                <w:color w:val="auto"/>
              </w:rPr>
            </w:pPr>
            <w:r>
              <w:rPr>
                <w:rFonts w:ascii="Arial" w:cs="Arial" w:eastAsia="Arial" w:hAnsi="Arial"/>
                <w:sz w:val="18"/>
                <w:szCs w:val="18"/>
                <w:color w:val="auto"/>
              </w:rPr>
              <w:t>—</w:t>
            </w:r>
          </w:p>
        </w:tc>
        <w:tc>
          <w:tcPr>
            <w:tcW w:w="1020" w:type="dxa"/>
            <w:vAlign w:val="bottom"/>
          </w:tcPr>
          <w:p>
            <w:pPr>
              <w:jc w:val="right"/>
              <w:ind w:right="210"/>
              <w:spacing w:after="0"/>
              <w:rPr>
                <w:sz w:val="20"/>
                <w:szCs w:val="20"/>
                <w:color w:val="auto"/>
              </w:rPr>
            </w:pPr>
            <w:r>
              <w:rPr>
                <w:rFonts w:ascii="Arial" w:cs="Arial" w:eastAsia="Arial" w:hAnsi="Arial"/>
                <w:sz w:val="18"/>
                <w:szCs w:val="18"/>
                <w:b w:val="1"/>
                <w:bCs w:val="1"/>
                <w:color w:val="auto"/>
              </w:rPr>
              <w:t>(1.7)</w:t>
            </w:r>
          </w:p>
        </w:tc>
        <w:tc>
          <w:tcPr>
            <w:tcW w:w="820" w:type="dxa"/>
            <w:vAlign w:val="bottom"/>
          </w:tcPr>
          <w:p>
            <w:pPr>
              <w:jc w:val="right"/>
              <w:ind w:right="90"/>
              <w:spacing w:after="0"/>
              <w:rPr>
                <w:sz w:val="20"/>
                <w:szCs w:val="20"/>
                <w:color w:val="auto"/>
              </w:rPr>
            </w:pPr>
            <w:r>
              <w:rPr>
                <w:rFonts w:ascii="Arial" w:cs="Arial" w:eastAsia="Arial" w:hAnsi="Arial"/>
                <w:sz w:val="18"/>
                <w:szCs w:val="18"/>
                <w:color w:val="auto"/>
              </w:rPr>
              <w:t>—</w:t>
            </w:r>
          </w:p>
        </w:tc>
      </w:tr>
      <w:tr>
        <w:trPr>
          <w:trHeight w:val="270"/>
        </w:trPr>
        <w:tc>
          <w:tcPr>
            <w:tcW w:w="6840" w:type="dxa"/>
            <w:vAlign w:val="bottom"/>
          </w:tcPr>
          <w:p>
            <w:pPr>
              <w:ind w:left="40"/>
              <w:spacing w:after="0"/>
              <w:rPr>
                <w:sz w:val="20"/>
                <w:szCs w:val="20"/>
                <w:color w:val="auto"/>
              </w:rPr>
            </w:pPr>
            <w:r>
              <w:rPr>
                <w:rFonts w:ascii="Arial" w:cs="Arial" w:eastAsia="Arial" w:hAnsi="Arial"/>
                <w:sz w:val="18"/>
                <w:szCs w:val="18"/>
                <w:b w:val="1"/>
                <w:bCs w:val="1"/>
                <w:color w:val="auto"/>
              </w:rPr>
              <w:t>Loss from remeasurement of benefit plans</w:t>
            </w:r>
          </w:p>
        </w:tc>
        <w:tc>
          <w:tcPr>
            <w:tcW w:w="1760" w:type="dxa"/>
            <w:vAlign w:val="bottom"/>
          </w:tcPr>
          <w:p>
            <w:pPr>
              <w:jc w:val="right"/>
              <w:ind w:right="310"/>
              <w:spacing w:after="0"/>
              <w:rPr>
                <w:sz w:val="20"/>
                <w:szCs w:val="20"/>
                <w:color w:val="auto"/>
              </w:rPr>
            </w:pPr>
            <w:r>
              <w:rPr>
                <w:rFonts w:ascii="Arial" w:cs="Arial" w:eastAsia="Arial" w:hAnsi="Arial"/>
                <w:sz w:val="18"/>
                <w:szCs w:val="18"/>
                <w:b w:val="1"/>
                <w:bCs w:val="1"/>
                <w:color w:val="auto"/>
              </w:rPr>
              <w:t>—</w:t>
            </w:r>
          </w:p>
        </w:tc>
        <w:tc>
          <w:tcPr>
            <w:tcW w:w="980" w:type="dxa"/>
            <w:vAlign w:val="bottom"/>
          </w:tcPr>
          <w:p>
            <w:pPr>
              <w:jc w:val="right"/>
              <w:ind w:right="230"/>
              <w:spacing w:after="0"/>
              <w:rPr>
                <w:sz w:val="20"/>
                <w:szCs w:val="20"/>
                <w:color w:val="auto"/>
              </w:rPr>
            </w:pPr>
            <w:r>
              <w:rPr>
                <w:rFonts w:ascii="Arial" w:cs="Arial" w:eastAsia="Arial" w:hAnsi="Arial"/>
                <w:sz w:val="18"/>
                <w:szCs w:val="18"/>
                <w:color w:val="auto"/>
              </w:rPr>
              <w:t>(2.3)</w:t>
            </w:r>
          </w:p>
        </w:tc>
        <w:tc>
          <w:tcPr>
            <w:tcW w:w="1020" w:type="dxa"/>
            <w:vAlign w:val="bottom"/>
          </w:tcPr>
          <w:p>
            <w:pPr>
              <w:jc w:val="right"/>
              <w:ind w:right="270"/>
              <w:spacing w:after="0"/>
              <w:rPr>
                <w:sz w:val="20"/>
                <w:szCs w:val="20"/>
                <w:color w:val="auto"/>
              </w:rPr>
            </w:pPr>
            <w:r>
              <w:rPr>
                <w:rFonts w:ascii="Arial" w:cs="Arial" w:eastAsia="Arial" w:hAnsi="Arial"/>
                <w:sz w:val="18"/>
                <w:szCs w:val="18"/>
                <w:b w:val="1"/>
                <w:bCs w:val="1"/>
                <w:color w:val="auto"/>
              </w:rPr>
              <w:t>—</w:t>
            </w:r>
          </w:p>
        </w:tc>
        <w:tc>
          <w:tcPr>
            <w:tcW w:w="820" w:type="dxa"/>
            <w:vAlign w:val="bottom"/>
          </w:tcPr>
          <w:p>
            <w:pPr>
              <w:jc w:val="right"/>
              <w:ind w:right="30"/>
              <w:spacing w:after="0"/>
              <w:rPr>
                <w:sz w:val="20"/>
                <w:szCs w:val="20"/>
                <w:color w:val="auto"/>
              </w:rPr>
            </w:pPr>
            <w:r>
              <w:rPr>
                <w:rFonts w:ascii="Arial" w:cs="Arial" w:eastAsia="Arial" w:hAnsi="Arial"/>
                <w:sz w:val="18"/>
                <w:szCs w:val="18"/>
                <w:color w:val="auto"/>
              </w:rPr>
              <w:t>(2.3)</w:t>
            </w:r>
          </w:p>
        </w:tc>
      </w:tr>
      <w:tr>
        <w:trPr>
          <w:trHeight w:val="27"/>
        </w:trPr>
        <w:tc>
          <w:tcPr>
            <w:tcW w:w="684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r>
      <w:tr>
        <w:trPr>
          <w:trHeight w:val="272"/>
        </w:trPr>
        <w:tc>
          <w:tcPr>
            <w:tcW w:w="6840" w:type="dxa"/>
            <w:vAlign w:val="bottom"/>
          </w:tcPr>
          <w:p>
            <w:pPr>
              <w:ind w:left="40"/>
              <w:spacing w:after="0" w:line="272" w:lineRule="exact"/>
              <w:rPr>
                <w:sz w:val="20"/>
                <w:szCs w:val="20"/>
                <w:color w:val="auto"/>
              </w:rPr>
            </w:pPr>
            <w:r>
              <w:rPr>
                <w:rFonts w:ascii="Arial" w:cs="Arial" w:eastAsia="Arial" w:hAnsi="Arial"/>
                <w:sz w:val="18"/>
                <w:szCs w:val="18"/>
                <w:b w:val="1"/>
                <w:bCs w:val="1"/>
                <w:color w:val="auto"/>
              </w:rPr>
              <w:t xml:space="preserve">Adjusted EBIT </w:t>
            </w:r>
            <w:r>
              <w:rPr>
                <w:rFonts w:ascii="Arial" w:cs="Arial" w:eastAsia="Arial" w:hAnsi="Arial"/>
                <w:sz w:val="25"/>
                <w:szCs w:val="25"/>
                <w:b w:val="1"/>
                <w:bCs w:val="1"/>
                <w:color w:val="auto"/>
                <w:vertAlign w:val="superscript"/>
              </w:rPr>
              <w:t>(3)</w:t>
            </w:r>
          </w:p>
        </w:tc>
        <w:tc>
          <w:tcPr>
            <w:tcW w:w="1760" w:type="dxa"/>
            <w:vAlign w:val="bottom"/>
          </w:tcPr>
          <w:p>
            <w:pPr>
              <w:jc w:val="right"/>
              <w:ind w:right="310"/>
              <w:spacing w:after="0"/>
              <w:rPr>
                <w:sz w:val="20"/>
                <w:szCs w:val="20"/>
                <w:color w:val="auto"/>
              </w:rPr>
            </w:pPr>
            <w:r>
              <w:rPr>
                <w:rFonts w:ascii="Arial" w:cs="Arial" w:eastAsia="Arial" w:hAnsi="Arial"/>
                <w:sz w:val="18"/>
                <w:szCs w:val="18"/>
                <w:b w:val="1"/>
                <w:bCs w:val="1"/>
                <w:color w:val="auto"/>
              </w:rPr>
              <w:t>$8.4</w:t>
            </w:r>
          </w:p>
        </w:tc>
        <w:tc>
          <w:tcPr>
            <w:tcW w:w="980" w:type="dxa"/>
            <w:vAlign w:val="bottom"/>
          </w:tcPr>
          <w:p>
            <w:pPr>
              <w:jc w:val="right"/>
              <w:ind w:right="290"/>
              <w:spacing w:after="0"/>
              <w:rPr>
                <w:sz w:val="20"/>
                <w:szCs w:val="20"/>
                <w:color w:val="auto"/>
              </w:rPr>
            </w:pPr>
            <w:r>
              <w:rPr>
                <w:rFonts w:ascii="Arial" w:cs="Arial" w:eastAsia="Arial" w:hAnsi="Arial"/>
                <w:sz w:val="18"/>
                <w:szCs w:val="18"/>
                <w:color w:val="auto"/>
              </w:rPr>
              <w:t>$0.2</w:t>
            </w:r>
          </w:p>
        </w:tc>
        <w:tc>
          <w:tcPr>
            <w:tcW w:w="1020" w:type="dxa"/>
            <w:vAlign w:val="bottom"/>
          </w:tcPr>
          <w:p>
            <w:pPr>
              <w:jc w:val="right"/>
              <w:ind w:right="270"/>
              <w:spacing w:after="0"/>
              <w:rPr>
                <w:sz w:val="20"/>
                <w:szCs w:val="20"/>
                <w:color w:val="auto"/>
              </w:rPr>
            </w:pPr>
            <w:r>
              <w:rPr>
                <w:rFonts w:ascii="Arial" w:cs="Arial" w:eastAsia="Arial" w:hAnsi="Arial"/>
                <w:sz w:val="18"/>
                <w:szCs w:val="18"/>
                <w:b w:val="1"/>
                <w:bCs w:val="1"/>
                <w:color w:val="auto"/>
              </w:rPr>
              <w:t>$23.7</w:t>
            </w:r>
          </w:p>
        </w:tc>
        <w:tc>
          <w:tcPr>
            <w:tcW w:w="820" w:type="dxa"/>
            <w:vAlign w:val="bottom"/>
          </w:tcPr>
          <w:p>
            <w:pPr>
              <w:jc w:val="right"/>
              <w:ind w:right="90"/>
              <w:spacing w:after="0"/>
              <w:rPr>
                <w:sz w:val="20"/>
                <w:szCs w:val="20"/>
                <w:color w:val="auto"/>
              </w:rPr>
            </w:pPr>
            <w:r>
              <w:rPr>
                <w:rFonts w:ascii="Arial" w:cs="Arial" w:eastAsia="Arial" w:hAnsi="Arial"/>
                <w:sz w:val="18"/>
                <w:szCs w:val="18"/>
                <w:color w:val="auto"/>
              </w:rPr>
              <w:t>$4.6</w:t>
            </w:r>
          </w:p>
        </w:tc>
      </w:tr>
      <w:tr>
        <w:trPr>
          <w:trHeight w:val="270"/>
        </w:trPr>
        <w:tc>
          <w:tcPr>
            <w:tcW w:w="6840" w:type="dxa"/>
            <w:vAlign w:val="bottom"/>
          </w:tcPr>
          <w:p>
            <w:pPr>
              <w:ind w:left="40"/>
              <w:spacing w:after="0" w:line="270" w:lineRule="exact"/>
              <w:rPr>
                <w:sz w:val="20"/>
                <w:szCs w:val="20"/>
                <w:color w:val="auto"/>
              </w:rPr>
            </w:pPr>
            <w:r>
              <w:rPr>
                <w:rFonts w:ascii="Arial" w:cs="Arial" w:eastAsia="Arial" w:hAnsi="Arial"/>
                <w:sz w:val="18"/>
                <w:szCs w:val="18"/>
                <w:color w:val="auto"/>
              </w:rPr>
              <w:t xml:space="preserve">Adjusted EBIT Margin </w:t>
            </w:r>
            <w:r>
              <w:rPr>
                <w:rFonts w:ascii="Arial" w:cs="Arial" w:eastAsia="Arial" w:hAnsi="Arial"/>
                <w:sz w:val="25"/>
                <w:szCs w:val="25"/>
                <w:color w:val="auto"/>
                <w:vertAlign w:val="superscript"/>
              </w:rPr>
              <w:t>(3)</w:t>
            </w:r>
          </w:p>
        </w:tc>
        <w:tc>
          <w:tcPr>
            <w:tcW w:w="1760" w:type="dxa"/>
            <w:vAlign w:val="bottom"/>
          </w:tcPr>
          <w:p>
            <w:pPr>
              <w:jc w:val="right"/>
              <w:ind w:right="130"/>
              <w:spacing w:after="0"/>
              <w:rPr>
                <w:sz w:val="20"/>
                <w:szCs w:val="20"/>
                <w:color w:val="auto"/>
              </w:rPr>
            </w:pPr>
            <w:r>
              <w:rPr>
                <w:rFonts w:ascii="Arial" w:cs="Arial" w:eastAsia="Arial" w:hAnsi="Arial"/>
                <w:sz w:val="18"/>
                <w:szCs w:val="18"/>
                <w:b w:val="1"/>
                <w:bCs w:val="1"/>
                <w:color w:val="auto"/>
              </w:rPr>
              <w:t>2.0%</w:t>
            </w:r>
          </w:p>
        </w:tc>
        <w:tc>
          <w:tcPr>
            <w:tcW w:w="980" w:type="dxa"/>
            <w:vAlign w:val="bottom"/>
          </w:tcPr>
          <w:p>
            <w:pPr>
              <w:jc w:val="right"/>
              <w:ind w:right="130"/>
              <w:spacing w:after="0"/>
              <w:rPr>
                <w:sz w:val="20"/>
                <w:szCs w:val="20"/>
                <w:color w:val="auto"/>
              </w:rPr>
            </w:pPr>
            <w:r>
              <w:rPr>
                <w:rFonts w:ascii="Arial" w:cs="Arial" w:eastAsia="Arial" w:hAnsi="Arial"/>
                <w:sz w:val="18"/>
                <w:szCs w:val="18"/>
                <w:color w:val="auto"/>
              </w:rPr>
              <w:t>0.1%</w:t>
            </w:r>
          </w:p>
        </w:tc>
        <w:tc>
          <w:tcPr>
            <w:tcW w:w="1020" w:type="dxa"/>
            <w:vAlign w:val="bottom"/>
          </w:tcPr>
          <w:p>
            <w:pPr>
              <w:jc w:val="right"/>
              <w:ind w:right="90"/>
              <w:spacing w:after="0"/>
              <w:rPr>
                <w:sz w:val="20"/>
                <w:szCs w:val="20"/>
                <w:color w:val="auto"/>
              </w:rPr>
            </w:pPr>
            <w:r>
              <w:rPr>
                <w:rFonts w:ascii="Arial" w:cs="Arial" w:eastAsia="Arial" w:hAnsi="Arial"/>
                <w:sz w:val="18"/>
                <w:szCs w:val="18"/>
                <w:b w:val="1"/>
                <w:bCs w:val="1"/>
                <w:color w:val="auto"/>
              </w:rPr>
              <w:t>2.0%</w:t>
            </w:r>
          </w:p>
        </w:tc>
        <w:tc>
          <w:tcPr>
            <w:tcW w:w="820" w:type="dxa"/>
            <w:vAlign w:val="bottom"/>
          </w:tcPr>
          <w:p>
            <w:pPr>
              <w:jc w:val="right"/>
              <w:spacing w:after="0"/>
              <w:rPr>
                <w:sz w:val="20"/>
                <w:szCs w:val="20"/>
                <w:color w:val="auto"/>
              </w:rPr>
            </w:pPr>
            <w:r>
              <w:rPr>
                <w:rFonts w:ascii="Arial" w:cs="Arial" w:eastAsia="Arial" w:hAnsi="Arial"/>
                <w:sz w:val="18"/>
                <w:szCs w:val="18"/>
                <w:color w:val="auto"/>
              </w:rPr>
              <w:t>0.5%</w:t>
            </w:r>
          </w:p>
        </w:tc>
      </w:tr>
      <w:tr>
        <w:trPr>
          <w:trHeight w:val="270"/>
        </w:trPr>
        <w:tc>
          <w:tcPr>
            <w:tcW w:w="6840" w:type="dxa"/>
            <w:vAlign w:val="bottom"/>
          </w:tcPr>
          <w:p>
            <w:pPr>
              <w:ind w:left="40"/>
              <w:spacing w:after="0" w:line="270" w:lineRule="exact"/>
              <w:rPr>
                <w:sz w:val="20"/>
                <w:szCs w:val="20"/>
                <w:color w:val="auto"/>
              </w:rPr>
            </w:pPr>
            <w:r>
              <w:rPr>
                <w:rFonts w:ascii="Arial" w:cs="Arial" w:eastAsia="Arial" w:hAnsi="Arial"/>
                <w:sz w:val="18"/>
                <w:szCs w:val="18"/>
                <w:b w:val="1"/>
                <w:bCs w:val="1"/>
                <w:color w:val="auto"/>
              </w:rPr>
              <w:t xml:space="preserve">Adjusted EBITDA </w:t>
            </w:r>
            <w:r>
              <w:rPr>
                <w:rFonts w:ascii="Arial" w:cs="Arial" w:eastAsia="Arial" w:hAnsi="Arial"/>
                <w:sz w:val="25"/>
                <w:szCs w:val="25"/>
                <w:b w:val="1"/>
                <w:bCs w:val="1"/>
                <w:color w:val="auto"/>
                <w:vertAlign w:val="superscript"/>
              </w:rPr>
              <w:t>(4)</w:t>
            </w:r>
          </w:p>
        </w:tc>
        <w:tc>
          <w:tcPr>
            <w:tcW w:w="1760" w:type="dxa"/>
            <w:vAlign w:val="bottom"/>
          </w:tcPr>
          <w:p>
            <w:pPr>
              <w:jc w:val="right"/>
              <w:ind w:right="310"/>
              <w:spacing w:after="0"/>
              <w:rPr>
                <w:sz w:val="20"/>
                <w:szCs w:val="20"/>
                <w:color w:val="auto"/>
              </w:rPr>
            </w:pPr>
            <w:r>
              <w:rPr>
                <w:rFonts w:ascii="Arial" w:cs="Arial" w:eastAsia="Arial" w:hAnsi="Arial"/>
                <w:sz w:val="18"/>
                <w:szCs w:val="18"/>
                <w:b w:val="1"/>
                <w:bCs w:val="1"/>
                <w:color w:val="auto"/>
              </w:rPr>
              <w:t>$26.5</w:t>
            </w:r>
          </w:p>
        </w:tc>
        <w:tc>
          <w:tcPr>
            <w:tcW w:w="980" w:type="dxa"/>
            <w:vAlign w:val="bottom"/>
          </w:tcPr>
          <w:p>
            <w:pPr>
              <w:jc w:val="right"/>
              <w:ind w:right="290"/>
              <w:spacing w:after="0"/>
              <w:rPr>
                <w:sz w:val="20"/>
                <w:szCs w:val="20"/>
                <w:color w:val="auto"/>
              </w:rPr>
            </w:pPr>
            <w:r>
              <w:rPr>
                <w:rFonts w:ascii="Arial" w:cs="Arial" w:eastAsia="Arial" w:hAnsi="Arial"/>
                <w:sz w:val="18"/>
                <w:szCs w:val="18"/>
                <w:color w:val="auto"/>
              </w:rPr>
              <w:t>$18.8</w:t>
            </w:r>
          </w:p>
        </w:tc>
        <w:tc>
          <w:tcPr>
            <w:tcW w:w="1020" w:type="dxa"/>
            <w:vAlign w:val="bottom"/>
          </w:tcPr>
          <w:p>
            <w:pPr>
              <w:jc w:val="right"/>
              <w:ind w:right="270"/>
              <w:spacing w:after="0"/>
              <w:rPr>
                <w:sz w:val="20"/>
                <w:szCs w:val="20"/>
                <w:color w:val="auto"/>
              </w:rPr>
            </w:pPr>
            <w:r>
              <w:rPr>
                <w:rFonts w:ascii="Arial" w:cs="Arial" w:eastAsia="Arial" w:hAnsi="Arial"/>
                <w:sz w:val="18"/>
                <w:szCs w:val="18"/>
                <w:b w:val="1"/>
                <w:bCs w:val="1"/>
                <w:color w:val="auto"/>
              </w:rPr>
              <w:t>$78.7</w:t>
            </w:r>
          </w:p>
        </w:tc>
        <w:tc>
          <w:tcPr>
            <w:tcW w:w="820" w:type="dxa"/>
            <w:vAlign w:val="bottom"/>
          </w:tcPr>
          <w:p>
            <w:pPr>
              <w:jc w:val="right"/>
              <w:ind w:right="90"/>
              <w:spacing w:after="0"/>
              <w:rPr>
                <w:sz w:val="20"/>
                <w:szCs w:val="20"/>
                <w:color w:val="auto"/>
              </w:rPr>
            </w:pPr>
            <w:r>
              <w:rPr>
                <w:rFonts w:ascii="Arial" w:cs="Arial" w:eastAsia="Arial" w:hAnsi="Arial"/>
                <w:sz w:val="18"/>
                <w:szCs w:val="18"/>
                <w:color w:val="auto"/>
              </w:rPr>
              <w:t>$61.0</w:t>
            </w:r>
          </w:p>
        </w:tc>
      </w:tr>
      <w:tr>
        <w:trPr>
          <w:trHeight w:val="261"/>
        </w:trPr>
        <w:tc>
          <w:tcPr>
            <w:tcW w:w="6840" w:type="dxa"/>
            <w:vAlign w:val="bottom"/>
            <w:tcBorders>
              <w:bottom w:val="single" w:sz="8" w:color="auto"/>
            </w:tcBorders>
          </w:tcPr>
          <w:p>
            <w:pPr>
              <w:ind w:left="40"/>
              <w:spacing w:after="0" w:line="262" w:lineRule="exact"/>
              <w:rPr>
                <w:sz w:val="20"/>
                <w:szCs w:val="20"/>
                <w:color w:val="auto"/>
              </w:rPr>
            </w:pPr>
            <w:r>
              <w:rPr>
                <w:rFonts w:ascii="Arial" w:cs="Arial" w:eastAsia="Arial" w:hAnsi="Arial"/>
                <w:sz w:val="18"/>
                <w:szCs w:val="18"/>
                <w:color w:val="auto"/>
              </w:rPr>
              <w:t xml:space="preserve">Adjusted EBITDA Margin </w:t>
            </w:r>
            <w:r>
              <w:rPr>
                <w:rFonts w:ascii="Arial" w:cs="Arial" w:eastAsia="Arial" w:hAnsi="Arial"/>
                <w:sz w:val="25"/>
                <w:szCs w:val="25"/>
                <w:color w:val="auto"/>
                <w:vertAlign w:val="superscript"/>
              </w:rPr>
              <w:t>(4)</w:t>
            </w:r>
          </w:p>
        </w:tc>
        <w:tc>
          <w:tcPr>
            <w:tcW w:w="176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b w:val="1"/>
                <w:bCs w:val="1"/>
                <w:color w:val="auto"/>
              </w:rPr>
              <w:t>6.5%</w:t>
            </w:r>
          </w:p>
        </w:tc>
        <w:tc>
          <w:tcPr>
            <w:tcW w:w="98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rPr>
              <w:t>5.5%</w:t>
            </w:r>
          </w:p>
        </w:tc>
        <w:tc>
          <w:tcPr>
            <w:tcW w:w="102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b w:val="1"/>
                <w:bCs w:val="1"/>
                <w:color w:val="auto"/>
              </w:rPr>
              <w:t>6.5%</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6.2%</w:t>
            </w:r>
          </w:p>
        </w:tc>
      </w:tr>
      <w:tr>
        <w:trPr>
          <w:trHeight w:val="122"/>
        </w:trPr>
        <w:tc>
          <w:tcPr>
            <w:tcW w:w="6840" w:type="dxa"/>
            <w:vAlign w:val="bottom"/>
            <w:tcBorders>
              <w:bottom w:val="single" w:sz="8" w:color="auto"/>
            </w:tcBorders>
          </w:tcPr>
          <w:p>
            <w:pPr>
              <w:spacing w:after="0"/>
              <w:rPr>
                <w:sz w:val="10"/>
                <w:szCs w:val="10"/>
                <w:color w:val="auto"/>
              </w:rPr>
            </w:pPr>
          </w:p>
        </w:tc>
        <w:tc>
          <w:tcPr>
            <w:tcW w:w="1760" w:type="dxa"/>
            <w:vAlign w:val="bottom"/>
            <w:tcBorders>
              <w:bottom w:val="single" w:sz="8" w:color="auto"/>
            </w:tcBorders>
          </w:tcPr>
          <w:p>
            <w:pPr>
              <w:spacing w:after="0"/>
              <w:rPr>
                <w:sz w:val="10"/>
                <w:szCs w:val="10"/>
                <w:color w:val="auto"/>
              </w:rPr>
            </w:pPr>
          </w:p>
        </w:tc>
        <w:tc>
          <w:tcPr>
            <w:tcW w:w="980" w:type="dxa"/>
            <w:vAlign w:val="bottom"/>
            <w:tcBorders>
              <w:bottom w:val="single" w:sz="8" w:color="auto"/>
            </w:tcBorders>
          </w:tcPr>
          <w:p>
            <w:pPr>
              <w:spacing w:after="0"/>
              <w:rPr>
                <w:sz w:val="10"/>
                <w:szCs w:val="10"/>
                <w:color w:val="auto"/>
              </w:rPr>
            </w:pPr>
          </w:p>
        </w:tc>
        <w:tc>
          <w:tcPr>
            <w:tcW w:w="1020" w:type="dxa"/>
            <w:vAlign w:val="bottom"/>
            <w:tcBorders>
              <w:bottom w:val="single" w:sz="8" w:color="auto"/>
            </w:tcBorders>
          </w:tcPr>
          <w:p>
            <w:pPr>
              <w:spacing w:after="0"/>
              <w:rPr>
                <w:sz w:val="10"/>
                <w:szCs w:val="10"/>
                <w:color w:val="auto"/>
              </w:rPr>
            </w:pPr>
          </w:p>
        </w:tc>
        <w:tc>
          <w:tcPr>
            <w:tcW w:w="820" w:type="dxa"/>
            <w:vAlign w:val="bottom"/>
            <w:tcBorders>
              <w:bottom w:val="single" w:sz="8" w:color="auto"/>
            </w:tcBorders>
          </w:tcPr>
          <w:p>
            <w:pPr>
              <w:spacing w:after="0"/>
              <w:rPr>
                <w:sz w:val="10"/>
                <w:szCs w:val="10"/>
                <w:color w:val="auto"/>
              </w:rPr>
            </w:pPr>
          </w:p>
        </w:tc>
      </w:tr>
    </w:tbl>
    <w:p>
      <w:pPr>
        <w:ind w:left="220" w:hanging="185"/>
        <w:spacing w:after="0" w:line="230" w:lineRule="auto"/>
        <w:tabs>
          <w:tab w:leader="none" w:pos="220" w:val="left"/>
        </w:tabs>
        <w:numPr>
          <w:ilvl w:val="0"/>
          <w:numId w:val="10"/>
        </w:numPr>
        <w:rPr>
          <w:rFonts w:ascii="Arial" w:cs="Arial" w:eastAsia="Arial" w:hAnsi="Arial"/>
          <w:sz w:val="22"/>
          <w:szCs w:val="22"/>
          <w:color w:val="auto"/>
          <w:vertAlign w:val="superscript"/>
        </w:rPr>
      </w:pPr>
      <w:r>
        <w:rPr>
          <w:rFonts w:ascii="Arial" w:cs="Arial" w:eastAsia="Arial" w:hAnsi="Arial"/>
          <w:sz w:val="16"/>
          <w:szCs w:val="16"/>
          <w:color w:val="auto"/>
        </w:rPr>
        <w:t>EBIT is defined as net income (loss) before interest expense and income taxes. EBIT Margin is EBIT as a percentage of net sales.</w:t>
      </w:r>
    </w:p>
    <w:p>
      <w:pPr>
        <w:spacing w:after="0" w:line="83" w:lineRule="exact"/>
        <w:rPr>
          <w:rFonts w:ascii="Arial" w:cs="Arial" w:eastAsia="Arial" w:hAnsi="Arial"/>
          <w:sz w:val="22"/>
          <w:szCs w:val="22"/>
          <w:color w:val="auto"/>
          <w:vertAlign w:val="superscript"/>
        </w:rPr>
      </w:pPr>
    </w:p>
    <w:p>
      <w:pPr>
        <w:ind w:left="40" w:right="40" w:hanging="5"/>
        <w:spacing w:after="0" w:line="208" w:lineRule="auto"/>
        <w:tabs>
          <w:tab w:leader="none" w:pos="269" w:val="left"/>
        </w:tabs>
        <w:numPr>
          <w:ilvl w:val="0"/>
          <w:numId w:val="10"/>
        </w:numPr>
        <w:rPr>
          <w:rFonts w:ascii="Arial" w:cs="Arial" w:eastAsia="Arial" w:hAnsi="Arial"/>
          <w:sz w:val="25"/>
          <w:szCs w:val="25"/>
          <w:color w:val="auto"/>
          <w:vertAlign w:val="superscript"/>
        </w:rPr>
      </w:pPr>
      <w:r>
        <w:rPr>
          <w:rFonts w:ascii="Arial" w:cs="Arial" w:eastAsia="Arial" w:hAnsi="Arial"/>
          <w:sz w:val="18"/>
          <w:szCs w:val="18"/>
          <w:color w:val="auto"/>
        </w:rPr>
        <w:t>EBITDA is defined as net income (loss) before interest expense, income taxes, depreciation and amortization. EBITDA Margin is EBITDA as a percentage of net sales.</w:t>
      </w:r>
    </w:p>
    <w:p>
      <w:pPr>
        <w:spacing w:after="0" w:line="68" w:lineRule="exact"/>
        <w:rPr>
          <w:rFonts w:ascii="Arial" w:cs="Arial" w:eastAsia="Arial" w:hAnsi="Arial"/>
          <w:sz w:val="25"/>
          <w:szCs w:val="25"/>
          <w:color w:val="auto"/>
          <w:vertAlign w:val="superscript"/>
        </w:rPr>
      </w:pPr>
    </w:p>
    <w:p>
      <w:pPr>
        <w:jc w:val="both"/>
        <w:ind w:left="40" w:right="20" w:hanging="5"/>
        <w:spacing w:after="0" w:line="226" w:lineRule="auto"/>
        <w:tabs>
          <w:tab w:leader="none" w:pos="261" w:val="left"/>
        </w:tabs>
        <w:numPr>
          <w:ilvl w:val="0"/>
          <w:numId w:val="10"/>
        </w:numPr>
        <w:rPr>
          <w:rFonts w:ascii="Arial" w:cs="Arial" w:eastAsia="Arial" w:hAnsi="Arial"/>
          <w:sz w:val="25"/>
          <w:szCs w:val="25"/>
          <w:color w:val="auto"/>
          <w:vertAlign w:val="superscript"/>
        </w:rPr>
      </w:pPr>
      <w:r>
        <w:rPr>
          <w:rFonts w:ascii="Arial" w:cs="Arial" w:eastAsia="Arial" w:hAnsi="Arial"/>
          <w:sz w:val="18"/>
          <w:szCs w:val="18"/>
          <w:color w:val="auto"/>
        </w:rPr>
        <w:t>Adjusted EBIT is defined as EBIT excluding executive severance costs for the three and nine months ended September 30, 2018 and loss from remeasurement of benefit plans for the three and nine months ended September 30, 2017. Adjusted EBIT Margin is Adjusted EBIT as a percentage of net sales.</w:t>
      </w:r>
    </w:p>
    <w:p>
      <w:pPr>
        <w:spacing w:after="0" w:line="68" w:lineRule="exact"/>
        <w:rPr>
          <w:rFonts w:ascii="Arial" w:cs="Arial" w:eastAsia="Arial" w:hAnsi="Arial"/>
          <w:sz w:val="25"/>
          <w:szCs w:val="25"/>
          <w:color w:val="auto"/>
          <w:vertAlign w:val="superscript"/>
        </w:rPr>
      </w:pPr>
    </w:p>
    <w:p>
      <w:pPr>
        <w:jc w:val="both"/>
        <w:ind w:left="40" w:right="40" w:hanging="5"/>
        <w:spacing w:after="0" w:line="238" w:lineRule="auto"/>
        <w:tabs>
          <w:tab w:leader="none" w:pos="238" w:val="left"/>
        </w:tabs>
        <w:numPr>
          <w:ilvl w:val="0"/>
          <w:numId w:val="10"/>
        </w:numPr>
        <w:rPr>
          <w:rFonts w:ascii="Arial" w:cs="Arial" w:eastAsia="Arial" w:hAnsi="Arial"/>
          <w:sz w:val="24"/>
          <w:szCs w:val="24"/>
          <w:color w:val="auto"/>
          <w:vertAlign w:val="superscript"/>
        </w:rPr>
      </w:pPr>
      <w:r>
        <w:rPr>
          <w:rFonts w:ascii="Arial" w:cs="Arial" w:eastAsia="Arial" w:hAnsi="Arial"/>
          <w:sz w:val="17"/>
          <w:szCs w:val="17"/>
          <w:color w:val="auto"/>
        </w:rPr>
        <w:t>Adjusted EBITDA is defined as EBITDA excluding executive severance costs for the three and nine months ended September 30, 2018 and loss from remeasurement of benefit plans for the three and nine months ended September 30, 2017. Adjusted EBITDA Margin is Adjusted EBITDA as a percentage of net sales.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17780</wp:posOffset>
            </wp:positionV>
            <wp:extent cx="7246620" cy="171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46620"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-444500</wp:posOffset>
            </wp:positionV>
            <wp:extent cx="7246620" cy="171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46620"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-907415</wp:posOffset>
            </wp:positionV>
            <wp:extent cx="7246620" cy="171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46620"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-1233805</wp:posOffset>
            </wp:positionV>
            <wp:extent cx="7246620" cy="171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2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Table Page 4</w:t>
      </w:r>
    </w:p>
    <w:sectPr>
      <w:pgSz w:w="11900" w:h="16838" w:orient="portrait"/>
      <w:cols w:equalWidth="0" w:num="1">
        <w:col w:w="11420"/>
      </w:cols>
      <w:pgMar w:left="240" w:top="1023"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D1B58BA"/>
    <w:multiLevelType w:val="hybridMultilevel"/>
    <w:lvl w:ilvl="0">
      <w:lvlJc w:val="left"/>
      <w:lvlText w:val="☐"/>
      <w:numFmt w:val="bullet"/>
      <w:start w:val="1"/>
    </w:lvl>
  </w:abstractNum>
  <w:abstractNum w:abstractNumId="1">
    <w:nsid w:val="507ED7AB"/>
    <w:multiLevelType w:val="hybridMultilevel"/>
    <w:lvl w:ilvl="0">
      <w:lvlJc w:val="left"/>
      <w:lvlText w:val="•"/>
      <w:numFmt w:val="bullet"/>
      <w:start w:val="1"/>
    </w:lvl>
  </w:abstractNum>
  <w:abstractNum w:abstractNumId="2">
    <w:nsid w:val="2EB141F2"/>
    <w:multiLevelType w:val="hybridMultilevel"/>
    <w:lvl w:ilvl="0">
      <w:lvlJc w:val="left"/>
      <w:lvlText w:val="•"/>
      <w:numFmt w:val="bullet"/>
      <w:start w:val="1"/>
    </w:lvl>
  </w:abstractNum>
  <w:abstractNum w:abstractNumId="3">
    <w:nsid w:val="41B71EFB"/>
    <w:multiLevelType w:val="hybridMultilevel"/>
    <w:lvl w:ilvl="0">
      <w:lvlJc w:val="left"/>
      <w:lvlText w:val="(%1)"/>
      <w:numFmt w:val="decimal"/>
      <w:start w:val="1"/>
    </w:lvl>
  </w:abstractNum>
  <w:abstractNum w:abstractNumId="4">
    <w:nsid w:val="79E2A9E3"/>
    <w:multiLevelType w:val="hybridMultilevel"/>
    <w:lvl w:ilvl="0">
      <w:lvlJc w:val="left"/>
      <w:lvlText w:val="•"/>
      <w:numFmt w:val="bullet"/>
      <w:start w:val="1"/>
    </w:lvl>
  </w:abstractNum>
  <w:abstractNum w:abstractNumId="5">
    <w:nsid w:val="7545E146"/>
    <w:multiLevelType w:val="hybridMultilevel"/>
    <w:lvl w:ilvl="0">
      <w:lvlJc w:val="left"/>
      <w:lvlText w:val="•"/>
      <w:numFmt w:val="bullet"/>
      <w:start w:val="1"/>
    </w:lvl>
  </w:abstractNum>
  <w:abstractNum w:abstractNumId="6">
    <w:nsid w:val="515F007C"/>
    <w:multiLevelType w:val="hybridMultilevel"/>
    <w:lvl w:ilvl="0">
      <w:lvlJc w:val="left"/>
      <w:lvlText w:val="▪"/>
      <w:numFmt w:val="bullet"/>
      <w:start w:val="1"/>
    </w:lvl>
  </w:abstractNum>
  <w:abstractNum w:abstractNumId="7">
    <w:nsid w:val="5BD062C2"/>
    <w:multiLevelType w:val="hybridMultilevel"/>
    <w:lvl w:ilvl="0">
      <w:lvlJc w:val="left"/>
      <w:lvlText w:val="(%1)"/>
      <w:numFmt w:val="decimal"/>
      <w:start w:val="1"/>
    </w:lvl>
  </w:abstractNum>
  <w:abstractNum w:abstractNumId="8">
    <w:nsid w:val="12200854"/>
    <w:multiLevelType w:val="hybridMultilevel"/>
    <w:lvl w:ilvl="0">
      <w:lvlJc w:val="left"/>
      <w:lvlText w:val="(%1)"/>
      <w:numFmt w:val="decimal"/>
      <w:start w:val="1"/>
    </w:lvl>
  </w:abstractNum>
  <w:abstractNum w:abstractNumId="9">
    <w:nsid w:val="4DB127F8"/>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pn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6.jpeg"/><Relationship Id="rId24" Type="http://schemas.openxmlformats.org/officeDocument/2006/relationships/image" Target="media/image17.jpe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jpeg"/><Relationship Id="rId30" Type="http://schemas.openxmlformats.org/officeDocument/2006/relationships/image" Target="media/image23.png"/><Relationship Id="rId31" Type="http://schemas.openxmlformats.org/officeDocument/2006/relationships/image" Target="media/image24.jpeg"/><Relationship Id="rId32" Type="http://schemas.openxmlformats.org/officeDocument/2006/relationships/image" Target="media/image25.png"/><Relationship Id="rId33" Type="http://schemas.openxmlformats.org/officeDocument/2006/relationships/image" Target="media/image26.jpe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2020-01-12T00:17:42Z</dcterms:created>
  <dcterms:modified xsi:type="dcterms:W3CDTF">2020-01-12T00:17:42Z</dcterms:modified>
</cp:coreProperties>
</file>