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725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7250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Carrabba Joseph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09/28/2018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09/28/2018</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1,345</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1,345</w:t>
            </w:r>
          </w:p>
        </w:tc>
        <w:tc>
          <w:tcPr>
            <w:tcW w:w="72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14.87</w:t>
            </w:r>
          </w:p>
        </w:tc>
        <w:tc>
          <w:tcPr>
            <w:tcW w:w="980" w:type="dxa"/>
            <w:vAlign w:val="bottom"/>
            <w:vMerge w:val="restart"/>
          </w:tcPr>
          <w:p>
            <w:pPr>
              <w:ind w:left="340"/>
              <w:spacing w:after="0"/>
              <w:rPr>
                <w:sz w:val="20"/>
                <w:szCs w:val="20"/>
                <w:color w:val="auto"/>
              </w:rPr>
            </w:pPr>
            <w:r>
              <w:rPr>
                <w:rFonts w:ascii="Arial" w:cs="Arial" w:eastAsia="Arial" w:hAnsi="Arial"/>
                <w:sz w:val="14"/>
                <w:szCs w:val="14"/>
                <w:color w:val="0000FF"/>
              </w:rPr>
              <w:t>6,775</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Shares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40"/>
              <w:spacing w:after="0"/>
              <w:rPr>
                <w:sz w:val="20"/>
                <w:szCs w:val="20"/>
                <w:color w:val="auto"/>
              </w:rPr>
            </w:pPr>
            <w:r>
              <w:rPr>
                <w:rFonts w:ascii="Arial" w:cs="Arial" w:eastAsia="Arial" w:hAnsi="Arial"/>
                <w:sz w:val="14"/>
                <w:szCs w:val="14"/>
                <w:color w:val="0000FF"/>
              </w:rPr>
              <w:t>Shares</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Each phantom share is the equivalent of one Issuer common share.</w:t>
      </w:r>
    </w:p>
    <w:p>
      <w:pPr>
        <w:spacing w:after="0" w:line="41" w:lineRule="exact"/>
        <w:rPr>
          <w:rFonts w:ascii="Arial" w:cs="Arial" w:eastAsia="Arial" w:hAnsi="Arial"/>
          <w:sz w:val="14"/>
          <w:szCs w:val="14"/>
          <w:color w:val="008000"/>
        </w:rPr>
      </w:pPr>
    </w:p>
    <w:p>
      <w:pPr>
        <w:ind w:left="40" w:right="4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Phantom shares are payable in cash and/or common shares upon termination of the Reporting Person's service on the Board of Directors, as elected by the Reporting Person at the time he elected to defer compensation under the TimkenSteel Corporation Director Deferred Compensation Plan.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10/01/2018</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421005</wp:posOffset>
            </wp:positionH>
            <wp:positionV relativeFrom="page">
              <wp:posOffset>363220</wp:posOffset>
            </wp:positionV>
            <wp:extent cx="6856095" cy="9023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856095" cy="902398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28270"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2020-01-11T19:08:08Z</dcterms:created>
  <dcterms:modified xsi:type="dcterms:W3CDTF">2020-01-11T19:08:08Z</dcterms:modified>
</cp:coreProperties>
</file>