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-242570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4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-648335</wp:posOffset>
            </wp:positionV>
            <wp:extent cx="59055" cy="661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4137660</wp:posOffset>
            </wp:positionH>
            <wp:positionV relativeFrom="paragraph">
              <wp:posOffset>-648335</wp:posOffset>
            </wp:positionV>
            <wp:extent cx="59055" cy="661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20320</wp:posOffset>
            </wp:positionV>
            <wp:extent cx="7323455" cy="59321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93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Sterling Amanda J</w:t>
        </w:r>
      </w:hyperlink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01/29/2015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7" w:right="660" w:hanging="7"/>
        <w:spacing w:after="0" w:line="254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1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See Remarks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3" w:space="720"/>
            <w:col w:w="3467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OH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44706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34" w:lineRule="auto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80"/>
            <w:col w:w="744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gridSpan w:val="5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01/29/2015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680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1,355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FF"/>
                <w:w w:val="97"/>
                <w:vertAlign w:val="subscript"/>
              </w:rPr>
              <w:t>318</w:t>
            </w:r>
            <w:r>
              <w:rPr>
                <w:rFonts w:ascii="Arial" w:cs="Arial" w:eastAsia="Arial" w:hAnsi="Arial"/>
                <w:sz w:val="10"/>
                <w:szCs w:val="10"/>
                <w:color w:val="008000"/>
                <w:w w:val="97"/>
              </w:rPr>
              <w:t>(2)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50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(2)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Husband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11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Nonqualified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29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01/29/2015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2,480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01/29/2015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2,480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2,480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 (right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to buy)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675 common shares of Issuer acquired in connection with the distribution resulting from the spinoff of Issuer from The Timken Company on June 30, 2014 (the "Spinoff").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common shares of Issuer acquired in connection with the distribution resulting from the Spinoff.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Vests in four equal annual installments beginning on January 29, 2016.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Vice President, Corporate Controller</w:t>
      </w:r>
    </w:p>
    <w:p>
      <w:pPr>
        <w:spacing w:after="0" w:line="67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Frank A. DiPiero, as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02/02/2015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40" w:right="376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09307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2020-01-22T06:05:53Z</dcterms:created>
  <dcterms:modified xsi:type="dcterms:W3CDTF">2020-01-22T06:05:53Z</dcterms:modified>
</cp:coreProperties>
</file>