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10"/>
        </w:trPr>
        <w:tc>
          <w:tcPr>
            <w:tcW w:w="4940" w:type="dxa"/>
            <w:vAlign w:val="bottom"/>
            <w:vMerge w:val="restart"/>
          </w:tcPr>
          <w:p>
            <w:pPr>
              <w:spacing w:after="0"/>
              <w:rPr>
                <w:sz w:val="20"/>
                <w:szCs w:val="20"/>
                <w:color w:val="auto"/>
              </w:rPr>
            </w:pPr>
            <w:r>
              <w:rPr>
                <w:rFonts w:ascii="Arial" w:cs="Arial" w:eastAsia="Arial" w:hAnsi="Arial"/>
                <w:sz w:val="18"/>
                <w:szCs w:val="18"/>
                <w:color w:val="auto"/>
              </w:rPr>
              <w:t>Pricing Term Sheet</w:t>
            </w:r>
          </w:p>
        </w:tc>
        <w:tc>
          <w:tcPr>
            <w:tcW w:w="6480" w:type="dxa"/>
            <w:vAlign w:val="bottom"/>
          </w:tcPr>
          <w:p>
            <w:pPr>
              <w:jc w:val="right"/>
              <w:spacing w:after="0"/>
              <w:rPr>
                <w:sz w:val="20"/>
                <w:szCs w:val="20"/>
                <w:color w:val="auto"/>
              </w:rPr>
            </w:pPr>
            <w:r>
              <w:rPr>
                <w:rFonts w:ascii="Arial" w:cs="Arial" w:eastAsia="Arial" w:hAnsi="Arial"/>
                <w:sz w:val="16"/>
                <w:szCs w:val="16"/>
                <w:b w:val="1"/>
                <w:bCs w:val="1"/>
                <w:color w:val="auto"/>
              </w:rPr>
              <w:t>Issuer Free Writing Prospectus</w:t>
            </w:r>
          </w:p>
        </w:tc>
        <w:tc>
          <w:tcPr>
            <w:tcW w:w="0" w:type="dxa"/>
            <w:vAlign w:val="bottom"/>
          </w:tcPr>
          <w:p>
            <w:pPr>
              <w:spacing w:after="0"/>
              <w:rPr>
                <w:sz w:val="1"/>
                <w:szCs w:val="1"/>
                <w:color w:val="auto"/>
              </w:rPr>
            </w:pPr>
          </w:p>
        </w:tc>
      </w:tr>
      <w:tr>
        <w:trPr>
          <w:trHeight w:val="208"/>
        </w:trPr>
        <w:tc>
          <w:tcPr>
            <w:tcW w:w="4940" w:type="dxa"/>
            <w:vAlign w:val="bottom"/>
            <w:vMerge w:val="continue"/>
          </w:tcPr>
          <w:p>
            <w:pPr>
              <w:spacing w:after="0"/>
              <w:rPr>
                <w:sz w:val="18"/>
                <w:szCs w:val="18"/>
                <w:color w:val="auto"/>
              </w:rPr>
            </w:pPr>
          </w:p>
        </w:tc>
        <w:tc>
          <w:tcPr>
            <w:tcW w:w="6480" w:type="dxa"/>
            <w:vAlign w:val="bottom"/>
          </w:tcPr>
          <w:p>
            <w:pPr>
              <w:jc w:val="right"/>
              <w:spacing w:after="0"/>
              <w:rPr>
                <w:sz w:val="20"/>
                <w:szCs w:val="20"/>
                <w:color w:val="auto"/>
              </w:rPr>
            </w:pPr>
            <w:r>
              <w:rPr>
                <w:rFonts w:ascii="Arial" w:cs="Arial" w:eastAsia="Arial" w:hAnsi="Arial"/>
                <w:sz w:val="16"/>
                <w:szCs w:val="16"/>
                <w:b w:val="1"/>
                <w:bCs w:val="1"/>
                <w:color w:val="auto"/>
              </w:rPr>
              <w:t>Filed Pursuant to Rule 433</w:t>
            </w:r>
          </w:p>
        </w:tc>
        <w:tc>
          <w:tcPr>
            <w:tcW w:w="0" w:type="dxa"/>
            <w:vAlign w:val="bottom"/>
          </w:tcPr>
          <w:p>
            <w:pPr>
              <w:spacing w:after="0"/>
              <w:rPr>
                <w:sz w:val="1"/>
                <w:szCs w:val="1"/>
                <w:color w:val="auto"/>
              </w:rPr>
            </w:pPr>
          </w:p>
        </w:tc>
      </w:tr>
      <w:tr>
        <w:trPr>
          <w:trHeight w:val="217"/>
        </w:trPr>
        <w:tc>
          <w:tcPr>
            <w:tcW w:w="4940" w:type="dxa"/>
            <w:vAlign w:val="bottom"/>
          </w:tcPr>
          <w:p>
            <w:pPr>
              <w:spacing w:after="0"/>
              <w:rPr>
                <w:sz w:val="20"/>
                <w:szCs w:val="20"/>
                <w:color w:val="auto"/>
              </w:rPr>
            </w:pPr>
            <w:r>
              <w:rPr>
                <w:rFonts w:ascii="Arial" w:cs="Arial" w:eastAsia="Arial" w:hAnsi="Arial"/>
                <w:sz w:val="18"/>
                <w:szCs w:val="18"/>
                <w:color w:val="auto"/>
              </w:rPr>
              <w:t>Dated May 24, 2016</w:t>
            </w:r>
          </w:p>
        </w:tc>
        <w:tc>
          <w:tcPr>
            <w:tcW w:w="6480" w:type="dxa"/>
            <w:vAlign w:val="bottom"/>
          </w:tcPr>
          <w:p>
            <w:pPr>
              <w:jc w:val="right"/>
              <w:spacing w:after="0"/>
              <w:rPr>
                <w:sz w:val="20"/>
                <w:szCs w:val="20"/>
                <w:color w:val="auto"/>
              </w:rPr>
            </w:pPr>
            <w:r>
              <w:rPr>
                <w:rFonts w:ascii="Arial" w:cs="Arial" w:eastAsia="Arial" w:hAnsi="Arial"/>
                <w:sz w:val="16"/>
                <w:szCs w:val="16"/>
                <w:b w:val="1"/>
                <w:bCs w:val="1"/>
                <w:color w:val="auto"/>
              </w:rPr>
              <w:t>Registration Statement No. 333-208930</w:t>
            </w:r>
          </w:p>
        </w:tc>
        <w:tc>
          <w:tcPr>
            <w:tcW w:w="0" w:type="dxa"/>
            <w:vAlign w:val="bottom"/>
          </w:tcPr>
          <w:p>
            <w:pPr>
              <w:spacing w:after="0"/>
              <w:rPr>
                <w:sz w:val="1"/>
                <w:szCs w:val="1"/>
                <w:color w:val="auto"/>
              </w:rPr>
            </w:pPr>
          </w:p>
        </w:tc>
      </w:tr>
      <w:tr>
        <w:trPr>
          <w:trHeight w:val="203"/>
        </w:trPr>
        <w:tc>
          <w:tcPr>
            <w:tcW w:w="4940" w:type="dxa"/>
            <w:vAlign w:val="bottom"/>
          </w:tcPr>
          <w:p>
            <w:pPr>
              <w:spacing w:after="0"/>
              <w:rPr>
                <w:sz w:val="17"/>
                <w:szCs w:val="17"/>
                <w:color w:val="auto"/>
              </w:rPr>
            </w:pPr>
          </w:p>
        </w:tc>
        <w:tc>
          <w:tcPr>
            <w:tcW w:w="6480" w:type="dxa"/>
            <w:vAlign w:val="bottom"/>
          </w:tcPr>
          <w:p>
            <w:pPr>
              <w:jc w:val="right"/>
              <w:spacing w:after="0"/>
              <w:rPr>
                <w:sz w:val="20"/>
                <w:szCs w:val="20"/>
                <w:color w:val="auto"/>
              </w:rPr>
            </w:pPr>
            <w:r>
              <w:rPr>
                <w:rFonts w:ascii="Arial" w:cs="Arial" w:eastAsia="Arial" w:hAnsi="Arial"/>
                <w:sz w:val="16"/>
                <w:szCs w:val="16"/>
                <w:b w:val="1"/>
                <w:bCs w:val="1"/>
                <w:color w:val="auto"/>
              </w:rPr>
              <w:t>Supplementing the Preliminary</w:t>
            </w:r>
          </w:p>
        </w:tc>
        <w:tc>
          <w:tcPr>
            <w:tcW w:w="0" w:type="dxa"/>
            <w:vAlign w:val="bottom"/>
          </w:tcPr>
          <w:p>
            <w:pPr>
              <w:spacing w:after="0"/>
              <w:rPr>
                <w:sz w:val="1"/>
                <w:szCs w:val="1"/>
                <w:color w:val="auto"/>
              </w:rPr>
            </w:pPr>
          </w:p>
        </w:tc>
      </w:tr>
      <w:tr>
        <w:trPr>
          <w:trHeight w:val="203"/>
        </w:trPr>
        <w:tc>
          <w:tcPr>
            <w:tcW w:w="4940" w:type="dxa"/>
            <w:vAlign w:val="bottom"/>
          </w:tcPr>
          <w:p>
            <w:pPr>
              <w:spacing w:after="0"/>
              <w:rPr>
                <w:sz w:val="17"/>
                <w:szCs w:val="17"/>
                <w:color w:val="auto"/>
              </w:rPr>
            </w:pPr>
          </w:p>
        </w:tc>
        <w:tc>
          <w:tcPr>
            <w:tcW w:w="6480" w:type="dxa"/>
            <w:vAlign w:val="bottom"/>
          </w:tcPr>
          <w:p>
            <w:pPr>
              <w:jc w:val="right"/>
              <w:spacing w:after="0"/>
              <w:rPr>
                <w:sz w:val="20"/>
                <w:szCs w:val="20"/>
                <w:color w:val="auto"/>
              </w:rPr>
            </w:pPr>
            <w:r>
              <w:rPr>
                <w:rFonts w:ascii="Arial" w:cs="Arial" w:eastAsia="Arial" w:hAnsi="Arial"/>
                <w:sz w:val="16"/>
                <w:szCs w:val="16"/>
                <w:b w:val="1"/>
                <w:bCs w:val="1"/>
                <w:color w:val="auto"/>
              </w:rPr>
              <w:t>Prospectus Supplement dated May 24, 2016</w:t>
            </w:r>
          </w:p>
        </w:tc>
        <w:tc>
          <w:tcPr>
            <w:tcW w:w="0" w:type="dxa"/>
            <w:vAlign w:val="bottom"/>
          </w:tcPr>
          <w:p>
            <w:pPr>
              <w:spacing w:after="0"/>
              <w:rPr>
                <w:sz w:val="1"/>
                <w:szCs w:val="1"/>
                <w:color w:val="auto"/>
              </w:rPr>
            </w:pPr>
          </w:p>
        </w:tc>
      </w:tr>
      <w:tr>
        <w:trPr>
          <w:trHeight w:val="210"/>
        </w:trPr>
        <w:tc>
          <w:tcPr>
            <w:tcW w:w="4940" w:type="dxa"/>
            <w:vAlign w:val="bottom"/>
          </w:tcPr>
          <w:p>
            <w:pPr>
              <w:spacing w:after="0"/>
              <w:rPr>
                <w:sz w:val="18"/>
                <w:szCs w:val="18"/>
                <w:color w:val="auto"/>
              </w:rPr>
            </w:pPr>
          </w:p>
        </w:tc>
        <w:tc>
          <w:tcPr>
            <w:tcW w:w="6480" w:type="dxa"/>
            <w:vAlign w:val="bottom"/>
          </w:tcPr>
          <w:p>
            <w:pPr>
              <w:jc w:val="right"/>
              <w:spacing w:after="0"/>
              <w:rPr>
                <w:sz w:val="20"/>
                <w:szCs w:val="20"/>
                <w:color w:val="auto"/>
              </w:rPr>
            </w:pPr>
            <w:r>
              <w:rPr>
                <w:rFonts w:ascii="Arial" w:cs="Arial" w:eastAsia="Arial" w:hAnsi="Arial"/>
                <w:sz w:val="16"/>
                <w:szCs w:val="16"/>
                <w:b w:val="1"/>
                <w:bCs w:val="1"/>
                <w:color w:val="auto"/>
              </w:rPr>
              <w:t>(To Prospectus dated January 20, 2016)</w:t>
            </w: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2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6.00% Convertible Senior Notes due 2021</w:t>
      </w:r>
    </w:p>
    <w:p>
      <w:pPr>
        <w:spacing w:after="0" w:line="211" w:lineRule="exact"/>
        <w:rPr>
          <w:sz w:val="24"/>
          <w:szCs w:val="24"/>
          <w:color w:val="auto"/>
        </w:rPr>
      </w:pPr>
    </w:p>
    <w:p>
      <w:pPr>
        <w:ind w:right="60"/>
        <w:spacing w:after="0" w:line="272" w:lineRule="auto"/>
        <w:rPr>
          <w:sz w:val="20"/>
          <w:szCs w:val="20"/>
          <w:color w:val="auto"/>
        </w:rPr>
      </w:pPr>
      <w:r>
        <w:rPr>
          <w:rFonts w:ascii="Arial" w:cs="Arial" w:eastAsia="Arial" w:hAnsi="Arial"/>
          <w:sz w:val="17"/>
          <w:szCs w:val="17"/>
          <w:i w:val="1"/>
          <w:iCs w:val="1"/>
          <w:color w:val="auto"/>
        </w:rPr>
        <w:t>The information in this pricing term sheet relates to TimkenSteel Corporation’s offering of its 6.00% Convertible Senior Notes due 2021 (the “Offering”) and should be read together with the preliminary prospectus supplement dated May 24, 2016 relating to the Offering (the “Preliminary Prospectus Supplement”), including the documents incorporated by reference therein, and the base prospectus dated January 20, 2016, each filed under the Securities Act of 1933, as amended, Registration Statement No. 333-208930. The information in this communication supersedes the information in the Preliminary Prospectus Supplement and the accompanying prospectus to the extent inconsistent with the information in the Preliminary Prospectus Supplement and the accompanying prospectus. Terms used herein but not defined herein shall have the meanings as set forth in the Preliminary Prospectus Supplement. All references to dollar amounts are references to U.S. dollars.</w:t>
      </w:r>
    </w:p>
    <w:p>
      <w:pPr>
        <w:sectPr>
          <w:pgSz w:w="11900" w:h="16838" w:orient="portrait"/>
          <w:cols w:equalWidth="0" w:num="1">
            <w:col w:w="11420"/>
          </w:cols>
          <w:pgMar w:left="240" w:top="234" w:right="239" w:bottom="1440" w:gutter="0" w:footer="0" w:header="0"/>
        </w:sectPr>
      </w:pPr>
    </w:p>
    <w:p>
      <w:pPr>
        <w:spacing w:after="0" w:line="205" w:lineRule="exact"/>
        <w:rPr>
          <w:sz w:val="24"/>
          <w:szCs w:val="24"/>
          <w:color w:val="auto"/>
        </w:rPr>
      </w:pPr>
    </w:p>
    <w:p>
      <w:pPr>
        <w:spacing w:after="0"/>
        <w:rPr>
          <w:sz w:val="20"/>
          <w:szCs w:val="20"/>
          <w:color w:val="auto"/>
        </w:rPr>
      </w:pPr>
      <w:r>
        <w:rPr>
          <w:rFonts w:ascii="Arial" w:cs="Arial" w:eastAsia="Arial" w:hAnsi="Arial"/>
          <w:sz w:val="18"/>
          <w:szCs w:val="18"/>
          <w:color w:val="auto"/>
        </w:rPr>
        <w:t>Issuer:</w:t>
      </w:r>
    </w:p>
    <w:p>
      <w:pPr>
        <w:spacing w:after="0" w:line="225" w:lineRule="exact"/>
        <w:rPr>
          <w:sz w:val="24"/>
          <w:szCs w:val="24"/>
          <w:color w:val="auto"/>
        </w:rPr>
      </w:pPr>
    </w:p>
    <w:p>
      <w:pPr>
        <w:spacing w:after="0"/>
        <w:rPr>
          <w:sz w:val="20"/>
          <w:szCs w:val="20"/>
          <w:color w:val="auto"/>
        </w:rPr>
      </w:pPr>
      <w:r>
        <w:rPr>
          <w:rFonts w:ascii="Arial" w:cs="Arial" w:eastAsia="Arial" w:hAnsi="Arial"/>
          <w:sz w:val="16"/>
          <w:szCs w:val="16"/>
          <w:color w:val="auto"/>
        </w:rPr>
        <w:t>Ticker / Exchange for Common Shares:</w:t>
      </w:r>
    </w:p>
    <w:p>
      <w:pPr>
        <w:spacing w:after="0" w:line="248" w:lineRule="exact"/>
        <w:rPr>
          <w:sz w:val="24"/>
          <w:szCs w:val="24"/>
          <w:color w:val="auto"/>
        </w:rPr>
      </w:pPr>
    </w:p>
    <w:p>
      <w:pPr>
        <w:spacing w:after="0"/>
        <w:rPr>
          <w:sz w:val="20"/>
          <w:szCs w:val="20"/>
          <w:color w:val="auto"/>
        </w:rPr>
      </w:pPr>
      <w:r>
        <w:rPr>
          <w:rFonts w:ascii="Arial" w:cs="Arial" w:eastAsia="Arial" w:hAnsi="Arial"/>
          <w:sz w:val="18"/>
          <w:szCs w:val="18"/>
          <w:color w:val="auto"/>
        </w:rPr>
        <w:t>Securities Offered:</w:t>
      </w:r>
    </w:p>
    <w:p>
      <w:pPr>
        <w:spacing w:after="0" w:line="225" w:lineRule="exact"/>
        <w:rPr>
          <w:sz w:val="24"/>
          <w:szCs w:val="24"/>
          <w:color w:val="auto"/>
        </w:rPr>
      </w:pPr>
    </w:p>
    <w:p>
      <w:pPr>
        <w:spacing w:after="0"/>
        <w:rPr>
          <w:sz w:val="20"/>
          <w:szCs w:val="20"/>
          <w:color w:val="auto"/>
        </w:rPr>
      </w:pPr>
      <w:r>
        <w:rPr>
          <w:rFonts w:ascii="Arial" w:cs="Arial" w:eastAsia="Arial" w:hAnsi="Arial"/>
          <w:sz w:val="17"/>
          <w:szCs w:val="17"/>
          <w:color w:val="auto"/>
        </w:rPr>
        <w:t>Aggregate Principal Amount Offered:</w:t>
      </w:r>
    </w:p>
    <w:p>
      <w:pPr>
        <w:spacing w:after="0" w:line="200" w:lineRule="exact"/>
        <w:rPr>
          <w:sz w:val="24"/>
          <w:szCs w:val="24"/>
          <w:color w:val="auto"/>
        </w:rPr>
      </w:pPr>
    </w:p>
    <w:p>
      <w:pPr>
        <w:spacing w:after="0" w:line="253" w:lineRule="exact"/>
        <w:rPr>
          <w:sz w:val="24"/>
          <w:szCs w:val="24"/>
          <w:color w:val="auto"/>
        </w:rPr>
      </w:pPr>
    </w:p>
    <w:p>
      <w:pPr>
        <w:spacing w:after="0"/>
        <w:rPr>
          <w:sz w:val="20"/>
          <w:szCs w:val="20"/>
          <w:color w:val="auto"/>
        </w:rPr>
      </w:pPr>
      <w:r>
        <w:rPr>
          <w:rFonts w:ascii="Arial" w:cs="Arial" w:eastAsia="Arial" w:hAnsi="Arial"/>
          <w:sz w:val="18"/>
          <w:szCs w:val="18"/>
          <w:color w:val="auto"/>
        </w:rPr>
        <w:t>Maturity Date: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Interest Rate: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Interest Payment Dates:</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Public Offering Price: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Trade Date: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Settlement Date:</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NYSE Last Reported Sale Price on May 24, 2016:</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Conversion Premium:</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Initial Conversion Price: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Initial Conversion Rate: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Use of Proceeds: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ind w:right="300"/>
        <w:spacing w:after="0" w:line="308" w:lineRule="auto"/>
        <w:rPr>
          <w:sz w:val="20"/>
          <w:szCs w:val="20"/>
          <w:color w:val="auto"/>
        </w:rPr>
      </w:pPr>
      <w:r>
        <w:rPr>
          <w:rFonts w:ascii="Arial" w:cs="Arial" w:eastAsia="Arial" w:hAnsi="Arial"/>
          <w:sz w:val="17"/>
          <w:szCs w:val="17"/>
          <w:color w:val="auto"/>
        </w:rPr>
        <w:t>Public Offering Price, Underwriting Discount and Proceeds:</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TimkenSteel Corporation, an Ohio corporation.</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TMST / The New York Stock Exchange (“NYSE”).</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6.00% Convertible Senior Notes due 2021 (the “Notes”).</w:t>
      </w:r>
    </w:p>
    <w:p>
      <w:pPr>
        <w:spacing w:after="0" w:line="225" w:lineRule="exact"/>
        <w:rPr>
          <w:sz w:val="24"/>
          <w:szCs w:val="24"/>
          <w:color w:val="auto"/>
        </w:rPr>
      </w:pPr>
    </w:p>
    <w:p>
      <w:pPr>
        <w:jc w:val="both"/>
        <w:ind w:left="220"/>
        <w:spacing w:after="0" w:line="342" w:lineRule="auto"/>
        <w:rPr>
          <w:sz w:val="20"/>
          <w:szCs w:val="20"/>
          <w:color w:val="auto"/>
        </w:rPr>
      </w:pPr>
      <w:r>
        <w:rPr>
          <w:rFonts w:ascii="Arial" w:cs="Arial" w:eastAsia="Arial" w:hAnsi="Arial"/>
          <w:sz w:val="16"/>
          <w:szCs w:val="16"/>
          <w:color w:val="auto"/>
        </w:rPr>
        <w:t>$75,000,000 aggregate principal amount of Notes (or $86,250,000 aggregate principal amount if the underwriters’ over-allotment option to purchase up to an additional $11,250,000 principal amount of Notes is exercised in full).</w:t>
      </w:r>
    </w:p>
    <w:p>
      <w:pPr>
        <w:spacing w:after="0" w:line="124" w:lineRule="exact"/>
        <w:rPr>
          <w:sz w:val="24"/>
          <w:szCs w:val="24"/>
          <w:color w:val="auto"/>
        </w:rPr>
      </w:pPr>
    </w:p>
    <w:p>
      <w:pPr>
        <w:ind w:left="220"/>
        <w:spacing w:after="0"/>
        <w:rPr>
          <w:sz w:val="20"/>
          <w:szCs w:val="20"/>
          <w:color w:val="auto"/>
        </w:rPr>
      </w:pPr>
      <w:r>
        <w:rPr>
          <w:rFonts w:ascii="Arial" w:cs="Arial" w:eastAsia="Arial" w:hAnsi="Arial"/>
          <w:sz w:val="18"/>
          <w:szCs w:val="18"/>
          <w:color w:val="auto"/>
        </w:rPr>
        <w:t>June 1, 2021, unless earlier repurchased or converted.</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6.00% per annum, accruing from the Settlement Date.</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June 1 and December 1 of each year, beginning on December 1, 2016.</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100% of the principal amount of the Notes plus accrued interest, if any, from the Settlement Date.</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May 25, 2016.</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May 31, 2016.</w:t>
      </w:r>
    </w:p>
    <w:p>
      <w:pPr>
        <w:spacing w:after="0" w:line="200" w:lineRule="exact"/>
        <w:rPr>
          <w:sz w:val="24"/>
          <w:szCs w:val="24"/>
          <w:color w:val="auto"/>
        </w:rPr>
      </w:pPr>
    </w:p>
    <w:p>
      <w:pPr>
        <w:spacing w:after="0" w:line="241" w:lineRule="exact"/>
        <w:rPr>
          <w:sz w:val="24"/>
          <w:szCs w:val="24"/>
          <w:color w:val="auto"/>
        </w:rPr>
      </w:pPr>
    </w:p>
    <w:p>
      <w:pPr>
        <w:ind w:left="220"/>
        <w:spacing w:after="0"/>
        <w:rPr>
          <w:sz w:val="20"/>
          <w:szCs w:val="20"/>
          <w:color w:val="auto"/>
        </w:rPr>
      </w:pPr>
      <w:r>
        <w:rPr>
          <w:rFonts w:ascii="Arial" w:cs="Arial" w:eastAsia="Arial" w:hAnsi="Arial"/>
          <w:sz w:val="18"/>
          <w:szCs w:val="18"/>
          <w:color w:val="auto"/>
        </w:rPr>
        <w:t>$10.48 per common share of the Issuer.</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Approximately 20% above the NYSE Last Reported Sale Price on May 24, 2016.</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Approximately $12.58 per common share of the Issuer.</w:t>
      </w:r>
    </w:p>
    <w:p>
      <w:pPr>
        <w:spacing w:after="0" w:line="225" w:lineRule="exact"/>
        <w:rPr>
          <w:sz w:val="24"/>
          <w:szCs w:val="24"/>
          <w:color w:val="auto"/>
        </w:rPr>
      </w:pPr>
    </w:p>
    <w:p>
      <w:pPr>
        <w:ind w:left="220"/>
        <w:spacing w:after="0"/>
        <w:rPr>
          <w:sz w:val="20"/>
          <w:szCs w:val="20"/>
          <w:color w:val="auto"/>
        </w:rPr>
      </w:pPr>
      <w:r>
        <w:rPr>
          <w:rFonts w:ascii="Arial" w:cs="Arial" w:eastAsia="Arial" w:hAnsi="Arial"/>
          <w:sz w:val="18"/>
          <w:szCs w:val="18"/>
          <w:color w:val="auto"/>
        </w:rPr>
        <w:t>79.5165 common shares of the Issuer per $1,000 principal amount of Notes.</w:t>
      </w:r>
    </w:p>
    <w:p>
      <w:pPr>
        <w:spacing w:after="0" w:line="225" w:lineRule="exact"/>
        <w:rPr>
          <w:sz w:val="24"/>
          <w:szCs w:val="24"/>
          <w:color w:val="auto"/>
        </w:rPr>
      </w:pPr>
    </w:p>
    <w:p>
      <w:pPr>
        <w:ind w:left="220" w:right="140"/>
        <w:spacing w:after="0" w:line="257" w:lineRule="auto"/>
        <w:rPr>
          <w:sz w:val="20"/>
          <w:szCs w:val="20"/>
          <w:color w:val="auto"/>
        </w:rPr>
      </w:pPr>
      <w:r>
        <w:rPr>
          <w:rFonts w:ascii="Arial" w:cs="Arial" w:eastAsia="Arial" w:hAnsi="Arial"/>
          <w:sz w:val="18"/>
          <w:szCs w:val="18"/>
          <w:color w:val="auto"/>
        </w:rPr>
        <w:t>The Issuer estimates that the net proceeds from the Offering will be approximately $72.5 million (or approximately $83.4 million if the underwriters exercise their over-allotment option in full), after deducting fees and estimated expenses. The Issuer intends to use the net proceeds from the Offering to repay a portion of the amounts outstanding under its asset-based revolving credit facility. See “Use of proceeds” in the Preliminary Prospectus Supplement.</w:t>
      </w:r>
    </w:p>
    <w:p>
      <w:pPr>
        <w:spacing w:after="0" w:line="310" w:lineRule="exact"/>
        <w:rPr>
          <w:sz w:val="24"/>
          <w:szCs w:val="24"/>
          <w:color w:val="auto"/>
        </w:rPr>
      </w:pPr>
    </w:p>
    <w:p>
      <w:pPr>
        <w:ind w:left="220" w:right="440"/>
        <w:spacing w:after="0" w:line="277" w:lineRule="auto"/>
        <w:rPr>
          <w:sz w:val="20"/>
          <w:szCs w:val="20"/>
          <w:color w:val="auto"/>
        </w:rPr>
      </w:pPr>
      <w:r>
        <w:rPr>
          <w:rFonts w:ascii="Arial" w:cs="Arial" w:eastAsia="Arial" w:hAnsi="Arial"/>
          <w:sz w:val="18"/>
          <w:szCs w:val="18"/>
          <w:color w:val="auto"/>
        </w:rPr>
        <w:t>The following table shows the Public Offering Price, underwriting discounts and commissions and proceeds before expenses to the Issuer in the Offering:</w:t>
      </w:r>
    </w:p>
    <w:p>
      <w:pPr>
        <w:spacing w:after="0" w:line="180" w:lineRule="exact"/>
        <w:rPr>
          <w:sz w:val="24"/>
          <w:szCs w:val="24"/>
          <w:color w:val="auto"/>
        </w:rPr>
      </w:pPr>
    </w:p>
    <w:tbl>
      <w:tblPr>
        <w:tblLayout w:type="fixed"/>
        <w:tblInd w:w="0" w:type="dxa"/>
        <w:tblCellMar>
          <w:top w:w="0" w:type="dxa"/>
          <w:left w:w="0" w:type="dxa"/>
          <w:bottom w:w="0" w:type="dxa"/>
          <w:right w:w="0" w:type="dxa"/>
        </w:tblCellMar>
      </w:tblPr>
      <w:tr>
        <w:trPr>
          <w:trHeight w:val="167"/>
        </w:trPr>
        <w:tc>
          <w:tcPr>
            <w:tcW w:w="5140" w:type="dxa"/>
            <w:vAlign w:val="bottom"/>
            <w:gridSpan w:val="3"/>
          </w:tcPr>
          <w:p>
            <w:pPr>
              <w:ind w:left="4460"/>
              <w:spacing w:after="0"/>
              <w:rPr>
                <w:sz w:val="20"/>
                <w:szCs w:val="20"/>
                <w:color w:val="auto"/>
              </w:rPr>
            </w:pPr>
            <w:r>
              <w:rPr>
                <w:rFonts w:ascii="Arial" w:cs="Arial" w:eastAsia="Arial" w:hAnsi="Arial"/>
                <w:sz w:val="14"/>
                <w:szCs w:val="14"/>
                <w:color w:val="auto"/>
              </w:rPr>
              <w:t>Per Note</w:t>
            </w:r>
          </w:p>
        </w:tc>
        <w:tc>
          <w:tcPr>
            <w:tcW w:w="34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4"/>
                <w:szCs w:val="14"/>
                <w:color w:val="auto"/>
                <w:w w:val="89"/>
              </w:rPr>
              <w:t>Total</w:t>
            </w:r>
          </w:p>
        </w:tc>
        <w:tc>
          <w:tcPr>
            <w:tcW w:w="900" w:type="dxa"/>
            <w:vAlign w:val="bottom"/>
          </w:tcPr>
          <w:p>
            <w:pPr>
              <w:spacing w:after="0"/>
              <w:rPr>
                <w:sz w:val="14"/>
                <w:szCs w:val="14"/>
                <w:color w:val="auto"/>
              </w:rPr>
            </w:pPr>
          </w:p>
        </w:tc>
      </w:tr>
      <w:tr>
        <w:trPr>
          <w:trHeight w:val="20"/>
        </w:trPr>
        <w:tc>
          <w:tcPr>
            <w:tcW w:w="4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10"/>
        </w:trPr>
        <w:tc>
          <w:tcPr>
            <w:tcW w:w="4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Public offering price(1)</w:t>
            </w: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40" w:type="dxa"/>
            <w:vAlign w:val="bottom"/>
            <w:shd w:val="clear" w:color="auto" w:fill="CCEEFF"/>
          </w:tcPr>
          <w:p>
            <w:pPr>
              <w:jc w:val="right"/>
              <w:ind w:right="1050"/>
              <w:spacing w:after="0"/>
              <w:rPr>
                <w:sz w:val="20"/>
                <w:szCs w:val="20"/>
                <w:color w:val="auto"/>
              </w:rPr>
            </w:pPr>
            <w:r>
              <w:rPr>
                <w:rFonts w:ascii="Arial" w:cs="Arial" w:eastAsia="Arial" w:hAnsi="Arial"/>
                <w:sz w:val="18"/>
                <w:szCs w:val="18"/>
                <w:color w:val="auto"/>
              </w:rPr>
              <w:t>1,000</w:t>
            </w:r>
          </w:p>
        </w:tc>
        <w:tc>
          <w:tcPr>
            <w:tcW w:w="4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75,000,000</w:t>
            </w:r>
          </w:p>
        </w:tc>
      </w:tr>
      <w:tr>
        <w:trPr>
          <w:trHeight w:val="216"/>
        </w:trPr>
        <w:tc>
          <w:tcPr>
            <w:tcW w:w="5140" w:type="dxa"/>
            <w:vAlign w:val="bottom"/>
            <w:gridSpan w:val="3"/>
          </w:tcPr>
          <w:p>
            <w:pPr>
              <w:ind w:left="220"/>
              <w:spacing w:after="0"/>
              <w:rPr>
                <w:sz w:val="20"/>
                <w:szCs w:val="20"/>
                <w:color w:val="auto"/>
              </w:rPr>
            </w:pPr>
            <w:r>
              <w:rPr>
                <w:rFonts w:ascii="Arial" w:cs="Arial" w:eastAsia="Arial" w:hAnsi="Arial"/>
                <w:sz w:val="18"/>
                <w:szCs w:val="18"/>
                <w:color w:val="auto"/>
              </w:rPr>
              <w:t>Underwriting discounts and commissions</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1050"/>
              <w:spacing w:after="0"/>
              <w:rPr>
                <w:sz w:val="20"/>
                <w:szCs w:val="20"/>
                <w:color w:val="auto"/>
              </w:rPr>
            </w:pPr>
            <w:r>
              <w:rPr>
                <w:rFonts w:ascii="Arial" w:cs="Arial" w:eastAsia="Arial" w:hAnsi="Arial"/>
                <w:sz w:val="18"/>
                <w:szCs w:val="18"/>
                <w:color w:val="auto"/>
              </w:rPr>
              <w:t>30</w:t>
            </w:r>
          </w:p>
        </w:tc>
        <w:tc>
          <w:tcPr>
            <w:tcW w:w="4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2,250,000</w:t>
            </w:r>
          </w:p>
        </w:tc>
      </w:tr>
      <w:tr>
        <w:trPr>
          <w:trHeight w:val="216"/>
        </w:trPr>
        <w:tc>
          <w:tcPr>
            <w:tcW w:w="5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Proceeds, before expenses, to the Issuer</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40" w:type="dxa"/>
            <w:vAlign w:val="bottom"/>
            <w:shd w:val="clear" w:color="auto" w:fill="CCEEFF"/>
          </w:tcPr>
          <w:p>
            <w:pPr>
              <w:jc w:val="right"/>
              <w:ind w:right="1050"/>
              <w:spacing w:after="0"/>
              <w:rPr>
                <w:sz w:val="20"/>
                <w:szCs w:val="20"/>
                <w:color w:val="auto"/>
              </w:rPr>
            </w:pPr>
            <w:r>
              <w:rPr>
                <w:rFonts w:ascii="Arial" w:cs="Arial" w:eastAsia="Arial" w:hAnsi="Arial"/>
                <w:sz w:val="18"/>
                <w:szCs w:val="18"/>
                <w:color w:val="auto"/>
              </w:rPr>
              <w:t>970</w:t>
            </w:r>
          </w:p>
        </w:tc>
        <w:tc>
          <w:tcPr>
            <w:tcW w:w="4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72,750,000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136525</wp:posOffset>
            </wp:positionH>
            <wp:positionV relativeFrom="paragraph">
              <wp:posOffset>102870</wp:posOffset>
            </wp:positionV>
            <wp:extent cx="77152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82" w:lineRule="exact"/>
        <w:rPr>
          <w:sz w:val="24"/>
          <w:szCs w:val="24"/>
          <w:color w:val="auto"/>
        </w:rPr>
      </w:pPr>
    </w:p>
    <w:p>
      <w:pPr>
        <w:ind w:left="220"/>
        <w:spacing w:after="0"/>
        <w:tabs>
          <w:tab w:leader="none" w:pos="640" w:val="left"/>
        </w:tabs>
        <w:rPr>
          <w:sz w:val="20"/>
          <w:szCs w:val="20"/>
          <w:color w:val="auto"/>
        </w:rPr>
      </w:pPr>
      <w:r>
        <w:rPr>
          <w:rFonts w:ascii="Arial" w:cs="Arial" w:eastAsia="Arial" w:hAnsi="Arial"/>
          <w:sz w:val="18"/>
          <w:szCs w:val="18"/>
          <w:color w:val="auto"/>
        </w:rPr>
        <w:t>(1)</w:t>
        <w:tab/>
        <w:t>Plus accrued interest, if any, from the Settlement Date.</w:t>
      </w:r>
    </w:p>
    <w:p>
      <w:pPr>
        <w:sectPr>
          <w:pgSz w:w="11900" w:h="16838" w:orient="portrait"/>
          <w:cols w:equalWidth="0" w:num="2">
            <w:col w:w="2900" w:space="80"/>
            <w:col w:w="8440"/>
          </w:cols>
          <w:pgMar w:left="240" w:top="234" w:right="2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2840" w:type="dxa"/>
            <w:vAlign w:val="bottom"/>
            <w:gridSpan w:val="2"/>
          </w:tcPr>
          <w:p>
            <w:pPr>
              <w:spacing w:after="0"/>
              <w:rPr>
                <w:sz w:val="20"/>
                <w:szCs w:val="20"/>
                <w:color w:val="auto"/>
              </w:rPr>
            </w:pPr>
            <w:r>
              <w:rPr>
                <w:rFonts w:ascii="Arial" w:cs="Arial" w:eastAsia="Arial" w:hAnsi="Arial"/>
                <w:sz w:val="18"/>
                <w:szCs w:val="18"/>
                <w:color w:val="auto"/>
              </w:rPr>
              <w:t>Sole Book-Running Manager:</w:t>
            </w:r>
          </w:p>
        </w:tc>
        <w:tc>
          <w:tcPr>
            <w:tcW w:w="2540" w:type="dxa"/>
            <w:vAlign w:val="bottom"/>
            <w:gridSpan w:val="7"/>
          </w:tcPr>
          <w:p>
            <w:pPr>
              <w:ind w:left="500"/>
              <w:spacing w:after="0"/>
              <w:rPr>
                <w:sz w:val="20"/>
                <w:szCs w:val="20"/>
                <w:color w:val="auto"/>
              </w:rPr>
            </w:pPr>
            <w:r>
              <w:rPr>
                <w:rFonts w:ascii="Arial" w:cs="Arial" w:eastAsia="Arial" w:hAnsi="Arial"/>
                <w:sz w:val="18"/>
                <w:szCs w:val="18"/>
                <w:color w:val="auto"/>
                <w:w w:val="92"/>
              </w:rPr>
              <w:t>J.P. Morgan Securities LLC</w:t>
            </w: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40" w:type="dxa"/>
            <w:vAlign w:val="bottom"/>
            <w:gridSpan w:val="2"/>
          </w:tcPr>
          <w:p>
            <w:pPr>
              <w:spacing w:after="0"/>
              <w:rPr>
                <w:sz w:val="20"/>
                <w:szCs w:val="20"/>
                <w:color w:val="auto"/>
              </w:rPr>
            </w:pPr>
            <w:r>
              <w:rPr>
                <w:rFonts w:ascii="Arial" w:cs="Arial" w:eastAsia="Arial" w:hAnsi="Arial"/>
                <w:sz w:val="18"/>
                <w:szCs w:val="18"/>
                <w:color w:val="auto"/>
              </w:rPr>
              <w:t>Co-manager:</w:t>
            </w:r>
          </w:p>
        </w:tc>
        <w:tc>
          <w:tcPr>
            <w:tcW w:w="3400" w:type="dxa"/>
            <w:vAlign w:val="bottom"/>
            <w:gridSpan w:val="9"/>
          </w:tcPr>
          <w:p>
            <w:pPr>
              <w:ind w:left="500"/>
              <w:spacing w:after="0"/>
              <w:rPr>
                <w:sz w:val="20"/>
                <w:szCs w:val="20"/>
                <w:color w:val="auto"/>
              </w:rPr>
            </w:pPr>
            <w:r>
              <w:rPr>
                <w:rFonts w:ascii="Arial" w:cs="Arial" w:eastAsia="Arial" w:hAnsi="Arial"/>
                <w:sz w:val="18"/>
                <w:szCs w:val="18"/>
                <w:color w:val="auto"/>
              </w:rPr>
              <w:t>Deutsche Bank Securities Inc.</w:t>
            </w: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840" w:type="dxa"/>
            <w:vAlign w:val="bottom"/>
            <w:gridSpan w:val="2"/>
          </w:tcPr>
          <w:p>
            <w:pPr>
              <w:spacing w:after="0"/>
              <w:rPr>
                <w:sz w:val="20"/>
                <w:szCs w:val="20"/>
                <w:color w:val="auto"/>
              </w:rPr>
            </w:pPr>
            <w:r>
              <w:rPr>
                <w:rFonts w:ascii="Arial" w:cs="Arial" w:eastAsia="Arial" w:hAnsi="Arial"/>
                <w:sz w:val="18"/>
                <w:szCs w:val="18"/>
                <w:color w:val="auto"/>
              </w:rPr>
              <w:t>CUSIP:</w:t>
            </w:r>
          </w:p>
        </w:tc>
        <w:tc>
          <w:tcPr>
            <w:tcW w:w="1720" w:type="dxa"/>
            <w:vAlign w:val="bottom"/>
            <w:gridSpan w:val="5"/>
          </w:tcPr>
          <w:p>
            <w:pPr>
              <w:ind w:left="500"/>
              <w:spacing w:after="0"/>
              <w:rPr>
                <w:sz w:val="20"/>
                <w:szCs w:val="20"/>
                <w:color w:val="auto"/>
              </w:rPr>
            </w:pPr>
            <w:r>
              <w:rPr>
                <w:rFonts w:ascii="Arial" w:cs="Arial" w:eastAsia="Arial" w:hAnsi="Arial"/>
                <w:sz w:val="18"/>
                <w:szCs w:val="18"/>
                <w:color w:val="auto"/>
              </w:rPr>
              <w:t>887399 AA1</w:t>
            </w:r>
          </w:p>
        </w:tc>
        <w:tc>
          <w:tcPr>
            <w:tcW w:w="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840" w:type="dxa"/>
            <w:vAlign w:val="bottom"/>
            <w:gridSpan w:val="2"/>
          </w:tcPr>
          <w:p>
            <w:pPr>
              <w:spacing w:after="0"/>
              <w:rPr>
                <w:sz w:val="20"/>
                <w:szCs w:val="20"/>
                <w:color w:val="auto"/>
              </w:rPr>
            </w:pPr>
            <w:r>
              <w:rPr>
                <w:rFonts w:ascii="Arial" w:cs="Arial" w:eastAsia="Arial" w:hAnsi="Arial"/>
                <w:sz w:val="18"/>
                <w:szCs w:val="18"/>
                <w:color w:val="auto"/>
              </w:rPr>
              <w:t>ISIN:</w:t>
            </w:r>
          </w:p>
        </w:tc>
        <w:tc>
          <w:tcPr>
            <w:tcW w:w="1720" w:type="dxa"/>
            <w:vAlign w:val="bottom"/>
            <w:gridSpan w:val="5"/>
          </w:tcPr>
          <w:p>
            <w:pPr>
              <w:ind w:left="500"/>
              <w:spacing w:after="0"/>
              <w:rPr>
                <w:sz w:val="20"/>
                <w:szCs w:val="20"/>
                <w:color w:val="auto"/>
              </w:rPr>
            </w:pPr>
            <w:r>
              <w:rPr>
                <w:rFonts w:ascii="Arial" w:cs="Arial" w:eastAsia="Arial" w:hAnsi="Arial"/>
                <w:sz w:val="18"/>
                <w:szCs w:val="18"/>
                <w:color w:val="auto"/>
                <w:w w:val="92"/>
              </w:rPr>
              <w:t>US887399AA15</w:t>
            </w:r>
          </w:p>
        </w:tc>
        <w:tc>
          <w:tcPr>
            <w:tcW w:w="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2840" w:type="dxa"/>
            <w:vAlign w:val="bottom"/>
            <w:gridSpan w:val="2"/>
          </w:tcPr>
          <w:p>
            <w:pPr>
              <w:spacing w:after="0"/>
              <w:rPr>
                <w:sz w:val="20"/>
                <w:szCs w:val="20"/>
                <w:color w:val="auto"/>
              </w:rPr>
            </w:pPr>
            <w:r>
              <w:rPr>
                <w:rFonts w:ascii="Arial" w:cs="Arial" w:eastAsia="Arial" w:hAnsi="Arial"/>
                <w:sz w:val="18"/>
                <w:szCs w:val="18"/>
                <w:color w:val="auto"/>
              </w:rPr>
              <w:t>Increase in Conversion Rate Upon</w:t>
            </w: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Conversion Upon a Make-Whole</w:t>
            </w: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40" w:type="dxa"/>
            <w:vAlign w:val="bottom"/>
            <w:gridSpan w:val="2"/>
          </w:tcPr>
          <w:p>
            <w:pPr>
              <w:spacing w:after="0"/>
              <w:rPr>
                <w:sz w:val="20"/>
                <w:szCs w:val="20"/>
                <w:color w:val="auto"/>
              </w:rPr>
            </w:pPr>
            <w:r>
              <w:rPr>
                <w:rFonts w:ascii="Arial" w:cs="Arial" w:eastAsia="Arial" w:hAnsi="Arial"/>
                <w:sz w:val="18"/>
                <w:szCs w:val="18"/>
                <w:color w:val="auto"/>
              </w:rPr>
              <w:t>Fundamental Change:</w:t>
            </w: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8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8580" w:type="dxa"/>
            <w:vAlign w:val="bottom"/>
            <w:gridSpan w:val="23"/>
          </w:tcPr>
          <w:p>
            <w:pPr>
              <w:ind w:left="500"/>
              <w:spacing w:after="0"/>
              <w:rPr>
                <w:sz w:val="20"/>
                <w:szCs w:val="20"/>
                <w:color w:val="auto"/>
              </w:rPr>
            </w:pPr>
            <w:r>
              <w:rPr>
                <w:rFonts w:ascii="Arial" w:cs="Arial" w:eastAsia="Arial" w:hAnsi="Arial"/>
                <w:sz w:val="18"/>
                <w:szCs w:val="18"/>
                <w:color w:val="auto"/>
                <w:w w:val="94"/>
              </w:rPr>
              <w:t>Following the occurrence of a “make-whole fundamental change” (as defined in the Preliminary Prospectus</w:t>
            </w:r>
          </w:p>
        </w:tc>
        <w:tc>
          <w:tcPr>
            <w:tcW w:w="0" w:type="dxa"/>
            <w:vAlign w:val="bottom"/>
          </w:tcPr>
          <w:p>
            <w:pPr>
              <w:spacing w:after="0"/>
              <w:rPr>
                <w:sz w:val="1"/>
                <w:szCs w:val="1"/>
                <w:color w:val="auto"/>
              </w:rPr>
            </w:pPr>
          </w:p>
        </w:tc>
      </w:tr>
      <w:tr>
        <w:trPr>
          <w:trHeight w:val="216"/>
        </w:trPr>
        <w:tc>
          <w:tcPr>
            <w:tcW w:w="8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7940" w:type="dxa"/>
            <w:vAlign w:val="bottom"/>
            <w:gridSpan w:val="21"/>
          </w:tcPr>
          <w:p>
            <w:pPr>
              <w:ind w:left="500"/>
              <w:spacing w:after="0"/>
              <w:rPr>
                <w:sz w:val="20"/>
                <w:szCs w:val="20"/>
                <w:color w:val="auto"/>
              </w:rPr>
            </w:pPr>
            <w:r>
              <w:rPr>
                <w:rFonts w:ascii="Arial" w:cs="Arial" w:eastAsia="Arial" w:hAnsi="Arial"/>
                <w:sz w:val="18"/>
                <w:szCs w:val="18"/>
                <w:color w:val="auto"/>
                <w:w w:val="90"/>
              </w:rPr>
              <w:t>Supplement), the Issuer will increase the conversion rate for a holder who elects to convert its Notes in</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7940" w:type="dxa"/>
            <w:vAlign w:val="bottom"/>
            <w:gridSpan w:val="21"/>
          </w:tcPr>
          <w:p>
            <w:pPr>
              <w:ind w:left="500"/>
              <w:spacing w:after="0"/>
              <w:rPr>
                <w:sz w:val="20"/>
                <w:szCs w:val="20"/>
                <w:color w:val="auto"/>
              </w:rPr>
            </w:pPr>
            <w:r>
              <w:rPr>
                <w:rFonts w:ascii="Arial" w:cs="Arial" w:eastAsia="Arial" w:hAnsi="Arial"/>
                <w:sz w:val="18"/>
                <w:szCs w:val="18"/>
                <w:color w:val="auto"/>
                <w:w w:val="92"/>
              </w:rPr>
              <w:t>connection with such make-whole fundamental change in certain circumstances, as described under</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8580" w:type="dxa"/>
            <w:vAlign w:val="bottom"/>
            <w:gridSpan w:val="23"/>
          </w:tcPr>
          <w:p>
            <w:pPr>
              <w:ind w:left="500"/>
              <w:spacing w:after="0"/>
              <w:rPr>
                <w:sz w:val="20"/>
                <w:szCs w:val="20"/>
                <w:color w:val="auto"/>
              </w:rPr>
            </w:pPr>
            <w:r>
              <w:rPr>
                <w:rFonts w:ascii="Arial" w:cs="Arial" w:eastAsia="Arial" w:hAnsi="Arial"/>
                <w:sz w:val="18"/>
                <w:szCs w:val="18"/>
                <w:color w:val="auto"/>
                <w:w w:val="94"/>
              </w:rPr>
              <w:t>“Description of notes—Conversion rights—Increase in conversion rate upon conversion upon a make-whole</w:t>
            </w:r>
          </w:p>
        </w:tc>
        <w:tc>
          <w:tcPr>
            <w:tcW w:w="0" w:type="dxa"/>
            <w:vAlign w:val="bottom"/>
          </w:tcPr>
          <w:p>
            <w:pPr>
              <w:spacing w:after="0"/>
              <w:rPr>
                <w:sz w:val="1"/>
                <w:szCs w:val="1"/>
                <w:color w:val="auto"/>
              </w:rPr>
            </w:pPr>
          </w:p>
        </w:tc>
      </w:tr>
      <w:tr>
        <w:trPr>
          <w:trHeight w:val="230"/>
        </w:trPr>
        <w:tc>
          <w:tcPr>
            <w:tcW w:w="88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5660" w:type="dxa"/>
            <w:vAlign w:val="bottom"/>
            <w:gridSpan w:val="15"/>
          </w:tcPr>
          <w:p>
            <w:pPr>
              <w:ind w:left="500"/>
              <w:spacing w:after="0"/>
              <w:rPr>
                <w:sz w:val="20"/>
                <w:szCs w:val="20"/>
                <w:color w:val="auto"/>
              </w:rPr>
            </w:pPr>
            <w:r>
              <w:rPr>
                <w:rFonts w:ascii="Arial" w:cs="Arial" w:eastAsia="Arial" w:hAnsi="Arial"/>
                <w:sz w:val="18"/>
                <w:szCs w:val="18"/>
                <w:color w:val="auto"/>
                <w:w w:val="99"/>
              </w:rPr>
              <w:t>fundamental change” in the Preliminary Prospectus Supplement.</w:t>
            </w: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5"/>
        </w:trPr>
        <w:tc>
          <w:tcPr>
            <w:tcW w:w="8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8580" w:type="dxa"/>
            <w:vAlign w:val="bottom"/>
            <w:gridSpan w:val="23"/>
          </w:tcPr>
          <w:p>
            <w:pPr>
              <w:ind w:left="500"/>
              <w:spacing w:after="0"/>
              <w:rPr>
                <w:sz w:val="20"/>
                <w:szCs w:val="20"/>
                <w:color w:val="auto"/>
              </w:rPr>
            </w:pPr>
            <w:r>
              <w:rPr>
                <w:rFonts w:ascii="Arial" w:cs="Arial" w:eastAsia="Arial" w:hAnsi="Arial"/>
                <w:sz w:val="18"/>
                <w:szCs w:val="18"/>
                <w:color w:val="auto"/>
                <w:w w:val="94"/>
              </w:rPr>
              <w:t>The following table sets forth the number of additional shares by which the conversion rate will be increased</w:t>
            </w:r>
          </w:p>
        </w:tc>
        <w:tc>
          <w:tcPr>
            <w:tcW w:w="0" w:type="dxa"/>
            <w:vAlign w:val="bottom"/>
          </w:tcPr>
          <w:p>
            <w:pPr>
              <w:spacing w:after="0"/>
              <w:rPr>
                <w:sz w:val="1"/>
                <w:szCs w:val="1"/>
                <w:color w:val="auto"/>
              </w:rPr>
            </w:pPr>
          </w:p>
        </w:tc>
      </w:tr>
      <w:tr>
        <w:trPr>
          <w:trHeight w:val="216"/>
        </w:trPr>
        <w:tc>
          <w:tcPr>
            <w:tcW w:w="8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8580" w:type="dxa"/>
            <w:vAlign w:val="bottom"/>
            <w:gridSpan w:val="23"/>
          </w:tcPr>
          <w:p>
            <w:pPr>
              <w:ind w:left="500"/>
              <w:spacing w:after="0"/>
              <w:rPr>
                <w:sz w:val="20"/>
                <w:szCs w:val="20"/>
                <w:color w:val="auto"/>
              </w:rPr>
            </w:pPr>
            <w:r>
              <w:rPr>
                <w:rFonts w:ascii="Arial" w:cs="Arial" w:eastAsia="Arial" w:hAnsi="Arial"/>
                <w:sz w:val="18"/>
                <w:szCs w:val="18"/>
                <w:color w:val="auto"/>
                <w:w w:val="91"/>
              </w:rPr>
              <w:t>per $1,000 principal amount of Notes for conversions in connection with a make-whole fundamental change for</w:t>
            </w:r>
          </w:p>
        </w:tc>
        <w:tc>
          <w:tcPr>
            <w:tcW w:w="0" w:type="dxa"/>
            <w:vAlign w:val="bottom"/>
          </w:tcPr>
          <w:p>
            <w:pPr>
              <w:spacing w:after="0"/>
              <w:rPr>
                <w:sz w:val="1"/>
                <w:szCs w:val="1"/>
                <w:color w:val="auto"/>
              </w:rPr>
            </w:pPr>
          </w:p>
        </w:tc>
      </w:tr>
      <w:tr>
        <w:trPr>
          <w:trHeight w:val="230"/>
        </w:trPr>
        <w:tc>
          <w:tcPr>
            <w:tcW w:w="88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4160" w:type="dxa"/>
            <w:vAlign w:val="bottom"/>
            <w:gridSpan w:val="11"/>
          </w:tcPr>
          <w:p>
            <w:pPr>
              <w:ind w:left="500"/>
              <w:spacing w:after="0"/>
              <w:rPr>
                <w:sz w:val="20"/>
                <w:szCs w:val="20"/>
                <w:color w:val="auto"/>
              </w:rPr>
            </w:pPr>
            <w:r>
              <w:rPr>
                <w:rFonts w:ascii="Arial" w:cs="Arial" w:eastAsia="Arial" w:hAnsi="Arial"/>
                <w:sz w:val="18"/>
                <w:szCs w:val="18"/>
                <w:color w:val="auto"/>
                <w:w w:val="89"/>
              </w:rPr>
              <w:t>each share price and effective date set forth below:</w:t>
            </w: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880" w:type="dxa"/>
            <w:vAlign w:val="bottom"/>
            <w:vMerge w:val="restart"/>
          </w:tcPr>
          <w:p>
            <w:pPr>
              <w:spacing w:after="0"/>
              <w:rPr>
                <w:sz w:val="20"/>
                <w:szCs w:val="20"/>
                <w:color w:val="auto"/>
              </w:rPr>
            </w:pPr>
            <w:r>
              <w:rPr>
                <w:rFonts w:ascii="Arial" w:cs="Arial" w:eastAsia="Arial" w:hAnsi="Arial"/>
                <w:sz w:val="14"/>
                <w:szCs w:val="14"/>
                <w:b w:val="1"/>
                <w:bCs w:val="1"/>
                <w:color w:val="auto"/>
                <w:w w:val="92"/>
              </w:rPr>
              <w:t>Effective Date</w:t>
            </w:r>
          </w:p>
        </w:tc>
        <w:tc>
          <w:tcPr>
            <w:tcW w:w="1960" w:type="dxa"/>
            <w:vAlign w:val="bottom"/>
            <w:vMerge w:val="restart"/>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4"/>
          </w:tcPr>
          <w:p>
            <w:pPr>
              <w:ind w:left="480"/>
              <w:spacing w:after="0"/>
              <w:rPr>
                <w:sz w:val="20"/>
                <w:szCs w:val="20"/>
                <w:color w:val="auto"/>
              </w:rPr>
            </w:pPr>
            <w:r>
              <w:rPr>
                <w:rFonts w:ascii="Arial" w:cs="Arial" w:eastAsia="Arial" w:hAnsi="Arial"/>
                <w:sz w:val="14"/>
                <w:szCs w:val="14"/>
                <w:b w:val="1"/>
                <w:bCs w:val="1"/>
                <w:color w:val="auto"/>
              </w:rPr>
              <w:t>Share Price</w:t>
            </w:r>
          </w:p>
        </w:tc>
        <w:tc>
          <w:tcPr>
            <w:tcW w:w="5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880" w:type="dxa"/>
            <w:vAlign w:val="bottom"/>
            <w:tcBorders>
              <w:bottom w:val="single" w:sz="8" w:color="auto"/>
            </w:tcBorders>
            <w:vMerge w:val="continue"/>
          </w:tcPr>
          <w:p>
            <w:pPr>
              <w:spacing w:after="0"/>
              <w:rPr>
                <w:sz w:val="12"/>
                <w:szCs w:val="12"/>
                <w:color w:val="auto"/>
              </w:rPr>
            </w:pPr>
          </w:p>
        </w:tc>
        <w:tc>
          <w:tcPr>
            <w:tcW w:w="1960" w:type="dxa"/>
            <w:vAlign w:val="bottom"/>
            <w:vMerge w:val="continue"/>
          </w:tcPr>
          <w:p>
            <w:pPr>
              <w:spacing w:after="0"/>
              <w:rPr>
                <w:sz w:val="12"/>
                <w:szCs w:val="12"/>
                <w:color w:val="auto"/>
              </w:rPr>
            </w:pPr>
          </w:p>
        </w:tc>
        <w:tc>
          <w:tcPr>
            <w:tcW w:w="640" w:type="dxa"/>
            <w:vAlign w:val="bottom"/>
          </w:tcPr>
          <w:p>
            <w:pPr>
              <w:ind w:left="120"/>
              <w:spacing w:after="0" w:line="129" w:lineRule="exact"/>
              <w:rPr>
                <w:sz w:val="20"/>
                <w:szCs w:val="20"/>
                <w:color w:val="auto"/>
              </w:rPr>
            </w:pPr>
            <w:r>
              <w:rPr>
                <w:rFonts w:ascii="Arial" w:cs="Arial" w:eastAsia="Arial" w:hAnsi="Arial"/>
                <w:sz w:val="14"/>
                <w:szCs w:val="14"/>
                <w:color w:val="auto"/>
              </w:rPr>
              <w:t>$10.48</w:t>
            </w:r>
          </w:p>
        </w:tc>
        <w:tc>
          <w:tcPr>
            <w:tcW w:w="200" w:type="dxa"/>
            <w:vAlign w:val="bottom"/>
          </w:tcPr>
          <w:p>
            <w:pPr>
              <w:spacing w:after="0"/>
              <w:rPr>
                <w:sz w:val="12"/>
                <w:szCs w:val="12"/>
                <w:color w:val="auto"/>
              </w:rPr>
            </w:pPr>
          </w:p>
        </w:tc>
        <w:tc>
          <w:tcPr>
            <w:tcW w:w="640" w:type="dxa"/>
            <w:vAlign w:val="bottom"/>
          </w:tcPr>
          <w:p>
            <w:pPr>
              <w:jc w:val="right"/>
              <w:ind w:right="33"/>
              <w:spacing w:after="0" w:line="129" w:lineRule="exact"/>
              <w:rPr>
                <w:sz w:val="20"/>
                <w:szCs w:val="20"/>
                <w:color w:val="auto"/>
              </w:rPr>
            </w:pPr>
            <w:r>
              <w:rPr>
                <w:rFonts w:ascii="Arial" w:cs="Arial" w:eastAsia="Arial" w:hAnsi="Arial"/>
                <w:sz w:val="14"/>
                <w:szCs w:val="14"/>
                <w:color w:val="auto"/>
              </w:rPr>
              <w:t>$12.58</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20" w:type="dxa"/>
            <w:vAlign w:val="bottom"/>
          </w:tcPr>
          <w:p>
            <w:pPr>
              <w:jc w:val="right"/>
              <w:ind w:right="33"/>
              <w:spacing w:after="0" w:line="129" w:lineRule="exact"/>
              <w:rPr>
                <w:sz w:val="20"/>
                <w:szCs w:val="20"/>
                <w:color w:val="auto"/>
              </w:rPr>
            </w:pPr>
            <w:r>
              <w:rPr>
                <w:rFonts w:ascii="Arial" w:cs="Arial" w:eastAsia="Arial" w:hAnsi="Arial"/>
                <w:sz w:val="14"/>
                <w:szCs w:val="14"/>
                <w:color w:val="auto"/>
              </w:rPr>
              <w:t>$15.00</w:t>
            </w:r>
          </w:p>
        </w:tc>
        <w:tc>
          <w:tcPr>
            <w:tcW w:w="200" w:type="dxa"/>
            <w:vAlign w:val="bottom"/>
          </w:tcPr>
          <w:p>
            <w:pPr>
              <w:spacing w:after="0"/>
              <w:rPr>
                <w:sz w:val="12"/>
                <w:szCs w:val="12"/>
                <w:color w:val="auto"/>
              </w:rPr>
            </w:pPr>
          </w:p>
        </w:tc>
        <w:tc>
          <w:tcPr>
            <w:tcW w:w="660" w:type="dxa"/>
            <w:vAlign w:val="bottom"/>
          </w:tcPr>
          <w:p>
            <w:pPr>
              <w:jc w:val="right"/>
              <w:ind w:right="53"/>
              <w:spacing w:after="0" w:line="129" w:lineRule="exact"/>
              <w:rPr>
                <w:sz w:val="20"/>
                <w:szCs w:val="20"/>
                <w:color w:val="auto"/>
              </w:rPr>
            </w:pPr>
            <w:r>
              <w:rPr>
                <w:rFonts w:ascii="Arial" w:cs="Arial" w:eastAsia="Arial" w:hAnsi="Arial"/>
                <w:sz w:val="14"/>
                <w:szCs w:val="14"/>
                <w:color w:val="auto"/>
              </w:rPr>
              <w:t>$20.00</w:t>
            </w:r>
          </w:p>
        </w:tc>
        <w:tc>
          <w:tcPr>
            <w:tcW w:w="200" w:type="dxa"/>
            <w:vAlign w:val="bottom"/>
          </w:tcPr>
          <w:p>
            <w:pPr>
              <w:spacing w:after="0"/>
              <w:rPr>
                <w:sz w:val="12"/>
                <w:szCs w:val="12"/>
                <w:color w:val="auto"/>
              </w:rPr>
            </w:pPr>
          </w:p>
        </w:tc>
        <w:tc>
          <w:tcPr>
            <w:tcW w:w="540" w:type="dxa"/>
            <w:vAlign w:val="bottom"/>
          </w:tcPr>
          <w:p>
            <w:pPr>
              <w:ind w:left="80"/>
              <w:spacing w:after="0" w:line="129" w:lineRule="exact"/>
              <w:rPr>
                <w:sz w:val="20"/>
                <w:szCs w:val="20"/>
                <w:color w:val="auto"/>
              </w:rPr>
            </w:pPr>
            <w:r>
              <w:rPr>
                <w:rFonts w:ascii="Arial" w:cs="Arial" w:eastAsia="Arial" w:hAnsi="Arial"/>
                <w:sz w:val="14"/>
                <w:szCs w:val="14"/>
                <w:color w:val="auto"/>
              </w:rPr>
              <w:t>$25.00</w:t>
            </w:r>
          </w:p>
        </w:tc>
        <w:tc>
          <w:tcPr>
            <w:tcW w:w="220" w:type="dxa"/>
            <w:vAlign w:val="bottom"/>
          </w:tcPr>
          <w:p>
            <w:pPr>
              <w:spacing w:after="0"/>
              <w:rPr>
                <w:sz w:val="12"/>
                <w:szCs w:val="12"/>
                <w:color w:val="auto"/>
              </w:rPr>
            </w:pPr>
          </w:p>
        </w:tc>
        <w:tc>
          <w:tcPr>
            <w:tcW w:w="540" w:type="dxa"/>
            <w:vAlign w:val="bottom"/>
          </w:tcPr>
          <w:p>
            <w:pPr>
              <w:ind w:left="60"/>
              <w:spacing w:after="0" w:line="129" w:lineRule="exact"/>
              <w:rPr>
                <w:sz w:val="20"/>
                <w:szCs w:val="20"/>
                <w:color w:val="auto"/>
              </w:rPr>
            </w:pPr>
            <w:r>
              <w:rPr>
                <w:rFonts w:ascii="Arial" w:cs="Arial" w:eastAsia="Arial" w:hAnsi="Arial"/>
                <w:sz w:val="14"/>
                <w:szCs w:val="14"/>
                <w:color w:val="auto"/>
              </w:rPr>
              <w:t>$30.00</w:t>
            </w:r>
          </w:p>
        </w:tc>
        <w:tc>
          <w:tcPr>
            <w:tcW w:w="200" w:type="dxa"/>
            <w:vAlign w:val="bottom"/>
          </w:tcPr>
          <w:p>
            <w:pPr>
              <w:spacing w:after="0"/>
              <w:rPr>
                <w:sz w:val="12"/>
                <w:szCs w:val="12"/>
                <w:color w:val="auto"/>
              </w:rPr>
            </w:pPr>
          </w:p>
        </w:tc>
        <w:tc>
          <w:tcPr>
            <w:tcW w:w="560" w:type="dxa"/>
            <w:vAlign w:val="bottom"/>
          </w:tcPr>
          <w:p>
            <w:pPr>
              <w:ind w:left="80"/>
              <w:spacing w:after="0" w:line="129" w:lineRule="exact"/>
              <w:rPr>
                <w:sz w:val="20"/>
                <w:szCs w:val="20"/>
                <w:color w:val="auto"/>
              </w:rPr>
            </w:pPr>
            <w:r>
              <w:rPr>
                <w:rFonts w:ascii="Arial" w:cs="Arial" w:eastAsia="Arial" w:hAnsi="Arial"/>
                <w:sz w:val="14"/>
                <w:szCs w:val="14"/>
                <w:color w:val="auto"/>
              </w:rPr>
              <w:t>$35.00</w:t>
            </w:r>
          </w:p>
        </w:tc>
        <w:tc>
          <w:tcPr>
            <w:tcW w:w="200" w:type="dxa"/>
            <w:vAlign w:val="bottom"/>
          </w:tcPr>
          <w:p>
            <w:pPr>
              <w:spacing w:after="0"/>
              <w:rPr>
                <w:sz w:val="12"/>
                <w:szCs w:val="12"/>
                <w:color w:val="auto"/>
              </w:rPr>
            </w:pPr>
          </w:p>
        </w:tc>
        <w:tc>
          <w:tcPr>
            <w:tcW w:w="560" w:type="dxa"/>
            <w:vAlign w:val="bottom"/>
          </w:tcPr>
          <w:p>
            <w:pPr>
              <w:jc w:val="right"/>
              <w:spacing w:after="0" w:line="129" w:lineRule="exact"/>
              <w:rPr>
                <w:sz w:val="20"/>
                <w:szCs w:val="20"/>
                <w:color w:val="auto"/>
              </w:rPr>
            </w:pPr>
            <w:r>
              <w:rPr>
                <w:rFonts w:ascii="Arial" w:cs="Arial" w:eastAsia="Arial" w:hAnsi="Arial"/>
                <w:sz w:val="14"/>
                <w:szCs w:val="14"/>
                <w:color w:val="auto"/>
              </w:rPr>
              <w:t>$40.00</w:t>
            </w:r>
          </w:p>
        </w:tc>
        <w:tc>
          <w:tcPr>
            <w:tcW w:w="200" w:type="dxa"/>
            <w:vAlign w:val="bottom"/>
          </w:tcPr>
          <w:p>
            <w:pPr>
              <w:spacing w:after="0"/>
              <w:rPr>
                <w:sz w:val="12"/>
                <w:szCs w:val="12"/>
                <w:color w:val="auto"/>
              </w:rPr>
            </w:pPr>
          </w:p>
        </w:tc>
        <w:tc>
          <w:tcPr>
            <w:tcW w:w="560" w:type="dxa"/>
            <w:vAlign w:val="bottom"/>
          </w:tcPr>
          <w:p>
            <w:pPr>
              <w:ind w:left="80"/>
              <w:spacing w:after="0" w:line="129" w:lineRule="exact"/>
              <w:rPr>
                <w:sz w:val="20"/>
                <w:szCs w:val="20"/>
                <w:color w:val="auto"/>
              </w:rPr>
            </w:pPr>
            <w:r>
              <w:rPr>
                <w:rFonts w:ascii="Arial" w:cs="Arial" w:eastAsia="Arial" w:hAnsi="Arial"/>
                <w:sz w:val="14"/>
                <w:szCs w:val="14"/>
                <w:color w:val="auto"/>
              </w:rPr>
              <w:t>$50.00</w:t>
            </w:r>
          </w:p>
        </w:tc>
        <w:tc>
          <w:tcPr>
            <w:tcW w:w="200" w:type="dxa"/>
            <w:vAlign w:val="bottom"/>
          </w:tcPr>
          <w:p>
            <w:pPr>
              <w:spacing w:after="0"/>
              <w:rPr>
                <w:sz w:val="12"/>
                <w:szCs w:val="12"/>
                <w:color w:val="auto"/>
              </w:rPr>
            </w:pPr>
          </w:p>
        </w:tc>
        <w:tc>
          <w:tcPr>
            <w:tcW w:w="540" w:type="dxa"/>
            <w:vAlign w:val="bottom"/>
          </w:tcPr>
          <w:p>
            <w:pPr>
              <w:ind w:left="80"/>
              <w:spacing w:after="0" w:line="129" w:lineRule="exact"/>
              <w:rPr>
                <w:sz w:val="20"/>
                <w:szCs w:val="20"/>
                <w:color w:val="auto"/>
              </w:rPr>
            </w:pPr>
            <w:r>
              <w:rPr>
                <w:rFonts w:ascii="Arial" w:cs="Arial" w:eastAsia="Arial" w:hAnsi="Arial"/>
                <w:sz w:val="14"/>
                <w:szCs w:val="14"/>
                <w:color w:val="auto"/>
              </w:rPr>
              <w:t>$60.00</w:t>
            </w:r>
          </w:p>
        </w:tc>
        <w:tc>
          <w:tcPr>
            <w:tcW w:w="220" w:type="dxa"/>
            <w:vAlign w:val="bottom"/>
          </w:tcPr>
          <w:p>
            <w:pPr>
              <w:spacing w:after="0"/>
              <w:rPr>
                <w:sz w:val="12"/>
                <w:szCs w:val="12"/>
                <w:color w:val="auto"/>
              </w:rPr>
            </w:pPr>
          </w:p>
        </w:tc>
        <w:tc>
          <w:tcPr>
            <w:tcW w:w="540" w:type="dxa"/>
            <w:vAlign w:val="bottom"/>
          </w:tcPr>
          <w:p>
            <w:pPr>
              <w:ind w:left="80"/>
              <w:spacing w:after="0" w:line="129" w:lineRule="exact"/>
              <w:rPr>
                <w:sz w:val="20"/>
                <w:szCs w:val="20"/>
                <w:color w:val="auto"/>
              </w:rPr>
            </w:pPr>
            <w:r>
              <w:rPr>
                <w:rFonts w:ascii="Arial" w:cs="Arial" w:eastAsia="Arial" w:hAnsi="Arial"/>
                <w:sz w:val="14"/>
                <w:szCs w:val="14"/>
                <w:color w:val="auto"/>
              </w:rPr>
              <w:t>$70.00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840" w:type="dxa"/>
            <w:vAlign w:val="bottom"/>
            <w:tcBorders>
              <w:top w:val="single" w:sz="8" w:color="CCEEFF"/>
            </w:tcBorders>
            <w:gridSpan w:val="2"/>
            <w:shd w:val="clear" w:color="auto" w:fill="CCEEFF"/>
          </w:tcPr>
          <w:p>
            <w:pPr>
              <w:spacing w:after="0" w:line="203" w:lineRule="exact"/>
              <w:rPr>
                <w:sz w:val="20"/>
                <w:szCs w:val="20"/>
                <w:color w:val="auto"/>
              </w:rPr>
            </w:pPr>
            <w:r>
              <w:rPr>
                <w:rFonts w:ascii="Arial" w:cs="Arial" w:eastAsia="Arial" w:hAnsi="Arial"/>
                <w:sz w:val="18"/>
                <w:szCs w:val="18"/>
                <w:color w:val="auto"/>
              </w:rPr>
              <w:t>May 31, 2016</w:t>
            </w:r>
          </w:p>
        </w:tc>
        <w:tc>
          <w:tcPr>
            <w:tcW w:w="64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6"/>
              </w:rPr>
              <w:t>15.9033</w:t>
            </w:r>
          </w:p>
        </w:tc>
        <w:tc>
          <w:tcPr>
            <w:tcW w:w="20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15.9033</w:t>
            </w:r>
          </w:p>
        </w:tc>
        <w:tc>
          <w:tcPr>
            <w:tcW w:w="2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2"/>
              </w:rPr>
              <w:t>15.9033</w:t>
            </w:r>
          </w:p>
        </w:tc>
        <w:tc>
          <w:tcPr>
            <w:tcW w:w="20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10.4465</w:t>
            </w:r>
          </w:p>
        </w:tc>
        <w:tc>
          <w:tcPr>
            <w:tcW w:w="20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3"/>
              </w:rPr>
              <w:t>6.9129</w:t>
            </w:r>
          </w:p>
        </w:tc>
        <w:tc>
          <w:tcPr>
            <w:tcW w:w="22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ind w:left="40"/>
              <w:spacing w:after="0" w:line="203" w:lineRule="exact"/>
              <w:rPr>
                <w:sz w:val="20"/>
                <w:szCs w:val="20"/>
                <w:color w:val="auto"/>
              </w:rPr>
            </w:pPr>
            <w:r>
              <w:rPr>
                <w:rFonts w:ascii="Arial" w:cs="Arial" w:eastAsia="Arial" w:hAnsi="Arial"/>
                <w:sz w:val="18"/>
                <w:szCs w:val="18"/>
                <w:color w:val="auto"/>
                <w:w w:val="87"/>
              </w:rPr>
              <w:t>4.8343</w:t>
            </w:r>
          </w:p>
        </w:tc>
        <w:tc>
          <w:tcPr>
            <w:tcW w:w="2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7"/>
              </w:rPr>
              <w:t>3.4977</w:t>
            </w:r>
          </w:p>
        </w:tc>
        <w:tc>
          <w:tcPr>
            <w:tcW w:w="2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2.5836</w:t>
            </w:r>
          </w:p>
        </w:tc>
        <w:tc>
          <w:tcPr>
            <w:tcW w:w="2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7"/>
              </w:rPr>
              <w:t>1.4498</w:t>
            </w:r>
          </w:p>
        </w:tc>
        <w:tc>
          <w:tcPr>
            <w:tcW w:w="20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3"/>
              </w:rPr>
              <w:t>0.8103</w:t>
            </w:r>
          </w:p>
        </w:tc>
        <w:tc>
          <w:tcPr>
            <w:tcW w:w="22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3"/>
              </w:rPr>
              <w:t>0.4290</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June 1, 2017</w:t>
            </w:r>
          </w:p>
        </w:tc>
        <w:tc>
          <w:tcPr>
            <w:tcW w:w="840" w:type="dxa"/>
            <w:vAlign w:val="bottom"/>
            <w:gridSpan w:val="2"/>
          </w:tcPr>
          <w:p>
            <w:pPr>
              <w:ind w:left="60"/>
              <w:spacing w:after="0"/>
              <w:rPr>
                <w:sz w:val="20"/>
                <w:szCs w:val="20"/>
                <w:color w:val="auto"/>
              </w:rPr>
            </w:pPr>
            <w:r>
              <w:rPr>
                <w:rFonts w:ascii="Arial" w:cs="Arial" w:eastAsia="Arial" w:hAnsi="Arial"/>
                <w:sz w:val="18"/>
                <w:szCs w:val="18"/>
                <w:color w:val="auto"/>
              </w:rPr>
              <w:t>15.9033</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w w:val="95"/>
              </w:rPr>
              <w:t>15.9033</w:t>
            </w:r>
          </w:p>
        </w:tc>
        <w:tc>
          <w:tcPr>
            <w:tcW w:w="2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w w:val="92"/>
              </w:rPr>
              <w:t>15.8800</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9.2735</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6.0141</w:t>
            </w:r>
          </w:p>
        </w:tc>
        <w:tc>
          <w:tcPr>
            <w:tcW w:w="740" w:type="dxa"/>
            <w:vAlign w:val="bottom"/>
            <w:gridSpan w:val="2"/>
          </w:tcPr>
          <w:p>
            <w:pPr>
              <w:ind w:left="40"/>
              <w:spacing w:after="0"/>
              <w:rPr>
                <w:sz w:val="20"/>
                <w:szCs w:val="20"/>
                <w:color w:val="auto"/>
              </w:rPr>
            </w:pPr>
            <w:r>
              <w:rPr>
                <w:rFonts w:ascii="Arial" w:cs="Arial" w:eastAsia="Arial" w:hAnsi="Arial"/>
                <w:sz w:val="18"/>
                <w:szCs w:val="18"/>
                <w:color w:val="auto"/>
              </w:rPr>
              <w:t>4.1517</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2.9770</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2.1834</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1.2083</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0.6620</w:t>
            </w:r>
          </w:p>
        </w:tc>
        <w:tc>
          <w:tcPr>
            <w:tcW w:w="640" w:type="dxa"/>
            <w:vAlign w:val="bottom"/>
            <w:gridSpan w:val="2"/>
          </w:tcPr>
          <w:p>
            <w:pPr>
              <w:ind w:left="60"/>
              <w:spacing w:after="0"/>
              <w:rPr>
                <w:sz w:val="20"/>
                <w:szCs w:val="20"/>
                <w:color w:val="auto"/>
              </w:rPr>
            </w:pPr>
            <w:r>
              <w:rPr>
                <w:rFonts w:ascii="Arial" w:cs="Arial" w:eastAsia="Arial" w:hAnsi="Arial"/>
                <w:sz w:val="18"/>
                <w:szCs w:val="18"/>
                <w:color w:val="auto"/>
              </w:rPr>
              <w:t>0.3381</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June 1, 2018</w:t>
            </w:r>
          </w:p>
        </w:tc>
        <w:tc>
          <w:tcPr>
            <w:tcW w:w="8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15.9033</w:t>
            </w: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5"/>
              </w:rPr>
              <w:t>15.9033</w:t>
            </w:r>
          </w:p>
        </w:tc>
        <w:tc>
          <w:tcPr>
            <w:tcW w:w="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13.9001</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7.7153</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4.8575</w:t>
            </w:r>
          </w:p>
        </w:tc>
        <w:tc>
          <w:tcPr>
            <w:tcW w:w="7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3.2987</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2.3431</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1.7072</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0.9317</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0.4976</w:t>
            </w:r>
          </w:p>
        </w:tc>
        <w:tc>
          <w:tcPr>
            <w:tcW w:w="6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0.2400</w:t>
            </w: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June 1, 2019</w:t>
            </w:r>
          </w:p>
        </w:tc>
        <w:tc>
          <w:tcPr>
            <w:tcW w:w="840" w:type="dxa"/>
            <w:vAlign w:val="bottom"/>
            <w:gridSpan w:val="2"/>
          </w:tcPr>
          <w:p>
            <w:pPr>
              <w:ind w:left="60"/>
              <w:spacing w:after="0"/>
              <w:rPr>
                <w:sz w:val="20"/>
                <w:szCs w:val="20"/>
                <w:color w:val="auto"/>
              </w:rPr>
            </w:pPr>
            <w:r>
              <w:rPr>
                <w:rFonts w:ascii="Arial" w:cs="Arial" w:eastAsia="Arial" w:hAnsi="Arial"/>
                <w:sz w:val="18"/>
                <w:szCs w:val="18"/>
                <w:color w:val="auto"/>
              </w:rPr>
              <w:t>15.9033</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w w:val="95"/>
              </w:rPr>
              <w:t>15.9033</w:t>
            </w:r>
          </w:p>
        </w:tc>
        <w:tc>
          <w:tcPr>
            <w:tcW w:w="2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w w:val="92"/>
              </w:rPr>
              <w:t>11.1305</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5.6397</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3.3951</w:t>
            </w:r>
          </w:p>
        </w:tc>
        <w:tc>
          <w:tcPr>
            <w:tcW w:w="740" w:type="dxa"/>
            <w:vAlign w:val="bottom"/>
            <w:gridSpan w:val="2"/>
          </w:tcPr>
          <w:p>
            <w:pPr>
              <w:ind w:left="40"/>
              <w:spacing w:after="0"/>
              <w:rPr>
                <w:sz w:val="20"/>
                <w:szCs w:val="20"/>
                <w:color w:val="auto"/>
              </w:rPr>
            </w:pPr>
            <w:r>
              <w:rPr>
                <w:rFonts w:ascii="Arial" w:cs="Arial" w:eastAsia="Arial" w:hAnsi="Arial"/>
                <w:sz w:val="18"/>
                <w:szCs w:val="18"/>
                <w:color w:val="auto"/>
              </w:rPr>
              <w:t>2.2686</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1.6062</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1.1707</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0.6350</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0.3284</w:t>
            </w:r>
          </w:p>
        </w:tc>
        <w:tc>
          <w:tcPr>
            <w:tcW w:w="640" w:type="dxa"/>
            <w:vAlign w:val="bottom"/>
            <w:gridSpan w:val="2"/>
          </w:tcPr>
          <w:p>
            <w:pPr>
              <w:ind w:left="60"/>
              <w:spacing w:after="0"/>
              <w:rPr>
                <w:sz w:val="20"/>
                <w:szCs w:val="20"/>
                <w:color w:val="auto"/>
              </w:rPr>
            </w:pPr>
            <w:r>
              <w:rPr>
                <w:rFonts w:ascii="Arial" w:cs="Arial" w:eastAsia="Arial" w:hAnsi="Arial"/>
                <w:sz w:val="18"/>
                <w:szCs w:val="18"/>
                <w:color w:val="auto"/>
              </w:rPr>
              <w:t>0.1431</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June 1, 2020</w:t>
            </w:r>
          </w:p>
        </w:tc>
        <w:tc>
          <w:tcPr>
            <w:tcW w:w="8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15.9033</w:t>
            </w: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5"/>
              </w:rPr>
              <w:t>12.4159</w:t>
            </w:r>
          </w:p>
        </w:tc>
        <w:tc>
          <w:tcPr>
            <w:tcW w:w="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7.0298</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2.8851</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1.6476</w:t>
            </w:r>
          </w:p>
        </w:tc>
        <w:tc>
          <w:tcPr>
            <w:tcW w:w="7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1.1220</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0.8191</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0.6111</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0.3351</w:t>
            </w:r>
          </w:p>
        </w:tc>
        <w:tc>
          <w:tcPr>
            <w:tcW w:w="7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0.1638</w:t>
            </w:r>
          </w:p>
        </w:tc>
        <w:tc>
          <w:tcPr>
            <w:tcW w:w="6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0.0542</w:t>
            </w:r>
          </w:p>
        </w:tc>
        <w:tc>
          <w:tcPr>
            <w:tcW w:w="0" w:type="dxa"/>
            <w:vAlign w:val="bottom"/>
          </w:tcPr>
          <w:p>
            <w:pPr>
              <w:spacing w:after="0"/>
              <w:rPr>
                <w:sz w:val="1"/>
                <w:szCs w:val="1"/>
                <w:color w:val="auto"/>
              </w:rPr>
            </w:pPr>
          </w:p>
        </w:tc>
      </w:tr>
      <w:tr>
        <w:trPr>
          <w:trHeight w:val="230"/>
        </w:trPr>
        <w:tc>
          <w:tcPr>
            <w:tcW w:w="2840" w:type="dxa"/>
            <w:vAlign w:val="bottom"/>
            <w:gridSpan w:val="2"/>
          </w:tcPr>
          <w:p>
            <w:pPr>
              <w:spacing w:after="0"/>
              <w:rPr>
                <w:sz w:val="20"/>
                <w:szCs w:val="20"/>
                <w:color w:val="auto"/>
              </w:rPr>
            </w:pPr>
            <w:r>
              <w:rPr>
                <w:rFonts w:ascii="Arial" w:cs="Arial" w:eastAsia="Arial" w:hAnsi="Arial"/>
                <w:sz w:val="18"/>
                <w:szCs w:val="18"/>
                <w:color w:val="auto"/>
              </w:rPr>
              <w:t>June 1, 2021</w:t>
            </w:r>
          </w:p>
        </w:tc>
        <w:tc>
          <w:tcPr>
            <w:tcW w:w="840" w:type="dxa"/>
            <w:vAlign w:val="bottom"/>
            <w:gridSpan w:val="2"/>
          </w:tcPr>
          <w:p>
            <w:pPr>
              <w:ind w:left="60"/>
              <w:spacing w:after="0"/>
              <w:rPr>
                <w:sz w:val="20"/>
                <w:szCs w:val="20"/>
                <w:color w:val="auto"/>
              </w:rPr>
            </w:pPr>
            <w:r>
              <w:rPr>
                <w:rFonts w:ascii="Arial" w:cs="Arial" w:eastAsia="Arial" w:hAnsi="Arial"/>
                <w:sz w:val="18"/>
                <w:szCs w:val="18"/>
                <w:color w:val="auto"/>
              </w:rPr>
              <w:t>15.9033</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20"/>
                <w:szCs w:val="20"/>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0.0000</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0.0000</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0.0000</w:t>
            </w:r>
          </w:p>
        </w:tc>
        <w:tc>
          <w:tcPr>
            <w:tcW w:w="740" w:type="dxa"/>
            <w:vAlign w:val="bottom"/>
            <w:gridSpan w:val="2"/>
          </w:tcPr>
          <w:p>
            <w:pPr>
              <w:ind w:left="40"/>
              <w:spacing w:after="0"/>
              <w:rPr>
                <w:sz w:val="20"/>
                <w:szCs w:val="20"/>
                <w:color w:val="auto"/>
              </w:rPr>
            </w:pPr>
            <w:r>
              <w:rPr>
                <w:rFonts w:ascii="Arial" w:cs="Arial" w:eastAsia="Arial" w:hAnsi="Arial"/>
                <w:sz w:val="18"/>
                <w:szCs w:val="18"/>
                <w:color w:val="auto"/>
              </w:rPr>
              <w:t>0.0000</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0.0000</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0.0000</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0.0000</w:t>
            </w:r>
          </w:p>
        </w:tc>
        <w:tc>
          <w:tcPr>
            <w:tcW w:w="760" w:type="dxa"/>
            <w:vAlign w:val="bottom"/>
            <w:gridSpan w:val="2"/>
          </w:tcPr>
          <w:p>
            <w:pPr>
              <w:ind w:left="60"/>
              <w:spacing w:after="0"/>
              <w:rPr>
                <w:sz w:val="20"/>
                <w:szCs w:val="20"/>
                <w:color w:val="auto"/>
              </w:rPr>
            </w:pPr>
            <w:r>
              <w:rPr>
                <w:rFonts w:ascii="Arial" w:cs="Arial" w:eastAsia="Arial" w:hAnsi="Arial"/>
                <w:sz w:val="18"/>
                <w:szCs w:val="18"/>
                <w:color w:val="auto"/>
              </w:rPr>
              <w:t>0.0000</w:t>
            </w:r>
          </w:p>
        </w:tc>
        <w:tc>
          <w:tcPr>
            <w:tcW w:w="640" w:type="dxa"/>
            <w:vAlign w:val="bottom"/>
            <w:gridSpan w:val="2"/>
          </w:tcPr>
          <w:p>
            <w:pPr>
              <w:ind w:left="60"/>
              <w:spacing w:after="0"/>
              <w:rPr>
                <w:sz w:val="20"/>
                <w:szCs w:val="20"/>
                <w:color w:val="auto"/>
              </w:rPr>
            </w:pPr>
            <w:r>
              <w:rPr>
                <w:rFonts w:ascii="Arial" w:cs="Arial" w:eastAsia="Arial" w:hAnsi="Arial"/>
                <w:sz w:val="18"/>
                <w:szCs w:val="18"/>
                <w:color w:val="auto"/>
              </w:rPr>
              <w:t>0.0000</w:t>
            </w:r>
          </w:p>
        </w:tc>
        <w:tc>
          <w:tcPr>
            <w:tcW w:w="0" w:type="dxa"/>
            <w:vAlign w:val="bottom"/>
          </w:tcPr>
          <w:p>
            <w:pPr>
              <w:spacing w:after="0"/>
              <w:rPr>
                <w:sz w:val="1"/>
                <w:szCs w:val="1"/>
                <w:color w:val="auto"/>
              </w:rPr>
            </w:pPr>
          </w:p>
        </w:tc>
      </w:tr>
    </w:tbl>
    <w:p>
      <w:pPr>
        <w:spacing w:after="0" w:line="18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The exact share prices and effective dates may not be set forth in the table above, in which case:</w:t>
      </w:r>
    </w:p>
    <w:p>
      <w:pPr>
        <w:spacing w:after="0" w:line="131" w:lineRule="exact"/>
        <w:rPr>
          <w:sz w:val="20"/>
          <w:szCs w:val="20"/>
          <w:color w:val="auto"/>
        </w:rPr>
      </w:pPr>
    </w:p>
    <w:p>
      <w:pPr>
        <w:ind w:left="900" w:right="60" w:hanging="325"/>
        <w:spacing w:after="0" w:line="312" w:lineRule="auto"/>
        <w:tabs>
          <w:tab w:leader="none" w:pos="900" w:val="left"/>
        </w:tabs>
        <w:numPr>
          <w:ilvl w:val="0"/>
          <w:numId w:val="1"/>
        </w:numPr>
        <w:rPr>
          <w:rFonts w:ascii="Arial" w:cs="Arial" w:eastAsia="Arial" w:hAnsi="Arial"/>
          <w:sz w:val="16"/>
          <w:szCs w:val="16"/>
          <w:color w:val="auto"/>
        </w:rPr>
      </w:pPr>
      <w:r>
        <w:rPr>
          <w:rFonts w:ascii="Arial" w:cs="Arial" w:eastAsia="Arial" w:hAnsi="Arial"/>
          <w:sz w:val="16"/>
          <w:szCs w:val="16"/>
          <w:color w:val="auto"/>
        </w:rPr>
        <w:t>If the share price is between two share prices in the table above or the effective date is between two effective dates in the table above, the number of additional shares by which the conversion rate will be increased will be determined by a straight-line interpolation between the number of additional shares set forth for the higher and lower share prices and the earlier and later effective dates, as applicable, based on a 365-day year.</w:t>
      </w:r>
    </w:p>
    <w:p>
      <w:pPr>
        <w:spacing w:after="0" w:line="52" w:lineRule="exact"/>
        <w:rPr>
          <w:rFonts w:ascii="Arial" w:cs="Arial" w:eastAsia="Arial" w:hAnsi="Arial"/>
          <w:sz w:val="16"/>
          <w:szCs w:val="16"/>
          <w:color w:val="auto"/>
        </w:rPr>
      </w:pPr>
    </w:p>
    <w:p>
      <w:pPr>
        <w:ind w:left="900" w:hanging="325"/>
        <w:spacing w:after="0" w:line="342" w:lineRule="auto"/>
        <w:tabs>
          <w:tab w:leader="none" w:pos="900" w:val="left"/>
        </w:tabs>
        <w:numPr>
          <w:ilvl w:val="0"/>
          <w:numId w:val="1"/>
        </w:numPr>
        <w:rPr>
          <w:rFonts w:ascii="Arial" w:cs="Arial" w:eastAsia="Arial" w:hAnsi="Arial"/>
          <w:sz w:val="16"/>
          <w:szCs w:val="16"/>
          <w:color w:val="auto"/>
        </w:rPr>
      </w:pPr>
      <w:r>
        <w:rPr>
          <w:rFonts w:ascii="Arial" w:cs="Arial" w:eastAsia="Arial" w:hAnsi="Arial"/>
          <w:sz w:val="16"/>
          <w:szCs w:val="16"/>
          <w:color w:val="auto"/>
        </w:rPr>
        <w:t>If the share price is greater than $70.00 per share (subject to adjustment in the same manner as the share prices set forth in the column headings of the table above as described in the Preliminary Prospectus Supplement), no additional shares will be added to the conversion rate.</w:t>
      </w:r>
    </w:p>
    <w:p>
      <w:pPr>
        <w:spacing w:after="0" w:line="29" w:lineRule="exact"/>
        <w:rPr>
          <w:rFonts w:ascii="Arial" w:cs="Arial" w:eastAsia="Arial" w:hAnsi="Arial"/>
          <w:sz w:val="16"/>
          <w:szCs w:val="16"/>
          <w:color w:val="auto"/>
        </w:rPr>
      </w:pPr>
    </w:p>
    <w:p>
      <w:pPr>
        <w:ind w:left="900" w:right="240" w:hanging="325"/>
        <w:spacing w:after="0" w:line="342" w:lineRule="auto"/>
        <w:tabs>
          <w:tab w:leader="none" w:pos="900" w:val="left"/>
        </w:tabs>
        <w:numPr>
          <w:ilvl w:val="0"/>
          <w:numId w:val="1"/>
        </w:numPr>
        <w:rPr>
          <w:rFonts w:ascii="Arial" w:cs="Arial" w:eastAsia="Arial" w:hAnsi="Arial"/>
          <w:sz w:val="16"/>
          <w:szCs w:val="16"/>
          <w:color w:val="auto"/>
        </w:rPr>
      </w:pPr>
      <w:r>
        <w:rPr>
          <w:rFonts w:ascii="Arial" w:cs="Arial" w:eastAsia="Arial" w:hAnsi="Arial"/>
          <w:sz w:val="16"/>
          <w:szCs w:val="16"/>
          <w:color w:val="auto"/>
        </w:rPr>
        <w:t>If the share price is less than $10.48 per share (subject to adjustment in the same manner as the share prices set forth in the column headings of the table above as described in the Preliminary Prospectus Supplement), no additional shares will be added to the conversion rate.</w:t>
      </w:r>
    </w:p>
    <w:p>
      <w:pPr>
        <w:spacing w:after="0" w:line="124"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Notwithstanding the foregoing, in no event will the conversion rate per $1,000 principal amount of Notes exceed 95.4198 common shares of the Issuer, subject to adjustment in the same manner as the conversion rate as set forth under “Description of notes—Conversion rights—Conversion rate adjustments” in the Preliminary Prospectus Supplement.</w:t>
      </w:r>
    </w:p>
    <w:p>
      <w:pPr>
        <w:sectPr>
          <w:pgSz w:w="11900" w:h="16838" w:orient="portrait"/>
          <w:cols w:equalWidth="0" w:num="1">
            <w:col w:w="11420"/>
          </w:cols>
          <w:pgMar w:left="240" w:top="274" w:right="239" w:bottom="1440" w:gutter="0" w:footer="0" w:header="0"/>
        </w:sectPr>
      </w:pPr>
    </w:p>
    <w:bookmarkStart w:id="2" w:name="page3"/>
    <w:bookmarkEnd w:id="2"/>
    <w:p>
      <w:pPr>
        <w:spacing w:after="0" w:line="295"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page">
              <wp:posOffset>3021965</wp:posOffset>
            </wp:positionH>
            <wp:positionV relativeFrom="page">
              <wp:posOffset>252095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t>The Issuer has filed a registration statement (including the Preliminary Prospectus Supplement dated May 24, 2016 and the accompanying prospectus dated January 20, 2016) with the Securities and Exchange Commission, or SEC, for the Offering to which this communication relates. Before you invest, you should read the Preliminary Prospectus Supplement, the accompanying prospectus in that registration statement and other documents the Issuer has filed with the SEC for more complete information about the Issuer and the Offering. You may get these documents for free by visiting EDGAR on the SEC website at www.sec.gov. Alternatively, copies may be obtained from J.P. Morgan Securities LLC, c/o Broadridge Financial Solutions, 1155 Long Island Avenue, Edgewood, New York 11717 or by calling 1-866-803-9204.</w:t>
      </w:r>
    </w:p>
    <w:p>
      <w:pPr>
        <w:spacing w:after="0" w:line="160"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ANY DISCLAIMERS OR OTHER NOTICES THAT MAY APPEAR BELOW ARE NOT APPLICABLE TO THIS COMMUNICATION AND SHOULD BE DISREGARDED. SUCH DISCLAIMERS OR OTHER NOTICES WERE AUTOMATICALLY GENERATED AS A RESULT OF THIS COMMUNICATION BEING SENT VIA BLOOMBERG OR ANOTHER EMAIL SYSTEM.</w:t>
      </w:r>
    </w:p>
    <w:sectPr>
      <w:pgSz w:w="11900" w:h="16838" w:orient="portrait"/>
      <w:cols w:equalWidth="0" w:num="1">
        <w:col w:w="11380"/>
      </w:cols>
      <w:pgMar w:left="240" w:top="607"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2020-01-20T15:34:39Z</dcterms:created>
  <dcterms:modified xsi:type="dcterms:W3CDTF">2020-01-20T15:34:39Z</dcterms:modified>
</cp:coreProperties>
</file>