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725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7250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WOTRING RANDALL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06/30/2016</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4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00" w:type="dxa"/>
            <w:vAlign w:val="bottom"/>
          </w:tcPr>
          <w:p>
            <w:pPr>
              <w:spacing w:after="0"/>
              <w:rPr>
                <w:sz w:val="20"/>
                <w:szCs w:val="20"/>
                <w:color w:val="auto"/>
              </w:rPr>
            </w:pPr>
            <w:r>
              <w:rPr>
                <w:rFonts w:ascii="Arial" w:cs="Arial" w:eastAsia="Arial" w:hAnsi="Arial"/>
                <w:sz w:val="18"/>
                <w:szCs w:val="18"/>
                <w:color w:val="0000FF"/>
              </w:rPr>
              <w:t>CANTON</w:t>
            </w:r>
          </w:p>
        </w:tc>
        <w:tc>
          <w:tcPr>
            <w:tcW w:w="1120" w:type="dxa"/>
            <w:vAlign w:val="bottom"/>
          </w:tcPr>
          <w:p>
            <w:pPr>
              <w:ind w:left="280"/>
              <w:spacing w:after="0"/>
              <w:rPr>
                <w:sz w:val="20"/>
                <w:szCs w:val="20"/>
                <w:color w:val="auto"/>
              </w:rPr>
            </w:pPr>
            <w:r>
              <w:rPr>
                <w:rFonts w:ascii="Arial" w:cs="Arial" w:eastAsia="Arial" w:hAnsi="Arial"/>
                <w:sz w:val="18"/>
                <w:szCs w:val="18"/>
                <w:color w:val="0000FF"/>
              </w:rPr>
              <w:t>OH</w:t>
            </w:r>
          </w:p>
        </w:tc>
        <w:tc>
          <w:tcPr>
            <w:tcW w:w="1680" w:type="dxa"/>
            <w:vAlign w:val="bottom"/>
          </w:tcPr>
          <w:p>
            <w:pPr>
              <w:ind w:left="420"/>
              <w:spacing w:after="0"/>
              <w:rPr>
                <w:sz w:val="20"/>
                <w:szCs w:val="20"/>
                <w:color w:val="auto"/>
              </w:rPr>
            </w:pPr>
            <w:r>
              <w:rPr>
                <w:rFonts w:ascii="Arial" w:cs="Arial" w:eastAsia="Arial" w:hAnsi="Arial"/>
                <w:sz w:val="18"/>
                <w:szCs w:val="18"/>
                <w:color w:val="0000FF"/>
              </w:rPr>
              <w:t>44706-2789</w:t>
            </w:r>
          </w:p>
        </w:tc>
      </w:tr>
      <w:tr>
        <w:trPr>
          <w:trHeight w:val="158"/>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4"/>
                <w:szCs w:val="14"/>
                <w:color w:val="auto"/>
              </w:rPr>
              <w:t>(City)</w:t>
            </w:r>
          </w:p>
        </w:tc>
        <w:tc>
          <w:tcPr>
            <w:tcW w:w="1120" w:type="dxa"/>
            <w:vAlign w:val="bottom"/>
          </w:tcPr>
          <w:p>
            <w:pPr>
              <w:ind w:left="2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Phantom</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06/30/2016</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500" w:type="dxa"/>
            <w:vAlign w:val="bottom"/>
            <w:vMerge w:val="restart"/>
          </w:tcPr>
          <w:p>
            <w:pPr>
              <w:ind w:left="100"/>
              <w:spacing w:after="0"/>
              <w:rPr>
                <w:sz w:val="20"/>
                <w:szCs w:val="20"/>
                <w:color w:val="auto"/>
              </w:rPr>
            </w:pPr>
            <w:r>
              <w:rPr>
                <w:rFonts w:ascii="Arial" w:cs="Arial" w:eastAsia="Arial" w:hAnsi="Arial"/>
                <w:sz w:val="14"/>
                <w:szCs w:val="14"/>
                <w:color w:val="0000FF"/>
              </w:rPr>
              <w:t>2,274</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2,274</w:t>
            </w:r>
          </w:p>
        </w:tc>
        <w:tc>
          <w:tcPr>
            <w:tcW w:w="72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9.62</w:t>
            </w:r>
          </w:p>
        </w:tc>
        <w:tc>
          <w:tcPr>
            <w:tcW w:w="980" w:type="dxa"/>
            <w:vAlign w:val="bottom"/>
            <w:vMerge w:val="restart"/>
          </w:tcPr>
          <w:p>
            <w:pPr>
              <w:ind w:left="340"/>
              <w:spacing w:after="0"/>
              <w:rPr>
                <w:sz w:val="20"/>
                <w:szCs w:val="20"/>
                <w:color w:val="auto"/>
              </w:rPr>
            </w:pPr>
            <w:r>
              <w:rPr>
                <w:rFonts w:ascii="Arial" w:cs="Arial" w:eastAsia="Arial" w:hAnsi="Arial"/>
                <w:sz w:val="14"/>
                <w:szCs w:val="14"/>
                <w:color w:val="0000FF"/>
              </w:rPr>
              <w:t>5,946</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Shares</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720" w:type="dxa"/>
            <w:vAlign w:val="bottom"/>
            <w:vMerge w:val="restart"/>
          </w:tcPr>
          <w:p>
            <w:pPr>
              <w:ind w:left="140"/>
              <w:spacing w:after="0"/>
              <w:rPr>
                <w:sz w:val="20"/>
                <w:szCs w:val="20"/>
                <w:color w:val="auto"/>
              </w:rPr>
            </w:pPr>
            <w:r>
              <w:rPr>
                <w:rFonts w:ascii="Arial" w:cs="Arial" w:eastAsia="Arial" w:hAnsi="Arial"/>
                <w:sz w:val="14"/>
                <w:szCs w:val="14"/>
                <w:color w:val="0000FF"/>
              </w:rPr>
              <w:t>Shares</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Each phantom share is the equivalent of one Issuer common share.</w:t>
      </w:r>
    </w:p>
    <w:p>
      <w:pPr>
        <w:spacing w:after="0" w:line="41" w:lineRule="exact"/>
        <w:rPr>
          <w:rFonts w:ascii="Arial" w:cs="Arial" w:eastAsia="Arial" w:hAnsi="Arial"/>
          <w:sz w:val="14"/>
          <w:szCs w:val="14"/>
          <w:color w:val="008000"/>
        </w:rPr>
      </w:pPr>
    </w:p>
    <w:p>
      <w:pPr>
        <w:ind w:left="40" w:right="4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Phantom shares are payable in cash and/or common shares upon termination of the Reporting Person's service on the Board of Directors, as elected by the Reporting Person at the time he elected to defer compensation under the TimkenSteel Corporation Director Deferred Compensation Plan.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Arial" w:cs="Arial" w:eastAsia="Arial" w:hAnsi="Arial"/>
                <w:sz w:val="18"/>
                <w:szCs w:val="18"/>
                <w:color w:val="0000FF"/>
              </w:rPr>
              <w:t>/s/ Frank A. DiPiero, as</w:t>
            </w: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07/05/2016</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421005</wp:posOffset>
            </wp:positionH>
            <wp:positionV relativeFrom="page">
              <wp:posOffset>363220</wp:posOffset>
            </wp:positionV>
            <wp:extent cx="6856095" cy="9032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856095" cy="90322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07862"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2020-01-19T08:25:27Z</dcterms:created>
  <dcterms:modified xsi:type="dcterms:W3CDTF">2020-01-19T08:25:27Z</dcterms:modified>
</cp:coreProperties>
</file>