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22"/>
          <w:szCs w:val="22"/>
          <w:b w:val="1"/>
          <w:bCs w:val="1"/>
          <w:color w:val="auto"/>
        </w:rPr>
        <w:t>Filed Pursuant to Rule 424(b)(3) and Rule 424(c)</w:t>
      </w:r>
    </w:p>
    <w:p>
      <w:pPr>
        <w:spacing w:after="0" w:line="28" w:lineRule="exact"/>
        <w:rPr>
          <w:sz w:val="24"/>
          <w:szCs w:val="24"/>
          <w:color w:val="auto"/>
        </w:rPr>
      </w:pPr>
    </w:p>
    <w:p>
      <w:pPr>
        <w:jc w:val="right"/>
        <w:spacing w:after="0"/>
        <w:rPr>
          <w:sz w:val="20"/>
          <w:szCs w:val="20"/>
          <w:color w:val="auto"/>
        </w:rPr>
      </w:pPr>
      <w:r>
        <w:rPr>
          <w:rFonts w:ascii="Arial" w:cs="Arial" w:eastAsia="Arial" w:hAnsi="Arial"/>
          <w:sz w:val="22"/>
          <w:szCs w:val="22"/>
          <w:b w:val="1"/>
          <w:bCs w:val="1"/>
          <w:color w:val="auto"/>
        </w:rPr>
        <w:t>Registration No. 333-196287</w:t>
      </w:r>
    </w:p>
    <w:p>
      <w:pPr>
        <w:spacing w:after="0" w:line="4" w:lineRule="exact"/>
        <w:rPr>
          <w:sz w:val="24"/>
          <w:szCs w:val="24"/>
          <w:color w:val="auto"/>
        </w:rPr>
      </w:pPr>
    </w:p>
    <w:p>
      <w:pPr>
        <w:ind w:left="660"/>
        <w:spacing w:after="0"/>
        <w:rPr>
          <w:sz w:val="20"/>
          <w:szCs w:val="20"/>
          <w:color w:val="auto"/>
        </w:rPr>
      </w:pPr>
      <w:r>
        <w:rPr>
          <w:rFonts w:ascii="Arial" w:cs="Arial" w:eastAsia="Arial" w:hAnsi="Arial"/>
          <w:sz w:val="22"/>
          <w:szCs w:val="22"/>
          <w:b w:val="1"/>
          <w:bCs w:val="1"/>
          <w:color w:val="auto"/>
        </w:rPr>
        <w:t>Prospectus Supplement No. 1</w:t>
      </w:r>
    </w:p>
    <w:p>
      <w:pPr>
        <w:spacing w:after="0" w:line="200" w:lineRule="exact"/>
        <w:rPr>
          <w:sz w:val="24"/>
          <w:szCs w:val="24"/>
          <w:color w:val="auto"/>
        </w:rPr>
      </w:pPr>
    </w:p>
    <w:p>
      <w:pPr>
        <w:spacing w:after="0" w:line="290" w:lineRule="exact"/>
        <w:rPr>
          <w:sz w:val="24"/>
          <w:szCs w:val="24"/>
          <w:color w:val="auto"/>
        </w:rPr>
      </w:pPr>
    </w:p>
    <w:p>
      <w:pPr>
        <w:ind w:left="3680"/>
        <w:spacing w:after="0"/>
        <w:rPr>
          <w:sz w:val="20"/>
          <w:szCs w:val="20"/>
          <w:color w:val="auto"/>
        </w:rPr>
      </w:pPr>
      <w:r>
        <w:rPr>
          <w:rFonts w:ascii="Arial" w:cs="Arial" w:eastAsia="Arial" w:hAnsi="Arial"/>
          <w:sz w:val="43"/>
          <w:szCs w:val="43"/>
          <w:b w:val="1"/>
          <w:bCs w:val="1"/>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1548765</wp:posOffset>
            </wp:positionH>
            <wp:positionV relativeFrom="paragraph">
              <wp:posOffset>365125</wp:posOffset>
            </wp:positionV>
            <wp:extent cx="4570730" cy="5829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570730" cy="5829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6" w:lineRule="exact"/>
        <w:rPr>
          <w:sz w:val="24"/>
          <w:szCs w:val="24"/>
          <w:color w:val="auto"/>
        </w:rPr>
      </w:pPr>
    </w:p>
    <w:p>
      <w:pPr>
        <w:jc w:val="center"/>
        <w:ind w:left="660"/>
        <w:spacing w:after="0"/>
        <w:rPr>
          <w:sz w:val="20"/>
          <w:szCs w:val="20"/>
          <w:color w:val="auto"/>
        </w:rPr>
      </w:pPr>
      <w:r>
        <w:rPr>
          <w:rFonts w:ascii="Arial" w:cs="Arial" w:eastAsia="Arial" w:hAnsi="Arial"/>
          <w:sz w:val="32"/>
          <w:szCs w:val="32"/>
          <w:b w:val="1"/>
          <w:bCs w:val="1"/>
          <w:color w:val="auto"/>
        </w:rPr>
        <w:t>TimkenSteel Corporation</w:t>
      </w:r>
    </w:p>
    <w:p>
      <w:pPr>
        <w:spacing w:after="0" w:line="186" w:lineRule="exact"/>
        <w:rPr>
          <w:sz w:val="24"/>
          <w:szCs w:val="24"/>
          <w:color w:val="auto"/>
        </w:rPr>
      </w:pPr>
    </w:p>
    <w:p>
      <w:pPr>
        <w:jc w:val="center"/>
        <w:ind w:left="660"/>
        <w:spacing w:after="0"/>
        <w:rPr>
          <w:sz w:val="20"/>
          <w:szCs w:val="20"/>
          <w:color w:val="auto"/>
        </w:rPr>
      </w:pPr>
      <w:r>
        <w:rPr>
          <w:rFonts w:ascii="Arial" w:cs="Arial" w:eastAsia="Arial" w:hAnsi="Arial"/>
          <w:sz w:val="32"/>
          <w:szCs w:val="32"/>
          <w:b w:val="1"/>
          <w:bCs w:val="1"/>
          <w:color w:val="auto"/>
        </w:rPr>
        <w:t>2014 Equity and Incentive Compensation Plan</w:t>
      </w:r>
    </w:p>
    <w:p>
      <w:pPr>
        <w:spacing w:after="0" w:line="200" w:lineRule="exact"/>
        <w:rPr>
          <w:sz w:val="24"/>
          <w:szCs w:val="24"/>
          <w:color w:val="auto"/>
        </w:rPr>
      </w:pPr>
    </w:p>
    <w:p>
      <w:pPr>
        <w:spacing w:after="0" w:line="202" w:lineRule="exact"/>
        <w:rPr>
          <w:sz w:val="24"/>
          <w:szCs w:val="24"/>
          <w:color w:val="auto"/>
        </w:rPr>
      </w:pPr>
    </w:p>
    <w:p>
      <w:pPr>
        <w:jc w:val="center"/>
        <w:ind w:left="660"/>
        <w:spacing w:after="0"/>
        <w:rPr>
          <w:sz w:val="20"/>
          <w:szCs w:val="20"/>
          <w:color w:val="auto"/>
        </w:rPr>
      </w:pPr>
      <w:r>
        <w:rPr>
          <w:rFonts w:ascii="Arial" w:cs="Arial" w:eastAsia="Arial" w:hAnsi="Arial"/>
          <w:sz w:val="32"/>
          <w:szCs w:val="32"/>
          <w:b w:val="1"/>
          <w:bCs w:val="1"/>
          <w:color w:val="auto"/>
        </w:rPr>
        <w:t>Common Shares</w:t>
      </w:r>
    </w:p>
    <w:p>
      <w:pPr>
        <w:spacing w:after="0" w:line="186" w:lineRule="exact"/>
        <w:rPr>
          <w:sz w:val="24"/>
          <w:szCs w:val="24"/>
          <w:color w:val="auto"/>
        </w:rPr>
      </w:pPr>
    </w:p>
    <w:p>
      <w:pPr>
        <w:jc w:val="center"/>
        <w:ind w:left="660"/>
        <w:spacing w:after="0"/>
        <w:rPr>
          <w:sz w:val="20"/>
          <w:szCs w:val="20"/>
          <w:color w:val="auto"/>
        </w:rPr>
      </w:pPr>
      <w:r>
        <w:rPr>
          <w:rFonts w:ascii="Arial" w:cs="Arial" w:eastAsia="Arial" w:hAnsi="Arial"/>
          <w:sz w:val="32"/>
          <w:szCs w:val="32"/>
          <w:b w:val="1"/>
          <w:bCs w:val="1"/>
          <w:color w:val="auto"/>
        </w:rPr>
        <w:t>(without par value)</w:t>
      </w:r>
    </w:p>
    <w:p>
      <w:pPr>
        <w:spacing w:after="0" w:line="205" w:lineRule="exact"/>
        <w:rPr>
          <w:sz w:val="24"/>
          <w:szCs w:val="24"/>
          <w:color w:val="auto"/>
        </w:rPr>
      </w:pPr>
    </w:p>
    <w:p>
      <w:pPr>
        <w:ind w:right="120" w:firstLine="648"/>
        <w:spacing w:after="0" w:line="261" w:lineRule="auto"/>
        <w:rPr>
          <w:sz w:val="20"/>
          <w:szCs w:val="20"/>
          <w:color w:val="auto"/>
        </w:rPr>
      </w:pPr>
      <w:r>
        <w:rPr>
          <w:rFonts w:ascii="Arial" w:cs="Arial" w:eastAsia="Arial" w:hAnsi="Arial"/>
          <w:sz w:val="21"/>
          <w:szCs w:val="21"/>
          <w:color w:val="auto"/>
        </w:rPr>
        <w:t>This prospectus supplement no. 1 amends our prospectus dated March 29, 2016. The common shares that are the subject of the prospectus have been registered so that they may be acquired by participants in the TimkenSteel Corporation 2014 Equity and Incentive Compensation Plan, which we refer to as the 2014 Plan, upon the exercise of certain options to purchase our common shares and upon vesting of certain restricted shares, performance shares, restricted stock units and deferred share awards issued pursuant to the 2014 Plan. Any proceeds received by us from the exercise of stock options covered by the 2014 Plan will be used for general corporate purposes.</w:t>
      </w:r>
    </w:p>
    <w:p>
      <w:pPr>
        <w:spacing w:after="0" w:line="139" w:lineRule="exact"/>
        <w:rPr>
          <w:sz w:val="24"/>
          <w:szCs w:val="24"/>
          <w:color w:val="auto"/>
        </w:rPr>
      </w:pPr>
    </w:p>
    <w:p>
      <w:pPr>
        <w:ind w:right="60" w:firstLine="648"/>
        <w:spacing w:after="0" w:line="250" w:lineRule="auto"/>
        <w:rPr>
          <w:sz w:val="20"/>
          <w:szCs w:val="20"/>
          <w:color w:val="auto"/>
        </w:rPr>
      </w:pPr>
      <w:r>
        <w:rPr>
          <w:rFonts w:ascii="Arial" w:cs="Arial" w:eastAsia="Arial" w:hAnsi="Arial"/>
          <w:sz w:val="22"/>
          <w:szCs w:val="22"/>
          <w:color w:val="auto"/>
        </w:rPr>
        <w:t>This prospectus supplement no. 1 is being filed to include the information set forth in our Quarterly Report on Form 10-Q for the quarterly period ended March 31, 2016, which was filed with the Securities and Exchange Commission on May 4, 2016 and which is set forth below. This prospectus supplement no. 1 should be read in conjunction with the prospectus dated March 29, 2016.</w:t>
      </w:r>
    </w:p>
    <w:p>
      <w:pPr>
        <w:spacing w:after="0" w:line="148" w:lineRule="exact"/>
        <w:rPr>
          <w:sz w:val="24"/>
          <w:szCs w:val="24"/>
          <w:color w:val="auto"/>
        </w:rPr>
      </w:pPr>
    </w:p>
    <w:p>
      <w:pPr>
        <w:ind w:right="600" w:firstLine="648"/>
        <w:spacing w:after="0" w:line="263" w:lineRule="auto"/>
        <w:rPr>
          <w:sz w:val="20"/>
          <w:szCs w:val="20"/>
          <w:color w:val="auto"/>
        </w:rPr>
      </w:pPr>
      <w:r>
        <w:rPr>
          <w:rFonts w:ascii="Arial" w:cs="Arial" w:eastAsia="Arial" w:hAnsi="Arial"/>
          <w:sz w:val="22"/>
          <w:szCs w:val="22"/>
          <w:color w:val="auto"/>
        </w:rPr>
        <w:t>Our common shares are listed on the New York Stock Exchange under the symbol “TMST.” On May 4, 2016, the last reported sale price per share of our common shares was $12.21 per share.</w:t>
      </w:r>
    </w:p>
    <w:p>
      <w:pPr>
        <w:spacing w:after="0" w:line="128" w:lineRule="exact"/>
        <w:rPr>
          <w:sz w:val="24"/>
          <w:szCs w:val="24"/>
          <w:color w:val="auto"/>
        </w:rPr>
      </w:pPr>
    </w:p>
    <w:p>
      <w:pPr>
        <w:ind w:right="500" w:firstLine="648"/>
        <w:spacing w:after="0" w:line="269" w:lineRule="auto"/>
        <w:rPr>
          <w:sz w:val="20"/>
          <w:szCs w:val="20"/>
          <w:color w:val="auto"/>
        </w:rPr>
      </w:pPr>
      <w:r>
        <w:rPr>
          <w:rFonts w:ascii="Arial" w:cs="Arial" w:eastAsia="Arial" w:hAnsi="Arial"/>
          <w:sz w:val="22"/>
          <w:szCs w:val="22"/>
          <w:b w:val="1"/>
          <w:bCs w:val="1"/>
          <w:color w:val="auto"/>
        </w:rPr>
        <w:t>In reviewing this prospectus supplement, you should carefully consider the matters described under the caption “Risk Factors” beginning on page 3 of the prospectus.</w:t>
      </w:r>
    </w:p>
    <w:p>
      <w:pPr>
        <w:spacing w:after="0" w:line="122" w:lineRule="exact"/>
        <w:rPr>
          <w:sz w:val="24"/>
          <w:szCs w:val="24"/>
          <w:color w:val="auto"/>
        </w:rPr>
      </w:pPr>
    </w:p>
    <w:p>
      <w:pPr>
        <w:jc w:val="both"/>
        <w:ind w:right="160" w:firstLine="648"/>
        <w:spacing w:after="0" w:line="256" w:lineRule="auto"/>
        <w:rPr>
          <w:sz w:val="20"/>
          <w:szCs w:val="20"/>
          <w:color w:val="auto"/>
        </w:rPr>
      </w:pPr>
      <w:r>
        <w:rPr>
          <w:rFonts w:ascii="Arial" w:cs="Arial" w:eastAsia="Arial" w:hAnsi="Arial"/>
          <w:sz w:val="22"/>
          <w:szCs w:val="22"/>
          <w:b w:val="1"/>
          <w:bCs w:val="1"/>
          <w:color w:val="auto"/>
        </w:rPr>
        <w:t>Neither the Securities and Exchange Commission nor any state securities commission has approved or disapproved of these securities or determined if this prospectus is truthful or complete. Any representation to the contrary is a criminal offense.</w:t>
      </w:r>
    </w:p>
    <w:p>
      <w:pPr>
        <w:spacing w:after="0" w:line="200" w:lineRule="exact"/>
        <w:rPr>
          <w:sz w:val="24"/>
          <w:szCs w:val="24"/>
          <w:color w:val="auto"/>
        </w:rPr>
      </w:pPr>
    </w:p>
    <w:p>
      <w:pPr>
        <w:spacing w:after="0" w:line="374" w:lineRule="exact"/>
        <w:rPr>
          <w:sz w:val="24"/>
          <w:szCs w:val="24"/>
          <w:color w:val="auto"/>
        </w:rPr>
      </w:pPr>
    </w:p>
    <w:p>
      <w:pPr>
        <w:ind w:left="4060"/>
        <w:spacing w:after="0"/>
        <w:rPr>
          <w:sz w:val="20"/>
          <w:szCs w:val="20"/>
          <w:color w:val="auto"/>
        </w:rPr>
      </w:pPr>
      <w:r>
        <w:rPr>
          <w:rFonts w:ascii="Arial" w:cs="Arial" w:eastAsia="Arial" w:hAnsi="Arial"/>
          <w:sz w:val="22"/>
          <w:szCs w:val="22"/>
          <w:color w:val="auto"/>
        </w:rPr>
        <w:t>Prospectus Supplement No. 1 is May 5, 2016.</w:t>
      </w:r>
    </w:p>
    <w:p>
      <w:pPr>
        <w:sectPr>
          <w:pgSz w:w="11900" w:h="16838" w:orient="portrait"/>
          <w:cols w:equalWidth="0" w:num="1">
            <w:col w:w="11420"/>
          </w:cols>
          <w:pgMar w:left="240" w:top="234" w:right="239" w:bottom="1440" w:gutter="0" w:footer="0" w:header="0"/>
        </w:sectPr>
      </w:pPr>
    </w:p>
    <w:bookmarkStart w:id="1" w:name="page2"/>
    <w:bookmarkEnd w:id="1"/>
    <w:p>
      <w:pPr>
        <w:jc w:val="center"/>
        <w:ind w:right="-11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0"/>
          <w:szCs w:val="20"/>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50" w:lineRule="exact"/>
        <w:rPr>
          <w:sz w:val="20"/>
          <w:szCs w:val="20"/>
          <w:color w:val="auto"/>
        </w:rPr>
      </w:pPr>
    </w:p>
    <w:p>
      <w:pPr>
        <w:jc w:val="center"/>
        <w:ind w:right="-119"/>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41275</wp:posOffset>
            </wp:positionV>
            <wp:extent cx="56597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659755"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-232410</wp:posOffset>
            </wp:positionV>
            <wp:extent cx="565975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69" w:lineRule="exact"/>
        <w:rPr>
          <w:sz w:val="20"/>
          <w:szCs w:val="20"/>
          <w:color w:val="auto"/>
        </w:rPr>
      </w:pPr>
    </w:p>
    <w:p>
      <w:pPr>
        <w:ind w:left="720" w:hanging="462"/>
        <w:spacing w:after="0"/>
        <w:tabs>
          <w:tab w:leader="none" w:pos="720" w:val="left"/>
        </w:tabs>
        <w:numPr>
          <w:ilvl w:val="0"/>
          <w:numId w:val="1"/>
        </w:numPr>
        <w:rPr>
          <w:rFonts w:ascii="MS PGothic" w:cs="MS PGothic" w:eastAsia="MS PGothic" w:hAnsi="MS PGothic"/>
          <w:sz w:val="39"/>
          <w:szCs w:val="39"/>
          <w:color w:val="auto"/>
          <w:vertAlign w:val="subscript"/>
        </w:rPr>
      </w:pPr>
      <w:r>
        <w:rPr>
          <w:rFonts w:ascii="Arial" w:cs="Arial" w:eastAsia="Arial" w:hAnsi="Arial"/>
          <w:sz w:val="20"/>
          <w:szCs w:val="20"/>
          <w:b w:val="1"/>
          <w:bCs w:val="1"/>
          <w:color w:val="auto"/>
        </w:rPr>
        <w:t>QUARTERLY</w:t>
      </w:r>
      <w:r>
        <w:rPr>
          <w:rFonts w:ascii="Arial" w:cs="Arial" w:eastAsia="Arial" w:hAnsi="Arial"/>
          <w:sz w:val="39"/>
          <w:szCs w:val="39"/>
          <w:b w:val="1"/>
          <w:bCs w:val="1"/>
          <w:color w:val="auto"/>
          <w:vertAlign w:val="subscript"/>
        </w:rPr>
        <w:t>1934</w:t>
      </w:r>
      <w:r>
        <w:rPr>
          <w:rFonts w:ascii="Arial" w:cs="Arial" w:eastAsia="Arial" w:hAnsi="Arial"/>
          <w:sz w:val="20"/>
          <w:szCs w:val="20"/>
          <w:b w:val="1"/>
          <w:bCs w:val="1"/>
          <w:color w:val="auto"/>
        </w:rPr>
        <w:t xml:space="preserve"> REPORT PURSUANT TO SECTION 13 OR 15(d) OF THE SECURITIES EXCHANGE ACT OF</w:t>
      </w:r>
    </w:p>
    <w:p>
      <w:pPr>
        <w:spacing w:after="0" w:line="165" w:lineRule="exact"/>
        <w:rPr>
          <w:sz w:val="20"/>
          <w:szCs w:val="20"/>
          <w:color w:val="auto"/>
        </w:rPr>
      </w:pPr>
    </w:p>
    <w:p>
      <w:pPr>
        <w:jc w:val="center"/>
        <w:ind w:right="-119"/>
        <w:spacing w:after="0"/>
        <w:rPr>
          <w:sz w:val="20"/>
          <w:szCs w:val="20"/>
          <w:color w:val="auto"/>
        </w:rPr>
      </w:pPr>
      <w:r>
        <w:rPr>
          <w:rFonts w:ascii="Arial" w:cs="Arial" w:eastAsia="Arial" w:hAnsi="Arial"/>
          <w:sz w:val="16"/>
          <w:szCs w:val="16"/>
          <w:b w:val="1"/>
          <w:bCs w:val="1"/>
          <w:color w:val="auto"/>
        </w:rPr>
        <w:t>For the quarterly period ended March 31, 2016</w:t>
      </w:r>
    </w:p>
    <w:p>
      <w:pPr>
        <w:spacing w:after="0" w:line="86" w:lineRule="exact"/>
        <w:rPr>
          <w:sz w:val="20"/>
          <w:szCs w:val="20"/>
          <w:color w:val="auto"/>
        </w:rPr>
      </w:pPr>
    </w:p>
    <w:p>
      <w:pPr>
        <w:jc w:val="center"/>
        <w:ind w:right="-119"/>
        <w:spacing w:after="0"/>
        <w:rPr>
          <w:sz w:val="20"/>
          <w:szCs w:val="20"/>
          <w:color w:val="auto"/>
        </w:rPr>
      </w:pPr>
      <w:r>
        <w:rPr>
          <w:rFonts w:ascii="Arial" w:cs="Arial" w:eastAsia="Arial" w:hAnsi="Arial"/>
          <w:sz w:val="16"/>
          <w:szCs w:val="16"/>
          <w:b w:val="1"/>
          <w:bCs w:val="1"/>
          <w:color w:val="auto"/>
        </w:rPr>
        <w:t>OR</w:t>
      </w:r>
    </w:p>
    <w:p>
      <w:pPr>
        <w:spacing w:after="0" w:line="194" w:lineRule="exact"/>
        <w:rPr>
          <w:sz w:val="20"/>
          <w:szCs w:val="20"/>
          <w:color w:val="auto"/>
        </w:rPr>
      </w:pPr>
    </w:p>
    <w:p>
      <w:pPr>
        <w:ind w:left="720" w:right="60" w:hanging="422"/>
        <w:spacing w:after="0"/>
        <w:tabs>
          <w:tab w:leader="none" w:pos="720" w:val="left"/>
        </w:tabs>
        <w:numPr>
          <w:ilvl w:val="0"/>
          <w:numId w:val="2"/>
        </w:numPr>
        <w:rPr>
          <w:rFonts w:ascii="Arial" w:cs="Arial" w:eastAsia="Arial" w:hAnsi="Arial"/>
          <w:sz w:val="39"/>
          <w:szCs w:val="39"/>
          <w:color w:val="auto"/>
          <w:vertAlign w:val="subscript"/>
        </w:rPr>
      </w:pPr>
      <w:r>
        <w:rPr>
          <w:rFonts w:ascii="Arial" w:cs="Arial" w:eastAsia="Arial" w:hAnsi="Arial"/>
          <w:sz w:val="20"/>
          <w:szCs w:val="20"/>
          <w:b w:val="1"/>
          <w:bCs w:val="1"/>
          <w:color w:val="auto"/>
        </w:rPr>
        <w:t>TRANSITION REPORT PURSUANT TO SECTION 13 OR 15(d) OF THE SECURITIES EXCHANGE ACT OF 1934</w:t>
      </w:r>
    </w:p>
    <w:p>
      <w:pPr>
        <w:spacing w:after="0" w:line="119" w:lineRule="exact"/>
        <w:rPr>
          <w:sz w:val="20"/>
          <w:szCs w:val="20"/>
          <w:color w:val="auto"/>
        </w:rPr>
      </w:pPr>
    </w:p>
    <w:p>
      <w:pPr>
        <w:ind w:left="4100"/>
        <w:spacing w:after="0"/>
        <w:tabs>
          <w:tab w:leader="none" w:pos="6700" w:val="left"/>
        </w:tabs>
        <w:rPr>
          <w:sz w:val="20"/>
          <w:szCs w:val="20"/>
          <w:color w:val="auto"/>
        </w:rPr>
      </w:pPr>
      <w:r>
        <w:rPr>
          <w:rFonts w:ascii="Arial" w:cs="Arial" w:eastAsia="Arial" w:hAnsi="Arial"/>
          <w:sz w:val="16"/>
          <w:szCs w:val="16"/>
          <w:b w:val="1"/>
          <w:bCs w:val="1"/>
          <w:color w:val="auto"/>
        </w:rPr>
        <w:t>For the transition period from</w:t>
      </w:r>
      <w:r>
        <w:rPr>
          <w:sz w:val="20"/>
          <w:szCs w:val="20"/>
          <w:color w:val="auto"/>
        </w:rPr>
        <w:tab/>
      </w:r>
      <w:r>
        <w:rPr>
          <w:rFonts w:ascii="Arial" w:cs="Arial" w:eastAsia="Arial" w:hAnsi="Arial"/>
          <w:sz w:val="12"/>
          <w:szCs w:val="12"/>
          <w:b w:val="1"/>
          <w:bCs w:val="1"/>
          <w:color w:val="auto"/>
        </w:rPr>
        <w:t>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3954780</wp:posOffset>
            </wp:positionH>
            <wp:positionV relativeFrom="paragraph">
              <wp:posOffset>-4445</wp:posOffset>
            </wp:positionV>
            <wp:extent cx="70294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2945" cy="8890"/>
                    </a:xfrm>
                    <a:prstGeom prst="rect">
                      <a:avLst/>
                    </a:prstGeom>
                    <a:noFill/>
                  </pic:spPr>
                </pic:pic>
              </a:graphicData>
            </a:graphic>
          </wp:anchor>
        </w:drawing>
      </w:r>
    </w:p>
    <w:p>
      <w:pPr>
        <w:spacing w:after="0" w:line="66" w:lineRule="exact"/>
        <w:rPr>
          <w:sz w:val="20"/>
          <w:szCs w:val="20"/>
          <w:color w:val="auto"/>
        </w:rPr>
      </w:pPr>
    </w:p>
    <w:p>
      <w:pPr>
        <w:jc w:val="center"/>
        <w:ind w:right="-119"/>
        <w:spacing w:after="0"/>
        <w:rPr>
          <w:sz w:val="20"/>
          <w:szCs w:val="20"/>
          <w:color w:val="auto"/>
        </w:rPr>
      </w:pPr>
      <w:r>
        <w:rPr>
          <w:rFonts w:ascii="Arial" w:cs="Arial" w:eastAsia="Arial" w:hAnsi="Arial"/>
          <w:sz w:val="16"/>
          <w:szCs w:val="16"/>
          <w:b w:val="1"/>
          <w:bCs w:val="1"/>
          <w:color w:val="auto"/>
        </w:rPr>
        <w:t>Commission file number: 1-36313</w:t>
      </w:r>
    </w:p>
    <w:p>
      <w:pPr>
        <w:spacing w:after="0" w:line="313" w:lineRule="exact"/>
        <w:rPr>
          <w:sz w:val="20"/>
          <w:szCs w:val="20"/>
          <w:color w:val="auto"/>
        </w:rPr>
      </w:pPr>
    </w:p>
    <w:p>
      <w:pPr>
        <w:jc w:val="center"/>
        <w:ind w:right="-119"/>
        <w:spacing w:after="0"/>
        <w:rPr>
          <w:sz w:val="20"/>
          <w:szCs w:val="20"/>
          <w:color w:val="auto"/>
        </w:rPr>
      </w:pPr>
      <w:r>
        <w:rPr>
          <w:rFonts w:ascii="Arial" w:cs="Arial" w:eastAsia="Arial" w:hAnsi="Arial"/>
          <w:sz w:val="43"/>
          <w:szCs w:val="43"/>
          <w:b w:val="1"/>
          <w:bCs w:val="1"/>
          <w:color w:val="auto"/>
        </w:rPr>
        <w:t>TIMKENSTEEL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-311785</wp:posOffset>
            </wp:positionV>
            <wp:extent cx="565975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30"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21590</wp:posOffset>
            </wp:positionV>
            <wp:extent cx="565975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00" w:lineRule="exact"/>
        <w:rPr>
          <w:sz w:val="20"/>
          <w:szCs w:val="20"/>
          <w:color w:val="auto"/>
        </w:rPr>
      </w:pPr>
    </w:p>
    <w:p>
      <w:pPr>
        <w:spacing w:after="0" w:line="314" w:lineRule="exact"/>
        <w:rPr>
          <w:sz w:val="20"/>
          <w:szCs w:val="20"/>
          <w:color w:val="auto"/>
        </w:rPr>
      </w:pPr>
    </w:p>
    <w:tbl>
      <w:tblPr>
        <w:tblLayout w:type="fixed"/>
        <w:tblInd w:w="1500" w:type="dxa"/>
        <w:tblCellMar>
          <w:top w:w="0" w:type="dxa"/>
          <w:left w:w="0" w:type="dxa"/>
          <w:bottom w:w="0" w:type="dxa"/>
          <w:right w:w="0" w:type="dxa"/>
        </w:tblCellMar>
      </w:tblPr>
      <w:tr>
        <w:trPr>
          <w:trHeight w:val="210"/>
        </w:trPr>
        <w:tc>
          <w:tcPr>
            <w:tcW w:w="3200" w:type="dxa"/>
            <w:vAlign w:val="bottom"/>
          </w:tcPr>
          <w:p>
            <w:pPr>
              <w:jc w:val="center"/>
              <w:ind w:right="504"/>
              <w:spacing w:after="0"/>
              <w:rPr>
                <w:sz w:val="20"/>
                <w:szCs w:val="20"/>
                <w:color w:val="auto"/>
              </w:rPr>
            </w:pPr>
            <w:r>
              <w:rPr>
                <w:rFonts w:ascii="Arial" w:cs="Arial" w:eastAsia="Arial" w:hAnsi="Arial"/>
                <w:sz w:val="16"/>
                <w:szCs w:val="16"/>
                <w:b w:val="1"/>
                <w:bCs w:val="1"/>
                <w:color w:val="auto"/>
                <w:w w:val="93"/>
              </w:rPr>
              <w:t>Ohio</w:t>
            </w:r>
          </w:p>
        </w:tc>
        <w:tc>
          <w:tcPr>
            <w:tcW w:w="4440" w:type="dxa"/>
            <w:vAlign w:val="bottom"/>
          </w:tcPr>
          <w:p>
            <w:pPr>
              <w:jc w:val="right"/>
              <w:ind w:right="103"/>
              <w:spacing w:after="0"/>
              <w:rPr>
                <w:sz w:val="20"/>
                <w:szCs w:val="20"/>
                <w:color w:val="auto"/>
              </w:rPr>
            </w:pPr>
            <w:r>
              <w:rPr>
                <w:rFonts w:ascii="Arial" w:cs="Arial" w:eastAsia="Arial" w:hAnsi="Arial"/>
                <w:sz w:val="16"/>
                <w:szCs w:val="16"/>
                <w:b w:val="1"/>
                <w:bCs w:val="1"/>
                <w:color w:val="auto"/>
              </w:rPr>
              <w:t>46-4024951</w:t>
            </w:r>
          </w:p>
        </w:tc>
      </w:tr>
      <w:tr>
        <w:trPr>
          <w:trHeight w:val="240"/>
        </w:trPr>
        <w:tc>
          <w:tcPr>
            <w:tcW w:w="3200" w:type="dxa"/>
            <w:vAlign w:val="bottom"/>
          </w:tcPr>
          <w:p>
            <w:pPr>
              <w:jc w:val="center"/>
              <w:ind w:right="484"/>
              <w:spacing w:after="0"/>
              <w:rPr>
                <w:sz w:val="20"/>
                <w:szCs w:val="20"/>
                <w:color w:val="auto"/>
              </w:rPr>
            </w:pPr>
            <w:r>
              <w:rPr>
                <w:rFonts w:ascii="Arial" w:cs="Arial" w:eastAsia="Arial" w:hAnsi="Arial"/>
                <w:sz w:val="14"/>
                <w:szCs w:val="14"/>
                <w:color w:val="auto"/>
              </w:rPr>
              <w:t>(State or other jurisdiction of</w:t>
            </w:r>
          </w:p>
        </w:tc>
        <w:tc>
          <w:tcPr>
            <w:tcW w:w="4440" w:type="dxa"/>
            <w:vAlign w:val="bottom"/>
          </w:tcPr>
          <w:p>
            <w:pPr>
              <w:jc w:val="center"/>
              <w:ind w:left="3223"/>
              <w:spacing w:after="0"/>
              <w:rPr>
                <w:sz w:val="20"/>
                <w:szCs w:val="20"/>
                <w:color w:val="auto"/>
              </w:rPr>
            </w:pPr>
            <w:r>
              <w:rPr>
                <w:rFonts w:ascii="Arial" w:cs="Arial" w:eastAsia="Arial" w:hAnsi="Arial"/>
                <w:sz w:val="14"/>
                <w:szCs w:val="14"/>
                <w:color w:val="auto"/>
              </w:rPr>
              <w:t>(I.R.S. Employer</w:t>
            </w:r>
          </w:p>
        </w:tc>
      </w:tr>
      <w:tr>
        <w:trPr>
          <w:trHeight w:val="172"/>
        </w:trPr>
        <w:tc>
          <w:tcPr>
            <w:tcW w:w="3200" w:type="dxa"/>
            <w:vAlign w:val="bottom"/>
          </w:tcPr>
          <w:p>
            <w:pPr>
              <w:jc w:val="center"/>
              <w:ind w:right="504"/>
              <w:spacing w:after="0"/>
              <w:rPr>
                <w:sz w:val="20"/>
                <w:szCs w:val="20"/>
                <w:color w:val="auto"/>
              </w:rPr>
            </w:pPr>
            <w:r>
              <w:rPr>
                <w:rFonts w:ascii="Arial" w:cs="Arial" w:eastAsia="Arial" w:hAnsi="Arial"/>
                <w:sz w:val="14"/>
                <w:szCs w:val="14"/>
                <w:color w:val="auto"/>
              </w:rPr>
              <w:t>incorporation or organization)</w:t>
            </w:r>
          </w:p>
        </w:tc>
        <w:tc>
          <w:tcPr>
            <w:tcW w:w="4440" w:type="dxa"/>
            <w:vAlign w:val="bottom"/>
          </w:tcPr>
          <w:p>
            <w:pPr>
              <w:jc w:val="center"/>
              <w:ind w:left="3243"/>
              <w:spacing w:after="0"/>
              <w:rPr>
                <w:sz w:val="20"/>
                <w:szCs w:val="20"/>
                <w:color w:val="auto"/>
              </w:rPr>
            </w:pPr>
            <w:r>
              <w:rPr>
                <w:rFonts w:ascii="Arial" w:cs="Arial" w:eastAsia="Arial" w:hAnsi="Arial"/>
                <w:sz w:val="14"/>
                <w:szCs w:val="14"/>
                <w:color w:val="auto"/>
              </w:rPr>
              <w:t>Identification No.)</w:t>
            </w:r>
          </w:p>
        </w:tc>
      </w:tr>
      <w:tr>
        <w:trPr>
          <w:trHeight w:val="357"/>
        </w:trPr>
        <w:tc>
          <w:tcPr>
            <w:tcW w:w="3200" w:type="dxa"/>
            <w:vAlign w:val="bottom"/>
          </w:tcPr>
          <w:p>
            <w:pPr>
              <w:jc w:val="center"/>
              <w:ind w:right="504"/>
              <w:spacing w:after="0"/>
              <w:rPr>
                <w:sz w:val="20"/>
                <w:szCs w:val="20"/>
                <w:color w:val="auto"/>
              </w:rPr>
            </w:pPr>
            <w:r>
              <w:rPr>
                <w:rFonts w:ascii="Arial" w:cs="Arial" w:eastAsia="Arial" w:hAnsi="Arial"/>
                <w:sz w:val="16"/>
                <w:szCs w:val="16"/>
                <w:b w:val="1"/>
                <w:bCs w:val="1"/>
                <w:color w:val="auto"/>
                <w:w w:val="92"/>
              </w:rPr>
              <w:t>1835 Dueber Avenue SW, Canton, OH</w:t>
            </w:r>
          </w:p>
        </w:tc>
        <w:tc>
          <w:tcPr>
            <w:tcW w:w="4440" w:type="dxa"/>
            <w:vAlign w:val="bottom"/>
          </w:tcPr>
          <w:p>
            <w:pPr>
              <w:jc w:val="right"/>
              <w:ind w:right="283"/>
              <w:spacing w:after="0"/>
              <w:rPr>
                <w:sz w:val="20"/>
                <w:szCs w:val="20"/>
                <w:color w:val="auto"/>
              </w:rPr>
            </w:pPr>
            <w:r>
              <w:rPr>
                <w:rFonts w:ascii="Arial" w:cs="Arial" w:eastAsia="Arial" w:hAnsi="Arial"/>
                <w:sz w:val="16"/>
                <w:szCs w:val="16"/>
                <w:b w:val="1"/>
                <w:bCs w:val="1"/>
                <w:color w:val="auto"/>
              </w:rPr>
              <w:t>44706</w:t>
            </w:r>
          </w:p>
        </w:tc>
      </w:tr>
      <w:tr>
        <w:trPr>
          <w:trHeight w:val="224"/>
        </w:trPr>
        <w:tc>
          <w:tcPr>
            <w:tcW w:w="3200" w:type="dxa"/>
            <w:vAlign w:val="bottom"/>
          </w:tcPr>
          <w:p>
            <w:pPr>
              <w:jc w:val="center"/>
              <w:ind w:right="504"/>
              <w:spacing w:after="0"/>
              <w:rPr>
                <w:sz w:val="20"/>
                <w:szCs w:val="20"/>
                <w:color w:val="auto"/>
              </w:rPr>
            </w:pPr>
            <w:r>
              <w:rPr>
                <w:rFonts w:ascii="Arial" w:cs="Arial" w:eastAsia="Arial" w:hAnsi="Arial"/>
                <w:sz w:val="14"/>
                <w:szCs w:val="14"/>
                <w:color w:val="auto"/>
                <w:w w:val="95"/>
              </w:rPr>
              <w:t>(Address of principal executive offices)</w:t>
            </w:r>
          </w:p>
        </w:tc>
        <w:tc>
          <w:tcPr>
            <w:tcW w:w="4440" w:type="dxa"/>
            <w:vAlign w:val="bottom"/>
          </w:tcPr>
          <w:p>
            <w:pPr>
              <w:jc w:val="center"/>
              <w:ind w:left="3223"/>
              <w:spacing w:after="0"/>
              <w:rPr>
                <w:sz w:val="20"/>
                <w:szCs w:val="20"/>
                <w:color w:val="auto"/>
              </w:rPr>
            </w:pPr>
            <w:r>
              <w:rPr>
                <w:rFonts w:ascii="Arial" w:cs="Arial" w:eastAsia="Arial" w:hAnsi="Arial"/>
                <w:sz w:val="14"/>
                <w:szCs w:val="14"/>
                <w:color w:val="auto"/>
                <w:w w:val="93"/>
              </w:rPr>
              <w:t>(Zip Code)</w:t>
            </w:r>
          </w:p>
        </w:tc>
      </w:tr>
      <w:tr>
        <w:trPr>
          <w:trHeight w:val="249"/>
        </w:trPr>
        <w:tc>
          <w:tcPr>
            <w:tcW w:w="3200" w:type="dxa"/>
            <w:vAlign w:val="bottom"/>
          </w:tcPr>
          <w:p>
            <w:pPr>
              <w:spacing w:after="0"/>
              <w:rPr>
                <w:sz w:val="21"/>
                <w:szCs w:val="21"/>
                <w:color w:val="auto"/>
              </w:rPr>
            </w:pPr>
          </w:p>
        </w:tc>
        <w:tc>
          <w:tcPr>
            <w:tcW w:w="4440" w:type="dxa"/>
            <w:vAlign w:val="bottom"/>
          </w:tcPr>
          <w:p>
            <w:pPr>
              <w:jc w:val="right"/>
              <w:ind w:right="2903"/>
              <w:spacing w:after="0"/>
              <w:rPr>
                <w:sz w:val="20"/>
                <w:szCs w:val="20"/>
                <w:color w:val="auto"/>
              </w:rPr>
            </w:pPr>
            <w:r>
              <w:rPr>
                <w:rFonts w:ascii="Arial" w:cs="Arial" w:eastAsia="Arial" w:hAnsi="Arial"/>
                <w:sz w:val="16"/>
                <w:szCs w:val="16"/>
                <w:b w:val="1"/>
                <w:bCs w:val="1"/>
                <w:color w:val="auto"/>
              </w:rPr>
              <w:t>330.471.7000</w:t>
            </w:r>
          </w:p>
        </w:tc>
      </w:tr>
    </w:tbl>
    <w:p>
      <w:pPr>
        <w:spacing w:after="0" w:line="60" w:lineRule="exact"/>
        <w:rPr>
          <w:sz w:val="20"/>
          <w:szCs w:val="20"/>
          <w:color w:val="auto"/>
        </w:rPr>
      </w:pPr>
    </w:p>
    <w:p>
      <w:pPr>
        <w:jc w:val="center"/>
        <w:ind w:right="-79"/>
        <w:spacing w:after="0"/>
        <w:rPr>
          <w:sz w:val="20"/>
          <w:szCs w:val="20"/>
          <w:color w:val="auto"/>
        </w:rPr>
      </w:pPr>
      <w:r>
        <w:rPr>
          <w:rFonts w:ascii="Arial" w:cs="Arial" w:eastAsia="Arial" w:hAnsi="Arial"/>
          <w:sz w:val="16"/>
          <w:szCs w:val="16"/>
          <w:b w:val="1"/>
          <w:bCs w:val="1"/>
          <w:color w:val="auto"/>
        </w:rPr>
        <w:t>(Registrant’s telephone number, including area code)</w:t>
      </w:r>
    </w:p>
    <w:p>
      <w:pPr>
        <w:spacing w:after="0" w:line="239" w:lineRule="exact"/>
        <w:rPr>
          <w:sz w:val="20"/>
          <w:szCs w:val="20"/>
          <w:color w:val="auto"/>
        </w:rPr>
      </w:pPr>
    </w:p>
    <w:p>
      <w:pPr>
        <w:ind w:right="340" w:firstLine="405"/>
        <w:spacing w:after="0" w:line="222" w:lineRule="exact"/>
        <w:rPr>
          <w:sz w:val="20"/>
          <w:szCs w:val="20"/>
          <w:color w:val="auto"/>
        </w:rPr>
      </w:pPr>
      <w:r>
        <w:rPr>
          <w:rFonts w:ascii="Arial" w:cs="Arial" w:eastAsia="Arial" w:hAnsi="Arial"/>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6"/>
          <w:szCs w:val="16"/>
          <w:color w:val="auto"/>
        </w:rPr>
        <w:t xml:space="preserve"> No </w:t>
      </w:r>
      <w:r>
        <w:rPr>
          <w:rFonts w:ascii="MS PGothic" w:cs="MS PGothic" w:eastAsia="MS PGothic" w:hAnsi="MS PGothic"/>
          <w:sz w:val="18"/>
          <w:szCs w:val="18"/>
          <w:color w:val="auto"/>
        </w:rPr>
        <w:t>☐</w:t>
      </w:r>
    </w:p>
    <w:p>
      <w:pPr>
        <w:spacing w:after="0" w:line="160" w:lineRule="exact"/>
        <w:rPr>
          <w:sz w:val="20"/>
          <w:szCs w:val="20"/>
          <w:color w:val="auto"/>
        </w:rPr>
      </w:pPr>
    </w:p>
    <w:p>
      <w:pPr>
        <w:ind w:right="180" w:firstLine="405"/>
        <w:spacing w:after="0" w:line="222" w:lineRule="exact"/>
        <w:rPr>
          <w:sz w:val="20"/>
          <w:szCs w:val="20"/>
          <w:color w:val="auto"/>
        </w:rPr>
      </w:pPr>
      <w:r>
        <w:rPr>
          <w:rFonts w:ascii="Arial" w:cs="Arial" w:eastAsia="Arial" w:hAnsi="Arial"/>
          <w:sz w:val="16"/>
          <w:szCs w:val="16"/>
          <w:color w:val="auto"/>
        </w:rPr>
        <w:t xml:space="preserve">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6"/>
          <w:szCs w:val="16"/>
          <w:color w:val="auto"/>
        </w:rPr>
        <w:t xml:space="preserve"> No </w:t>
      </w:r>
      <w:r>
        <w:rPr>
          <w:rFonts w:ascii="MS PGothic" w:cs="MS PGothic" w:eastAsia="MS PGothic" w:hAnsi="MS PGothic"/>
          <w:sz w:val="18"/>
          <w:szCs w:val="18"/>
          <w:color w:val="auto"/>
        </w:rPr>
        <w:t>☐</w:t>
      </w:r>
    </w:p>
    <w:p>
      <w:pPr>
        <w:spacing w:after="0" w:line="160" w:lineRule="exact"/>
        <w:rPr>
          <w:sz w:val="20"/>
          <w:szCs w:val="20"/>
          <w:color w:val="auto"/>
        </w:rPr>
      </w:pPr>
    </w:p>
    <w:p>
      <w:pPr>
        <w:ind w:firstLine="405"/>
        <w:spacing w:after="0" w:line="311"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pacing w:after="0" w:line="67" w:lineRule="exact"/>
        <w:rPr>
          <w:sz w:val="20"/>
          <w:szCs w:val="20"/>
          <w:color w:val="auto"/>
        </w:rPr>
      </w:pPr>
    </w:p>
    <w:tbl>
      <w:tblPr>
        <w:tblLayout w:type="fixed"/>
        <w:tblInd w:w="40" w:type="dxa"/>
        <w:tblCellMar>
          <w:top w:w="0" w:type="dxa"/>
          <w:left w:w="0" w:type="dxa"/>
          <w:bottom w:w="0" w:type="dxa"/>
          <w:right w:w="0" w:type="dxa"/>
        </w:tblCellMar>
      </w:tblPr>
      <w:tr>
        <w:trPr>
          <w:trHeight w:val="283"/>
        </w:trPr>
        <w:tc>
          <w:tcPr>
            <w:tcW w:w="206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4640" w:type="dxa"/>
            <w:vAlign w:val="bottom"/>
          </w:tcPr>
          <w:p>
            <w:pPr>
              <w:ind w:left="600"/>
              <w:spacing w:after="0" w:line="181" w:lineRule="exact"/>
              <w:rPr>
                <w:sz w:val="20"/>
                <w:szCs w:val="20"/>
                <w:color w:val="auto"/>
              </w:rPr>
            </w:pPr>
            <w:r>
              <w:rPr>
                <w:rFonts w:ascii="MS PGothic" w:cs="MS PGothic" w:eastAsia="MS PGothic" w:hAnsi="MS PGothic"/>
                <w:sz w:val="18"/>
                <w:szCs w:val="18"/>
                <w:color w:val="auto"/>
              </w:rPr>
              <w:t>☒</w:t>
            </w:r>
          </w:p>
        </w:tc>
        <w:tc>
          <w:tcPr>
            <w:tcW w:w="3520" w:type="dxa"/>
            <w:vAlign w:val="bottom"/>
          </w:tcPr>
          <w:p>
            <w:pPr>
              <w:ind w:left="1200"/>
              <w:spacing w:after="0"/>
              <w:rPr>
                <w:sz w:val="20"/>
                <w:szCs w:val="20"/>
                <w:color w:val="auto"/>
              </w:rPr>
            </w:pPr>
            <w:r>
              <w:rPr>
                <w:rFonts w:ascii="Arial" w:cs="Arial" w:eastAsia="Arial" w:hAnsi="Arial"/>
                <w:sz w:val="16"/>
                <w:szCs w:val="16"/>
                <w:color w:val="auto"/>
              </w:rPr>
              <w:t>Accelerated filer</w:t>
            </w:r>
          </w:p>
        </w:tc>
        <w:tc>
          <w:tcPr>
            <w:tcW w:w="660" w:type="dxa"/>
            <w:vAlign w:val="bottom"/>
          </w:tcPr>
          <w:p>
            <w:pPr>
              <w:ind w:left="580"/>
              <w:spacing w:after="0"/>
              <w:rPr>
                <w:sz w:val="20"/>
                <w:szCs w:val="20"/>
                <w:color w:val="auto"/>
              </w:rPr>
            </w:pPr>
            <w:r>
              <w:rPr>
                <w:rFonts w:ascii="Arial" w:cs="Arial" w:eastAsia="Arial" w:hAnsi="Arial"/>
                <w:sz w:val="15"/>
                <w:szCs w:val="15"/>
                <w:color w:val="auto"/>
                <w:w w:val="71"/>
              </w:rPr>
              <w:t>o</w:t>
            </w:r>
          </w:p>
        </w:tc>
      </w:tr>
      <w:tr>
        <w:trPr>
          <w:trHeight w:val="387"/>
        </w:trPr>
        <w:tc>
          <w:tcPr>
            <w:tcW w:w="2060" w:type="dxa"/>
            <w:vAlign w:val="bottom"/>
          </w:tcPr>
          <w:p>
            <w:pPr>
              <w:spacing w:after="0"/>
              <w:rPr>
                <w:sz w:val="20"/>
                <w:szCs w:val="20"/>
                <w:color w:val="auto"/>
              </w:rPr>
            </w:pPr>
            <w:r>
              <w:rPr>
                <w:rFonts w:ascii="Arial" w:cs="Arial" w:eastAsia="Arial" w:hAnsi="Arial"/>
                <w:sz w:val="16"/>
                <w:szCs w:val="16"/>
                <w:color w:val="auto"/>
              </w:rPr>
              <w:t>Non-accelerated filer</w:t>
            </w:r>
          </w:p>
        </w:tc>
        <w:tc>
          <w:tcPr>
            <w:tcW w:w="4640" w:type="dxa"/>
            <w:vAlign w:val="bottom"/>
          </w:tcPr>
          <w:p>
            <w:pPr>
              <w:ind w:left="700"/>
              <w:spacing w:after="0"/>
              <w:rPr>
                <w:sz w:val="20"/>
                <w:szCs w:val="20"/>
                <w:color w:val="auto"/>
              </w:rPr>
            </w:pPr>
            <w:r>
              <w:rPr>
                <w:rFonts w:ascii="Arial" w:cs="Arial" w:eastAsia="Arial" w:hAnsi="Arial"/>
                <w:sz w:val="18"/>
                <w:szCs w:val="18"/>
                <w:color w:val="auto"/>
              </w:rPr>
              <w:t xml:space="preserve">o </w:t>
            </w:r>
            <w:r>
              <w:rPr>
                <w:rFonts w:ascii="Arial" w:cs="Arial" w:eastAsia="Arial" w:hAnsi="Arial"/>
                <w:sz w:val="14"/>
                <w:szCs w:val="14"/>
                <w:color w:val="auto"/>
              </w:rPr>
              <w:t>(Do not check if smaller reporting company)</w:t>
            </w:r>
          </w:p>
        </w:tc>
        <w:tc>
          <w:tcPr>
            <w:tcW w:w="3520" w:type="dxa"/>
            <w:vAlign w:val="bottom"/>
          </w:tcPr>
          <w:p>
            <w:pPr>
              <w:ind w:left="1200"/>
              <w:spacing w:after="0"/>
              <w:rPr>
                <w:sz w:val="20"/>
                <w:szCs w:val="20"/>
                <w:color w:val="auto"/>
              </w:rPr>
            </w:pPr>
            <w:r>
              <w:rPr>
                <w:rFonts w:ascii="Arial" w:cs="Arial" w:eastAsia="Arial" w:hAnsi="Arial"/>
                <w:sz w:val="16"/>
                <w:szCs w:val="16"/>
                <w:color w:val="auto"/>
              </w:rPr>
              <w:t>Smaller reporting company</w:t>
            </w:r>
          </w:p>
        </w:tc>
        <w:tc>
          <w:tcPr>
            <w:tcW w:w="660" w:type="dxa"/>
            <w:vAlign w:val="bottom"/>
          </w:tcPr>
          <w:p>
            <w:pPr>
              <w:ind w:left="580"/>
              <w:spacing w:after="0"/>
              <w:rPr>
                <w:sz w:val="20"/>
                <w:szCs w:val="20"/>
                <w:color w:val="auto"/>
              </w:rPr>
            </w:pPr>
            <w:r>
              <w:rPr>
                <w:rFonts w:ascii="Arial" w:cs="Arial" w:eastAsia="Arial" w:hAnsi="Arial"/>
                <w:sz w:val="15"/>
                <w:szCs w:val="15"/>
                <w:color w:val="auto"/>
                <w:w w:val="71"/>
              </w:rPr>
              <w:t>o</w:t>
            </w:r>
          </w:p>
        </w:tc>
      </w:tr>
    </w:tbl>
    <w:p>
      <w:pPr>
        <w:spacing w:after="0" w:line="141" w:lineRule="exact"/>
        <w:rPr>
          <w:sz w:val="20"/>
          <w:szCs w:val="20"/>
          <w:color w:val="auto"/>
        </w:rPr>
      </w:pPr>
    </w:p>
    <w:p>
      <w:pPr>
        <w:ind w:left="420"/>
        <w:spacing w:after="0" w:line="207" w:lineRule="exact"/>
        <w:rPr>
          <w:sz w:val="20"/>
          <w:szCs w:val="20"/>
          <w:color w:val="auto"/>
        </w:rPr>
      </w:pPr>
      <w:r>
        <w:rPr>
          <w:rFonts w:ascii="Arial" w:cs="Arial" w:eastAsia="Arial" w:hAnsi="Arial"/>
          <w:sz w:val="16"/>
          <w:szCs w:val="16"/>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Arial" w:cs="Arial" w:eastAsia="Arial" w:hAnsi="Arial"/>
          <w:sz w:val="16"/>
          <w:szCs w:val="16"/>
          <w:color w:val="auto"/>
        </w:rPr>
        <w:t xml:space="preserve"> No </w:t>
      </w:r>
      <w:r>
        <w:rPr>
          <w:rFonts w:ascii="MS PGothic" w:cs="MS PGothic" w:eastAsia="MS PGothic" w:hAnsi="MS PGothic"/>
          <w:sz w:val="18"/>
          <w:szCs w:val="18"/>
          <w:color w:val="auto"/>
        </w:rPr>
        <w:t>☒</w:t>
      </w:r>
    </w:p>
    <w:p>
      <w:pPr>
        <w:spacing w:after="0" w:line="222" w:lineRule="exact"/>
        <w:rPr>
          <w:sz w:val="20"/>
          <w:szCs w:val="20"/>
          <w:color w:val="auto"/>
        </w:rPr>
      </w:pPr>
    </w:p>
    <w:p>
      <w:pPr>
        <w:ind w:left="420"/>
        <w:spacing w:after="0"/>
        <w:rPr>
          <w:sz w:val="20"/>
          <w:szCs w:val="20"/>
          <w:color w:val="auto"/>
        </w:rPr>
      </w:pPr>
      <w:r>
        <w:rPr>
          <w:rFonts w:ascii="Arial" w:cs="Arial" w:eastAsia="Arial" w:hAnsi="Arial"/>
          <w:sz w:val="16"/>
          <w:szCs w:val="16"/>
          <w:color w:val="auto"/>
        </w:rPr>
        <w:t>Indicate the number of shares outstanding of each of the issuer’s classes of common stock, as of the latest practicable date.</w:t>
      </w:r>
    </w:p>
    <w:p>
      <w:pPr>
        <w:spacing w:after="0" w:line="356" w:lineRule="exact"/>
        <w:rPr>
          <w:sz w:val="20"/>
          <w:szCs w:val="20"/>
          <w:color w:val="auto"/>
        </w:rPr>
      </w:pPr>
    </w:p>
    <w:tbl>
      <w:tblPr>
        <w:tblLayout w:type="fixed"/>
        <w:tblInd w:w="1260" w:type="dxa"/>
        <w:tblCellMar>
          <w:top w:w="0" w:type="dxa"/>
          <w:left w:w="0" w:type="dxa"/>
          <w:bottom w:w="0" w:type="dxa"/>
          <w:right w:w="0" w:type="dxa"/>
        </w:tblCellMar>
      </w:tblPr>
      <w:tr>
        <w:trPr>
          <w:trHeight w:val="206"/>
        </w:trPr>
        <w:tc>
          <w:tcPr>
            <w:tcW w:w="5380" w:type="dxa"/>
            <w:vAlign w:val="bottom"/>
            <w:gridSpan w:val="2"/>
          </w:tcPr>
          <w:p>
            <w:pPr>
              <w:jc w:val="center"/>
              <w:ind w:right="1840"/>
              <w:spacing w:after="0"/>
              <w:rPr>
                <w:sz w:val="20"/>
                <w:szCs w:val="20"/>
                <w:color w:val="auto"/>
              </w:rPr>
            </w:pPr>
            <w:r>
              <w:rPr>
                <w:rFonts w:ascii="Arial" w:cs="Arial" w:eastAsia="Arial" w:hAnsi="Arial"/>
                <w:sz w:val="16"/>
                <w:szCs w:val="16"/>
                <w:color w:val="auto"/>
                <w:w w:val="84"/>
              </w:rPr>
              <w:t>Class</w:t>
            </w:r>
          </w:p>
        </w:tc>
        <w:tc>
          <w:tcPr>
            <w:tcW w:w="3540" w:type="dxa"/>
            <w:vAlign w:val="bottom"/>
          </w:tcPr>
          <w:p>
            <w:pPr>
              <w:jc w:val="center"/>
              <w:spacing w:after="0"/>
              <w:rPr>
                <w:sz w:val="20"/>
                <w:szCs w:val="20"/>
                <w:color w:val="auto"/>
              </w:rPr>
            </w:pPr>
            <w:r>
              <w:rPr>
                <w:rFonts w:ascii="Arial" w:cs="Arial" w:eastAsia="Arial" w:hAnsi="Arial"/>
                <w:sz w:val="16"/>
                <w:szCs w:val="16"/>
                <w:color w:val="auto"/>
                <w:w w:val="93"/>
              </w:rPr>
              <w:t>Outstanding at April 29, 2016</w:t>
            </w:r>
          </w:p>
        </w:tc>
      </w:tr>
      <w:tr>
        <w:trPr>
          <w:trHeight w:val="33"/>
        </w:trPr>
        <w:tc>
          <w:tcPr>
            <w:tcW w:w="3540" w:type="dxa"/>
            <w:vAlign w:val="bottom"/>
            <w:tcBorders>
              <w:bottom w:val="single" w:sz="8" w:color="auto"/>
            </w:tcBorders>
          </w:tcPr>
          <w:p>
            <w:pPr>
              <w:spacing w:after="0"/>
              <w:rPr>
                <w:sz w:val="2"/>
                <w:szCs w:val="2"/>
                <w:color w:val="auto"/>
              </w:rPr>
            </w:pPr>
          </w:p>
        </w:tc>
        <w:tc>
          <w:tcPr>
            <w:tcW w:w="1840" w:type="dxa"/>
            <w:vAlign w:val="bottom"/>
          </w:tcPr>
          <w:p>
            <w:pPr>
              <w:spacing w:after="0"/>
              <w:rPr>
                <w:sz w:val="2"/>
                <w:szCs w:val="2"/>
                <w:color w:val="auto"/>
              </w:rPr>
            </w:pPr>
          </w:p>
        </w:tc>
        <w:tc>
          <w:tcPr>
            <w:tcW w:w="3540" w:type="dxa"/>
            <w:vAlign w:val="bottom"/>
            <w:tcBorders>
              <w:bottom w:val="single" w:sz="8" w:color="auto"/>
            </w:tcBorders>
          </w:tcPr>
          <w:p>
            <w:pPr>
              <w:spacing w:after="0"/>
              <w:rPr>
                <w:sz w:val="2"/>
                <w:szCs w:val="2"/>
                <w:color w:val="auto"/>
              </w:rPr>
            </w:pPr>
          </w:p>
        </w:tc>
      </w:tr>
      <w:tr>
        <w:trPr>
          <w:trHeight w:val="217"/>
        </w:trPr>
        <w:tc>
          <w:tcPr>
            <w:tcW w:w="5380" w:type="dxa"/>
            <w:vAlign w:val="bottom"/>
            <w:gridSpan w:val="2"/>
          </w:tcPr>
          <w:p>
            <w:pPr>
              <w:jc w:val="center"/>
              <w:ind w:right="1840"/>
              <w:spacing w:after="0"/>
              <w:rPr>
                <w:sz w:val="20"/>
                <w:szCs w:val="20"/>
                <w:color w:val="auto"/>
              </w:rPr>
            </w:pPr>
            <w:r>
              <w:rPr>
                <w:rFonts w:ascii="Arial" w:cs="Arial" w:eastAsia="Arial" w:hAnsi="Arial"/>
                <w:sz w:val="16"/>
                <w:szCs w:val="16"/>
                <w:color w:val="auto"/>
                <w:w w:val="92"/>
              </w:rPr>
              <w:t>Common Shares, without par value</w:t>
            </w:r>
          </w:p>
        </w:tc>
        <w:tc>
          <w:tcPr>
            <w:tcW w:w="3540" w:type="dxa"/>
            <w:vAlign w:val="bottom"/>
          </w:tcPr>
          <w:p>
            <w:pPr>
              <w:jc w:val="right"/>
              <w:ind w:right="1319"/>
              <w:spacing w:after="0"/>
              <w:rPr>
                <w:sz w:val="20"/>
                <w:szCs w:val="20"/>
                <w:color w:val="auto"/>
              </w:rPr>
            </w:pPr>
            <w:r>
              <w:rPr>
                <w:rFonts w:ascii="Arial" w:cs="Arial" w:eastAsia="Arial" w:hAnsi="Arial"/>
                <w:sz w:val="16"/>
                <w:szCs w:val="16"/>
                <w:color w:val="auto"/>
              </w:rPr>
              <w:t>44,220,054</w:t>
            </w:r>
          </w:p>
        </w:tc>
      </w:tr>
    </w:tbl>
    <w:p>
      <w:pPr>
        <w:sectPr>
          <w:pgSz w:w="11900" w:h="16838" w:orient="portrait"/>
          <w:cols w:equalWidth="0" w:num="1">
            <w:col w:w="11300"/>
          </w:cols>
          <w:pgMar w:left="240" w:top="355" w:right="35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Table of Contents</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2420" w:type="dxa"/>
            <w:vAlign w:val="bottom"/>
            <w:gridSpan w:val="5"/>
          </w:tcPr>
          <w:p>
            <w:pPr>
              <w:ind w:left="1340"/>
              <w:spacing w:after="0"/>
              <w:rPr>
                <w:sz w:val="20"/>
                <w:szCs w:val="20"/>
                <w:color w:val="auto"/>
              </w:rPr>
            </w:pPr>
            <w:r>
              <w:rPr>
                <w:rFonts w:ascii="Arial" w:cs="Arial" w:eastAsia="Arial" w:hAnsi="Arial"/>
                <w:sz w:val="18"/>
                <w:szCs w:val="18"/>
                <w:color w:val="auto"/>
              </w:rPr>
              <w:t>PAGE</w:t>
            </w: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20" w:type="dxa"/>
            <w:vAlign w:val="bottom"/>
          </w:tcPr>
          <w:p>
            <w:pPr>
              <w:spacing w:after="0"/>
              <w:rPr>
                <w:sz w:val="4"/>
                <w:szCs w:val="4"/>
                <w:color w:val="auto"/>
              </w:rPr>
            </w:pPr>
          </w:p>
        </w:tc>
        <w:tc>
          <w:tcPr>
            <w:tcW w:w="74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380" w:type="dxa"/>
            <w:vAlign w:val="bottom"/>
          </w:tcPr>
          <w:p>
            <w:pPr>
              <w:spacing w:after="0"/>
              <w:rPr>
                <w:sz w:val="4"/>
                <w:szCs w:val="4"/>
                <w:color w:val="auto"/>
              </w:rPr>
            </w:pPr>
          </w:p>
        </w:tc>
        <w:tc>
          <w:tcPr>
            <w:tcW w:w="40" w:type="dxa"/>
            <w:vAlign w:val="bottom"/>
          </w:tcPr>
          <w:p>
            <w:pPr>
              <w:spacing w:after="0"/>
              <w:rPr>
                <w:sz w:val="4"/>
                <w:szCs w:val="4"/>
                <w:color w:val="auto"/>
              </w:rPr>
            </w:pPr>
          </w:p>
        </w:tc>
        <w:tc>
          <w:tcPr>
            <w:tcW w:w="80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80" w:type="dxa"/>
            <w:vAlign w:val="bottom"/>
            <w:tcBorders>
              <w:top w:val="single" w:sz="8" w:color="auto"/>
            </w:tcBorders>
          </w:tcPr>
          <w:p>
            <w:pPr>
              <w:spacing w:after="0"/>
              <w:rPr>
                <w:sz w:val="4"/>
                <w:szCs w:val="4"/>
                <w:color w:val="auto"/>
              </w:rPr>
            </w:pPr>
          </w:p>
        </w:tc>
        <w:tc>
          <w:tcPr>
            <w:tcW w:w="140" w:type="dxa"/>
            <w:vAlign w:val="bottom"/>
            <w:tcBorders>
              <w:top w:val="single" w:sz="8" w:color="auto"/>
            </w:tcBorders>
          </w:tcPr>
          <w:p>
            <w:pPr>
              <w:spacing w:after="0"/>
              <w:rPr>
                <w:sz w:val="4"/>
                <w:szCs w:val="4"/>
                <w:color w:val="auto"/>
              </w:rPr>
            </w:pPr>
          </w:p>
        </w:tc>
        <w:tc>
          <w:tcPr>
            <w:tcW w:w="140" w:type="dxa"/>
            <w:vAlign w:val="bottom"/>
            <w:tcBorders>
              <w:top w:val="single" w:sz="8" w:color="auto"/>
            </w:tcBorders>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9000" w:type="dxa"/>
            <w:vAlign w:val="bottom"/>
            <w:gridSpan w:val="19"/>
            <w:shd w:val="clear" w:color="auto" w:fill="CCEEFF"/>
          </w:tcPr>
          <w:p>
            <w:pPr>
              <w:ind w:left="40"/>
              <w:spacing w:after="0" w:line="202" w:lineRule="exact"/>
              <w:rPr>
                <w:rFonts w:ascii="Arial" w:cs="Arial" w:eastAsia="Arial" w:hAnsi="Arial"/>
                <w:sz w:val="18"/>
                <w:szCs w:val="18"/>
                <w:b w:val="1"/>
                <w:bCs w:val="1"/>
                <w:color w:val="0000EE"/>
              </w:rPr>
            </w:pPr>
            <w:hyperlink w:anchor="page4">
              <w:r>
                <w:rPr>
                  <w:rFonts w:ascii="Arial" w:cs="Arial" w:eastAsia="Arial" w:hAnsi="Arial"/>
                  <w:sz w:val="18"/>
                  <w:szCs w:val="18"/>
                  <w:b w:val="1"/>
                  <w:bCs w:val="1"/>
                  <w:color w:val="0000EE"/>
                </w:rPr>
                <w:t>PART I. Financial Information</w:t>
              </w:r>
            </w:hyperlink>
          </w:p>
        </w:tc>
        <w:tc>
          <w:tcPr>
            <w:tcW w:w="1660" w:type="dxa"/>
            <w:vAlign w:val="bottom"/>
            <w:tcBorders>
              <w:right w:val="single" w:sz="8" w:color="CCEEFF"/>
            </w:tcBorders>
            <w:gridSpan w:val="3"/>
            <w:shd w:val="clear" w:color="auto" w:fill="CCEEFF"/>
          </w:tcPr>
          <w:p>
            <w:pPr>
              <w:jc w:val="center"/>
              <w:ind w:left="1390"/>
              <w:spacing w:after="0" w:line="202" w:lineRule="exact"/>
              <w:rPr>
                <w:rFonts w:ascii="Arial" w:cs="Arial" w:eastAsia="Arial" w:hAnsi="Arial"/>
                <w:sz w:val="18"/>
                <w:szCs w:val="18"/>
                <w:color w:val="0000EE"/>
                <w:w w:val="99"/>
              </w:rPr>
            </w:pPr>
            <w:hyperlink w:anchor="page4">
              <w:r>
                <w:rPr>
                  <w:rFonts w:ascii="Arial" w:cs="Arial" w:eastAsia="Arial" w:hAnsi="Arial"/>
                  <w:sz w:val="18"/>
                  <w:szCs w:val="18"/>
                  <w:color w:val="0000EE"/>
                  <w:w w:val="99"/>
                </w:rPr>
                <w:t>3</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0000EE"/>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7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1300" w:type="dxa"/>
            <w:vAlign w:val="bottom"/>
            <w:tcBorders>
              <w:top w:val="single" w:sz="8" w:color="CCEEFF"/>
            </w:tcBorders>
            <w:shd w:val="clear" w:color="auto" w:fill="CCEEFF"/>
          </w:tcPr>
          <w:p>
            <w:pPr>
              <w:spacing w:after="0"/>
              <w:rPr>
                <w:sz w:val="4"/>
                <w:szCs w:val="4"/>
                <w:color w:val="auto"/>
              </w:rPr>
            </w:pPr>
          </w:p>
        </w:tc>
        <w:tc>
          <w:tcPr>
            <w:tcW w:w="1360" w:type="dxa"/>
            <w:vAlign w:val="bottom"/>
            <w:tcBorders>
              <w:top w:val="single" w:sz="8" w:color="CCEEFF"/>
            </w:tcBorders>
            <w:shd w:val="clear" w:color="auto" w:fill="CCEEFF"/>
          </w:tcPr>
          <w:p>
            <w:pPr>
              <w:spacing w:after="0"/>
              <w:rPr>
                <w:sz w:val="4"/>
                <w:szCs w:val="4"/>
                <w:color w:val="auto"/>
              </w:rPr>
            </w:pPr>
          </w:p>
        </w:tc>
        <w:tc>
          <w:tcPr>
            <w:tcW w:w="13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ind w:left="240"/>
              <w:spacing w:after="0" w:line="202" w:lineRule="exact"/>
              <w:rPr>
                <w:sz w:val="20"/>
                <w:szCs w:val="20"/>
                <w:color w:val="auto"/>
              </w:rPr>
            </w:pPr>
            <w:r>
              <w:rPr>
                <w:rFonts w:ascii="Arial" w:cs="Arial" w:eastAsia="Arial" w:hAnsi="Arial"/>
                <w:sz w:val="18"/>
                <w:szCs w:val="18"/>
                <w:color w:val="auto"/>
              </w:rPr>
              <w:t>Item 1.</w:t>
            </w:r>
          </w:p>
        </w:tc>
        <w:tc>
          <w:tcPr>
            <w:tcW w:w="7820" w:type="dxa"/>
            <w:vAlign w:val="bottom"/>
            <w:gridSpan w:val="17"/>
          </w:tcPr>
          <w:p>
            <w:pPr>
              <w:spacing w:after="0" w:line="202" w:lineRule="exact"/>
              <w:rPr>
                <w:rFonts w:ascii="Arial" w:cs="Arial" w:eastAsia="Arial" w:hAnsi="Arial"/>
                <w:sz w:val="18"/>
                <w:szCs w:val="18"/>
                <w:color w:val="0000EE"/>
              </w:rPr>
            </w:pPr>
            <w:hyperlink w:anchor="page4">
              <w:r>
                <w:rPr>
                  <w:rFonts w:ascii="Arial" w:cs="Arial" w:eastAsia="Arial" w:hAnsi="Arial"/>
                  <w:sz w:val="18"/>
                  <w:szCs w:val="18"/>
                  <w:color w:val="0000EE"/>
                </w:rPr>
                <w:t>Financial Statements</w:t>
              </w:r>
            </w:hyperlink>
          </w:p>
        </w:tc>
        <w:tc>
          <w:tcPr>
            <w:tcW w:w="1660" w:type="dxa"/>
            <w:vAlign w:val="bottom"/>
            <w:gridSpan w:val="3"/>
          </w:tcPr>
          <w:p>
            <w:pPr>
              <w:jc w:val="center"/>
              <w:ind w:left="1390"/>
              <w:spacing w:after="0" w:line="202" w:lineRule="exact"/>
              <w:rPr>
                <w:rFonts w:ascii="Arial" w:cs="Arial" w:eastAsia="Arial" w:hAnsi="Arial"/>
                <w:sz w:val="18"/>
                <w:szCs w:val="18"/>
                <w:color w:val="0000EE"/>
                <w:w w:val="99"/>
              </w:rPr>
            </w:pPr>
            <w:hyperlink w:anchor="page4">
              <w:r>
                <w:rPr>
                  <w:rFonts w:ascii="Arial" w:cs="Arial" w:eastAsia="Arial" w:hAnsi="Arial"/>
                  <w:sz w:val="18"/>
                  <w:szCs w:val="18"/>
                  <w:color w:val="0000EE"/>
                  <w:w w:val="99"/>
                </w:rPr>
                <w:t>3</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80" w:type="dxa"/>
            <w:vAlign w:val="bottom"/>
          </w:tcPr>
          <w:p>
            <w:pPr>
              <w:spacing w:after="0"/>
              <w:rPr>
                <w:sz w:val="4"/>
                <w:szCs w:val="4"/>
                <w:color w:val="auto"/>
              </w:rPr>
            </w:pPr>
          </w:p>
        </w:tc>
        <w:tc>
          <w:tcPr>
            <w:tcW w:w="1220" w:type="dxa"/>
            <w:vAlign w:val="bottom"/>
          </w:tcPr>
          <w:p>
            <w:pPr>
              <w:spacing w:after="0"/>
              <w:rPr>
                <w:sz w:val="4"/>
                <w:szCs w:val="4"/>
                <w:color w:val="auto"/>
              </w:rPr>
            </w:pPr>
          </w:p>
        </w:tc>
        <w:tc>
          <w:tcPr>
            <w:tcW w:w="74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380" w:type="dxa"/>
            <w:vAlign w:val="bottom"/>
          </w:tcPr>
          <w:p>
            <w:pPr>
              <w:spacing w:after="0"/>
              <w:rPr>
                <w:sz w:val="4"/>
                <w:szCs w:val="4"/>
                <w:color w:val="auto"/>
              </w:rPr>
            </w:pPr>
          </w:p>
        </w:tc>
        <w:tc>
          <w:tcPr>
            <w:tcW w:w="40" w:type="dxa"/>
            <w:vAlign w:val="bottom"/>
          </w:tcPr>
          <w:p>
            <w:pPr>
              <w:spacing w:after="0"/>
              <w:rPr>
                <w:sz w:val="4"/>
                <w:szCs w:val="4"/>
                <w:color w:val="auto"/>
              </w:rPr>
            </w:pPr>
          </w:p>
        </w:tc>
        <w:tc>
          <w:tcPr>
            <w:tcW w:w="80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3740" w:type="dxa"/>
            <w:vAlign w:val="bottom"/>
            <w:tcBorders>
              <w:bottom w:val="single" w:sz="8" w:color="0000EE"/>
            </w:tcBorders>
            <w:gridSpan w:val="10"/>
            <w:shd w:val="clear" w:color="auto" w:fill="CCEEFF"/>
          </w:tcPr>
          <w:p>
            <w:pPr>
              <w:spacing w:after="0" w:line="202" w:lineRule="exact"/>
              <w:rPr>
                <w:rFonts w:ascii="Arial" w:cs="Arial" w:eastAsia="Arial" w:hAnsi="Arial"/>
                <w:sz w:val="18"/>
                <w:szCs w:val="18"/>
                <w:color w:val="0000EE"/>
                <w:w w:val="90"/>
              </w:rPr>
            </w:pPr>
            <w:hyperlink w:anchor="page4">
              <w:r>
                <w:rPr>
                  <w:rFonts w:ascii="Arial" w:cs="Arial" w:eastAsia="Arial" w:hAnsi="Arial"/>
                  <w:sz w:val="18"/>
                  <w:szCs w:val="18"/>
                  <w:color w:val="0000EE"/>
                  <w:w w:val="90"/>
                </w:rPr>
                <w:t>Consolidated Statements of Operations (Unaudited)</w:t>
              </w:r>
            </w:hyperlink>
          </w:p>
        </w:tc>
        <w:tc>
          <w:tcPr>
            <w:tcW w:w="4080" w:type="dxa"/>
            <w:vAlign w:val="bottom"/>
            <w:tcBorders>
              <w:bottom w:val="single" w:sz="8" w:color="CCEEFF"/>
            </w:tcBorders>
            <w:gridSpan w:val="7"/>
            <w:shd w:val="clear" w:color="auto" w:fill="CCEEFF"/>
          </w:tcPr>
          <w:p>
            <w:pPr>
              <w:spacing w:after="0"/>
              <w:rPr>
                <w:sz w:val="21"/>
                <w:szCs w:val="21"/>
                <w:color w:val="auto"/>
              </w:rPr>
            </w:pPr>
          </w:p>
        </w:tc>
        <w:tc>
          <w:tcPr>
            <w:tcW w:w="1520" w:type="dxa"/>
            <w:vAlign w:val="bottom"/>
            <w:tcBorders>
              <w:bottom w:val="single" w:sz="8" w:color="CCEEFF"/>
              <w:right w:val="single" w:sz="8" w:color="CCEEFF"/>
            </w:tcBorders>
            <w:gridSpan w:val="2"/>
            <w:shd w:val="clear" w:color="auto" w:fill="CCEEFF"/>
          </w:tcPr>
          <w:p>
            <w:pPr>
              <w:spacing w:after="0"/>
              <w:rPr>
                <w:sz w:val="21"/>
                <w:szCs w:val="21"/>
                <w:color w:val="auto"/>
              </w:rPr>
            </w:pPr>
          </w:p>
        </w:tc>
        <w:tc>
          <w:tcPr>
            <w:tcW w:w="140" w:type="dxa"/>
            <w:vAlign w:val="bottom"/>
            <w:tcBorders>
              <w:bottom w:val="single" w:sz="8" w:color="0000EE"/>
              <w:right w:val="single" w:sz="8" w:color="CCEEFF"/>
            </w:tcBorders>
            <w:shd w:val="clear" w:color="auto" w:fill="CCEEFF"/>
          </w:tcPr>
          <w:p>
            <w:pPr>
              <w:jc w:val="center"/>
              <w:spacing w:after="0" w:line="202" w:lineRule="exact"/>
              <w:rPr>
                <w:rFonts w:ascii="Arial" w:cs="Arial" w:eastAsia="Arial" w:hAnsi="Arial"/>
                <w:sz w:val="18"/>
                <w:szCs w:val="18"/>
                <w:color w:val="0000EE"/>
                <w:w w:val="99"/>
              </w:rPr>
            </w:pPr>
            <w:hyperlink w:anchor="page4">
              <w:r>
                <w:rPr>
                  <w:rFonts w:ascii="Arial" w:cs="Arial" w:eastAsia="Arial" w:hAnsi="Arial"/>
                  <w:sz w:val="18"/>
                  <w:szCs w:val="18"/>
                  <w:color w:val="0000EE"/>
                  <w:w w:val="99"/>
                </w:rPr>
                <w:t>3</w:t>
              </w:r>
            </w:hyperlink>
          </w:p>
        </w:tc>
        <w:tc>
          <w:tcPr>
            <w:tcW w:w="14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r>
      <w:tr>
        <w:trPr>
          <w:trHeight w:val="203"/>
        </w:trPr>
        <w:tc>
          <w:tcPr>
            <w:tcW w:w="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7820" w:type="dxa"/>
            <w:vAlign w:val="bottom"/>
            <w:gridSpan w:val="17"/>
          </w:tcPr>
          <w:p>
            <w:pPr>
              <w:spacing w:after="0" w:line="202" w:lineRule="exact"/>
              <w:rPr>
                <w:rFonts w:ascii="Arial" w:cs="Arial" w:eastAsia="Arial" w:hAnsi="Arial"/>
                <w:sz w:val="18"/>
                <w:szCs w:val="18"/>
                <w:color w:val="0000EE"/>
              </w:rPr>
            </w:pPr>
            <w:hyperlink w:anchor="page5">
              <w:r>
                <w:rPr>
                  <w:rFonts w:ascii="Arial" w:cs="Arial" w:eastAsia="Arial" w:hAnsi="Arial"/>
                  <w:sz w:val="18"/>
                  <w:szCs w:val="18"/>
                  <w:color w:val="0000EE"/>
                </w:rPr>
                <w:t>Consolidated Statements of Comprehensive (Loss) Income (Unaudited)</w:t>
              </w:r>
            </w:hyperlink>
          </w:p>
        </w:tc>
        <w:tc>
          <w:tcPr>
            <w:tcW w:w="1660" w:type="dxa"/>
            <w:vAlign w:val="bottom"/>
            <w:gridSpan w:val="3"/>
          </w:tcPr>
          <w:p>
            <w:pPr>
              <w:jc w:val="center"/>
              <w:ind w:left="1390"/>
              <w:spacing w:after="0" w:line="202" w:lineRule="exact"/>
              <w:rPr>
                <w:rFonts w:ascii="Arial" w:cs="Arial" w:eastAsia="Arial" w:hAnsi="Arial"/>
                <w:sz w:val="18"/>
                <w:szCs w:val="18"/>
                <w:color w:val="0000EE"/>
                <w:w w:val="99"/>
              </w:rPr>
            </w:pPr>
            <w:hyperlink w:anchor="page5">
              <w:r>
                <w:rPr>
                  <w:rFonts w:ascii="Arial" w:cs="Arial" w:eastAsia="Arial" w:hAnsi="Arial"/>
                  <w:sz w:val="18"/>
                  <w:szCs w:val="18"/>
                  <w:color w:val="0000EE"/>
                  <w:w w:val="99"/>
                </w:rPr>
                <w:t>4</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1220" w:type="dxa"/>
            <w:vAlign w:val="bottom"/>
            <w:tcBorders>
              <w:top w:val="single" w:sz="8" w:color="0000EE"/>
            </w:tcBorders>
          </w:tcPr>
          <w:p>
            <w:pPr>
              <w:spacing w:after="0"/>
              <w:rPr>
                <w:sz w:val="4"/>
                <w:szCs w:val="4"/>
                <w:color w:val="auto"/>
              </w:rPr>
            </w:pPr>
          </w:p>
        </w:tc>
        <w:tc>
          <w:tcPr>
            <w:tcW w:w="74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38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800" w:type="dxa"/>
            <w:vAlign w:val="bottom"/>
            <w:tcBorders>
              <w:top w:val="single" w:sz="8" w:color="0000EE"/>
            </w:tcBorders>
          </w:tcPr>
          <w:p>
            <w:pPr>
              <w:spacing w:after="0"/>
              <w:rPr>
                <w:sz w:val="4"/>
                <w:szCs w:val="4"/>
                <w:color w:val="auto"/>
              </w:rPr>
            </w:pPr>
          </w:p>
        </w:tc>
        <w:tc>
          <w:tcPr>
            <w:tcW w:w="130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7820" w:type="dxa"/>
            <w:vAlign w:val="bottom"/>
            <w:gridSpan w:val="17"/>
            <w:shd w:val="clear" w:color="auto" w:fill="CCEEFF"/>
          </w:tcPr>
          <w:p>
            <w:pPr>
              <w:spacing w:after="0" w:line="202" w:lineRule="exact"/>
              <w:rPr>
                <w:rFonts w:ascii="Arial" w:cs="Arial" w:eastAsia="Arial" w:hAnsi="Arial"/>
                <w:sz w:val="18"/>
                <w:szCs w:val="18"/>
                <w:color w:val="0000EE"/>
              </w:rPr>
            </w:pPr>
            <w:hyperlink w:anchor="page6">
              <w:r>
                <w:rPr>
                  <w:rFonts w:ascii="Arial" w:cs="Arial" w:eastAsia="Arial" w:hAnsi="Arial"/>
                  <w:sz w:val="18"/>
                  <w:szCs w:val="18"/>
                  <w:color w:val="0000EE"/>
                </w:rPr>
                <w:t>Consolidated Balance Sheets (Unaudited)</w:t>
              </w:r>
            </w:hyperlink>
          </w:p>
        </w:tc>
        <w:tc>
          <w:tcPr>
            <w:tcW w:w="1660" w:type="dxa"/>
            <w:vAlign w:val="bottom"/>
            <w:tcBorders>
              <w:right w:val="single" w:sz="8" w:color="CCEEFF"/>
            </w:tcBorders>
            <w:gridSpan w:val="3"/>
            <w:shd w:val="clear" w:color="auto" w:fill="CCEEFF"/>
          </w:tcPr>
          <w:p>
            <w:pPr>
              <w:jc w:val="center"/>
              <w:ind w:left="1390"/>
              <w:spacing w:after="0" w:line="202" w:lineRule="exact"/>
              <w:rPr>
                <w:rFonts w:ascii="Arial" w:cs="Arial" w:eastAsia="Arial" w:hAnsi="Arial"/>
                <w:sz w:val="18"/>
                <w:szCs w:val="18"/>
                <w:color w:val="0000EE"/>
                <w:w w:val="99"/>
              </w:rPr>
            </w:pPr>
            <w:hyperlink w:anchor="page6">
              <w:r>
                <w:rPr>
                  <w:rFonts w:ascii="Arial" w:cs="Arial" w:eastAsia="Arial" w:hAnsi="Arial"/>
                  <w:sz w:val="18"/>
                  <w:szCs w:val="18"/>
                  <w:color w:val="0000EE"/>
                  <w:w w:val="99"/>
                </w:rPr>
                <w:t>5</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1220" w:type="dxa"/>
            <w:vAlign w:val="bottom"/>
            <w:tcBorders>
              <w:top w:val="single" w:sz="8" w:color="0000EE"/>
            </w:tcBorders>
            <w:shd w:val="clear" w:color="auto" w:fill="CCEEFF"/>
          </w:tcPr>
          <w:p>
            <w:pPr>
              <w:spacing w:after="0"/>
              <w:rPr>
                <w:sz w:val="4"/>
                <w:szCs w:val="4"/>
                <w:color w:val="auto"/>
              </w:rPr>
            </w:pPr>
          </w:p>
        </w:tc>
        <w:tc>
          <w:tcPr>
            <w:tcW w:w="7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1300" w:type="dxa"/>
            <w:vAlign w:val="bottom"/>
            <w:tcBorders>
              <w:top w:val="single" w:sz="8" w:color="CCEEFF"/>
            </w:tcBorders>
            <w:shd w:val="clear" w:color="auto" w:fill="CCEEFF"/>
          </w:tcPr>
          <w:p>
            <w:pPr>
              <w:spacing w:after="0"/>
              <w:rPr>
                <w:sz w:val="4"/>
                <w:szCs w:val="4"/>
                <w:color w:val="auto"/>
              </w:rPr>
            </w:pPr>
          </w:p>
        </w:tc>
        <w:tc>
          <w:tcPr>
            <w:tcW w:w="1360" w:type="dxa"/>
            <w:vAlign w:val="bottom"/>
            <w:tcBorders>
              <w:top w:val="single" w:sz="8" w:color="CCEEFF"/>
            </w:tcBorders>
            <w:shd w:val="clear" w:color="auto" w:fill="CCEEFF"/>
          </w:tcPr>
          <w:p>
            <w:pPr>
              <w:spacing w:after="0"/>
              <w:rPr>
                <w:sz w:val="4"/>
                <w:szCs w:val="4"/>
                <w:color w:val="auto"/>
              </w:rPr>
            </w:pPr>
          </w:p>
        </w:tc>
        <w:tc>
          <w:tcPr>
            <w:tcW w:w="13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7820" w:type="dxa"/>
            <w:vAlign w:val="bottom"/>
            <w:gridSpan w:val="17"/>
          </w:tcPr>
          <w:p>
            <w:pPr>
              <w:spacing w:after="0" w:line="202" w:lineRule="exact"/>
              <w:rPr>
                <w:rFonts w:ascii="Arial" w:cs="Arial" w:eastAsia="Arial" w:hAnsi="Arial"/>
                <w:sz w:val="18"/>
                <w:szCs w:val="18"/>
                <w:color w:val="0000EE"/>
              </w:rPr>
            </w:pPr>
            <w:hyperlink w:anchor="page7">
              <w:r>
                <w:rPr>
                  <w:rFonts w:ascii="Arial" w:cs="Arial" w:eastAsia="Arial" w:hAnsi="Arial"/>
                  <w:sz w:val="18"/>
                  <w:szCs w:val="18"/>
                  <w:color w:val="0000EE"/>
                </w:rPr>
                <w:t>Consolidated Statements of Cash Flows (Unaudited)</w:t>
              </w:r>
            </w:hyperlink>
          </w:p>
        </w:tc>
        <w:tc>
          <w:tcPr>
            <w:tcW w:w="1660" w:type="dxa"/>
            <w:vAlign w:val="bottom"/>
            <w:gridSpan w:val="3"/>
          </w:tcPr>
          <w:p>
            <w:pPr>
              <w:jc w:val="center"/>
              <w:ind w:left="1390"/>
              <w:spacing w:after="0" w:line="202" w:lineRule="exact"/>
              <w:rPr>
                <w:rFonts w:ascii="Arial" w:cs="Arial" w:eastAsia="Arial" w:hAnsi="Arial"/>
                <w:sz w:val="18"/>
                <w:szCs w:val="18"/>
                <w:color w:val="0000EE"/>
                <w:w w:val="99"/>
              </w:rPr>
            </w:pPr>
            <w:hyperlink w:anchor="page7">
              <w:r>
                <w:rPr>
                  <w:rFonts w:ascii="Arial" w:cs="Arial" w:eastAsia="Arial" w:hAnsi="Arial"/>
                  <w:sz w:val="18"/>
                  <w:szCs w:val="18"/>
                  <w:color w:val="0000EE"/>
                  <w:w w:val="99"/>
                </w:rPr>
                <w:t>6</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1220" w:type="dxa"/>
            <w:vAlign w:val="bottom"/>
            <w:tcBorders>
              <w:top w:val="single" w:sz="8" w:color="0000EE"/>
            </w:tcBorders>
          </w:tcPr>
          <w:p>
            <w:pPr>
              <w:spacing w:after="0"/>
              <w:rPr>
                <w:sz w:val="4"/>
                <w:szCs w:val="4"/>
                <w:color w:val="auto"/>
              </w:rPr>
            </w:pPr>
          </w:p>
        </w:tc>
        <w:tc>
          <w:tcPr>
            <w:tcW w:w="74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Pr>
          <w:p>
            <w:pPr>
              <w:spacing w:after="0"/>
              <w:rPr>
                <w:sz w:val="4"/>
                <w:szCs w:val="4"/>
                <w:color w:val="auto"/>
              </w:rPr>
            </w:pPr>
          </w:p>
        </w:tc>
        <w:tc>
          <w:tcPr>
            <w:tcW w:w="380" w:type="dxa"/>
            <w:vAlign w:val="bottom"/>
          </w:tcPr>
          <w:p>
            <w:pPr>
              <w:spacing w:after="0"/>
              <w:rPr>
                <w:sz w:val="4"/>
                <w:szCs w:val="4"/>
                <w:color w:val="auto"/>
              </w:rPr>
            </w:pPr>
          </w:p>
        </w:tc>
        <w:tc>
          <w:tcPr>
            <w:tcW w:w="40" w:type="dxa"/>
            <w:vAlign w:val="bottom"/>
          </w:tcPr>
          <w:p>
            <w:pPr>
              <w:spacing w:after="0"/>
              <w:rPr>
                <w:sz w:val="4"/>
                <w:szCs w:val="4"/>
                <w:color w:val="auto"/>
              </w:rPr>
            </w:pPr>
          </w:p>
        </w:tc>
        <w:tc>
          <w:tcPr>
            <w:tcW w:w="80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7820" w:type="dxa"/>
            <w:vAlign w:val="bottom"/>
            <w:gridSpan w:val="17"/>
            <w:shd w:val="clear" w:color="auto" w:fill="CCEEFF"/>
          </w:tcPr>
          <w:p>
            <w:pPr>
              <w:spacing w:after="0" w:line="202" w:lineRule="exact"/>
              <w:rPr>
                <w:rFonts w:ascii="Arial" w:cs="Arial" w:eastAsia="Arial" w:hAnsi="Arial"/>
                <w:sz w:val="18"/>
                <w:szCs w:val="18"/>
                <w:color w:val="0000EE"/>
              </w:rPr>
            </w:pPr>
            <w:hyperlink w:anchor="page8">
              <w:r>
                <w:rPr>
                  <w:rFonts w:ascii="Arial" w:cs="Arial" w:eastAsia="Arial" w:hAnsi="Arial"/>
                  <w:sz w:val="18"/>
                  <w:szCs w:val="18"/>
                  <w:color w:val="0000EE"/>
                </w:rPr>
                <w:t>Notes to Unaudited Consolidated Financial Statements</w:t>
              </w:r>
            </w:hyperlink>
          </w:p>
        </w:tc>
        <w:tc>
          <w:tcPr>
            <w:tcW w:w="1660" w:type="dxa"/>
            <w:vAlign w:val="bottom"/>
            <w:tcBorders>
              <w:right w:val="single" w:sz="8" w:color="CCEEFF"/>
            </w:tcBorders>
            <w:gridSpan w:val="3"/>
            <w:shd w:val="clear" w:color="auto" w:fill="CCEEFF"/>
          </w:tcPr>
          <w:p>
            <w:pPr>
              <w:jc w:val="center"/>
              <w:ind w:left="1390"/>
              <w:spacing w:after="0" w:line="202" w:lineRule="exact"/>
              <w:rPr>
                <w:rFonts w:ascii="Arial" w:cs="Arial" w:eastAsia="Arial" w:hAnsi="Arial"/>
                <w:sz w:val="18"/>
                <w:szCs w:val="18"/>
                <w:color w:val="0000EE"/>
                <w:w w:val="99"/>
              </w:rPr>
            </w:pPr>
            <w:hyperlink w:anchor="page8">
              <w:r>
                <w:rPr>
                  <w:rFonts w:ascii="Arial" w:cs="Arial" w:eastAsia="Arial" w:hAnsi="Arial"/>
                  <w:sz w:val="18"/>
                  <w:szCs w:val="18"/>
                  <w:color w:val="0000EE"/>
                  <w:w w:val="99"/>
                </w:rPr>
                <w:t>7</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1220" w:type="dxa"/>
            <w:vAlign w:val="bottom"/>
            <w:tcBorders>
              <w:top w:val="single" w:sz="8" w:color="0000EE"/>
            </w:tcBorders>
            <w:shd w:val="clear" w:color="auto" w:fill="CCEEFF"/>
          </w:tcPr>
          <w:p>
            <w:pPr>
              <w:spacing w:after="0"/>
              <w:rPr>
                <w:sz w:val="4"/>
                <w:szCs w:val="4"/>
                <w:color w:val="auto"/>
              </w:rPr>
            </w:pPr>
          </w:p>
        </w:tc>
        <w:tc>
          <w:tcPr>
            <w:tcW w:w="74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1300" w:type="dxa"/>
            <w:vAlign w:val="bottom"/>
            <w:tcBorders>
              <w:top w:val="single" w:sz="8" w:color="CCEEFF"/>
            </w:tcBorders>
            <w:shd w:val="clear" w:color="auto" w:fill="CCEEFF"/>
          </w:tcPr>
          <w:p>
            <w:pPr>
              <w:spacing w:after="0"/>
              <w:rPr>
                <w:sz w:val="4"/>
                <w:szCs w:val="4"/>
                <w:color w:val="auto"/>
              </w:rPr>
            </w:pPr>
          </w:p>
        </w:tc>
        <w:tc>
          <w:tcPr>
            <w:tcW w:w="1360" w:type="dxa"/>
            <w:vAlign w:val="bottom"/>
            <w:tcBorders>
              <w:top w:val="single" w:sz="8" w:color="CCEEFF"/>
            </w:tcBorders>
            <w:shd w:val="clear" w:color="auto" w:fill="CCEEFF"/>
          </w:tcPr>
          <w:p>
            <w:pPr>
              <w:spacing w:after="0"/>
              <w:rPr>
                <w:sz w:val="4"/>
                <w:szCs w:val="4"/>
                <w:color w:val="auto"/>
              </w:rPr>
            </w:pPr>
          </w:p>
        </w:tc>
        <w:tc>
          <w:tcPr>
            <w:tcW w:w="13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ind w:left="240"/>
              <w:spacing w:after="0" w:line="202" w:lineRule="exact"/>
              <w:rPr>
                <w:sz w:val="20"/>
                <w:szCs w:val="20"/>
                <w:color w:val="auto"/>
              </w:rPr>
            </w:pPr>
            <w:r>
              <w:rPr>
                <w:rFonts w:ascii="Arial" w:cs="Arial" w:eastAsia="Arial" w:hAnsi="Arial"/>
                <w:sz w:val="18"/>
                <w:szCs w:val="18"/>
                <w:color w:val="auto"/>
              </w:rPr>
              <w:t>Item 2.</w:t>
            </w:r>
          </w:p>
        </w:tc>
        <w:tc>
          <w:tcPr>
            <w:tcW w:w="7820" w:type="dxa"/>
            <w:vAlign w:val="bottom"/>
            <w:gridSpan w:val="17"/>
          </w:tcPr>
          <w:p>
            <w:pPr>
              <w:spacing w:after="0" w:line="202" w:lineRule="exact"/>
              <w:rPr>
                <w:rFonts w:ascii="Arial" w:cs="Arial" w:eastAsia="Arial" w:hAnsi="Arial"/>
                <w:sz w:val="18"/>
                <w:szCs w:val="18"/>
                <w:color w:val="0000EE"/>
              </w:rPr>
            </w:pPr>
            <w:hyperlink w:anchor="page17">
              <w:r>
                <w:rPr>
                  <w:rFonts w:ascii="Arial" w:cs="Arial" w:eastAsia="Arial" w:hAnsi="Arial"/>
                  <w:sz w:val="18"/>
                  <w:szCs w:val="18"/>
                  <w:color w:val="0000EE"/>
                </w:rPr>
                <w:t>Management’s Discussion and Analysis of Financial Condition and Results of Operations</w:t>
              </w:r>
            </w:hyperlink>
          </w:p>
        </w:tc>
        <w:tc>
          <w:tcPr>
            <w:tcW w:w="1660" w:type="dxa"/>
            <w:vAlign w:val="bottom"/>
            <w:gridSpan w:val="3"/>
          </w:tcPr>
          <w:p>
            <w:pPr>
              <w:jc w:val="center"/>
              <w:ind w:left="1390"/>
              <w:spacing w:after="0" w:line="202" w:lineRule="exact"/>
              <w:rPr>
                <w:rFonts w:ascii="Arial" w:cs="Arial" w:eastAsia="Arial" w:hAnsi="Arial"/>
                <w:sz w:val="18"/>
                <w:szCs w:val="18"/>
                <w:color w:val="0000EE"/>
                <w:w w:val="89"/>
              </w:rPr>
            </w:pPr>
            <w:hyperlink w:anchor="page17">
              <w:r>
                <w:rPr>
                  <w:rFonts w:ascii="Arial" w:cs="Arial" w:eastAsia="Arial" w:hAnsi="Arial"/>
                  <w:sz w:val="18"/>
                  <w:szCs w:val="18"/>
                  <w:color w:val="0000EE"/>
                  <w:w w:val="89"/>
                </w:rPr>
                <w:t>16</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1220" w:type="dxa"/>
            <w:vAlign w:val="bottom"/>
            <w:tcBorders>
              <w:top w:val="single" w:sz="8" w:color="0000EE"/>
            </w:tcBorders>
          </w:tcPr>
          <w:p>
            <w:pPr>
              <w:spacing w:after="0"/>
              <w:rPr>
                <w:sz w:val="4"/>
                <w:szCs w:val="4"/>
                <w:color w:val="auto"/>
              </w:rPr>
            </w:pPr>
          </w:p>
        </w:tc>
        <w:tc>
          <w:tcPr>
            <w:tcW w:w="74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38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800" w:type="dxa"/>
            <w:vAlign w:val="bottom"/>
            <w:tcBorders>
              <w:top w:val="single" w:sz="8" w:color="0000EE"/>
            </w:tcBorders>
          </w:tcPr>
          <w:p>
            <w:pPr>
              <w:spacing w:after="0"/>
              <w:rPr>
                <w:sz w:val="4"/>
                <w:szCs w:val="4"/>
                <w:color w:val="auto"/>
              </w:rPr>
            </w:pPr>
          </w:p>
        </w:tc>
        <w:tc>
          <w:tcPr>
            <w:tcW w:w="1300" w:type="dxa"/>
            <w:vAlign w:val="bottom"/>
            <w:tcBorders>
              <w:top w:val="single" w:sz="8" w:color="0000EE"/>
            </w:tcBorders>
          </w:tcPr>
          <w:p>
            <w:pPr>
              <w:spacing w:after="0"/>
              <w:rPr>
                <w:sz w:val="4"/>
                <w:szCs w:val="4"/>
                <w:color w:val="auto"/>
              </w:rPr>
            </w:pPr>
          </w:p>
        </w:tc>
        <w:tc>
          <w:tcPr>
            <w:tcW w:w="13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1140" w:type="dxa"/>
            <w:vAlign w:val="bottom"/>
            <w:shd w:val="clear" w:color="auto" w:fill="CCEEFF"/>
          </w:tcPr>
          <w:p>
            <w:pPr>
              <w:ind w:left="240"/>
              <w:spacing w:after="0" w:line="202" w:lineRule="exact"/>
              <w:rPr>
                <w:sz w:val="20"/>
                <w:szCs w:val="20"/>
                <w:color w:val="auto"/>
              </w:rPr>
            </w:pPr>
            <w:r>
              <w:rPr>
                <w:rFonts w:ascii="Arial" w:cs="Arial" w:eastAsia="Arial" w:hAnsi="Arial"/>
                <w:sz w:val="18"/>
                <w:szCs w:val="18"/>
                <w:color w:val="auto"/>
              </w:rPr>
              <w:t>Item 3.</w:t>
            </w:r>
          </w:p>
        </w:tc>
        <w:tc>
          <w:tcPr>
            <w:tcW w:w="4320" w:type="dxa"/>
            <w:vAlign w:val="bottom"/>
            <w:gridSpan w:val="13"/>
            <w:shd w:val="clear" w:color="auto" w:fill="CCEEFF"/>
          </w:tcPr>
          <w:p>
            <w:pPr>
              <w:spacing w:after="0" w:line="202" w:lineRule="exact"/>
              <w:rPr>
                <w:rFonts w:ascii="Arial" w:cs="Arial" w:eastAsia="Arial" w:hAnsi="Arial"/>
                <w:sz w:val="18"/>
                <w:szCs w:val="18"/>
                <w:color w:val="0000EE"/>
                <w:w w:val="91"/>
              </w:rPr>
            </w:pPr>
            <w:hyperlink w:anchor="page26">
              <w:r>
                <w:rPr>
                  <w:rFonts w:ascii="Arial" w:cs="Arial" w:eastAsia="Arial" w:hAnsi="Arial"/>
                  <w:sz w:val="18"/>
                  <w:szCs w:val="18"/>
                  <w:color w:val="0000EE"/>
                  <w:w w:val="91"/>
                </w:rPr>
                <w:t>Quantitative and Qualitative Disclosures about Market Risk</w:t>
              </w:r>
            </w:hyperlink>
          </w:p>
        </w:tc>
        <w:tc>
          <w:tcPr>
            <w:tcW w:w="3500" w:type="dxa"/>
            <w:vAlign w:val="bottom"/>
            <w:gridSpan w:val="4"/>
            <w:shd w:val="clear" w:color="auto" w:fill="CCEEFF"/>
          </w:tcPr>
          <w:p>
            <w:pPr>
              <w:spacing w:after="0"/>
              <w:rPr>
                <w:sz w:val="17"/>
                <w:szCs w:val="17"/>
                <w:color w:val="auto"/>
              </w:rPr>
            </w:pPr>
          </w:p>
        </w:tc>
        <w:tc>
          <w:tcPr>
            <w:tcW w:w="1660" w:type="dxa"/>
            <w:vAlign w:val="bottom"/>
            <w:tcBorders>
              <w:right w:val="single" w:sz="8" w:color="CCEEFF"/>
            </w:tcBorders>
            <w:gridSpan w:val="3"/>
            <w:shd w:val="clear" w:color="auto" w:fill="CCEEFF"/>
          </w:tcPr>
          <w:p>
            <w:pPr>
              <w:jc w:val="center"/>
              <w:ind w:left="1390"/>
              <w:spacing w:after="0" w:line="202" w:lineRule="exact"/>
              <w:rPr>
                <w:rFonts w:ascii="Arial" w:cs="Arial" w:eastAsia="Arial" w:hAnsi="Arial"/>
                <w:sz w:val="18"/>
                <w:szCs w:val="18"/>
                <w:color w:val="0000EE"/>
                <w:w w:val="89"/>
              </w:rPr>
            </w:pPr>
            <w:hyperlink w:anchor="page26">
              <w:r>
                <w:rPr>
                  <w:rFonts w:ascii="Arial" w:cs="Arial" w:eastAsia="Arial" w:hAnsi="Arial"/>
                  <w:sz w:val="18"/>
                  <w:szCs w:val="18"/>
                  <w:color w:val="0000EE"/>
                  <w:w w:val="89"/>
                </w:rPr>
                <w:t>25</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1220" w:type="dxa"/>
            <w:vAlign w:val="bottom"/>
            <w:tcBorders>
              <w:top w:val="single" w:sz="8" w:color="0000EE"/>
            </w:tcBorders>
            <w:shd w:val="clear" w:color="auto" w:fill="CCEEFF"/>
          </w:tcPr>
          <w:p>
            <w:pPr>
              <w:spacing w:after="0"/>
              <w:rPr>
                <w:sz w:val="4"/>
                <w:szCs w:val="4"/>
                <w:color w:val="auto"/>
              </w:rPr>
            </w:pPr>
          </w:p>
        </w:tc>
        <w:tc>
          <w:tcPr>
            <w:tcW w:w="74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38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1300" w:type="dxa"/>
            <w:vAlign w:val="bottom"/>
            <w:tcBorders>
              <w:top w:val="single" w:sz="8" w:color="CCEEFF"/>
            </w:tcBorders>
            <w:shd w:val="clear" w:color="auto" w:fill="CCEEFF"/>
          </w:tcPr>
          <w:p>
            <w:pPr>
              <w:spacing w:after="0"/>
              <w:rPr>
                <w:sz w:val="4"/>
                <w:szCs w:val="4"/>
                <w:color w:val="auto"/>
              </w:rPr>
            </w:pPr>
          </w:p>
        </w:tc>
        <w:tc>
          <w:tcPr>
            <w:tcW w:w="1360" w:type="dxa"/>
            <w:vAlign w:val="bottom"/>
            <w:tcBorders>
              <w:top w:val="single" w:sz="8" w:color="CCEEFF"/>
            </w:tcBorders>
            <w:shd w:val="clear" w:color="auto" w:fill="CCEEFF"/>
          </w:tcPr>
          <w:p>
            <w:pPr>
              <w:spacing w:after="0"/>
              <w:rPr>
                <w:sz w:val="4"/>
                <w:szCs w:val="4"/>
                <w:color w:val="auto"/>
              </w:rPr>
            </w:pPr>
          </w:p>
        </w:tc>
        <w:tc>
          <w:tcPr>
            <w:tcW w:w="13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ind w:left="240"/>
              <w:spacing w:after="0" w:line="202" w:lineRule="exact"/>
              <w:rPr>
                <w:sz w:val="20"/>
                <w:szCs w:val="20"/>
                <w:color w:val="auto"/>
              </w:rPr>
            </w:pPr>
            <w:r>
              <w:rPr>
                <w:rFonts w:ascii="Arial" w:cs="Arial" w:eastAsia="Arial" w:hAnsi="Arial"/>
                <w:sz w:val="18"/>
                <w:szCs w:val="18"/>
                <w:color w:val="auto"/>
              </w:rPr>
              <w:t>Item 4.</w:t>
            </w:r>
          </w:p>
        </w:tc>
        <w:tc>
          <w:tcPr>
            <w:tcW w:w="4320" w:type="dxa"/>
            <w:vAlign w:val="bottom"/>
            <w:gridSpan w:val="13"/>
          </w:tcPr>
          <w:p>
            <w:pPr>
              <w:spacing w:after="0" w:line="202" w:lineRule="exact"/>
              <w:rPr>
                <w:rFonts w:ascii="Arial" w:cs="Arial" w:eastAsia="Arial" w:hAnsi="Arial"/>
                <w:sz w:val="18"/>
                <w:szCs w:val="18"/>
                <w:color w:val="0000EE"/>
              </w:rPr>
            </w:pPr>
            <w:hyperlink w:anchor="page26">
              <w:r>
                <w:rPr>
                  <w:rFonts w:ascii="Arial" w:cs="Arial" w:eastAsia="Arial" w:hAnsi="Arial"/>
                  <w:sz w:val="18"/>
                  <w:szCs w:val="18"/>
                  <w:color w:val="0000EE"/>
                </w:rPr>
                <w:t>Controls and Procedures</w:t>
              </w:r>
            </w:hyperlink>
          </w:p>
        </w:tc>
        <w:tc>
          <w:tcPr>
            <w:tcW w:w="3500" w:type="dxa"/>
            <w:vAlign w:val="bottom"/>
            <w:gridSpan w:val="4"/>
          </w:tcPr>
          <w:p>
            <w:pPr>
              <w:spacing w:after="0"/>
              <w:rPr>
                <w:sz w:val="17"/>
                <w:szCs w:val="17"/>
                <w:color w:val="auto"/>
              </w:rPr>
            </w:pPr>
          </w:p>
        </w:tc>
        <w:tc>
          <w:tcPr>
            <w:tcW w:w="1660" w:type="dxa"/>
            <w:vAlign w:val="bottom"/>
            <w:gridSpan w:val="3"/>
          </w:tcPr>
          <w:p>
            <w:pPr>
              <w:jc w:val="center"/>
              <w:ind w:left="1390"/>
              <w:spacing w:after="0" w:line="202" w:lineRule="exact"/>
              <w:rPr>
                <w:rFonts w:ascii="Arial" w:cs="Arial" w:eastAsia="Arial" w:hAnsi="Arial"/>
                <w:sz w:val="18"/>
                <w:szCs w:val="18"/>
                <w:color w:val="0000EE"/>
                <w:w w:val="89"/>
              </w:rPr>
            </w:pPr>
            <w:hyperlink w:anchor="page26">
              <w:r>
                <w:rPr>
                  <w:rFonts w:ascii="Arial" w:cs="Arial" w:eastAsia="Arial" w:hAnsi="Arial"/>
                  <w:sz w:val="18"/>
                  <w:szCs w:val="18"/>
                  <w:color w:val="0000EE"/>
                  <w:w w:val="89"/>
                </w:rPr>
                <w:t>25</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1220" w:type="dxa"/>
            <w:vAlign w:val="bottom"/>
          </w:tcPr>
          <w:p>
            <w:pPr>
              <w:spacing w:after="0"/>
              <w:rPr>
                <w:sz w:val="4"/>
                <w:szCs w:val="4"/>
                <w:color w:val="auto"/>
              </w:rPr>
            </w:pPr>
          </w:p>
        </w:tc>
        <w:tc>
          <w:tcPr>
            <w:tcW w:w="74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380" w:type="dxa"/>
            <w:vAlign w:val="bottom"/>
          </w:tcPr>
          <w:p>
            <w:pPr>
              <w:spacing w:after="0"/>
              <w:rPr>
                <w:sz w:val="4"/>
                <w:szCs w:val="4"/>
                <w:color w:val="auto"/>
              </w:rPr>
            </w:pPr>
          </w:p>
        </w:tc>
        <w:tc>
          <w:tcPr>
            <w:tcW w:w="40" w:type="dxa"/>
            <w:vAlign w:val="bottom"/>
          </w:tcPr>
          <w:p>
            <w:pPr>
              <w:spacing w:after="0"/>
              <w:rPr>
                <w:sz w:val="4"/>
                <w:szCs w:val="4"/>
                <w:color w:val="auto"/>
              </w:rPr>
            </w:pPr>
          </w:p>
        </w:tc>
        <w:tc>
          <w:tcPr>
            <w:tcW w:w="80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9000" w:type="dxa"/>
            <w:vAlign w:val="bottom"/>
            <w:gridSpan w:val="19"/>
            <w:shd w:val="clear" w:color="auto" w:fill="CCEEFF"/>
          </w:tcPr>
          <w:p>
            <w:pPr>
              <w:ind w:left="40"/>
              <w:spacing w:after="0" w:line="202" w:lineRule="exact"/>
              <w:rPr>
                <w:rFonts w:ascii="Arial" w:cs="Arial" w:eastAsia="Arial" w:hAnsi="Arial"/>
                <w:sz w:val="18"/>
                <w:szCs w:val="18"/>
                <w:b w:val="1"/>
                <w:bCs w:val="1"/>
                <w:color w:val="0000EE"/>
              </w:rPr>
            </w:pPr>
            <w:hyperlink w:anchor="page26">
              <w:r>
                <w:rPr>
                  <w:rFonts w:ascii="Arial" w:cs="Arial" w:eastAsia="Arial" w:hAnsi="Arial"/>
                  <w:sz w:val="18"/>
                  <w:szCs w:val="18"/>
                  <w:b w:val="1"/>
                  <w:bCs w:val="1"/>
                  <w:color w:val="0000EE"/>
                </w:rPr>
                <w:t>PART II. Other Information</w:t>
              </w:r>
            </w:hyperlink>
          </w:p>
        </w:tc>
        <w:tc>
          <w:tcPr>
            <w:tcW w:w="1660" w:type="dxa"/>
            <w:vAlign w:val="bottom"/>
            <w:tcBorders>
              <w:right w:val="single" w:sz="8" w:color="CCEEFF"/>
            </w:tcBorders>
            <w:gridSpan w:val="3"/>
            <w:shd w:val="clear" w:color="auto" w:fill="CCEEFF"/>
          </w:tcPr>
          <w:p>
            <w:pPr>
              <w:jc w:val="center"/>
              <w:ind w:left="1390"/>
              <w:spacing w:after="0" w:line="202" w:lineRule="exact"/>
              <w:rPr>
                <w:rFonts w:ascii="Arial" w:cs="Arial" w:eastAsia="Arial" w:hAnsi="Arial"/>
                <w:sz w:val="18"/>
                <w:szCs w:val="18"/>
                <w:color w:val="0000EE"/>
                <w:w w:val="89"/>
              </w:rPr>
            </w:pPr>
            <w:hyperlink w:anchor="page26">
              <w:r>
                <w:rPr>
                  <w:rFonts w:ascii="Arial" w:cs="Arial" w:eastAsia="Arial" w:hAnsi="Arial"/>
                  <w:sz w:val="18"/>
                  <w:szCs w:val="18"/>
                  <w:color w:val="0000EE"/>
                  <w:w w:val="89"/>
                </w:rPr>
                <w:t>25</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0000EE"/>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7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1300" w:type="dxa"/>
            <w:vAlign w:val="bottom"/>
            <w:tcBorders>
              <w:top w:val="single" w:sz="8" w:color="CCEEFF"/>
            </w:tcBorders>
            <w:shd w:val="clear" w:color="auto" w:fill="CCEEFF"/>
          </w:tcPr>
          <w:p>
            <w:pPr>
              <w:spacing w:after="0"/>
              <w:rPr>
                <w:sz w:val="4"/>
                <w:szCs w:val="4"/>
                <w:color w:val="auto"/>
              </w:rPr>
            </w:pPr>
          </w:p>
        </w:tc>
        <w:tc>
          <w:tcPr>
            <w:tcW w:w="1360" w:type="dxa"/>
            <w:vAlign w:val="bottom"/>
            <w:tcBorders>
              <w:top w:val="single" w:sz="8" w:color="CCEEFF"/>
            </w:tcBorders>
            <w:shd w:val="clear" w:color="auto" w:fill="CCEEFF"/>
          </w:tcPr>
          <w:p>
            <w:pPr>
              <w:spacing w:after="0"/>
              <w:rPr>
                <w:sz w:val="4"/>
                <w:szCs w:val="4"/>
                <w:color w:val="auto"/>
              </w:rPr>
            </w:pPr>
          </w:p>
        </w:tc>
        <w:tc>
          <w:tcPr>
            <w:tcW w:w="13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ind w:left="240"/>
              <w:spacing w:after="0" w:line="202" w:lineRule="exact"/>
              <w:rPr>
                <w:sz w:val="20"/>
                <w:szCs w:val="20"/>
                <w:color w:val="auto"/>
              </w:rPr>
            </w:pPr>
            <w:r>
              <w:rPr>
                <w:rFonts w:ascii="Arial" w:cs="Arial" w:eastAsia="Arial" w:hAnsi="Arial"/>
                <w:sz w:val="18"/>
                <w:szCs w:val="18"/>
                <w:color w:val="auto"/>
              </w:rPr>
              <w:t>Item 1.</w:t>
            </w:r>
          </w:p>
        </w:tc>
        <w:tc>
          <w:tcPr>
            <w:tcW w:w="7820" w:type="dxa"/>
            <w:vAlign w:val="bottom"/>
            <w:gridSpan w:val="17"/>
          </w:tcPr>
          <w:p>
            <w:pPr>
              <w:spacing w:after="0" w:line="202" w:lineRule="exact"/>
              <w:rPr>
                <w:rFonts w:ascii="Arial" w:cs="Arial" w:eastAsia="Arial" w:hAnsi="Arial"/>
                <w:sz w:val="18"/>
                <w:szCs w:val="18"/>
                <w:color w:val="0000EE"/>
              </w:rPr>
            </w:pPr>
            <w:hyperlink w:anchor="page26">
              <w:r>
                <w:rPr>
                  <w:rFonts w:ascii="Arial" w:cs="Arial" w:eastAsia="Arial" w:hAnsi="Arial"/>
                  <w:sz w:val="18"/>
                  <w:szCs w:val="18"/>
                  <w:color w:val="0000EE"/>
                </w:rPr>
                <w:t>Legal Proceedings</w:t>
              </w:r>
            </w:hyperlink>
          </w:p>
        </w:tc>
        <w:tc>
          <w:tcPr>
            <w:tcW w:w="1660" w:type="dxa"/>
            <w:vAlign w:val="bottom"/>
            <w:gridSpan w:val="3"/>
          </w:tcPr>
          <w:p>
            <w:pPr>
              <w:jc w:val="center"/>
              <w:ind w:left="1390"/>
              <w:spacing w:after="0" w:line="202" w:lineRule="exact"/>
              <w:rPr>
                <w:rFonts w:ascii="Arial" w:cs="Arial" w:eastAsia="Arial" w:hAnsi="Arial"/>
                <w:sz w:val="18"/>
                <w:szCs w:val="18"/>
                <w:color w:val="0000EE"/>
                <w:w w:val="89"/>
              </w:rPr>
            </w:pPr>
            <w:hyperlink w:anchor="page26">
              <w:r>
                <w:rPr>
                  <w:rFonts w:ascii="Arial" w:cs="Arial" w:eastAsia="Arial" w:hAnsi="Arial"/>
                  <w:sz w:val="18"/>
                  <w:szCs w:val="18"/>
                  <w:color w:val="0000EE"/>
                  <w:w w:val="89"/>
                </w:rPr>
                <w:t>25</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20" w:type="dxa"/>
            <w:vAlign w:val="bottom"/>
          </w:tcPr>
          <w:p>
            <w:pPr>
              <w:spacing w:after="0"/>
              <w:rPr>
                <w:sz w:val="4"/>
                <w:szCs w:val="4"/>
                <w:color w:val="auto"/>
              </w:rPr>
            </w:pPr>
          </w:p>
        </w:tc>
        <w:tc>
          <w:tcPr>
            <w:tcW w:w="74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380" w:type="dxa"/>
            <w:vAlign w:val="bottom"/>
          </w:tcPr>
          <w:p>
            <w:pPr>
              <w:spacing w:after="0"/>
              <w:rPr>
                <w:sz w:val="4"/>
                <w:szCs w:val="4"/>
                <w:color w:val="auto"/>
              </w:rPr>
            </w:pPr>
          </w:p>
        </w:tc>
        <w:tc>
          <w:tcPr>
            <w:tcW w:w="40" w:type="dxa"/>
            <w:vAlign w:val="bottom"/>
          </w:tcPr>
          <w:p>
            <w:pPr>
              <w:spacing w:after="0"/>
              <w:rPr>
                <w:sz w:val="4"/>
                <w:szCs w:val="4"/>
                <w:color w:val="auto"/>
              </w:rPr>
            </w:pPr>
          </w:p>
        </w:tc>
        <w:tc>
          <w:tcPr>
            <w:tcW w:w="80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1140" w:type="dxa"/>
            <w:vAlign w:val="bottom"/>
            <w:shd w:val="clear" w:color="auto" w:fill="CCEEFF"/>
          </w:tcPr>
          <w:p>
            <w:pPr>
              <w:ind w:left="240"/>
              <w:spacing w:after="0" w:line="202" w:lineRule="exact"/>
              <w:rPr>
                <w:sz w:val="20"/>
                <w:szCs w:val="20"/>
                <w:color w:val="auto"/>
              </w:rPr>
            </w:pPr>
            <w:r>
              <w:rPr>
                <w:rFonts w:ascii="Arial" w:cs="Arial" w:eastAsia="Arial" w:hAnsi="Arial"/>
                <w:sz w:val="18"/>
                <w:szCs w:val="18"/>
                <w:color w:val="auto"/>
              </w:rPr>
              <w:t>Item 1A.</w:t>
            </w:r>
          </w:p>
        </w:tc>
        <w:tc>
          <w:tcPr>
            <w:tcW w:w="7820" w:type="dxa"/>
            <w:vAlign w:val="bottom"/>
            <w:gridSpan w:val="17"/>
            <w:shd w:val="clear" w:color="auto" w:fill="CCEEFF"/>
          </w:tcPr>
          <w:p>
            <w:pPr>
              <w:spacing w:after="0" w:line="202" w:lineRule="exact"/>
              <w:rPr>
                <w:rFonts w:ascii="Arial" w:cs="Arial" w:eastAsia="Arial" w:hAnsi="Arial"/>
                <w:sz w:val="18"/>
                <w:szCs w:val="18"/>
                <w:color w:val="0000EE"/>
              </w:rPr>
            </w:pPr>
            <w:hyperlink w:anchor="page26">
              <w:r>
                <w:rPr>
                  <w:rFonts w:ascii="Arial" w:cs="Arial" w:eastAsia="Arial" w:hAnsi="Arial"/>
                  <w:sz w:val="18"/>
                  <w:szCs w:val="18"/>
                  <w:color w:val="0000EE"/>
                </w:rPr>
                <w:t>Risk Factors</w:t>
              </w:r>
            </w:hyperlink>
          </w:p>
        </w:tc>
        <w:tc>
          <w:tcPr>
            <w:tcW w:w="1660" w:type="dxa"/>
            <w:vAlign w:val="bottom"/>
            <w:tcBorders>
              <w:right w:val="single" w:sz="8" w:color="CCEEFF"/>
            </w:tcBorders>
            <w:gridSpan w:val="3"/>
            <w:shd w:val="clear" w:color="auto" w:fill="CCEEFF"/>
          </w:tcPr>
          <w:p>
            <w:pPr>
              <w:jc w:val="center"/>
              <w:ind w:left="1390"/>
              <w:spacing w:after="0" w:line="202" w:lineRule="exact"/>
              <w:rPr>
                <w:rFonts w:ascii="Arial" w:cs="Arial" w:eastAsia="Arial" w:hAnsi="Arial"/>
                <w:sz w:val="18"/>
                <w:szCs w:val="18"/>
                <w:color w:val="0000EE"/>
                <w:w w:val="89"/>
              </w:rPr>
            </w:pPr>
            <w:hyperlink w:anchor="page26">
              <w:r>
                <w:rPr>
                  <w:rFonts w:ascii="Arial" w:cs="Arial" w:eastAsia="Arial" w:hAnsi="Arial"/>
                  <w:sz w:val="18"/>
                  <w:szCs w:val="18"/>
                  <w:color w:val="0000EE"/>
                  <w:w w:val="89"/>
                </w:rPr>
                <w:t>25</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7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1300" w:type="dxa"/>
            <w:vAlign w:val="bottom"/>
            <w:tcBorders>
              <w:top w:val="single" w:sz="8" w:color="CCEEFF"/>
            </w:tcBorders>
            <w:shd w:val="clear" w:color="auto" w:fill="CCEEFF"/>
          </w:tcPr>
          <w:p>
            <w:pPr>
              <w:spacing w:after="0"/>
              <w:rPr>
                <w:sz w:val="4"/>
                <w:szCs w:val="4"/>
                <w:color w:val="auto"/>
              </w:rPr>
            </w:pPr>
          </w:p>
        </w:tc>
        <w:tc>
          <w:tcPr>
            <w:tcW w:w="1360" w:type="dxa"/>
            <w:vAlign w:val="bottom"/>
            <w:tcBorders>
              <w:top w:val="single" w:sz="8" w:color="CCEEFF"/>
            </w:tcBorders>
            <w:shd w:val="clear" w:color="auto" w:fill="CCEEFF"/>
          </w:tcPr>
          <w:p>
            <w:pPr>
              <w:spacing w:after="0"/>
              <w:rPr>
                <w:sz w:val="4"/>
                <w:szCs w:val="4"/>
                <w:color w:val="auto"/>
              </w:rPr>
            </w:pPr>
          </w:p>
        </w:tc>
        <w:tc>
          <w:tcPr>
            <w:tcW w:w="13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ind w:left="240"/>
              <w:spacing w:after="0" w:line="202" w:lineRule="exact"/>
              <w:rPr>
                <w:sz w:val="20"/>
                <w:szCs w:val="20"/>
                <w:color w:val="auto"/>
              </w:rPr>
            </w:pPr>
            <w:r>
              <w:rPr>
                <w:rFonts w:ascii="Arial" w:cs="Arial" w:eastAsia="Arial" w:hAnsi="Arial"/>
                <w:sz w:val="18"/>
                <w:szCs w:val="18"/>
                <w:color w:val="auto"/>
              </w:rPr>
              <w:t>Item 2.</w:t>
            </w:r>
          </w:p>
        </w:tc>
        <w:tc>
          <w:tcPr>
            <w:tcW w:w="7820" w:type="dxa"/>
            <w:vAlign w:val="bottom"/>
            <w:gridSpan w:val="17"/>
          </w:tcPr>
          <w:p>
            <w:pPr>
              <w:spacing w:after="0" w:line="202" w:lineRule="exact"/>
              <w:rPr>
                <w:rFonts w:ascii="Arial" w:cs="Arial" w:eastAsia="Arial" w:hAnsi="Arial"/>
                <w:sz w:val="18"/>
                <w:szCs w:val="18"/>
                <w:color w:val="0000EE"/>
              </w:rPr>
            </w:pPr>
            <w:hyperlink w:anchor="page27">
              <w:r>
                <w:rPr>
                  <w:rFonts w:ascii="Arial" w:cs="Arial" w:eastAsia="Arial" w:hAnsi="Arial"/>
                  <w:sz w:val="18"/>
                  <w:szCs w:val="18"/>
                  <w:color w:val="0000EE"/>
                </w:rPr>
                <w:t>Unregistered Sales of Equity Securities and Use of Proceeds</w:t>
              </w:r>
            </w:hyperlink>
          </w:p>
        </w:tc>
        <w:tc>
          <w:tcPr>
            <w:tcW w:w="1660" w:type="dxa"/>
            <w:vAlign w:val="bottom"/>
            <w:gridSpan w:val="3"/>
          </w:tcPr>
          <w:p>
            <w:pPr>
              <w:jc w:val="center"/>
              <w:ind w:left="1390"/>
              <w:spacing w:after="0" w:line="202" w:lineRule="exact"/>
              <w:rPr>
                <w:rFonts w:ascii="Arial" w:cs="Arial" w:eastAsia="Arial" w:hAnsi="Arial"/>
                <w:sz w:val="18"/>
                <w:szCs w:val="18"/>
                <w:color w:val="0000EE"/>
                <w:w w:val="89"/>
              </w:rPr>
            </w:pPr>
            <w:hyperlink w:anchor="page27">
              <w:r>
                <w:rPr>
                  <w:rFonts w:ascii="Arial" w:cs="Arial" w:eastAsia="Arial" w:hAnsi="Arial"/>
                  <w:sz w:val="18"/>
                  <w:szCs w:val="18"/>
                  <w:color w:val="0000EE"/>
                  <w:w w:val="89"/>
                </w:rPr>
                <w:t>26</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1220" w:type="dxa"/>
            <w:vAlign w:val="bottom"/>
            <w:tcBorders>
              <w:top w:val="single" w:sz="8" w:color="0000EE"/>
            </w:tcBorders>
          </w:tcPr>
          <w:p>
            <w:pPr>
              <w:spacing w:after="0"/>
              <w:rPr>
                <w:sz w:val="4"/>
                <w:szCs w:val="4"/>
                <w:color w:val="auto"/>
              </w:rPr>
            </w:pPr>
          </w:p>
        </w:tc>
        <w:tc>
          <w:tcPr>
            <w:tcW w:w="74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38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80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1140" w:type="dxa"/>
            <w:vAlign w:val="bottom"/>
            <w:shd w:val="clear" w:color="auto" w:fill="CCEEFF"/>
          </w:tcPr>
          <w:p>
            <w:pPr>
              <w:ind w:left="240"/>
              <w:spacing w:after="0" w:line="202" w:lineRule="exact"/>
              <w:rPr>
                <w:sz w:val="20"/>
                <w:szCs w:val="20"/>
                <w:color w:val="auto"/>
              </w:rPr>
            </w:pPr>
            <w:r>
              <w:rPr>
                <w:rFonts w:ascii="Arial" w:cs="Arial" w:eastAsia="Arial" w:hAnsi="Arial"/>
                <w:sz w:val="18"/>
                <w:szCs w:val="18"/>
                <w:color w:val="auto"/>
              </w:rPr>
              <w:t>Item 6.</w:t>
            </w:r>
          </w:p>
        </w:tc>
        <w:tc>
          <w:tcPr>
            <w:tcW w:w="7820" w:type="dxa"/>
            <w:vAlign w:val="bottom"/>
            <w:gridSpan w:val="17"/>
            <w:shd w:val="clear" w:color="auto" w:fill="CCEEFF"/>
          </w:tcPr>
          <w:p>
            <w:pPr>
              <w:spacing w:after="0" w:line="202" w:lineRule="exact"/>
              <w:rPr>
                <w:rFonts w:ascii="Arial" w:cs="Arial" w:eastAsia="Arial" w:hAnsi="Arial"/>
                <w:sz w:val="18"/>
                <w:szCs w:val="18"/>
                <w:color w:val="0000EE"/>
              </w:rPr>
            </w:pPr>
            <w:hyperlink w:anchor="page28">
              <w:r>
                <w:rPr>
                  <w:rFonts w:ascii="Arial" w:cs="Arial" w:eastAsia="Arial" w:hAnsi="Arial"/>
                  <w:sz w:val="18"/>
                  <w:szCs w:val="18"/>
                  <w:color w:val="0000EE"/>
                </w:rPr>
                <w:t>Exhibits</w:t>
              </w:r>
            </w:hyperlink>
          </w:p>
        </w:tc>
        <w:tc>
          <w:tcPr>
            <w:tcW w:w="1660" w:type="dxa"/>
            <w:vAlign w:val="bottom"/>
            <w:tcBorders>
              <w:right w:val="single" w:sz="8" w:color="CCEEFF"/>
            </w:tcBorders>
            <w:gridSpan w:val="3"/>
            <w:shd w:val="clear" w:color="auto" w:fill="CCEEFF"/>
          </w:tcPr>
          <w:p>
            <w:pPr>
              <w:jc w:val="center"/>
              <w:ind w:left="1390"/>
              <w:spacing w:after="0" w:line="202" w:lineRule="exact"/>
              <w:rPr>
                <w:rFonts w:ascii="Arial" w:cs="Arial" w:eastAsia="Arial" w:hAnsi="Arial"/>
                <w:sz w:val="18"/>
                <w:szCs w:val="18"/>
                <w:color w:val="0000EE"/>
                <w:w w:val="89"/>
              </w:rPr>
            </w:pPr>
            <w:hyperlink w:anchor="page28">
              <w:r>
                <w:rPr>
                  <w:rFonts w:ascii="Arial" w:cs="Arial" w:eastAsia="Arial" w:hAnsi="Arial"/>
                  <w:sz w:val="18"/>
                  <w:szCs w:val="18"/>
                  <w:color w:val="0000EE"/>
                  <w:w w:val="89"/>
                </w:rPr>
                <w:t>27</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7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1300" w:type="dxa"/>
            <w:vAlign w:val="bottom"/>
            <w:tcBorders>
              <w:top w:val="single" w:sz="8" w:color="CCEEFF"/>
            </w:tcBorders>
            <w:shd w:val="clear" w:color="auto" w:fill="CCEEFF"/>
          </w:tcPr>
          <w:p>
            <w:pPr>
              <w:spacing w:after="0"/>
              <w:rPr>
                <w:sz w:val="4"/>
                <w:szCs w:val="4"/>
                <w:color w:val="auto"/>
              </w:rPr>
            </w:pPr>
          </w:p>
        </w:tc>
        <w:tc>
          <w:tcPr>
            <w:tcW w:w="1360" w:type="dxa"/>
            <w:vAlign w:val="bottom"/>
            <w:tcBorders>
              <w:top w:val="single" w:sz="8" w:color="CCEEFF"/>
            </w:tcBorders>
            <w:shd w:val="clear" w:color="auto" w:fill="CCEEFF"/>
          </w:tcPr>
          <w:p>
            <w:pPr>
              <w:spacing w:after="0"/>
              <w:rPr>
                <w:sz w:val="4"/>
                <w:szCs w:val="4"/>
                <w:color w:val="auto"/>
              </w:rPr>
            </w:pPr>
          </w:p>
        </w:tc>
        <w:tc>
          <w:tcPr>
            <w:tcW w:w="13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7820" w:type="dxa"/>
            <w:vAlign w:val="bottom"/>
            <w:gridSpan w:val="17"/>
          </w:tcPr>
          <w:p>
            <w:pPr>
              <w:spacing w:after="0" w:line="202" w:lineRule="exact"/>
              <w:rPr>
                <w:rFonts w:ascii="Arial" w:cs="Arial" w:eastAsia="Arial" w:hAnsi="Arial"/>
                <w:sz w:val="18"/>
                <w:szCs w:val="18"/>
                <w:color w:val="0000EE"/>
              </w:rPr>
            </w:pPr>
            <w:hyperlink w:anchor="page29">
              <w:r>
                <w:rPr>
                  <w:rFonts w:ascii="Arial" w:cs="Arial" w:eastAsia="Arial" w:hAnsi="Arial"/>
                  <w:sz w:val="18"/>
                  <w:szCs w:val="18"/>
                  <w:color w:val="0000EE"/>
                </w:rPr>
                <w:t>Signatures</w:t>
              </w:r>
            </w:hyperlink>
          </w:p>
        </w:tc>
        <w:tc>
          <w:tcPr>
            <w:tcW w:w="1660" w:type="dxa"/>
            <w:vAlign w:val="bottom"/>
            <w:gridSpan w:val="3"/>
          </w:tcPr>
          <w:p>
            <w:pPr>
              <w:jc w:val="center"/>
              <w:ind w:left="1390"/>
              <w:spacing w:after="0" w:line="202" w:lineRule="exact"/>
              <w:rPr>
                <w:rFonts w:ascii="Arial" w:cs="Arial" w:eastAsia="Arial" w:hAnsi="Arial"/>
                <w:sz w:val="18"/>
                <w:szCs w:val="18"/>
                <w:color w:val="0000EE"/>
                <w:w w:val="89"/>
              </w:rPr>
            </w:pPr>
            <w:hyperlink w:anchor="page29">
              <w:r>
                <w:rPr>
                  <w:rFonts w:ascii="Arial" w:cs="Arial" w:eastAsia="Arial" w:hAnsi="Arial"/>
                  <w:sz w:val="18"/>
                  <w:szCs w:val="18"/>
                  <w:color w:val="0000EE"/>
                  <w:w w:val="89"/>
                </w:rPr>
                <w:t>28</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20"/>
        </w:trPr>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80" w:type="dxa"/>
            <w:vAlign w:val="bottom"/>
            <w:tcBorders>
              <w:right w:val="single" w:sz="8" w:color="0000EE"/>
            </w:tcBorders>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369" w:right="2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 FINANCIAL INFORMATION</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I. FINANCIAL STATEMENTS</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Statements of Operations (Unaudited)</w:t>
      </w:r>
    </w:p>
    <w:p>
      <w:pPr>
        <w:spacing w:after="0" w:line="182" w:lineRule="exact"/>
        <w:rPr>
          <w:sz w:val="20"/>
          <w:szCs w:val="20"/>
          <w:color w:val="auto"/>
        </w:rPr>
      </w:pPr>
    </w:p>
    <w:p>
      <w:pPr>
        <w:ind w:left="9020"/>
        <w:spacing w:after="0"/>
        <w:rPr>
          <w:sz w:val="20"/>
          <w:szCs w:val="20"/>
          <w:color w:val="auto"/>
        </w:rPr>
      </w:pPr>
      <w:r>
        <w:rPr>
          <w:rFonts w:ascii="Arial" w:cs="Arial" w:eastAsia="Arial" w:hAnsi="Arial"/>
          <w:sz w:val="16"/>
          <w:szCs w:val="16"/>
          <w:b w:val="1"/>
          <w:bCs w:val="1"/>
          <w:color w:val="auto"/>
        </w:rPr>
        <w:t>Three Months Ended</w:t>
      </w:r>
    </w:p>
    <w:p>
      <w:pPr>
        <w:spacing w:after="0" w:line="26" w:lineRule="exact"/>
        <w:rPr>
          <w:sz w:val="20"/>
          <w:szCs w:val="20"/>
          <w:color w:val="auto"/>
        </w:rPr>
      </w:pPr>
    </w:p>
    <w:p>
      <w:pPr>
        <w:ind w:left="9420"/>
        <w:spacing w:after="0"/>
        <w:rPr>
          <w:sz w:val="20"/>
          <w:szCs w:val="20"/>
          <w:color w:val="auto"/>
        </w:rPr>
      </w:pPr>
      <w:r>
        <w:rPr>
          <w:rFonts w:ascii="Arial" w:cs="Arial" w:eastAsia="Arial" w:hAnsi="Arial"/>
          <w:sz w:val="16"/>
          <w:szCs w:val="16"/>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33020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72"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9100" w:type="dxa"/>
            <w:vAlign w:val="bottom"/>
          </w:tcPr>
          <w:p>
            <w:pPr>
              <w:ind w:left="8760"/>
              <w:spacing w:after="0"/>
              <w:rPr>
                <w:sz w:val="20"/>
                <w:szCs w:val="20"/>
                <w:color w:val="auto"/>
              </w:rPr>
            </w:pPr>
            <w:r>
              <w:rPr>
                <w:rFonts w:ascii="Arial" w:cs="Arial" w:eastAsia="Arial" w:hAnsi="Arial"/>
                <w:sz w:val="16"/>
                <w:szCs w:val="16"/>
                <w:b w:val="1"/>
                <w:bCs w:val="1"/>
                <w:color w:val="auto"/>
                <w:w w:val="89"/>
              </w:rPr>
              <w:t>2016</w:t>
            </w:r>
          </w:p>
        </w:tc>
        <w:tc>
          <w:tcPr>
            <w:tcW w:w="960" w:type="dxa"/>
            <w:vAlign w:val="bottom"/>
          </w:tcPr>
          <w:p>
            <w:pPr>
              <w:spacing w:after="0"/>
              <w:rPr>
                <w:sz w:val="18"/>
                <w:szCs w:val="18"/>
                <w:color w:val="auto"/>
              </w:rPr>
            </w:pPr>
          </w:p>
        </w:tc>
        <w:tc>
          <w:tcPr>
            <w:tcW w:w="1360" w:type="dxa"/>
            <w:vAlign w:val="bottom"/>
          </w:tcPr>
          <w:p>
            <w:pPr>
              <w:jc w:val="right"/>
              <w:ind w:right="531"/>
              <w:spacing w:after="0"/>
              <w:rPr>
                <w:sz w:val="20"/>
                <w:szCs w:val="20"/>
                <w:color w:val="auto"/>
              </w:rPr>
            </w:pPr>
            <w:r>
              <w:rPr>
                <w:rFonts w:ascii="Arial" w:cs="Arial" w:eastAsia="Arial" w:hAnsi="Arial"/>
                <w:sz w:val="16"/>
                <w:szCs w:val="16"/>
                <w:b w:val="1"/>
                <w:bCs w:val="1"/>
                <w:color w:val="auto"/>
              </w:rPr>
              <w:t>2015</w:t>
            </w:r>
          </w:p>
        </w:tc>
      </w:tr>
      <w:tr>
        <w:trPr>
          <w:trHeight w:val="40"/>
        </w:trPr>
        <w:tc>
          <w:tcPr>
            <w:tcW w:w="9100" w:type="dxa"/>
            <w:vAlign w:val="bottom"/>
            <w:tcBorders>
              <w:bottom w:val="single" w:sz="8" w:color="333333"/>
            </w:tcBorders>
          </w:tcPr>
          <w:p>
            <w:pPr>
              <w:spacing w:after="0"/>
              <w:rPr>
                <w:sz w:val="3"/>
                <w:szCs w:val="3"/>
                <w:color w:val="auto"/>
              </w:rPr>
            </w:pPr>
          </w:p>
        </w:tc>
        <w:tc>
          <w:tcPr>
            <w:tcW w:w="960" w:type="dxa"/>
            <w:vAlign w:val="bottom"/>
            <w:tcBorders>
              <w:bottom w:val="single" w:sz="8" w:color="333333"/>
            </w:tcBorders>
          </w:tcPr>
          <w:p>
            <w:pPr>
              <w:spacing w:after="0"/>
              <w:rPr>
                <w:sz w:val="3"/>
                <w:szCs w:val="3"/>
                <w:color w:val="auto"/>
              </w:rPr>
            </w:pPr>
          </w:p>
        </w:tc>
        <w:tc>
          <w:tcPr>
            <w:tcW w:w="1360" w:type="dxa"/>
            <w:vAlign w:val="bottom"/>
            <w:tcBorders>
              <w:bottom w:val="single" w:sz="8" w:color="333333"/>
            </w:tcBorders>
          </w:tcPr>
          <w:p>
            <w:pPr>
              <w:spacing w:after="0"/>
              <w:rPr>
                <w:sz w:val="3"/>
                <w:szCs w:val="3"/>
                <w:color w:val="auto"/>
              </w:rPr>
            </w:pPr>
          </w:p>
        </w:tc>
      </w:tr>
      <w:tr>
        <w:trPr>
          <w:trHeight w:val="250"/>
        </w:trPr>
        <w:tc>
          <w:tcPr>
            <w:tcW w:w="9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(Dollars in millions, except per share data)</w:t>
            </w:r>
          </w:p>
        </w:tc>
        <w:tc>
          <w:tcPr>
            <w:tcW w:w="9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r>
      <w:tr>
        <w:trPr>
          <w:trHeight w:val="243"/>
        </w:trPr>
        <w:tc>
          <w:tcPr>
            <w:tcW w:w="9100" w:type="dxa"/>
            <w:vAlign w:val="bottom"/>
          </w:tcPr>
          <w:p>
            <w:pPr>
              <w:ind w:left="40"/>
              <w:spacing w:after="0"/>
              <w:rPr>
                <w:sz w:val="20"/>
                <w:szCs w:val="20"/>
                <w:color w:val="auto"/>
              </w:rPr>
            </w:pPr>
            <w:r>
              <w:rPr>
                <w:rFonts w:ascii="Arial" w:cs="Arial" w:eastAsia="Arial" w:hAnsi="Arial"/>
                <w:sz w:val="18"/>
                <w:szCs w:val="18"/>
                <w:color w:val="auto"/>
              </w:rPr>
              <w:t>Net sales</w:t>
            </w:r>
          </w:p>
        </w:tc>
        <w:tc>
          <w:tcPr>
            <w:tcW w:w="960" w:type="dxa"/>
            <w:vAlign w:val="bottom"/>
          </w:tcPr>
          <w:p>
            <w:pPr>
              <w:jc w:val="right"/>
              <w:ind w:right="350"/>
              <w:spacing w:after="0"/>
              <w:rPr>
                <w:sz w:val="20"/>
                <w:szCs w:val="20"/>
                <w:color w:val="auto"/>
              </w:rPr>
            </w:pPr>
            <w:r>
              <w:rPr>
                <w:rFonts w:ascii="Arial" w:cs="Arial" w:eastAsia="Arial" w:hAnsi="Arial"/>
                <w:sz w:val="18"/>
                <w:szCs w:val="18"/>
                <w:b w:val="1"/>
                <w:bCs w:val="1"/>
                <w:color w:val="auto"/>
                <w:w w:val="90"/>
              </w:rPr>
              <w:t>$217.9</w:t>
            </w:r>
          </w:p>
        </w:tc>
        <w:tc>
          <w:tcPr>
            <w:tcW w:w="1360" w:type="dxa"/>
            <w:vAlign w:val="bottom"/>
          </w:tcPr>
          <w:p>
            <w:pPr>
              <w:jc w:val="right"/>
              <w:ind w:right="11"/>
              <w:spacing w:after="0"/>
              <w:rPr>
                <w:sz w:val="20"/>
                <w:szCs w:val="20"/>
                <w:color w:val="auto"/>
              </w:rPr>
            </w:pPr>
            <w:r>
              <w:rPr>
                <w:rFonts w:ascii="Arial" w:cs="Arial" w:eastAsia="Arial" w:hAnsi="Arial"/>
                <w:sz w:val="18"/>
                <w:szCs w:val="18"/>
                <w:color w:val="auto"/>
              </w:rPr>
              <w:t>$388.7</w:t>
            </w:r>
          </w:p>
        </w:tc>
      </w:tr>
      <w:tr>
        <w:trPr>
          <w:trHeight w:val="27"/>
        </w:trPr>
        <w:tc>
          <w:tcPr>
            <w:tcW w:w="9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5"/>
        </w:trPr>
        <w:tc>
          <w:tcPr>
            <w:tcW w:w="9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products sold</w:t>
            </w:r>
          </w:p>
        </w:tc>
        <w:tc>
          <w:tcPr>
            <w:tcW w:w="96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214.5</w:t>
            </w: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347.1</w:t>
            </w:r>
          </w:p>
        </w:tc>
      </w:tr>
      <w:tr>
        <w:trPr>
          <w:trHeight w:val="237"/>
        </w:trPr>
        <w:tc>
          <w:tcPr>
            <w:tcW w:w="910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Gross Profit</w:t>
            </w:r>
          </w:p>
        </w:tc>
        <w:tc>
          <w:tcPr>
            <w:tcW w:w="960" w:type="dxa"/>
            <w:vAlign w:val="bottom"/>
            <w:tcBorders>
              <w:top w:val="single" w:sz="8" w:color="333333"/>
            </w:tcBorders>
          </w:tcPr>
          <w:p>
            <w:pPr>
              <w:jc w:val="right"/>
              <w:ind w:right="350"/>
              <w:spacing w:after="0"/>
              <w:rPr>
                <w:sz w:val="20"/>
                <w:szCs w:val="20"/>
                <w:color w:val="auto"/>
              </w:rPr>
            </w:pPr>
            <w:r>
              <w:rPr>
                <w:rFonts w:ascii="Arial" w:cs="Arial" w:eastAsia="Arial" w:hAnsi="Arial"/>
                <w:sz w:val="18"/>
                <w:szCs w:val="18"/>
                <w:b w:val="1"/>
                <w:bCs w:val="1"/>
                <w:color w:val="auto"/>
              </w:rPr>
              <w:t>3.4</w:t>
            </w:r>
          </w:p>
        </w:tc>
        <w:tc>
          <w:tcPr>
            <w:tcW w:w="1360" w:type="dxa"/>
            <w:vAlign w:val="bottom"/>
            <w:tcBorders>
              <w:top w:val="single" w:sz="8" w:color="333333"/>
            </w:tcBorders>
          </w:tcPr>
          <w:p>
            <w:pPr>
              <w:jc w:val="right"/>
              <w:ind w:right="11"/>
              <w:spacing w:after="0"/>
              <w:rPr>
                <w:sz w:val="20"/>
                <w:szCs w:val="20"/>
                <w:color w:val="auto"/>
              </w:rPr>
            </w:pPr>
            <w:r>
              <w:rPr>
                <w:rFonts w:ascii="Arial" w:cs="Arial" w:eastAsia="Arial" w:hAnsi="Arial"/>
                <w:sz w:val="18"/>
                <w:szCs w:val="18"/>
                <w:color w:val="auto"/>
              </w:rPr>
              <w:t>41.6</w:t>
            </w:r>
          </w:p>
        </w:tc>
      </w:tr>
      <w:tr>
        <w:trPr>
          <w:trHeight w:val="27"/>
        </w:trPr>
        <w:tc>
          <w:tcPr>
            <w:tcW w:w="9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324"/>
        </w:trPr>
        <w:tc>
          <w:tcPr>
            <w:tcW w:w="9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r>
      <w:tr>
        <w:trPr>
          <w:trHeight w:val="243"/>
        </w:trPr>
        <w:tc>
          <w:tcPr>
            <w:tcW w:w="9100" w:type="dxa"/>
            <w:vAlign w:val="bottom"/>
          </w:tcPr>
          <w:p>
            <w:pPr>
              <w:ind w:left="40"/>
              <w:spacing w:after="0"/>
              <w:rPr>
                <w:sz w:val="20"/>
                <w:szCs w:val="20"/>
                <w:color w:val="auto"/>
              </w:rPr>
            </w:pPr>
            <w:r>
              <w:rPr>
                <w:rFonts w:ascii="Arial" w:cs="Arial" w:eastAsia="Arial" w:hAnsi="Arial"/>
                <w:sz w:val="18"/>
                <w:szCs w:val="18"/>
                <w:color w:val="auto"/>
              </w:rPr>
              <w:t>Selling, general and administrative expenses</w:t>
            </w:r>
          </w:p>
        </w:tc>
        <w:tc>
          <w:tcPr>
            <w:tcW w:w="960" w:type="dxa"/>
            <w:vAlign w:val="bottom"/>
          </w:tcPr>
          <w:p>
            <w:pPr>
              <w:jc w:val="right"/>
              <w:ind w:right="350"/>
              <w:spacing w:after="0"/>
              <w:rPr>
                <w:sz w:val="20"/>
                <w:szCs w:val="20"/>
                <w:color w:val="auto"/>
              </w:rPr>
            </w:pPr>
            <w:r>
              <w:rPr>
                <w:rFonts w:ascii="Arial" w:cs="Arial" w:eastAsia="Arial" w:hAnsi="Arial"/>
                <w:sz w:val="18"/>
                <w:szCs w:val="18"/>
                <w:b w:val="1"/>
                <w:bCs w:val="1"/>
                <w:color w:val="auto"/>
              </w:rPr>
              <w:t>22.9</w:t>
            </w:r>
          </w:p>
        </w:tc>
        <w:tc>
          <w:tcPr>
            <w:tcW w:w="1360" w:type="dxa"/>
            <w:vAlign w:val="bottom"/>
          </w:tcPr>
          <w:p>
            <w:pPr>
              <w:jc w:val="right"/>
              <w:ind w:right="11"/>
              <w:spacing w:after="0"/>
              <w:rPr>
                <w:sz w:val="20"/>
                <w:szCs w:val="20"/>
                <w:color w:val="auto"/>
              </w:rPr>
            </w:pPr>
            <w:r>
              <w:rPr>
                <w:rFonts w:ascii="Arial" w:cs="Arial" w:eastAsia="Arial" w:hAnsi="Arial"/>
                <w:sz w:val="18"/>
                <w:szCs w:val="18"/>
                <w:color w:val="auto"/>
              </w:rPr>
              <w:t>29.1</w:t>
            </w:r>
          </w:p>
        </w:tc>
      </w:tr>
      <w:tr>
        <w:trPr>
          <w:trHeight w:val="27"/>
        </w:trPr>
        <w:tc>
          <w:tcPr>
            <w:tcW w:w="9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5"/>
        </w:trPr>
        <w:tc>
          <w:tcPr>
            <w:tcW w:w="9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Impairment charges</w:t>
            </w:r>
          </w:p>
        </w:tc>
        <w:tc>
          <w:tcPr>
            <w:tcW w:w="96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w:t>
            </w: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0.4</w:t>
            </w:r>
          </w:p>
        </w:tc>
      </w:tr>
      <w:tr>
        <w:trPr>
          <w:trHeight w:val="237"/>
        </w:trPr>
        <w:tc>
          <w:tcPr>
            <w:tcW w:w="910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Operating (Loss) Income</w:t>
            </w:r>
          </w:p>
        </w:tc>
        <w:tc>
          <w:tcPr>
            <w:tcW w:w="960" w:type="dxa"/>
            <w:vAlign w:val="bottom"/>
            <w:tcBorders>
              <w:top w:val="single" w:sz="8" w:color="333333"/>
            </w:tcBorders>
          </w:tcPr>
          <w:p>
            <w:pPr>
              <w:jc w:val="right"/>
              <w:ind w:right="290"/>
              <w:spacing w:after="0"/>
              <w:rPr>
                <w:sz w:val="20"/>
                <w:szCs w:val="20"/>
                <w:color w:val="auto"/>
              </w:rPr>
            </w:pPr>
            <w:r>
              <w:rPr>
                <w:rFonts w:ascii="Arial" w:cs="Arial" w:eastAsia="Arial" w:hAnsi="Arial"/>
                <w:sz w:val="18"/>
                <w:szCs w:val="18"/>
                <w:b w:val="1"/>
                <w:bCs w:val="1"/>
                <w:color w:val="auto"/>
              </w:rPr>
              <w:t>(19.5)</w:t>
            </w:r>
          </w:p>
        </w:tc>
        <w:tc>
          <w:tcPr>
            <w:tcW w:w="1360" w:type="dxa"/>
            <w:vAlign w:val="bottom"/>
            <w:tcBorders>
              <w:top w:val="single" w:sz="8" w:color="333333"/>
            </w:tcBorders>
          </w:tcPr>
          <w:p>
            <w:pPr>
              <w:jc w:val="right"/>
              <w:ind w:right="11"/>
              <w:spacing w:after="0"/>
              <w:rPr>
                <w:sz w:val="20"/>
                <w:szCs w:val="20"/>
                <w:color w:val="auto"/>
              </w:rPr>
            </w:pPr>
            <w:r>
              <w:rPr>
                <w:rFonts w:ascii="Arial" w:cs="Arial" w:eastAsia="Arial" w:hAnsi="Arial"/>
                <w:sz w:val="18"/>
                <w:szCs w:val="18"/>
                <w:color w:val="auto"/>
              </w:rPr>
              <w:t>12.1</w:t>
            </w:r>
          </w:p>
        </w:tc>
      </w:tr>
      <w:tr>
        <w:trPr>
          <w:trHeight w:val="27"/>
        </w:trPr>
        <w:tc>
          <w:tcPr>
            <w:tcW w:w="9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324"/>
        </w:trPr>
        <w:tc>
          <w:tcPr>
            <w:tcW w:w="9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r>
      <w:tr>
        <w:trPr>
          <w:trHeight w:val="243"/>
        </w:trPr>
        <w:tc>
          <w:tcPr>
            <w:tcW w:w="9100" w:type="dxa"/>
            <w:vAlign w:val="bottom"/>
          </w:tcPr>
          <w:p>
            <w:pPr>
              <w:ind w:left="40"/>
              <w:spacing w:after="0"/>
              <w:rPr>
                <w:sz w:val="20"/>
                <w:szCs w:val="20"/>
                <w:color w:val="auto"/>
              </w:rPr>
            </w:pPr>
            <w:r>
              <w:rPr>
                <w:rFonts w:ascii="Arial" w:cs="Arial" w:eastAsia="Arial" w:hAnsi="Arial"/>
                <w:sz w:val="18"/>
                <w:szCs w:val="18"/>
                <w:color w:val="auto"/>
              </w:rPr>
              <w:t>Interest expense</w:t>
            </w:r>
          </w:p>
        </w:tc>
        <w:tc>
          <w:tcPr>
            <w:tcW w:w="960" w:type="dxa"/>
            <w:vAlign w:val="bottom"/>
          </w:tcPr>
          <w:p>
            <w:pPr>
              <w:jc w:val="right"/>
              <w:ind w:right="350"/>
              <w:spacing w:after="0"/>
              <w:rPr>
                <w:sz w:val="20"/>
                <w:szCs w:val="20"/>
                <w:color w:val="auto"/>
              </w:rPr>
            </w:pPr>
            <w:r>
              <w:rPr>
                <w:rFonts w:ascii="Arial" w:cs="Arial" w:eastAsia="Arial" w:hAnsi="Arial"/>
                <w:sz w:val="18"/>
                <w:szCs w:val="18"/>
                <w:b w:val="1"/>
                <w:bCs w:val="1"/>
                <w:color w:val="auto"/>
              </w:rPr>
              <w:t>2.0</w:t>
            </w:r>
          </w:p>
        </w:tc>
        <w:tc>
          <w:tcPr>
            <w:tcW w:w="1360" w:type="dxa"/>
            <w:vAlign w:val="bottom"/>
          </w:tcPr>
          <w:p>
            <w:pPr>
              <w:jc w:val="right"/>
              <w:ind w:right="11"/>
              <w:spacing w:after="0"/>
              <w:rPr>
                <w:sz w:val="20"/>
                <w:szCs w:val="20"/>
                <w:color w:val="auto"/>
              </w:rPr>
            </w:pPr>
            <w:r>
              <w:rPr>
                <w:rFonts w:ascii="Arial" w:cs="Arial" w:eastAsia="Arial" w:hAnsi="Arial"/>
                <w:sz w:val="18"/>
                <w:szCs w:val="18"/>
                <w:color w:val="auto"/>
              </w:rPr>
              <w:t>0.1</w:t>
            </w:r>
          </w:p>
        </w:tc>
      </w:tr>
      <w:tr>
        <w:trPr>
          <w:trHeight w:val="27"/>
        </w:trPr>
        <w:tc>
          <w:tcPr>
            <w:tcW w:w="9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5"/>
        </w:trPr>
        <w:tc>
          <w:tcPr>
            <w:tcW w:w="9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expense, net</w:t>
            </w:r>
          </w:p>
        </w:tc>
        <w:tc>
          <w:tcPr>
            <w:tcW w:w="96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0.8</w:t>
            </w: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0.9</w:t>
            </w:r>
          </w:p>
        </w:tc>
      </w:tr>
      <w:tr>
        <w:trPr>
          <w:trHeight w:val="237"/>
        </w:trPr>
        <w:tc>
          <w:tcPr>
            <w:tcW w:w="910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(Loss) Income Before Income Taxes</w:t>
            </w:r>
          </w:p>
        </w:tc>
        <w:tc>
          <w:tcPr>
            <w:tcW w:w="960" w:type="dxa"/>
            <w:vAlign w:val="bottom"/>
            <w:tcBorders>
              <w:top w:val="single" w:sz="8" w:color="333333"/>
            </w:tcBorders>
          </w:tcPr>
          <w:p>
            <w:pPr>
              <w:jc w:val="right"/>
              <w:ind w:right="290"/>
              <w:spacing w:after="0"/>
              <w:rPr>
                <w:sz w:val="20"/>
                <w:szCs w:val="20"/>
                <w:color w:val="auto"/>
              </w:rPr>
            </w:pPr>
            <w:r>
              <w:rPr>
                <w:rFonts w:ascii="Arial" w:cs="Arial" w:eastAsia="Arial" w:hAnsi="Arial"/>
                <w:sz w:val="18"/>
                <w:szCs w:val="18"/>
                <w:b w:val="1"/>
                <w:bCs w:val="1"/>
                <w:color w:val="auto"/>
              </w:rPr>
              <w:t>(22.3)</w:t>
            </w:r>
          </w:p>
        </w:tc>
        <w:tc>
          <w:tcPr>
            <w:tcW w:w="1360" w:type="dxa"/>
            <w:vAlign w:val="bottom"/>
            <w:tcBorders>
              <w:top w:val="single" w:sz="8" w:color="333333"/>
            </w:tcBorders>
          </w:tcPr>
          <w:p>
            <w:pPr>
              <w:jc w:val="right"/>
              <w:ind w:right="11"/>
              <w:spacing w:after="0"/>
              <w:rPr>
                <w:sz w:val="20"/>
                <w:szCs w:val="20"/>
                <w:color w:val="auto"/>
              </w:rPr>
            </w:pPr>
            <w:r>
              <w:rPr>
                <w:rFonts w:ascii="Arial" w:cs="Arial" w:eastAsia="Arial" w:hAnsi="Arial"/>
                <w:sz w:val="18"/>
                <w:szCs w:val="18"/>
                <w:color w:val="auto"/>
              </w:rPr>
              <w:t>11.1</w:t>
            </w:r>
          </w:p>
        </w:tc>
      </w:tr>
      <w:tr>
        <w:trPr>
          <w:trHeight w:val="27"/>
        </w:trPr>
        <w:tc>
          <w:tcPr>
            <w:tcW w:w="9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5"/>
        </w:trPr>
        <w:tc>
          <w:tcPr>
            <w:tcW w:w="9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(Benefit) provision for income taxes</w:t>
            </w:r>
          </w:p>
        </w:tc>
        <w:tc>
          <w:tcPr>
            <w:tcW w:w="9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(8.7)</w:t>
            </w: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w:t>
            </w:r>
          </w:p>
        </w:tc>
      </w:tr>
      <w:tr>
        <w:trPr>
          <w:trHeight w:val="237"/>
        </w:trPr>
        <w:tc>
          <w:tcPr>
            <w:tcW w:w="910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Net (Loss) Income</w:t>
            </w:r>
          </w:p>
        </w:tc>
        <w:tc>
          <w:tcPr>
            <w:tcW w:w="960" w:type="dxa"/>
            <w:vAlign w:val="bottom"/>
            <w:tcBorders>
              <w:top w:val="single" w:sz="8" w:color="333333"/>
            </w:tcBorders>
          </w:tcPr>
          <w:p>
            <w:pPr>
              <w:jc w:val="right"/>
              <w:ind w:right="290"/>
              <w:spacing w:after="0"/>
              <w:rPr>
                <w:sz w:val="20"/>
                <w:szCs w:val="20"/>
                <w:color w:val="auto"/>
              </w:rPr>
            </w:pPr>
            <w:r>
              <w:rPr>
                <w:rFonts w:ascii="Arial" w:cs="Arial" w:eastAsia="Arial" w:hAnsi="Arial"/>
                <w:sz w:val="18"/>
                <w:szCs w:val="18"/>
                <w:b w:val="1"/>
                <w:bCs w:val="1"/>
                <w:color w:val="auto"/>
                <w:w w:val="98"/>
              </w:rPr>
              <w:t>($13.6)</w:t>
            </w:r>
          </w:p>
        </w:tc>
        <w:tc>
          <w:tcPr>
            <w:tcW w:w="1360" w:type="dxa"/>
            <w:vAlign w:val="bottom"/>
            <w:tcBorders>
              <w:top w:val="single" w:sz="8" w:color="333333"/>
            </w:tcBorders>
          </w:tcPr>
          <w:p>
            <w:pPr>
              <w:jc w:val="right"/>
              <w:ind w:right="11"/>
              <w:spacing w:after="0"/>
              <w:rPr>
                <w:sz w:val="20"/>
                <w:szCs w:val="20"/>
                <w:color w:val="auto"/>
              </w:rPr>
            </w:pPr>
            <w:r>
              <w:rPr>
                <w:rFonts w:ascii="Arial" w:cs="Arial" w:eastAsia="Arial" w:hAnsi="Arial"/>
                <w:sz w:val="18"/>
                <w:szCs w:val="18"/>
                <w:color w:val="auto"/>
              </w:rPr>
              <w:t>$6.9</w:t>
            </w:r>
          </w:p>
        </w:tc>
      </w:tr>
      <w:tr>
        <w:trPr>
          <w:trHeight w:val="27"/>
        </w:trPr>
        <w:tc>
          <w:tcPr>
            <w:tcW w:w="9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318"/>
        </w:trPr>
        <w:tc>
          <w:tcPr>
            <w:tcW w:w="9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r>
      <w:tr>
        <w:trPr>
          <w:trHeight w:val="243"/>
        </w:trPr>
        <w:tc>
          <w:tcPr>
            <w:tcW w:w="9100" w:type="dxa"/>
            <w:vAlign w:val="bottom"/>
          </w:tcPr>
          <w:p>
            <w:pPr>
              <w:ind w:left="40"/>
              <w:spacing w:after="0"/>
              <w:rPr>
                <w:sz w:val="20"/>
                <w:szCs w:val="20"/>
                <w:color w:val="auto"/>
              </w:rPr>
            </w:pPr>
            <w:r>
              <w:rPr>
                <w:rFonts w:ascii="Arial" w:cs="Arial" w:eastAsia="Arial" w:hAnsi="Arial"/>
                <w:sz w:val="18"/>
                <w:szCs w:val="18"/>
                <w:b w:val="1"/>
                <w:bCs w:val="1"/>
                <w:color w:val="auto"/>
              </w:rPr>
              <w:t>Per Share Data:</w:t>
            </w:r>
          </w:p>
        </w:tc>
        <w:tc>
          <w:tcPr>
            <w:tcW w:w="960" w:type="dxa"/>
            <w:vAlign w:val="bottom"/>
          </w:tcPr>
          <w:p>
            <w:pPr>
              <w:spacing w:after="0"/>
              <w:rPr>
                <w:sz w:val="21"/>
                <w:szCs w:val="21"/>
                <w:color w:val="auto"/>
              </w:rPr>
            </w:pPr>
          </w:p>
        </w:tc>
        <w:tc>
          <w:tcPr>
            <w:tcW w:w="1360" w:type="dxa"/>
            <w:vAlign w:val="bottom"/>
          </w:tcPr>
          <w:p>
            <w:pPr>
              <w:spacing w:after="0"/>
              <w:rPr>
                <w:sz w:val="21"/>
                <w:szCs w:val="21"/>
                <w:color w:val="auto"/>
              </w:rPr>
            </w:pPr>
          </w:p>
        </w:tc>
      </w:tr>
      <w:tr>
        <w:trPr>
          <w:trHeight w:val="27"/>
        </w:trPr>
        <w:tc>
          <w:tcPr>
            <w:tcW w:w="9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69"/>
        </w:trPr>
        <w:tc>
          <w:tcPr>
            <w:tcW w:w="91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b w:val="1"/>
                <w:bCs w:val="1"/>
                <w:color w:val="auto"/>
              </w:rPr>
              <w:t>Basic (loss) earnings per share</w:t>
            </w:r>
          </w:p>
        </w:tc>
        <w:tc>
          <w:tcPr>
            <w:tcW w:w="9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w w:val="98"/>
              </w:rPr>
              <w:t>($0.31)</w:t>
            </w: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$0.15</w:t>
            </w:r>
          </w:p>
        </w:tc>
      </w:tr>
      <w:tr>
        <w:trPr>
          <w:trHeight w:val="237"/>
        </w:trPr>
        <w:tc>
          <w:tcPr>
            <w:tcW w:w="9100" w:type="dxa"/>
            <w:vAlign w:val="bottom"/>
            <w:tcBorders>
              <w:top w:val="single" w:sz="8" w:color="auto"/>
            </w:tcBorders>
          </w:tcPr>
          <w:p>
            <w:pPr>
              <w:ind w:left="360"/>
              <w:spacing w:after="0"/>
              <w:rPr>
                <w:sz w:val="20"/>
                <w:szCs w:val="20"/>
                <w:color w:val="auto"/>
              </w:rPr>
            </w:pPr>
            <w:r>
              <w:rPr>
                <w:rFonts w:ascii="Arial" w:cs="Arial" w:eastAsia="Arial" w:hAnsi="Arial"/>
                <w:sz w:val="18"/>
                <w:szCs w:val="18"/>
                <w:b w:val="1"/>
                <w:bCs w:val="1"/>
                <w:color w:val="auto"/>
              </w:rPr>
              <w:t>Diluted (loss) earnings per share</w:t>
            </w:r>
          </w:p>
        </w:tc>
        <w:tc>
          <w:tcPr>
            <w:tcW w:w="96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b w:val="1"/>
                <w:bCs w:val="1"/>
                <w:color w:val="auto"/>
                <w:w w:val="98"/>
              </w:rPr>
              <w:t>($0.31)</w:t>
            </w:r>
          </w:p>
        </w:tc>
        <w:tc>
          <w:tcPr>
            <w:tcW w:w="13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$0.15</w:t>
            </w:r>
          </w:p>
        </w:tc>
      </w:tr>
      <w:tr>
        <w:trPr>
          <w:trHeight w:val="27"/>
        </w:trPr>
        <w:tc>
          <w:tcPr>
            <w:tcW w:w="9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318"/>
        </w:trPr>
        <w:tc>
          <w:tcPr>
            <w:tcW w:w="9100" w:type="dxa"/>
            <w:vAlign w:val="bottom"/>
            <w:tcBorders>
              <w:bottom w:val="single" w:sz="8" w:color="333333"/>
            </w:tcBorders>
            <w:shd w:val="clear" w:color="auto" w:fill="CCEEFF"/>
          </w:tcPr>
          <w:p>
            <w:pPr>
              <w:spacing w:after="0"/>
              <w:rPr>
                <w:sz w:val="24"/>
                <w:szCs w:val="24"/>
                <w:color w:val="auto"/>
              </w:rPr>
            </w:pPr>
          </w:p>
        </w:tc>
        <w:tc>
          <w:tcPr>
            <w:tcW w:w="960" w:type="dxa"/>
            <w:vAlign w:val="bottom"/>
            <w:tcBorders>
              <w:bottom w:val="single" w:sz="8" w:color="333333"/>
            </w:tcBorders>
            <w:shd w:val="clear" w:color="auto" w:fill="CCEEFF"/>
          </w:tcPr>
          <w:p>
            <w:pPr>
              <w:spacing w:after="0"/>
              <w:rPr>
                <w:sz w:val="24"/>
                <w:szCs w:val="24"/>
                <w:color w:val="auto"/>
              </w:rPr>
            </w:pPr>
          </w:p>
        </w:tc>
        <w:tc>
          <w:tcPr>
            <w:tcW w:w="1360" w:type="dxa"/>
            <w:vAlign w:val="bottom"/>
            <w:tcBorders>
              <w:bottom w:val="single" w:sz="8" w:color="333333"/>
            </w:tcBorders>
            <w:shd w:val="clear" w:color="auto" w:fill="CCEEFF"/>
          </w:tcPr>
          <w:p>
            <w:pPr>
              <w:spacing w:after="0"/>
              <w:rPr>
                <w:sz w:val="24"/>
                <w:szCs w:val="24"/>
                <w:color w:val="auto"/>
              </w:rPr>
            </w:pPr>
          </w:p>
        </w:tc>
      </w:tr>
      <w:tr>
        <w:trPr>
          <w:trHeight w:val="237"/>
        </w:trPr>
        <w:tc>
          <w:tcPr>
            <w:tcW w:w="9100" w:type="dxa"/>
            <w:vAlign w:val="bottom"/>
          </w:tcPr>
          <w:p>
            <w:pPr>
              <w:ind w:left="360"/>
              <w:spacing w:after="0"/>
              <w:rPr>
                <w:sz w:val="20"/>
                <w:szCs w:val="20"/>
                <w:color w:val="auto"/>
              </w:rPr>
            </w:pPr>
            <w:r>
              <w:rPr>
                <w:rFonts w:ascii="Arial" w:cs="Arial" w:eastAsia="Arial" w:hAnsi="Arial"/>
                <w:sz w:val="18"/>
                <w:szCs w:val="18"/>
                <w:b w:val="1"/>
                <w:bCs w:val="1"/>
                <w:color w:val="auto"/>
              </w:rPr>
              <w:t>Dividends per share</w:t>
            </w:r>
          </w:p>
        </w:tc>
        <w:tc>
          <w:tcPr>
            <w:tcW w:w="960" w:type="dxa"/>
            <w:vAlign w:val="bottom"/>
          </w:tcPr>
          <w:p>
            <w:pPr>
              <w:jc w:val="right"/>
              <w:ind w:right="350"/>
              <w:spacing w:after="0"/>
              <w:rPr>
                <w:sz w:val="20"/>
                <w:szCs w:val="20"/>
                <w:color w:val="auto"/>
              </w:rPr>
            </w:pPr>
            <w:r>
              <w:rPr>
                <w:rFonts w:ascii="Arial" w:cs="Arial" w:eastAsia="Arial" w:hAnsi="Arial"/>
                <w:sz w:val="18"/>
                <w:szCs w:val="18"/>
                <w:b w:val="1"/>
                <w:bCs w:val="1"/>
                <w:color w:val="auto"/>
              </w:rPr>
              <w:t>$—</w:t>
            </w:r>
          </w:p>
        </w:tc>
        <w:tc>
          <w:tcPr>
            <w:tcW w:w="1360" w:type="dxa"/>
            <w:vAlign w:val="bottom"/>
          </w:tcPr>
          <w:p>
            <w:pPr>
              <w:jc w:val="right"/>
              <w:ind w:right="11"/>
              <w:spacing w:after="0"/>
              <w:rPr>
                <w:sz w:val="20"/>
                <w:szCs w:val="20"/>
                <w:color w:val="auto"/>
              </w:rPr>
            </w:pPr>
            <w:r>
              <w:rPr>
                <w:rFonts w:ascii="Arial" w:cs="Arial" w:eastAsia="Arial" w:hAnsi="Arial"/>
                <w:sz w:val="18"/>
                <w:szCs w:val="18"/>
                <w:color w:val="auto"/>
              </w:rPr>
              <w:t>$0.14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2466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42"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341" w:right="2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Statements of Comprehensive (Loss) Income (Unaudited)</w:t>
      </w:r>
    </w:p>
    <w:p>
      <w:pPr>
        <w:spacing w:after="0" w:line="182" w:lineRule="exact"/>
        <w:rPr>
          <w:sz w:val="20"/>
          <w:szCs w:val="20"/>
          <w:color w:val="auto"/>
        </w:rPr>
      </w:pPr>
    </w:p>
    <w:p>
      <w:pPr>
        <w:ind w:left="9140"/>
        <w:spacing w:after="0"/>
        <w:rPr>
          <w:sz w:val="20"/>
          <w:szCs w:val="20"/>
          <w:color w:val="auto"/>
        </w:rPr>
      </w:pPr>
      <w:r>
        <w:rPr>
          <w:rFonts w:ascii="Arial" w:cs="Arial" w:eastAsia="Arial" w:hAnsi="Arial"/>
          <w:sz w:val="16"/>
          <w:szCs w:val="16"/>
          <w:b w:val="1"/>
          <w:bCs w:val="1"/>
          <w:color w:val="auto"/>
        </w:rPr>
        <w:t>Three Months Ended</w:t>
      </w:r>
    </w:p>
    <w:p>
      <w:pPr>
        <w:spacing w:after="0" w:line="26" w:lineRule="exact"/>
        <w:rPr>
          <w:sz w:val="20"/>
          <w:szCs w:val="20"/>
          <w:color w:val="auto"/>
        </w:rPr>
      </w:pPr>
    </w:p>
    <w:p>
      <w:pPr>
        <w:ind w:left="9540"/>
        <w:spacing w:after="0"/>
        <w:rPr>
          <w:sz w:val="20"/>
          <w:szCs w:val="20"/>
          <w:color w:val="auto"/>
        </w:rPr>
      </w:pPr>
      <w:r>
        <w:rPr>
          <w:rFonts w:ascii="Arial" w:cs="Arial" w:eastAsia="Arial" w:hAnsi="Arial"/>
          <w:sz w:val="16"/>
          <w:szCs w:val="16"/>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33020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72"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9260" w:type="dxa"/>
            <w:vAlign w:val="bottom"/>
          </w:tcPr>
          <w:p>
            <w:pPr>
              <w:ind w:left="8920"/>
              <w:spacing w:after="0"/>
              <w:rPr>
                <w:sz w:val="20"/>
                <w:szCs w:val="20"/>
                <w:color w:val="auto"/>
              </w:rPr>
            </w:pPr>
            <w:r>
              <w:rPr>
                <w:rFonts w:ascii="Arial" w:cs="Arial" w:eastAsia="Arial" w:hAnsi="Arial"/>
                <w:sz w:val="16"/>
                <w:szCs w:val="16"/>
                <w:b w:val="1"/>
                <w:bCs w:val="1"/>
                <w:color w:val="auto"/>
                <w:w w:val="89"/>
              </w:rPr>
              <w:t>2016</w:t>
            </w:r>
          </w:p>
        </w:tc>
        <w:tc>
          <w:tcPr>
            <w:tcW w:w="900" w:type="dxa"/>
            <w:vAlign w:val="bottom"/>
          </w:tcPr>
          <w:p>
            <w:pPr>
              <w:spacing w:after="0"/>
              <w:rPr>
                <w:sz w:val="18"/>
                <w:szCs w:val="18"/>
                <w:color w:val="auto"/>
              </w:rPr>
            </w:pPr>
          </w:p>
        </w:tc>
        <w:tc>
          <w:tcPr>
            <w:tcW w:w="1260" w:type="dxa"/>
            <w:vAlign w:val="bottom"/>
          </w:tcPr>
          <w:p>
            <w:pPr>
              <w:jc w:val="right"/>
              <w:ind w:right="471"/>
              <w:spacing w:after="0"/>
              <w:rPr>
                <w:sz w:val="20"/>
                <w:szCs w:val="20"/>
                <w:color w:val="auto"/>
              </w:rPr>
            </w:pPr>
            <w:r>
              <w:rPr>
                <w:rFonts w:ascii="Arial" w:cs="Arial" w:eastAsia="Arial" w:hAnsi="Arial"/>
                <w:sz w:val="16"/>
                <w:szCs w:val="16"/>
                <w:b w:val="1"/>
                <w:bCs w:val="1"/>
                <w:color w:val="auto"/>
              </w:rPr>
              <w:t>2015</w:t>
            </w:r>
          </w:p>
        </w:tc>
      </w:tr>
      <w:tr>
        <w:trPr>
          <w:trHeight w:val="40"/>
        </w:trPr>
        <w:tc>
          <w:tcPr>
            <w:tcW w:w="9260" w:type="dxa"/>
            <w:vAlign w:val="bottom"/>
            <w:tcBorders>
              <w:bottom w:val="single" w:sz="8" w:color="333333"/>
            </w:tcBorders>
          </w:tcPr>
          <w:p>
            <w:pPr>
              <w:spacing w:after="0"/>
              <w:rPr>
                <w:sz w:val="3"/>
                <w:szCs w:val="3"/>
                <w:color w:val="auto"/>
              </w:rPr>
            </w:pPr>
          </w:p>
        </w:tc>
        <w:tc>
          <w:tcPr>
            <w:tcW w:w="900" w:type="dxa"/>
            <w:vAlign w:val="bottom"/>
            <w:tcBorders>
              <w:bottom w:val="single" w:sz="8" w:color="333333"/>
            </w:tcBorders>
          </w:tcPr>
          <w:p>
            <w:pPr>
              <w:spacing w:after="0"/>
              <w:rPr>
                <w:sz w:val="3"/>
                <w:szCs w:val="3"/>
                <w:color w:val="auto"/>
              </w:rPr>
            </w:pPr>
          </w:p>
        </w:tc>
        <w:tc>
          <w:tcPr>
            <w:tcW w:w="1260" w:type="dxa"/>
            <w:vAlign w:val="bottom"/>
            <w:tcBorders>
              <w:bottom w:val="single" w:sz="8" w:color="333333"/>
            </w:tcBorders>
          </w:tcPr>
          <w:p>
            <w:pPr>
              <w:spacing w:after="0"/>
              <w:rPr>
                <w:sz w:val="3"/>
                <w:szCs w:val="3"/>
                <w:color w:val="auto"/>
              </w:rPr>
            </w:pPr>
          </w:p>
        </w:tc>
      </w:tr>
      <w:tr>
        <w:trPr>
          <w:trHeight w:val="250"/>
        </w:trPr>
        <w:tc>
          <w:tcPr>
            <w:tcW w:w="9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(Dollars in millions)</w:t>
            </w:r>
          </w:p>
        </w:tc>
        <w:tc>
          <w:tcPr>
            <w:tcW w:w="9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9260" w:type="dxa"/>
            <w:vAlign w:val="bottom"/>
          </w:tcPr>
          <w:p>
            <w:pPr>
              <w:ind w:left="40"/>
              <w:spacing w:after="0"/>
              <w:rPr>
                <w:sz w:val="20"/>
                <w:szCs w:val="20"/>
                <w:color w:val="auto"/>
              </w:rPr>
            </w:pPr>
            <w:r>
              <w:rPr>
                <w:rFonts w:ascii="Arial" w:cs="Arial" w:eastAsia="Arial" w:hAnsi="Arial"/>
                <w:sz w:val="18"/>
                <w:szCs w:val="18"/>
                <w:color w:val="auto"/>
              </w:rPr>
              <w:t>Net (loss) income</w:t>
            </w:r>
          </w:p>
        </w:tc>
        <w:tc>
          <w:tcPr>
            <w:tcW w:w="900" w:type="dxa"/>
            <w:vAlign w:val="bottom"/>
          </w:tcPr>
          <w:p>
            <w:pPr>
              <w:jc w:val="right"/>
              <w:ind w:right="290"/>
              <w:spacing w:after="0"/>
              <w:rPr>
                <w:sz w:val="20"/>
                <w:szCs w:val="20"/>
                <w:color w:val="auto"/>
              </w:rPr>
            </w:pPr>
            <w:r>
              <w:rPr>
                <w:rFonts w:ascii="Arial" w:cs="Arial" w:eastAsia="Arial" w:hAnsi="Arial"/>
                <w:sz w:val="18"/>
                <w:szCs w:val="18"/>
                <w:b w:val="1"/>
                <w:bCs w:val="1"/>
                <w:color w:val="auto"/>
                <w:w w:val="87"/>
              </w:rPr>
              <w:t>($13.6)</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$6.9</w:t>
            </w:r>
          </w:p>
        </w:tc>
      </w:tr>
      <w:tr>
        <w:trPr>
          <w:trHeight w:val="27"/>
        </w:trPr>
        <w:tc>
          <w:tcPr>
            <w:tcW w:w="9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9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comprehensive income (loss), net of tax:</w:t>
            </w:r>
          </w:p>
        </w:tc>
        <w:tc>
          <w:tcPr>
            <w:tcW w:w="9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9260" w:type="dxa"/>
            <w:vAlign w:val="bottom"/>
          </w:tcPr>
          <w:p>
            <w:pPr>
              <w:ind w:left="360"/>
              <w:spacing w:after="0"/>
              <w:rPr>
                <w:sz w:val="20"/>
                <w:szCs w:val="20"/>
                <w:color w:val="auto"/>
              </w:rPr>
            </w:pPr>
            <w:r>
              <w:rPr>
                <w:rFonts w:ascii="Arial" w:cs="Arial" w:eastAsia="Arial" w:hAnsi="Arial"/>
                <w:sz w:val="18"/>
                <w:szCs w:val="18"/>
                <w:color w:val="auto"/>
              </w:rPr>
              <w:t>Foreign currency translation adjustments</w:t>
            </w:r>
          </w:p>
        </w:tc>
        <w:tc>
          <w:tcPr>
            <w:tcW w:w="900" w:type="dxa"/>
            <w:vAlign w:val="bottom"/>
          </w:tcPr>
          <w:p>
            <w:pPr>
              <w:jc w:val="right"/>
              <w:ind w:right="290"/>
              <w:spacing w:after="0"/>
              <w:rPr>
                <w:sz w:val="20"/>
                <w:szCs w:val="20"/>
                <w:color w:val="auto"/>
              </w:rPr>
            </w:pPr>
            <w:r>
              <w:rPr>
                <w:rFonts w:ascii="Arial" w:cs="Arial" w:eastAsia="Arial" w:hAnsi="Arial"/>
                <w:sz w:val="18"/>
                <w:szCs w:val="18"/>
                <w:b w:val="1"/>
                <w:bCs w:val="1"/>
                <w:color w:val="auto"/>
              </w:rPr>
              <w:t>(0.5)</w:t>
            </w:r>
          </w:p>
        </w:tc>
        <w:tc>
          <w:tcPr>
            <w:tcW w:w="1260" w:type="dxa"/>
            <w:vAlign w:val="bottom"/>
          </w:tcPr>
          <w:p>
            <w:pPr>
              <w:jc w:val="right"/>
              <w:spacing w:after="0"/>
              <w:rPr>
                <w:sz w:val="20"/>
                <w:szCs w:val="20"/>
                <w:color w:val="auto"/>
              </w:rPr>
            </w:pPr>
            <w:r>
              <w:rPr>
                <w:rFonts w:ascii="Arial" w:cs="Arial" w:eastAsia="Arial" w:hAnsi="Arial"/>
                <w:sz w:val="18"/>
                <w:szCs w:val="18"/>
                <w:color w:val="auto"/>
              </w:rPr>
              <w:t>(0.9)</w:t>
            </w:r>
          </w:p>
        </w:tc>
      </w:tr>
      <w:tr>
        <w:trPr>
          <w:trHeight w:val="27"/>
        </w:trPr>
        <w:tc>
          <w:tcPr>
            <w:tcW w:w="9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75"/>
        </w:trPr>
        <w:tc>
          <w:tcPr>
            <w:tcW w:w="92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Pension and postretirement liability adjustment</w:t>
            </w:r>
          </w:p>
        </w:tc>
        <w:tc>
          <w:tcPr>
            <w:tcW w:w="90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4.2</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6.5</w:t>
            </w:r>
          </w:p>
        </w:tc>
      </w:tr>
      <w:tr>
        <w:trPr>
          <w:trHeight w:val="237"/>
        </w:trPr>
        <w:tc>
          <w:tcPr>
            <w:tcW w:w="9260" w:type="dxa"/>
            <w:vAlign w:val="bottom"/>
            <w:tcBorders>
              <w:top w:val="single" w:sz="8" w:color="auto"/>
            </w:tcBorders>
          </w:tcPr>
          <w:p>
            <w:pPr>
              <w:ind w:left="360"/>
              <w:spacing w:after="0"/>
              <w:rPr>
                <w:sz w:val="20"/>
                <w:szCs w:val="20"/>
                <w:color w:val="auto"/>
              </w:rPr>
            </w:pPr>
            <w:r>
              <w:rPr>
                <w:rFonts w:ascii="Arial" w:cs="Arial" w:eastAsia="Arial" w:hAnsi="Arial"/>
                <w:sz w:val="18"/>
                <w:szCs w:val="18"/>
                <w:color w:val="auto"/>
              </w:rPr>
              <w:t>Other comprehensive income, net of tax</w:t>
            </w:r>
          </w:p>
        </w:tc>
        <w:tc>
          <w:tcPr>
            <w:tcW w:w="90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3.7</w:t>
            </w:r>
          </w:p>
        </w:tc>
        <w:tc>
          <w:tcPr>
            <w:tcW w:w="12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5.6</w:t>
            </w:r>
          </w:p>
        </w:tc>
      </w:tr>
      <w:tr>
        <w:trPr>
          <w:trHeight w:val="27"/>
        </w:trPr>
        <w:tc>
          <w:tcPr>
            <w:tcW w:w="9260" w:type="dxa"/>
            <w:vAlign w:val="bottom"/>
            <w:tcBorders>
              <w:bottom w:val="single" w:sz="8" w:color="333333"/>
            </w:tcBorders>
          </w:tcPr>
          <w:p>
            <w:pPr>
              <w:spacing w:after="0"/>
              <w:rPr>
                <w:sz w:val="2"/>
                <w:szCs w:val="2"/>
                <w:color w:val="auto"/>
              </w:rPr>
            </w:pPr>
          </w:p>
        </w:tc>
        <w:tc>
          <w:tcPr>
            <w:tcW w:w="900" w:type="dxa"/>
            <w:vAlign w:val="bottom"/>
            <w:tcBorders>
              <w:bottom w:val="single" w:sz="8" w:color="333333"/>
            </w:tcBorders>
          </w:tcPr>
          <w:p>
            <w:pPr>
              <w:spacing w:after="0"/>
              <w:rPr>
                <w:sz w:val="2"/>
                <w:szCs w:val="2"/>
                <w:color w:val="auto"/>
              </w:rPr>
            </w:pPr>
          </w:p>
        </w:tc>
        <w:tc>
          <w:tcPr>
            <w:tcW w:w="1260" w:type="dxa"/>
            <w:vAlign w:val="bottom"/>
            <w:tcBorders>
              <w:bottom w:val="single" w:sz="8" w:color="333333"/>
            </w:tcBorders>
          </w:tcPr>
          <w:p>
            <w:pPr>
              <w:spacing w:after="0"/>
              <w:rPr>
                <w:sz w:val="2"/>
                <w:szCs w:val="2"/>
                <w:color w:val="auto"/>
              </w:rPr>
            </w:pPr>
          </w:p>
        </w:tc>
      </w:tr>
      <w:tr>
        <w:trPr>
          <w:trHeight w:val="276"/>
        </w:trPr>
        <w:tc>
          <w:tcPr>
            <w:tcW w:w="9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Comprehensive (Loss) Income, net of tax</w:t>
            </w:r>
          </w:p>
        </w:tc>
        <w:tc>
          <w:tcPr>
            <w:tcW w:w="9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($9.9)</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$12.5</w:t>
            </w:r>
          </w:p>
        </w:tc>
      </w:tr>
      <w:tr>
        <w:trPr>
          <w:trHeight w:val="191"/>
        </w:trPr>
        <w:tc>
          <w:tcPr>
            <w:tcW w:w="9260" w:type="dxa"/>
            <w:vAlign w:val="bottom"/>
            <w:tcBorders>
              <w:top w:val="single" w:sz="8" w:color="333333"/>
            </w:tcBorders>
          </w:tcPr>
          <w:p>
            <w:pPr>
              <w:spacing w:after="0"/>
              <w:rPr>
                <w:sz w:val="20"/>
                <w:szCs w:val="20"/>
                <w:color w:val="auto"/>
              </w:rPr>
            </w:pPr>
            <w:r>
              <w:rPr>
                <w:rFonts w:ascii="Arial" w:cs="Arial" w:eastAsia="Arial" w:hAnsi="Arial"/>
                <w:sz w:val="14"/>
                <w:szCs w:val="14"/>
                <w:color w:val="auto"/>
              </w:rPr>
              <w:t>See accompanying Notes to the Unaudited Consolidated Financial Statements.</w:t>
            </w:r>
          </w:p>
        </w:tc>
        <w:tc>
          <w:tcPr>
            <w:tcW w:w="900" w:type="dxa"/>
            <w:vAlign w:val="bottom"/>
            <w:tcBorders>
              <w:top w:val="single" w:sz="8" w:color="333333"/>
            </w:tcBorders>
          </w:tcPr>
          <w:p>
            <w:pPr>
              <w:spacing w:after="0"/>
              <w:rPr>
                <w:sz w:val="16"/>
                <w:szCs w:val="16"/>
                <w:color w:val="auto"/>
              </w:rPr>
            </w:pPr>
          </w:p>
        </w:tc>
        <w:tc>
          <w:tcPr>
            <w:tcW w:w="1260" w:type="dxa"/>
            <w:vAlign w:val="bottom"/>
            <w:tcBorders>
              <w:top w:val="single" w:sz="8" w:color="333333"/>
            </w:tcBorders>
          </w:tcPr>
          <w:p>
            <w:pPr>
              <w:spacing w:after="0"/>
              <w:rPr>
                <w:sz w:val="16"/>
                <w:szCs w:val="16"/>
                <w:color w:val="auto"/>
              </w:rPr>
            </w:pPr>
          </w:p>
        </w:tc>
      </w:tr>
      <w:tr>
        <w:trPr>
          <w:trHeight w:val="485"/>
        </w:trPr>
        <w:tc>
          <w:tcPr>
            <w:tcW w:w="9260" w:type="dxa"/>
            <w:vAlign w:val="bottom"/>
          </w:tcPr>
          <w:p>
            <w:pPr>
              <w:ind w:left="6000"/>
              <w:spacing w:after="0"/>
              <w:rPr>
                <w:sz w:val="20"/>
                <w:szCs w:val="20"/>
                <w:color w:val="auto"/>
              </w:rPr>
            </w:pPr>
            <w:r>
              <w:rPr>
                <w:rFonts w:ascii="Arial" w:cs="Arial" w:eastAsia="Arial" w:hAnsi="Arial"/>
                <w:sz w:val="18"/>
                <w:szCs w:val="18"/>
                <w:color w:val="auto"/>
              </w:rPr>
              <w:t>4</w:t>
            </w:r>
          </w:p>
        </w:tc>
        <w:tc>
          <w:tcPr>
            <w:tcW w:w="90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ectPr>
          <w:pgSz w:w="11900" w:h="16838" w:orient="portrait"/>
          <w:cols w:equalWidth="0" w:num="1">
            <w:col w:w="11420"/>
          </w:cols>
          <w:pgMar w:left="240" w:top="341" w:right="23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Balance Sheets (Unaudited)</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7720" w:type="dxa"/>
            <w:vAlign w:val="bottom"/>
          </w:tcPr>
          <w:p>
            <w:pPr>
              <w:spacing w:after="0"/>
              <w:rPr>
                <w:sz w:val="14"/>
                <w:szCs w:val="14"/>
                <w:color w:val="auto"/>
              </w:rPr>
            </w:pPr>
          </w:p>
        </w:tc>
        <w:tc>
          <w:tcPr>
            <w:tcW w:w="2020" w:type="dxa"/>
            <w:vAlign w:val="bottom"/>
          </w:tcPr>
          <w:p>
            <w:pPr>
              <w:jc w:val="right"/>
              <w:ind w:right="763"/>
              <w:spacing w:after="0"/>
              <w:rPr>
                <w:sz w:val="20"/>
                <w:szCs w:val="20"/>
                <w:color w:val="auto"/>
              </w:rPr>
            </w:pPr>
            <w:r>
              <w:rPr>
                <w:rFonts w:ascii="Arial" w:cs="Arial" w:eastAsia="Arial" w:hAnsi="Arial"/>
                <w:sz w:val="15"/>
                <w:szCs w:val="15"/>
                <w:b w:val="1"/>
                <w:bCs w:val="1"/>
                <w:color w:val="auto"/>
              </w:rPr>
              <w:t>March 31,</w:t>
            </w:r>
          </w:p>
        </w:tc>
        <w:tc>
          <w:tcPr>
            <w:tcW w:w="1680" w:type="dxa"/>
            <w:vAlign w:val="bottom"/>
          </w:tcPr>
          <w:p>
            <w:pPr>
              <w:jc w:val="right"/>
              <w:ind w:right="403"/>
              <w:spacing w:after="0"/>
              <w:rPr>
                <w:sz w:val="20"/>
                <w:szCs w:val="20"/>
                <w:color w:val="auto"/>
              </w:rPr>
            </w:pPr>
            <w:r>
              <w:rPr>
                <w:rFonts w:ascii="Arial" w:cs="Arial" w:eastAsia="Arial" w:hAnsi="Arial"/>
                <w:sz w:val="15"/>
                <w:szCs w:val="15"/>
                <w:b w:val="1"/>
                <w:bCs w:val="1"/>
                <w:color w:val="auto"/>
              </w:rPr>
              <w:t>December 31,</w:t>
            </w:r>
          </w:p>
        </w:tc>
      </w:tr>
      <w:tr>
        <w:trPr>
          <w:trHeight w:val="202"/>
        </w:trPr>
        <w:tc>
          <w:tcPr>
            <w:tcW w:w="7720" w:type="dxa"/>
            <w:vAlign w:val="bottom"/>
            <w:tcBorders>
              <w:bottom w:val="single" w:sz="8" w:color="auto"/>
            </w:tcBorders>
          </w:tcPr>
          <w:p>
            <w:pPr>
              <w:spacing w:after="0"/>
              <w:rPr>
                <w:sz w:val="17"/>
                <w:szCs w:val="17"/>
                <w:color w:val="auto"/>
              </w:rPr>
            </w:pPr>
          </w:p>
        </w:tc>
        <w:tc>
          <w:tcPr>
            <w:tcW w:w="2020" w:type="dxa"/>
            <w:vAlign w:val="bottom"/>
            <w:tcBorders>
              <w:bottom w:val="single" w:sz="8" w:color="auto"/>
            </w:tcBorders>
          </w:tcPr>
          <w:p>
            <w:pPr>
              <w:jc w:val="right"/>
              <w:ind w:right="923"/>
              <w:spacing w:after="0"/>
              <w:rPr>
                <w:sz w:val="20"/>
                <w:szCs w:val="20"/>
                <w:color w:val="auto"/>
              </w:rPr>
            </w:pPr>
            <w:r>
              <w:rPr>
                <w:rFonts w:ascii="Arial" w:cs="Arial" w:eastAsia="Arial" w:hAnsi="Arial"/>
                <w:sz w:val="15"/>
                <w:szCs w:val="15"/>
                <w:b w:val="1"/>
                <w:bCs w:val="1"/>
                <w:color w:val="auto"/>
              </w:rPr>
              <w:t>2016</w:t>
            </w:r>
          </w:p>
        </w:tc>
        <w:tc>
          <w:tcPr>
            <w:tcW w:w="1680" w:type="dxa"/>
            <w:vAlign w:val="bottom"/>
            <w:tcBorders>
              <w:bottom w:val="single" w:sz="8" w:color="auto"/>
            </w:tcBorders>
          </w:tcPr>
          <w:p>
            <w:pPr>
              <w:jc w:val="right"/>
              <w:ind w:right="683"/>
              <w:spacing w:after="0"/>
              <w:rPr>
                <w:sz w:val="20"/>
                <w:szCs w:val="20"/>
                <w:color w:val="auto"/>
              </w:rPr>
            </w:pPr>
            <w:r>
              <w:rPr>
                <w:rFonts w:ascii="Arial" w:cs="Arial" w:eastAsia="Arial" w:hAnsi="Arial"/>
                <w:sz w:val="15"/>
                <w:szCs w:val="15"/>
                <w:b w:val="1"/>
                <w:bCs w:val="1"/>
                <w:color w:val="auto"/>
              </w:rPr>
              <w:t>2015</w:t>
            </w:r>
          </w:p>
        </w:tc>
      </w:tr>
      <w:tr>
        <w:trPr>
          <w:trHeight w:val="268"/>
        </w:trPr>
        <w:tc>
          <w:tcPr>
            <w:tcW w:w="7720" w:type="dxa"/>
            <w:vAlign w:val="bottom"/>
            <w:shd w:val="clear" w:color="auto" w:fill="CCEEFF"/>
          </w:tcPr>
          <w:p>
            <w:pPr>
              <w:ind w:left="40"/>
              <w:spacing w:after="0"/>
              <w:rPr>
                <w:sz w:val="20"/>
                <w:szCs w:val="20"/>
                <w:color w:val="auto"/>
              </w:rPr>
            </w:pPr>
            <w:r>
              <w:rPr>
                <w:rFonts w:ascii="Arial" w:cs="Arial" w:eastAsia="Arial" w:hAnsi="Arial"/>
                <w:sz w:val="15"/>
                <w:szCs w:val="15"/>
                <w:color w:val="auto"/>
              </w:rPr>
              <w:t>(Dollars in millions)</w:t>
            </w:r>
          </w:p>
        </w:tc>
        <w:tc>
          <w:tcPr>
            <w:tcW w:w="202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r>
      <w:tr>
        <w:trPr>
          <w:trHeight w:val="266"/>
        </w:trPr>
        <w:tc>
          <w:tcPr>
            <w:tcW w:w="7720" w:type="dxa"/>
            <w:vAlign w:val="bottom"/>
          </w:tcPr>
          <w:p>
            <w:pPr>
              <w:ind w:left="40"/>
              <w:spacing w:after="0"/>
              <w:rPr>
                <w:sz w:val="20"/>
                <w:szCs w:val="20"/>
                <w:color w:val="auto"/>
              </w:rPr>
            </w:pPr>
            <w:r>
              <w:rPr>
                <w:rFonts w:ascii="Arial" w:cs="Arial" w:eastAsia="Arial" w:hAnsi="Arial"/>
                <w:sz w:val="15"/>
                <w:szCs w:val="15"/>
                <w:b w:val="1"/>
                <w:bCs w:val="1"/>
                <w:color w:val="auto"/>
              </w:rPr>
              <w:t>ASSETS</w:t>
            </w:r>
          </w:p>
        </w:tc>
        <w:tc>
          <w:tcPr>
            <w:tcW w:w="2020" w:type="dxa"/>
            <w:vAlign w:val="bottom"/>
          </w:tcPr>
          <w:p>
            <w:pPr>
              <w:spacing w:after="0"/>
              <w:rPr>
                <w:sz w:val="23"/>
                <w:szCs w:val="23"/>
                <w:color w:val="auto"/>
              </w:rPr>
            </w:pPr>
          </w:p>
        </w:tc>
        <w:tc>
          <w:tcPr>
            <w:tcW w:w="1680" w:type="dxa"/>
            <w:vAlign w:val="bottom"/>
          </w:tcPr>
          <w:p>
            <w:pPr>
              <w:spacing w:after="0"/>
              <w:rPr>
                <w:sz w:val="23"/>
                <w:szCs w:val="23"/>
                <w:color w:val="auto"/>
              </w:rPr>
            </w:pPr>
          </w:p>
        </w:tc>
      </w:tr>
      <w:tr>
        <w:trPr>
          <w:trHeight w:val="274"/>
        </w:trPr>
        <w:tc>
          <w:tcPr>
            <w:tcW w:w="772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Current Assets</w:t>
            </w:r>
          </w:p>
        </w:tc>
        <w:tc>
          <w:tcPr>
            <w:tcW w:w="202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r>
      <w:tr>
        <w:trPr>
          <w:trHeight w:val="266"/>
        </w:trPr>
        <w:tc>
          <w:tcPr>
            <w:tcW w:w="7720" w:type="dxa"/>
            <w:vAlign w:val="bottom"/>
          </w:tcPr>
          <w:p>
            <w:pPr>
              <w:ind w:left="360"/>
              <w:spacing w:after="0"/>
              <w:rPr>
                <w:sz w:val="20"/>
                <w:szCs w:val="20"/>
                <w:color w:val="auto"/>
              </w:rPr>
            </w:pPr>
            <w:r>
              <w:rPr>
                <w:rFonts w:ascii="Arial" w:cs="Arial" w:eastAsia="Arial" w:hAnsi="Arial"/>
                <w:sz w:val="15"/>
                <w:szCs w:val="15"/>
                <w:color w:val="auto"/>
              </w:rPr>
              <w:t>Cash and cash equivalents</w:t>
            </w:r>
          </w:p>
        </w:tc>
        <w:tc>
          <w:tcPr>
            <w:tcW w:w="2020" w:type="dxa"/>
            <w:vAlign w:val="bottom"/>
          </w:tcPr>
          <w:p>
            <w:pPr>
              <w:jc w:val="right"/>
              <w:ind w:right="263"/>
              <w:spacing w:after="0"/>
              <w:rPr>
                <w:sz w:val="20"/>
                <w:szCs w:val="20"/>
                <w:color w:val="auto"/>
              </w:rPr>
            </w:pPr>
            <w:r>
              <w:rPr>
                <w:rFonts w:ascii="Arial" w:cs="Arial" w:eastAsia="Arial" w:hAnsi="Arial"/>
                <w:sz w:val="15"/>
                <w:szCs w:val="15"/>
                <w:b w:val="1"/>
                <w:bCs w:val="1"/>
                <w:color w:val="auto"/>
              </w:rPr>
              <w:t>$37.5</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$42.4</w:t>
            </w:r>
          </w:p>
        </w:tc>
      </w:tr>
      <w:tr>
        <w:trPr>
          <w:trHeight w:val="274"/>
        </w:trPr>
        <w:tc>
          <w:tcPr>
            <w:tcW w:w="77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Accounts receivable, net of allowances</w:t>
            </w:r>
          </w:p>
        </w:tc>
        <w:tc>
          <w:tcPr>
            <w:tcW w:w="20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95.0</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80.9</w:t>
            </w:r>
          </w:p>
        </w:tc>
      </w:tr>
      <w:tr>
        <w:trPr>
          <w:trHeight w:val="266"/>
        </w:trPr>
        <w:tc>
          <w:tcPr>
            <w:tcW w:w="7720" w:type="dxa"/>
            <w:vAlign w:val="bottom"/>
          </w:tcPr>
          <w:p>
            <w:pPr>
              <w:ind w:left="680"/>
              <w:spacing w:after="0"/>
              <w:rPr>
                <w:sz w:val="20"/>
                <w:szCs w:val="20"/>
                <w:color w:val="auto"/>
              </w:rPr>
            </w:pPr>
            <w:r>
              <w:rPr>
                <w:rFonts w:ascii="Arial" w:cs="Arial" w:eastAsia="Arial" w:hAnsi="Arial"/>
                <w:sz w:val="15"/>
                <w:szCs w:val="15"/>
                <w:color w:val="auto"/>
              </w:rPr>
              <w:t>2016 - $1.4 million; 2015 - $1.5 million</w:t>
            </w:r>
          </w:p>
        </w:tc>
        <w:tc>
          <w:tcPr>
            <w:tcW w:w="2020" w:type="dxa"/>
            <w:vAlign w:val="bottom"/>
          </w:tcPr>
          <w:p>
            <w:pPr>
              <w:spacing w:after="0"/>
              <w:rPr>
                <w:sz w:val="23"/>
                <w:szCs w:val="23"/>
                <w:color w:val="auto"/>
              </w:rPr>
            </w:pPr>
          </w:p>
        </w:tc>
        <w:tc>
          <w:tcPr>
            <w:tcW w:w="1680" w:type="dxa"/>
            <w:vAlign w:val="bottom"/>
          </w:tcPr>
          <w:p>
            <w:pPr>
              <w:spacing w:after="0"/>
              <w:rPr>
                <w:sz w:val="23"/>
                <w:szCs w:val="23"/>
                <w:color w:val="auto"/>
              </w:rPr>
            </w:pPr>
          </w:p>
        </w:tc>
      </w:tr>
      <w:tr>
        <w:trPr>
          <w:trHeight w:val="274"/>
        </w:trPr>
        <w:tc>
          <w:tcPr>
            <w:tcW w:w="77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Inventories, net</w:t>
            </w:r>
          </w:p>
        </w:tc>
        <w:tc>
          <w:tcPr>
            <w:tcW w:w="20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160.9</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173.9</w:t>
            </w:r>
          </w:p>
        </w:tc>
      </w:tr>
      <w:tr>
        <w:trPr>
          <w:trHeight w:val="266"/>
        </w:trPr>
        <w:tc>
          <w:tcPr>
            <w:tcW w:w="7720" w:type="dxa"/>
            <w:vAlign w:val="bottom"/>
          </w:tcPr>
          <w:p>
            <w:pPr>
              <w:ind w:left="360"/>
              <w:spacing w:after="0"/>
              <w:rPr>
                <w:sz w:val="20"/>
                <w:szCs w:val="20"/>
                <w:color w:val="auto"/>
              </w:rPr>
            </w:pPr>
            <w:r>
              <w:rPr>
                <w:rFonts w:ascii="Arial" w:cs="Arial" w:eastAsia="Arial" w:hAnsi="Arial"/>
                <w:sz w:val="15"/>
                <w:szCs w:val="15"/>
                <w:color w:val="auto"/>
              </w:rPr>
              <w:t>Deferred charges and prepaid expenses</w:t>
            </w:r>
          </w:p>
        </w:tc>
        <w:tc>
          <w:tcPr>
            <w:tcW w:w="2020" w:type="dxa"/>
            <w:vAlign w:val="bottom"/>
          </w:tcPr>
          <w:p>
            <w:pPr>
              <w:jc w:val="right"/>
              <w:ind w:right="263"/>
              <w:spacing w:after="0"/>
              <w:rPr>
                <w:sz w:val="20"/>
                <w:szCs w:val="20"/>
                <w:color w:val="auto"/>
              </w:rPr>
            </w:pPr>
            <w:r>
              <w:rPr>
                <w:rFonts w:ascii="Arial" w:cs="Arial" w:eastAsia="Arial" w:hAnsi="Arial"/>
                <w:sz w:val="15"/>
                <w:szCs w:val="15"/>
                <w:b w:val="1"/>
                <w:bCs w:val="1"/>
                <w:color w:val="auto"/>
              </w:rPr>
              <w:t>4.4</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11.4</w:t>
            </w:r>
          </w:p>
        </w:tc>
      </w:tr>
      <w:tr>
        <w:trPr>
          <w:trHeight w:val="270"/>
        </w:trPr>
        <w:tc>
          <w:tcPr>
            <w:tcW w:w="7720" w:type="dxa"/>
            <w:vAlign w:val="bottom"/>
            <w:tcBorders>
              <w:bottom w:val="single" w:sz="8" w:color="333333"/>
            </w:tcBorders>
            <w:shd w:val="clear" w:color="auto" w:fill="CCEEFF"/>
          </w:tcPr>
          <w:p>
            <w:pPr>
              <w:ind w:left="360"/>
              <w:spacing w:after="0"/>
              <w:rPr>
                <w:sz w:val="20"/>
                <w:szCs w:val="20"/>
                <w:color w:val="auto"/>
              </w:rPr>
            </w:pPr>
            <w:r>
              <w:rPr>
                <w:rFonts w:ascii="Arial" w:cs="Arial" w:eastAsia="Arial" w:hAnsi="Arial"/>
                <w:sz w:val="15"/>
                <w:szCs w:val="15"/>
                <w:color w:val="auto"/>
              </w:rPr>
              <w:t>Other current assets</w:t>
            </w:r>
          </w:p>
        </w:tc>
        <w:tc>
          <w:tcPr>
            <w:tcW w:w="2020" w:type="dxa"/>
            <w:vAlign w:val="bottom"/>
            <w:tcBorders>
              <w:bottom w:val="single" w:sz="8" w:color="333333"/>
            </w:tcBorders>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7.9</w:t>
            </w:r>
          </w:p>
        </w:tc>
        <w:tc>
          <w:tcPr>
            <w:tcW w:w="1680" w:type="dxa"/>
            <w:vAlign w:val="bottom"/>
            <w:tcBorders>
              <w:bottom w:val="single" w:sz="8" w:color="333333"/>
            </w:tcBorders>
            <w:shd w:val="clear" w:color="auto" w:fill="CCEEFF"/>
          </w:tcPr>
          <w:p>
            <w:pPr>
              <w:jc w:val="right"/>
              <w:ind w:right="23"/>
              <w:spacing w:after="0"/>
              <w:rPr>
                <w:sz w:val="20"/>
                <w:szCs w:val="20"/>
                <w:color w:val="auto"/>
              </w:rPr>
            </w:pPr>
            <w:r>
              <w:rPr>
                <w:rFonts w:ascii="Arial" w:cs="Arial" w:eastAsia="Arial" w:hAnsi="Arial"/>
                <w:sz w:val="15"/>
                <w:szCs w:val="15"/>
                <w:color w:val="auto"/>
              </w:rPr>
              <w:t>9.2</w:t>
            </w:r>
          </w:p>
        </w:tc>
      </w:tr>
      <w:tr>
        <w:trPr>
          <w:trHeight w:val="264"/>
        </w:trPr>
        <w:tc>
          <w:tcPr>
            <w:tcW w:w="7720" w:type="dxa"/>
            <w:vAlign w:val="bottom"/>
          </w:tcPr>
          <w:p>
            <w:pPr>
              <w:ind w:left="40"/>
              <w:spacing w:after="0"/>
              <w:rPr>
                <w:sz w:val="20"/>
                <w:szCs w:val="20"/>
                <w:color w:val="auto"/>
              </w:rPr>
            </w:pPr>
            <w:r>
              <w:rPr>
                <w:rFonts w:ascii="Arial" w:cs="Arial" w:eastAsia="Arial" w:hAnsi="Arial"/>
                <w:sz w:val="15"/>
                <w:szCs w:val="15"/>
                <w:b w:val="1"/>
                <w:bCs w:val="1"/>
                <w:color w:val="auto"/>
              </w:rPr>
              <w:t>Total Current Assets</w:t>
            </w:r>
          </w:p>
        </w:tc>
        <w:tc>
          <w:tcPr>
            <w:tcW w:w="2020" w:type="dxa"/>
            <w:vAlign w:val="bottom"/>
          </w:tcPr>
          <w:p>
            <w:pPr>
              <w:jc w:val="right"/>
              <w:ind w:right="263"/>
              <w:spacing w:after="0"/>
              <w:rPr>
                <w:sz w:val="20"/>
                <w:szCs w:val="20"/>
                <w:color w:val="auto"/>
              </w:rPr>
            </w:pPr>
            <w:r>
              <w:rPr>
                <w:rFonts w:ascii="Arial" w:cs="Arial" w:eastAsia="Arial" w:hAnsi="Arial"/>
                <w:sz w:val="15"/>
                <w:szCs w:val="15"/>
                <w:b w:val="1"/>
                <w:bCs w:val="1"/>
                <w:color w:val="auto"/>
              </w:rPr>
              <w:t>305.7</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317.8</w:t>
            </w:r>
          </w:p>
        </w:tc>
      </w:tr>
      <w:tr>
        <w:trPr>
          <w:trHeight w:val="193"/>
        </w:trPr>
        <w:tc>
          <w:tcPr>
            <w:tcW w:w="7720" w:type="dxa"/>
            <w:vAlign w:val="bottom"/>
            <w:shd w:val="clear" w:color="auto" w:fill="CCEEFF"/>
          </w:tcPr>
          <w:p>
            <w:pPr>
              <w:spacing w:after="0"/>
              <w:rPr>
                <w:sz w:val="16"/>
                <w:szCs w:val="16"/>
                <w:color w:val="auto"/>
              </w:rPr>
            </w:pPr>
          </w:p>
        </w:tc>
        <w:tc>
          <w:tcPr>
            <w:tcW w:w="2020" w:type="dxa"/>
            <w:vAlign w:val="bottom"/>
            <w:shd w:val="clear" w:color="auto" w:fill="CCEEFF"/>
          </w:tcPr>
          <w:p>
            <w:pPr>
              <w:spacing w:after="0"/>
              <w:rPr>
                <w:sz w:val="16"/>
                <w:szCs w:val="16"/>
                <w:color w:val="auto"/>
              </w:rPr>
            </w:pPr>
          </w:p>
        </w:tc>
        <w:tc>
          <w:tcPr>
            <w:tcW w:w="1680" w:type="dxa"/>
            <w:vAlign w:val="bottom"/>
            <w:shd w:val="clear" w:color="auto" w:fill="CCEEFF"/>
          </w:tcPr>
          <w:p>
            <w:pPr>
              <w:spacing w:after="0"/>
              <w:rPr>
                <w:sz w:val="16"/>
                <w:szCs w:val="16"/>
                <w:color w:val="auto"/>
              </w:rPr>
            </w:pPr>
          </w:p>
        </w:tc>
      </w:tr>
      <w:tr>
        <w:trPr>
          <w:trHeight w:val="266"/>
        </w:trPr>
        <w:tc>
          <w:tcPr>
            <w:tcW w:w="7720" w:type="dxa"/>
            <w:vAlign w:val="bottom"/>
          </w:tcPr>
          <w:p>
            <w:pPr>
              <w:ind w:left="40"/>
              <w:spacing w:after="0"/>
              <w:rPr>
                <w:sz w:val="20"/>
                <w:szCs w:val="20"/>
                <w:color w:val="auto"/>
              </w:rPr>
            </w:pPr>
            <w:r>
              <w:rPr>
                <w:rFonts w:ascii="Arial" w:cs="Arial" w:eastAsia="Arial" w:hAnsi="Arial"/>
                <w:sz w:val="15"/>
                <w:szCs w:val="15"/>
                <w:b w:val="1"/>
                <w:bCs w:val="1"/>
                <w:color w:val="auto"/>
              </w:rPr>
              <w:t>Property, Plant and Equipment, Net</w:t>
            </w:r>
          </w:p>
        </w:tc>
        <w:tc>
          <w:tcPr>
            <w:tcW w:w="2020" w:type="dxa"/>
            <w:vAlign w:val="bottom"/>
          </w:tcPr>
          <w:p>
            <w:pPr>
              <w:jc w:val="right"/>
              <w:ind w:right="263"/>
              <w:spacing w:after="0"/>
              <w:rPr>
                <w:sz w:val="20"/>
                <w:szCs w:val="20"/>
                <w:color w:val="auto"/>
              </w:rPr>
            </w:pPr>
            <w:r>
              <w:rPr>
                <w:rFonts w:ascii="Arial" w:cs="Arial" w:eastAsia="Arial" w:hAnsi="Arial"/>
                <w:sz w:val="15"/>
                <w:szCs w:val="15"/>
                <w:b w:val="1"/>
                <w:bCs w:val="1"/>
                <w:color w:val="auto"/>
              </w:rPr>
              <w:t>760.5</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769.3</w:t>
            </w:r>
          </w:p>
        </w:tc>
      </w:tr>
      <w:tr>
        <w:trPr>
          <w:trHeight w:val="193"/>
        </w:trPr>
        <w:tc>
          <w:tcPr>
            <w:tcW w:w="7720" w:type="dxa"/>
            <w:vAlign w:val="bottom"/>
            <w:shd w:val="clear" w:color="auto" w:fill="CCEEFF"/>
          </w:tcPr>
          <w:p>
            <w:pPr>
              <w:spacing w:after="0"/>
              <w:rPr>
                <w:sz w:val="16"/>
                <w:szCs w:val="16"/>
                <w:color w:val="auto"/>
              </w:rPr>
            </w:pPr>
          </w:p>
        </w:tc>
        <w:tc>
          <w:tcPr>
            <w:tcW w:w="2020" w:type="dxa"/>
            <w:vAlign w:val="bottom"/>
            <w:shd w:val="clear" w:color="auto" w:fill="CCEEFF"/>
          </w:tcPr>
          <w:p>
            <w:pPr>
              <w:spacing w:after="0"/>
              <w:rPr>
                <w:sz w:val="16"/>
                <w:szCs w:val="16"/>
                <w:color w:val="auto"/>
              </w:rPr>
            </w:pPr>
          </w:p>
        </w:tc>
        <w:tc>
          <w:tcPr>
            <w:tcW w:w="1680" w:type="dxa"/>
            <w:vAlign w:val="bottom"/>
            <w:shd w:val="clear" w:color="auto" w:fill="CCEEFF"/>
          </w:tcPr>
          <w:p>
            <w:pPr>
              <w:spacing w:after="0"/>
              <w:rPr>
                <w:sz w:val="16"/>
                <w:szCs w:val="16"/>
                <w:color w:val="auto"/>
              </w:rPr>
            </w:pPr>
          </w:p>
        </w:tc>
      </w:tr>
      <w:tr>
        <w:trPr>
          <w:trHeight w:val="266"/>
        </w:trPr>
        <w:tc>
          <w:tcPr>
            <w:tcW w:w="7720" w:type="dxa"/>
            <w:vAlign w:val="bottom"/>
          </w:tcPr>
          <w:p>
            <w:pPr>
              <w:ind w:left="40"/>
              <w:spacing w:after="0"/>
              <w:rPr>
                <w:sz w:val="20"/>
                <w:szCs w:val="20"/>
                <w:color w:val="auto"/>
              </w:rPr>
            </w:pPr>
            <w:r>
              <w:rPr>
                <w:rFonts w:ascii="Arial" w:cs="Arial" w:eastAsia="Arial" w:hAnsi="Arial"/>
                <w:sz w:val="15"/>
                <w:szCs w:val="15"/>
                <w:b w:val="1"/>
                <w:bCs w:val="1"/>
                <w:color w:val="auto"/>
              </w:rPr>
              <w:t>Other Assets</w:t>
            </w:r>
          </w:p>
        </w:tc>
        <w:tc>
          <w:tcPr>
            <w:tcW w:w="2020" w:type="dxa"/>
            <w:vAlign w:val="bottom"/>
          </w:tcPr>
          <w:p>
            <w:pPr>
              <w:spacing w:after="0"/>
              <w:rPr>
                <w:sz w:val="23"/>
                <w:szCs w:val="23"/>
                <w:color w:val="auto"/>
              </w:rPr>
            </w:pPr>
          </w:p>
        </w:tc>
        <w:tc>
          <w:tcPr>
            <w:tcW w:w="1680" w:type="dxa"/>
            <w:vAlign w:val="bottom"/>
          </w:tcPr>
          <w:p>
            <w:pPr>
              <w:spacing w:after="0"/>
              <w:rPr>
                <w:sz w:val="23"/>
                <w:szCs w:val="23"/>
                <w:color w:val="auto"/>
              </w:rPr>
            </w:pPr>
          </w:p>
        </w:tc>
      </w:tr>
      <w:tr>
        <w:trPr>
          <w:trHeight w:val="274"/>
        </w:trPr>
        <w:tc>
          <w:tcPr>
            <w:tcW w:w="77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Pension assets</w:t>
            </w:r>
          </w:p>
        </w:tc>
        <w:tc>
          <w:tcPr>
            <w:tcW w:w="20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23.4</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20.0</w:t>
            </w:r>
          </w:p>
        </w:tc>
      </w:tr>
      <w:tr>
        <w:trPr>
          <w:trHeight w:val="266"/>
        </w:trPr>
        <w:tc>
          <w:tcPr>
            <w:tcW w:w="7720" w:type="dxa"/>
            <w:vAlign w:val="bottom"/>
          </w:tcPr>
          <w:p>
            <w:pPr>
              <w:ind w:left="360"/>
              <w:spacing w:after="0"/>
              <w:rPr>
                <w:sz w:val="20"/>
                <w:szCs w:val="20"/>
                <w:color w:val="auto"/>
              </w:rPr>
            </w:pPr>
            <w:r>
              <w:rPr>
                <w:rFonts w:ascii="Arial" w:cs="Arial" w:eastAsia="Arial" w:hAnsi="Arial"/>
                <w:sz w:val="15"/>
                <w:szCs w:val="15"/>
                <w:color w:val="auto"/>
              </w:rPr>
              <w:t>Intangible assets, net</w:t>
            </w:r>
          </w:p>
        </w:tc>
        <w:tc>
          <w:tcPr>
            <w:tcW w:w="2020" w:type="dxa"/>
            <w:vAlign w:val="bottom"/>
          </w:tcPr>
          <w:p>
            <w:pPr>
              <w:jc w:val="right"/>
              <w:ind w:right="263"/>
              <w:spacing w:after="0"/>
              <w:rPr>
                <w:sz w:val="20"/>
                <w:szCs w:val="20"/>
                <w:color w:val="auto"/>
              </w:rPr>
            </w:pPr>
            <w:r>
              <w:rPr>
                <w:rFonts w:ascii="Arial" w:cs="Arial" w:eastAsia="Arial" w:hAnsi="Arial"/>
                <w:sz w:val="15"/>
                <w:szCs w:val="15"/>
                <w:b w:val="1"/>
                <w:bCs w:val="1"/>
                <w:color w:val="auto"/>
              </w:rPr>
              <w:t>29.1</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30.6</w:t>
            </w:r>
          </w:p>
        </w:tc>
      </w:tr>
      <w:tr>
        <w:trPr>
          <w:trHeight w:val="270"/>
        </w:trPr>
        <w:tc>
          <w:tcPr>
            <w:tcW w:w="7720" w:type="dxa"/>
            <w:vAlign w:val="bottom"/>
            <w:tcBorders>
              <w:bottom w:val="single" w:sz="8" w:color="333333"/>
            </w:tcBorders>
            <w:shd w:val="clear" w:color="auto" w:fill="CCEEFF"/>
          </w:tcPr>
          <w:p>
            <w:pPr>
              <w:ind w:left="360"/>
              <w:spacing w:after="0"/>
              <w:rPr>
                <w:sz w:val="20"/>
                <w:szCs w:val="20"/>
                <w:color w:val="auto"/>
              </w:rPr>
            </w:pPr>
            <w:r>
              <w:rPr>
                <w:rFonts w:ascii="Arial" w:cs="Arial" w:eastAsia="Arial" w:hAnsi="Arial"/>
                <w:sz w:val="15"/>
                <w:szCs w:val="15"/>
                <w:color w:val="auto"/>
              </w:rPr>
              <w:t>Other non-current assets</w:t>
            </w:r>
          </w:p>
        </w:tc>
        <w:tc>
          <w:tcPr>
            <w:tcW w:w="2020" w:type="dxa"/>
            <w:vAlign w:val="bottom"/>
            <w:tcBorders>
              <w:bottom w:val="single" w:sz="8" w:color="333333"/>
            </w:tcBorders>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5.4</w:t>
            </w:r>
          </w:p>
        </w:tc>
        <w:tc>
          <w:tcPr>
            <w:tcW w:w="1680" w:type="dxa"/>
            <w:vAlign w:val="bottom"/>
            <w:tcBorders>
              <w:bottom w:val="single" w:sz="8" w:color="333333"/>
            </w:tcBorders>
            <w:shd w:val="clear" w:color="auto" w:fill="CCEEFF"/>
          </w:tcPr>
          <w:p>
            <w:pPr>
              <w:jc w:val="right"/>
              <w:ind w:right="23"/>
              <w:spacing w:after="0"/>
              <w:rPr>
                <w:sz w:val="20"/>
                <w:szCs w:val="20"/>
                <w:color w:val="auto"/>
              </w:rPr>
            </w:pPr>
            <w:r>
              <w:rPr>
                <w:rFonts w:ascii="Arial" w:cs="Arial" w:eastAsia="Arial" w:hAnsi="Arial"/>
                <w:sz w:val="15"/>
                <w:szCs w:val="15"/>
                <w:color w:val="auto"/>
              </w:rPr>
              <w:t>4.1</w:t>
            </w:r>
          </w:p>
        </w:tc>
      </w:tr>
      <w:tr>
        <w:trPr>
          <w:trHeight w:val="264"/>
        </w:trPr>
        <w:tc>
          <w:tcPr>
            <w:tcW w:w="7720" w:type="dxa"/>
            <w:vAlign w:val="bottom"/>
            <w:tcBorders>
              <w:bottom w:val="single" w:sz="8" w:color="333333"/>
            </w:tcBorders>
          </w:tcPr>
          <w:p>
            <w:pPr>
              <w:ind w:left="40"/>
              <w:spacing w:after="0"/>
              <w:rPr>
                <w:sz w:val="20"/>
                <w:szCs w:val="20"/>
                <w:color w:val="auto"/>
              </w:rPr>
            </w:pPr>
            <w:r>
              <w:rPr>
                <w:rFonts w:ascii="Arial" w:cs="Arial" w:eastAsia="Arial" w:hAnsi="Arial"/>
                <w:sz w:val="15"/>
                <w:szCs w:val="15"/>
                <w:b w:val="1"/>
                <w:bCs w:val="1"/>
                <w:color w:val="auto"/>
              </w:rPr>
              <w:t>Total Other Assets</w:t>
            </w:r>
          </w:p>
        </w:tc>
        <w:tc>
          <w:tcPr>
            <w:tcW w:w="2020" w:type="dxa"/>
            <w:vAlign w:val="bottom"/>
            <w:tcBorders>
              <w:bottom w:val="single" w:sz="8" w:color="333333"/>
            </w:tcBorders>
          </w:tcPr>
          <w:p>
            <w:pPr>
              <w:jc w:val="right"/>
              <w:ind w:right="263"/>
              <w:spacing w:after="0"/>
              <w:rPr>
                <w:sz w:val="20"/>
                <w:szCs w:val="20"/>
                <w:color w:val="auto"/>
              </w:rPr>
            </w:pPr>
            <w:r>
              <w:rPr>
                <w:rFonts w:ascii="Arial" w:cs="Arial" w:eastAsia="Arial" w:hAnsi="Arial"/>
                <w:sz w:val="15"/>
                <w:szCs w:val="15"/>
                <w:b w:val="1"/>
                <w:bCs w:val="1"/>
                <w:color w:val="auto"/>
              </w:rPr>
              <w:t>57.9</w:t>
            </w:r>
          </w:p>
        </w:tc>
        <w:tc>
          <w:tcPr>
            <w:tcW w:w="1680" w:type="dxa"/>
            <w:vAlign w:val="bottom"/>
            <w:tcBorders>
              <w:bottom w:val="single" w:sz="8" w:color="333333"/>
            </w:tcBorders>
          </w:tcPr>
          <w:p>
            <w:pPr>
              <w:jc w:val="right"/>
              <w:ind w:right="23"/>
              <w:spacing w:after="0"/>
              <w:rPr>
                <w:sz w:val="20"/>
                <w:szCs w:val="20"/>
                <w:color w:val="auto"/>
              </w:rPr>
            </w:pPr>
            <w:r>
              <w:rPr>
                <w:rFonts w:ascii="Arial" w:cs="Arial" w:eastAsia="Arial" w:hAnsi="Arial"/>
                <w:sz w:val="15"/>
                <w:szCs w:val="15"/>
                <w:color w:val="auto"/>
              </w:rPr>
              <w:t>54.7</w:t>
            </w:r>
          </w:p>
        </w:tc>
      </w:tr>
      <w:tr>
        <w:trPr>
          <w:trHeight w:val="275"/>
        </w:trPr>
        <w:tc>
          <w:tcPr>
            <w:tcW w:w="7720" w:type="dxa"/>
            <w:vAlign w:val="bottom"/>
            <w:tcBorders>
              <w:bottom w:val="single" w:sz="8" w:color="333333"/>
            </w:tcBorders>
            <w:shd w:val="clear" w:color="auto" w:fill="CCEEFF"/>
          </w:tcPr>
          <w:p>
            <w:pPr>
              <w:ind w:left="40"/>
              <w:spacing w:after="0"/>
              <w:rPr>
                <w:sz w:val="20"/>
                <w:szCs w:val="20"/>
                <w:color w:val="auto"/>
              </w:rPr>
            </w:pPr>
            <w:r>
              <w:rPr>
                <w:rFonts w:ascii="Arial" w:cs="Arial" w:eastAsia="Arial" w:hAnsi="Arial"/>
                <w:sz w:val="15"/>
                <w:szCs w:val="15"/>
                <w:b w:val="1"/>
                <w:bCs w:val="1"/>
                <w:color w:val="auto"/>
              </w:rPr>
              <w:t>Total Assets</w:t>
            </w:r>
          </w:p>
        </w:tc>
        <w:tc>
          <w:tcPr>
            <w:tcW w:w="2020" w:type="dxa"/>
            <w:vAlign w:val="bottom"/>
            <w:tcBorders>
              <w:bottom w:val="single" w:sz="8" w:color="333333"/>
            </w:tcBorders>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$1,124.1</w:t>
            </w:r>
          </w:p>
        </w:tc>
        <w:tc>
          <w:tcPr>
            <w:tcW w:w="1680" w:type="dxa"/>
            <w:vAlign w:val="bottom"/>
            <w:tcBorders>
              <w:bottom w:val="single" w:sz="8" w:color="333333"/>
            </w:tcBorders>
            <w:shd w:val="clear" w:color="auto" w:fill="CCEEFF"/>
          </w:tcPr>
          <w:p>
            <w:pPr>
              <w:jc w:val="right"/>
              <w:ind w:right="23"/>
              <w:spacing w:after="0"/>
              <w:rPr>
                <w:sz w:val="20"/>
                <w:szCs w:val="20"/>
                <w:color w:val="auto"/>
              </w:rPr>
            </w:pPr>
            <w:r>
              <w:rPr>
                <w:rFonts w:ascii="Arial" w:cs="Arial" w:eastAsia="Arial" w:hAnsi="Arial"/>
                <w:sz w:val="15"/>
                <w:szCs w:val="15"/>
                <w:color w:val="auto"/>
              </w:rPr>
              <w:t>$1,141.8</w:t>
            </w:r>
          </w:p>
        </w:tc>
      </w:tr>
      <w:tr>
        <w:trPr>
          <w:trHeight w:val="189"/>
        </w:trPr>
        <w:tc>
          <w:tcPr>
            <w:tcW w:w="7720" w:type="dxa"/>
            <w:vAlign w:val="bottom"/>
          </w:tcPr>
          <w:p>
            <w:pPr>
              <w:spacing w:after="0"/>
              <w:rPr>
                <w:sz w:val="16"/>
                <w:szCs w:val="16"/>
                <w:color w:val="auto"/>
              </w:rPr>
            </w:pPr>
          </w:p>
        </w:tc>
        <w:tc>
          <w:tcPr>
            <w:tcW w:w="2020" w:type="dxa"/>
            <w:vAlign w:val="bottom"/>
          </w:tcPr>
          <w:p>
            <w:pPr>
              <w:spacing w:after="0"/>
              <w:rPr>
                <w:sz w:val="16"/>
                <w:szCs w:val="16"/>
                <w:color w:val="auto"/>
              </w:rPr>
            </w:pPr>
          </w:p>
        </w:tc>
        <w:tc>
          <w:tcPr>
            <w:tcW w:w="1680" w:type="dxa"/>
            <w:vAlign w:val="bottom"/>
          </w:tcPr>
          <w:p>
            <w:pPr>
              <w:spacing w:after="0"/>
              <w:rPr>
                <w:sz w:val="16"/>
                <w:szCs w:val="16"/>
                <w:color w:val="auto"/>
              </w:rPr>
            </w:pPr>
          </w:p>
        </w:tc>
      </w:tr>
      <w:tr>
        <w:trPr>
          <w:trHeight w:val="270"/>
        </w:trPr>
        <w:tc>
          <w:tcPr>
            <w:tcW w:w="772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LIABILITIES AND SHAREHOLDERS’ EQUITY</w:t>
            </w:r>
          </w:p>
        </w:tc>
        <w:tc>
          <w:tcPr>
            <w:tcW w:w="202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r>
      <w:tr>
        <w:trPr>
          <w:trHeight w:val="266"/>
        </w:trPr>
        <w:tc>
          <w:tcPr>
            <w:tcW w:w="7720" w:type="dxa"/>
            <w:vAlign w:val="bottom"/>
          </w:tcPr>
          <w:p>
            <w:pPr>
              <w:ind w:left="40"/>
              <w:spacing w:after="0"/>
              <w:rPr>
                <w:sz w:val="20"/>
                <w:szCs w:val="20"/>
                <w:color w:val="auto"/>
              </w:rPr>
            </w:pPr>
            <w:r>
              <w:rPr>
                <w:rFonts w:ascii="Arial" w:cs="Arial" w:eastAsia="Arial" w:hAnsi="Arial"/>
                <w:sz w:val="15"/>
                <w:szCs w:val="15"/>
                <w:b w:val="1"/>
                <w:bCs w:val="1"/>
                <w:color w:val="auto"/>
              </w:rPr>
              <w:t>Current Liabilities</w:t>
            </w:r>
          </w:p>
        </w:tc>
        <w:tc>
          <w:tcPr>
            <w:tcW w:w="2020" w:type="dxa"/>
            <w:vAlign w:val="bottom"/>
          </w:tcPr>
          <w:p>
            <w:pPr>
              <w:spacing w:after="0"/>
              <w:rPr>
                <w:sz w:val="23"/>
                <w:szCs w:val="23"/>
                <w:color w:val="auto"/>
              </w:rPr>
            </w:pPr>
          </w:p>
        </w:tc>
        <w:tc>
          <w:tcPr>
            <w:tcW w:w="1680" w:type="dxa"/>
            <w:vAlign w:val="bottom"/>
          </w:tcPr>
          <w:p>
            <w:pPr>
              <w:spacing w:after="0"/>
              <w:rPr>
                <w:sz w:val="23"/>
                <w:szCs w:val="23"/>
                <w:color w:val="auto"/>
              </w:rPr>
            </w:pPr>
          </w:p>
        </w:tc>
      </w:tr>
      <w:tr>
        <w:trPr>
          <w:trHeight w:val="274"/>
        </w:trPr>
        <w:tc>
          <w:tcPr>
            <w:tcW w:w="77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Accounts payable, trade</w:t>
            </w:r>
          </w:p>
        </w:tc>
        <w:tc>
          <w:tcPr>
            <w:tcW w:w="20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$56.1</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$49.5</w:t>
            </w:r>
          </w:p>
        </w:tc>
      </w:tr>
      <w:tr>
        <w:trPr>
          <w:trHeight w:val="266"/>
        </w:trPr>
        <w:tc>
          <w:tcPr>
            <w:tcW w:w="7720" w:type="dxa"/>
            <w:vAlign w:val="bottom"/>
          </w:tcPr>
          <w:p>
            <w:pPr>
              <w:ind w:left="360"/>
              <w:spacing w:after="0"/>
              <w:rPr>
                <w:sz w:val="20"/>
                <w:szCs w:val="20"/>
                <w:color w:val="auto"/>
              </w:rPr>
            </w:pPr>
            <w:r>
              <w:rPr>
                <w:rFonts w:ascii="Arial" w:cs="Arial" w:eastAsia="Arial" w:hAnsi="Arial"/>
                <w:sz w:val="15"/>
                <w:szCs w:val="15"/>
                <w:color w:val="auto"/>
              </w:rPr>
              <w:t>Salaries, wages and benefits</w:t>
            </w:r>
          </w:p>
        </w:tc>
        <w:tc>
          <w:tcPr>
            <w:tcW w:w="2020" w:type="dxa"/>
            <w:vAlign w:val="bottom"/>
          </w:tcPr>
          <w:p>
            <w:pPr>
              <w:jc w:val="right"/>
              <w:ind w:right="263"/>
              <w:spacing w:after="0"/>
              <w:rPr>
                <w:sz w:val="20"/>
                <w:szCs w:val="20"/>
                <w:color w:val="auto"/>
              </w:rPr>
            </w:pPr>
            <w:r>
              <w:rPr>
                <w:rFonts w:ascii="Arial" w:cs="Arial" w:eastAsia="Arial" w:hAnsi="Arial"/>
                <w:sz w:val="15"/>
                <w:szCs w:val="15"/>
                <w:b w:val="1"/>
                <w:bCs w:val="1"/>
                <w:color w:val="auto"/>
              </w:rPr>
              <w:t>19.6</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21.4</w:t>
            </w:r>
          </w:p>
        </w:tc>
      </w:tr>
      <w:tr>
        <w:trPr>
          <w:trHeight w:val="274"/>
        </w:trPr>
        <w:tc>
          <w:tcPr>
            <w:tcW w:w="77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Accrued pension and postretirement</w:t>
            </w:r>
          </w:p>
        </w:tc>
        <w:tc>
          <w:tcPr>
            <w:tcW w:w="20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3.2</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3.2</w:t>
            </w:r>
          </w:p>
        </w:tc>
      </w:tr>
      <w:tr>
        <w:trPr>
          <w:trHeight w:val="266"/>
        </w:trPr>
        <w:tc>
          <w:tcPr>
            <w:tcW w:w="7720" w:type="dxa"/>
            <w:vAlign w:val="bottom"/>
            <w:tcBorders>
              <w:bottom w:val="single" w:sz="8" w:color="333333"/>
            </w:tcBorders>
          </w:tcPr>
          <w:p>
            <w:pPr>
              <w:ind w:left="360"/>
              <w:spacing w:after="0"/>
              <w:rPr>
                <w:sz w:val="20"/>
                <w:szCs w:val="20"/>
                <w:color w:val="auto"/>
              </w:rPr>
            </w:pPr>
            <w:r>
              <w:rPr>
                <w:rFonts w:ascii="Arial" w:cs="Arial" w:eastAsia="Arial" w:hAnsi="Arial"/>
                <w:sz w:val="15"/>
                <w:szCs w:val="15"/>
                <w:color w:val="auto"/>
              </w:rPr>
              <w:t>Other current liabilities</w:t>
            </w:r>
          </w:p>
        </w:tc>
        <w:tc>
          <w:tcPr>
            <w:tcW w:w="2020" w:type="dxa"/>
            <w:vAlign w:val="bottom"/>
            <w:tcBorders>
              <w:bottom w:val="single" w:sz="8" w:color="333333"/>
            </w:tcBorders>
          </w:tcPr>
          <w:p>
            <w:pPr>
              <w:jc w:val="right"/>
              <w:ind w:right="263"/>
              <w:spacing w:after="0"/>
              <w:rPr>
                <w:sz w:val="20"/>
                <w:szCs w:val="20"/>
                <w:color w:val="auto"/>
              </w:rPr>
            </w:pPr>
            <w:r>
              <w:rPr>
                <w:rFonts w:ascii="Arial" w:cs="Arial" w:eastAsia="Arial" w:hAnsi="Arial"/>
                <w:sz w:val="15"/>
                <w:szCs w:val="15"/>
                <w:b w:val="1"/>
                <w:bCs w:val="1"/>
                <w:color w:val="auto"/>
              </w:rPr>
              <w:t>19.4</w:t>
            </w:r>
          </w:p>
        </w:tc>
        <w:tc>
          <w:tcPr>
            <w:tcW w:w="1680" w:type="dxa"/>
            <w:vAlign w:val="bottom"/>
            <w:tcBorders>
              <w:bottom w:val="single" w:sz="8" w:color="333333"/>
            </w:tcBorders>
          </w:tcPr>
          <w:p>
            <w:pPr>
              <w:jc w:val="right"/>
              <w:ind w:right="23"/>
              <w:spacing w:after="0"/>
              <w:rPr>
                <w:sz w:val="20"/>
                <w:szCs w:val="20"/>
                <w:color w:val="auto"/>
              </w:rPr>
            </w:pPr>
            <w:r>
              <w:rPr>
                <w:rFonts w:ascii="Arial" w:cs="Arial" w:eastAsia="Arial" w:hAnsi="Arial"/>
                <w:sz w:val="15"/>
                <w:szCs w:val="15"/>
                <w:color w:val="auto"/>
              </w:rPr>
              <w:t>30.1</w:t>
            </w:r>
          </w:p>
        </w:tc>
      </w:tr>
      <w:tr>
        <w:trPr>
          <w:trHeight w:val="268"/>
        </w:trPr>
        <w:tc>
          <w:tcPr>
            <w:tcW w:w="772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Total Current Liabilities</w:t>
            </w:r>
          </w:p>
        </w:tc>
        <w:tc>
          <w:tcPr>
            <w:tcW w:w="20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98.3</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104.2</w:t>
            </w:r>
          </w:p>
        </w:tc>
      </w:tr>
      <w:tr>
        <w:trPr>
          <w:trHeight w:val="189"/>
        </w:trPr>
        <w:tc>
          <w:tcPr>
            <w:tcW w:w="7720" w:type="dxa"/>
            <w:vAlign w:val="bottom"/>
          </w:tcPr>
          <w:p>
            <w:pPr>
              <w:spacing w:after="0"/>
              <w:rPr>
                <w:sz w:val="16"/>
                <w:szCs w:val="16"/>
                <w:color w:val="auto"/>
              </w:rPr>
            </w:pPr>
          </w:p>
        </w:tc>
        <w:tc>
          <w:tcPr>
            <w:tcW w:w="2020" w:type="dxa"/>
            <w:vAlign w:val="bottom"/>
          </w:tcPr>
          <w:p>
            <w:pPr>
              <w:spacing w:after="0"/>
              <w:rPr>
                <w:sz w:val="16"/>
                <w:szCs w:val="16"/>
                <w:color w:val="auto"/>
              </w:rPr>
            </w:pPr>
          </w:p>
        </w:tc>
        <w:tc>
          <w:tcPr>
            <w:tcW w:w="1680" w:type="dxa"/>
            <w:vAlign w:val="bottom"/>
          </w:tcPr>
          <w:p>
            <w:pPr>
              <w:spacing w:after="0"/>
              <w:rPr>
                <w:sz w:val="16"/>
                <w:szCs w:val="16"/>
                <w:color w:val="auto"/>
              </w:rPr>
            </w:pPr>
          </w:p>
        </w:tc>
      </w:tr>
      <w:tr>
        <w:trPr>
          <w:trHeight w:val="270"/>
        </w:trPr>
        <w:tc>
          <w:tcPr>
            <w:tcW w:w="772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Non-Current Liabilities</w:t>
            </w:r>
          </w:p>
        </w:tc>
        <w:tc>
          <w:tcPr>
            <w:tcW w:w="202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r>
      <w:tr>
        <w:trPr>
          <w:trHeight w:val="266"/>
        </w:trPr>
        <w:tc>
          <w:tcPr>
            <w:tcW w:w="7720" w:type="dxa"/>
            <w:vAlign w:val="bottom"/>
          </w:tcPr>
          <w:p>
            <w:pPr>
              <w:ind w:left="360"/>
              <w:spacing w:after="0"/>
              <w:rPr>
                <w:sz w:val="20"/>
                <w:szCs w:val="20"/>
                <w:color w:val="auto"/>
              </w:rPr>
            </w:pPr>
            <w:r>
              <w:rPr>
                <w:rFonts w:ascii="Arial" w:cs="Arial" w:eastAsia="Arial" w:hAnsi="Arial"/>
                <w:sz w:val="15"/>
                <w:szCs w:val="15"/>
                <w:color w:val="auto"/>
              </w:rPr>
              <w:t>Long-term debt</w:t>
            </w:r>
          </w:p>
        </w:tc>
        <w:tc>
          <w:tcPr>
            <w:tcW w:w="2020" w:type="dxa"/>
            <w:vAlign w:val="bottom"/>
          </w:tcPr>
          <w:p>
            <w:pPr>
              <w:jc w:val="right"/>
              <w:ind w:right="263"/>
              <w:spacing w:after="0"/>
              <w:rPr>
                <w:sz w:val="20"/>
                <w:szCs w:val="20"/>
                <w:color w:val="auto"/>
              </w:rPr>
            </w:pPr>
            <w:r>
              <w:rPr>
                <w:rFonts w:ascii="Arial" w:cs="Arial" w:eastAsia="Arial" w:hAnsi="Arial"/>
                <w:sz w:val="15"/>
                <w:szCs w:val="15"/>
                <w:b w:val="1"/>
                <w:bCs w:val="1"/>
                <w:color w:val="auto"/>
              </w:rPr>
              <w:t>185.2</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200.2</w:t>
            </w:r>
          </w:p>
        </w:tc>
      </w:tr>
      <w:tr>
        <w:trPr>
          <w:trHeight w:val="274"/>
        </w:trPr>
        <w:tc>
          <w:tcPr>
            <w:tcW w:w="77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Accrued pension and postretirement costs</w:t>
            </w:r>
          </w:p>
        </w:tc>
        <w:tc>
          <w:tcPr>
            <w:tcW w:w="20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129.5</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114.1</w:t>
            </w:r>
          </w:p>
        </w:tc>
      </w:tr>
      <w:tr>
        <w:trPr>
          <w:trHeight w:val="266"/>
        </w:trPr>
        <w:tc>
          <w:tcPr>
            <w:tcW w:w="7720" w:type="dxa"/>
            <w:vAlign w:val="bottom"/>
          </w:tcPr>
          <w:p>
            <w:pPr>
              <w:ind w:left="360"/>
              <w:spacing w:after="0"/>
              <w:rPr>
                <w:sz w:val="20"/>
                <w:szCs w:val="20"/>
                <w:color w:val="auto"/>
              </w:rPr>
            </w:pPr>
            <w:r>
              <w:rPr>
                <w:rFonts w:ascii="Arial" w:cs="Arial" w:eastAsia="Arial" w:hAnsi="Arial"/>
                <w:sz w:val="15"/>
                <w:szCs w:val="15"/>
                <w:color w:val="auto"/>
              </w:rPr>
              <w:t>Deferred income taxes</w:t>
            </w:r>
          </w:p>
        </w:tc>
        <w:tc>
          <w:tcPr>
            <w:tcW w:w="2020" w:type="dxa"/>
            <w:vAlign w:val="bottom"/>
          </w:tcPr>
          <w:p>
            <w:pPr>
              <w:jc w:val="right"/>
              <w:ind w:right="263"/>
              <w:spacing w:after="0"/>
              <w:rPr>
                <w:sz w:val="20"/>
                <w:szCs w:val="20"/>
                <w:color w:val="auto"/>
              </w:rPr>
            </w:pPr>
            <w:r>
              <w:rPr>
                <w:rFonts w:ascii="Arial" w:cs="Arial" w:eastAsia="Arial" w:hAnsi="Arial"/>
                <w:sz w:val="15"/>
                <w:szCs w:val="15"/>
                <w:b w:val="1"/>
                <w:bCs w:val="1"/>
                <w:color w:val="auto"/>
              </w:rPr>
              <w:t>21.5</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26.9</w:t>
            </w:r>
          </w:p>
        </w:tc>
      </w:tr>
      <w:tr>
        <w:trPr>
          <w:trHeight w:val="270"/>
        </w:trPr>
        <w:tc>
          <w:tcPr>
            <w:tcW w:w="7720" w:type="dxa"/>
            <w:vAlign w:val="bottom"/>
            <w:tcBorders>
              <w:bottom w:val="single" w:sz="8" w:color="333333"/>
            </w:tcBorders>
            <w:shd w:val="clear" w:color="auto" w:fill="CCEEFF"/>
          </w:tcPr>
          <w:p>
            <w:pPr>
              <w:ind w:left="360"/>
              <w:spacing w:after="0"/>
              <w:rPr>
                <w:sz w:val="20"/>
                <w:szCs w:val="20"/>
                <w:color w:val="auto"/>
              </w:rPr>
            </w:pPr>
            <w:r>
              <w:rPr>
                <w:rFonts w:ascii="Arial" w:cs="Arial" w:eastAsia="Arial" w:hAnsi="Arial"/>
                <w:sz w:val="15"/>
                <w:szCs w:val="15"/>
                <w:color w:val="auto"/>
              </w:rPr>
              <w:t>Other non-current liabilities</w:t>
            </w:r>
          </w:p>
        </w:tc>
        <w:tc>
          <w:tcPr>
            <w:tcW w:w="2020" w:type="dxa"/>
            <w:vAlign w:val="bottom"/>
            <w:tcBorders>
              <w:bottom w:val="single" w:sz="8" w:color="333333"/>
            </w:tcBorders>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11.6</w:t>
            </w:r>
          </w:p>
        </w:tc>
        <w:tc>
          <w:tcPr>
            <w:tcW w:w="1680" w:type="dxa"/>
            <w:vAlign w:val="bottom"/>
            <w:tcBorders>
              <w:bottom w:val="single" w:sz="8" w:color="333333"/>
            </w:tcBorders>
            <w:shd w:val="clear" w:color="auto" w:fill="CCEEFF"/>
          </w:tcPr>
          <w:p>
            <w:pPr>
              <w:jc w:val="right"/>
              <w:ind w:right="23"/>
              <w:spacing w:after="0"/>
              <w:rPr>
                <w:sz w:val="20"/>
                <w:szCs w:val="20"/>
                <w:color w:val="auto"/>
              </w:rPr>
            </w:pPr>
            <w:r>
              <w:rPr>
                <w:rFonts w:ascii="Arial" w:cs="Arial" w:eastAsia="Arial" w:hAnsi="Arial"/>
                <w:sz w:val="15"/>
                <w:szCs w:val="15"/>
                <w:color w:val="auto"/>
              </w:rPr>
              <w:t>10.0</w:t>
            </w:r>
          </w:p>
        </w:tc>
      </w:tr>
      <w:tr>
        <w:trPr>
          <w:trHeight w:val="264"/>
        </w:trPr>
        <w:tc>
          <w:tcPr>
            <w:tcW w:w="7720" w:type="dxa"/>
            <w:vAlign w:val="bottom"/>
          </w:tcPr>
          <w:p>
            <w:pPr>
              <w:ind w:left="40"/>
              <w:spacing w:after="0"/>
              <w:rPr>
                <w:sz w:val="20"/>
                <w:szCs w:val="20"/>
                <w:color w:val="auto"/>
              </w:rPr>
            </w:pPr>
            <w:r>
              <w:rPr>
                <w:rFonts w:ascii="Arial" w:cs="Arial" w:eastAsia="Arial" w:hAnsi="Arial"/>
                <w:sz w:val="15"/>
                <w:szCs w:val="15"/>
                <w:b w:val="1"/>
                <w:bCs w:val="1"/>
                <w:color w:val="auto"/>
              </w:rPr>
              <w:t>Total Non-Current Liabilities</w:t>
            </w:r>
          </w:p>
        </w:tc>
        <w:tc>
          <w:tcPr>
            <w:tcW w:w="2020" w:type="dxa"/>
            <w:vAlign w:val="bottom"/>
          </w:tcPr>
          <w:p>
            <w:pPr>
              <w:jc w:val="right"/>
              <w:ind w:right="263"/>
              <w:spacing w:after="0"/>
              <w:rPr>
                <w:sz w:val="20"/>
                <w:szCs w:val="20"/>
                <w:color w:val="auto"/>
              </w:rPr>
            </w:pPr>
            <w:r>
              <w:rPr>
                <w:rFonts w:ascii="Arial" w:cs="Arial" w:eastAsia="Arial" w:hAnsi="Arial"/>
                <w:sz w:val="15"/>
                <w:szCs w:val="15"/>
                <w:b w:val="1"/>
                <w:bCs w:val="1"/>
                <w:color w:val="auto"/>
              </w:rPr>
              <w:t>347.8</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351.2</w:t>
            </w:r>
          </w:p>
        </w:tc>
      </w:tr>
      <w:tr>
        <w:trPr>
          <w:trHeight w:val="193"/>
        </w:trPr>
        <w:tc>
          <w:tcPr>
            <w:tcW w:w="7720" w:type="dxa"/>
            <w:vAlign w:val="bottom"/>
            <w:shd w:val="clear" w:color="auto" w:fill="CCEEFF"/>
          </w:tcPr>
          <w:p>
            <w:pPr>
              <w:spacing w:after="0"/>
              <w:rPr>
                <w:sz w:val="16"/>
                <w:szCs w:val="16"/>
                <w:color w:val="auto"/>
              </w:rPr>
            </w:pPr>
          </w:p>
        </w:tc>
        <w:tc>
          <w:tcPr>
            <w:tcW w:w="2020" w:type="dxa"/>
            <w:vAlign w:val="bottom"/>
            <w:shd w:val="clear" w:color="auto" w:fill="CCEEFF"/>
          </w:tcPr>
          <w:p>
            <w:pPr>
              <w:spacing w:after="0"/>
              <w:rPr>
                <w:sz w:val="16"/>
                <w:szCs w:val="16"/>
                <w:color w:val="auto"/>
              </w:rPr>
            </w:pPr>
          </w:p>
        </w:tc>
        <w:tc>
          <w:tcPr>
            <w:tcW w:w="1680" w:type="dxa"/>
            <w:vAlign w:val="bottom"/>
            <w:shd w:val="clear" w:color="auto" w:fill="CCEEFF"/>
          </w:tcPr>
          <w:p>
            <w:pPr>
              <w:spacing w:after="0"/>
              <w:rPr>
                <w:sz w:val="16"/>
                <w:szCs w:val="16"/>
                <w:color w:val="auto"/>
              </w:rPr>
            </w:pPr>
          </w:p>
        </w:tc>
      </w:tr>
      <w:tr>
        <w:trPr>
          <w:trHeight w:val="266"/>
        </w:trPr>
        <w:tc>
          <w:tcPr>
            <w:tcW w:w="7720" w:type="dxa"/>
            <w:vAlign w:val="bottom"/>
          </w:tcPr>
          <w:p>
            <w:pPr>
              <w:ind w:left="40"/>
              <w:spacing w:after="0"/>
              <w:rPr>
                <w:sz w:val="20"/>
                <w:szCs w:val="20"/>
                <w:color w:val="auto"/>
              </w:rPr>
            </w:pPr>
            <w:r>
              <w:rPr>
                <w:rFonts w:ascii="Arial" w:cs="Arial" w:eastAsia="Arial" w:hAnsi="Arial"/>
                <w:sz w:val="15"/>
                <w:szCs w:val="15"/>
                <w:color w:val="auto"/>
              </w:rPr>
              <w:t>Commitments and contingencies</w:t>
            </w:r>
          </w:p>
        </w:tc>
        <w:tc>
          <w:tcPr>
            <w:tcW w:w="2020" w:type="dxa"/>
            <w:vAlign w:val="bottom"/>
          </w:tcPr>
          <w:p>
            <w:pPr>
              <w:jc w:val="right"/>
              <w:ind w:right="263"/>
              <w:spacing w:after="0"/>
              <w:rPr>
                <w:sz w:val="20"/>
                <w:szCs w:val="20"/>
                <w:color w:val="auto"/>
              </w:rPr>
            </w:pPr>
            <w:r>
              <w:rPr>
                <w:rFonts w:ascii="Arial" w:cs="Arial" w:eastAsia="Arial" w:hAnsi="Arial"/>
                <w:sz w:val="15"/>
                <w:szCs w:val="15"/>
                <w:b w:val="1"/>
                <w:bCs w:val="1"/>
                <w:color w:val="auto"/>
              </w:rPr>
              <w:t>—</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w:t>
            </w:r>
          </w:p>
        </w:tc>
      </w:tr>
      <w:tr>
        <w:trPr>
          <w:trHeight w:val="193"/>
        </w:trPr>
        <w:tc>
          <w:tcPr>
            <w:tcW w:w="7720" w:type="dxa"/>
            <w:vAlign w:val="bottom"/>
            <w:shd w:val="clear" w:color="auto" w:fill="CCEEFF"/>
          </w:tcPr>
          <w:p>
            <w:pPr>
              <w:spacing w:after="0"/>
              <w:rPr>
                <w:sz w:val="16"/>
                <w:szCs w:val="16"/>
                <w:color w:val="auto"/>
              </w:rPr>
            </w:pPr>
          </w:p>
        </w:tc>
        <w:tc>
          <w:tcPr>
            <w:tcW w:w="2020" w:type="dxa"/>
            <w:vAlign w:val="bottom"/>
            <w:shd w:val="clear" w:color="auto" w:fill="CCEEFF"/>
          </w:tcPr>
          <w:p>
            <w:pPr>
              <w:spacing w:after="0"/>
              <w:rPr>
                <w:sz w:val="16"/>
                <w:szCs w:val="16"/>
                <w:color w:val="auto"/>
              </w:rPr>
            </w:pPr>
          </w:p>
        </w:tc>
        <w:tc>
          <w:tcPr>
            <w:tcW w:w="1680" w:type="dxa"/>
            <w:vAlign w:val="bottom"/>
            <w:shd w:val="clear" w:color="auto" w:fill="CCEEFF"/>
          </w:tcPr>
          <w:p>
            <w:pPr>
              <w:spacing w:after="0"/>
              <w:rPr>
                <w:sz w:val="16"/>
                <w:szCs w:val="16"/>
                <w:color w:val="auto"/>
              </w:rPr>
            </w:pPr>
          </w:p>
        </w:tc>
      </w:tr>
      <w:tr>
        <w:trPr>
          <w:trHeight w:val="266"/>
        </w:trPr>
        <w:tc>
          <w:tcPr>
            <w:tcW w:w="7720" w:type="dxa"/>
            <w:vAlign w:val="bottom"/>
          </w:tcPr>
          <w:p>
            <w:pPr>
              <w:ind w:left="40"/>
              <w:spacing w:after="0"/>
              <w:rPr>
                <w:sz w:val="20"/>
                <w:szCs w:val="20"/>
                <w:color w:val="auto"/>
              </w:rPr>
            </w:pPr>
            <w:r>
              <w:rPr>
                <w:rFonts w:ascii="Arial" w:cs="Arial" w:eastAsia="Arial" w:hAnsi="Arial"/>
                <w:sz w:val="15"/>
                <w:szCs w:val="15"/>
                <w:b w:val="1"/>
                <w:bCs w:val="1"/>
                <w:color w:val="auto"/>
              </w:rPr>
              <w:t>Shareholders’ Equity</w:t>
            </w:r>
          </w:p>
        </w:tc>
        <w:tc>
          <w:tcPr>
            <w:tcW w:w="2020" w:type="dxa"/>
            <w:vAlign w:val="bottom"/>
          </w:tcPr>
          <w:p>
            <w:pPr>
              <w:spacing w:after="0"/>
              <w:rPr>
                <w:sz w:val="23"/>
                <w:szCs w:val="23"/>
                <w:color w:val="auto"/>
              </w:rPr>
            </w:pPr>
          </w:p>
        </w:tc>
        <w:tc>
          <w:tcPr>
            <w:tcW w:w="1680" w:type="dxa"/>
            <w:vAlign w:val="bottom"/>
          </w:tcPr>
          <w:p>
            <w:pPr>
              <w:spacing w:after="0"/>
              <w:rPr>
                <w:sz w:val="23"/>
                <w:szCs w:val="23"/>
                <w:color w:val="auto"/>
              </w:rPr>
            </w:pPr>
          </w:p>
        </w:tc>
      </w:tr>
      <w:tr>
        <w:trPr>
          <w:trHeight w:val="274"/>
        </w:trPr>
        <w:tc>
          <w:tcPr>
            <w:tcW w:w="77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Preferred shares, without par value; authorized 10.0 million shares, none issued</w:t>
            </w:r>
          </w:p>
        </w:tc>
        <w:tc>
          <w:tcPr>
            <w:tcW w:w="20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w:t>
            </w:r>
          </w:p>
        </w:tc>
      </w:tr>
      <w:tr>
        <w:trPr>
          <w:trHeight w:val="266"/>
        </w:trPr>
        <w:tc>
          <w:tcPr>
            <w:tcW w:w="7720" w:type="dxa"/>
            <w:vAlign w:val="bottom"/>
          </w:tcPr>
          <w:p>
            <w:pPr>
              <w:ind w:left="360"/>
              <w:spacing w:after="0"/>
              <w:rPr>
                <w:sz w:val="20"/>
                <w:szCs w:val="20"/>
                <w:color w:val="auto"/>
              </w:rPr>
            </w:pPr>
            <w:r>
              <w:rPr>
                <w:rFonts w:ascii="Arial" w:cs="Arial" w:eastAsia="Arial" w:hAnsi="Arial"/>
                <w:sz w:val="15"/>
                <w:szCs w:val="15"/>
                <w:color w:val="auto"/>
                <w:w w:val="98"/>
              </w:rPr>
              <w:t>Common shares, without par value; authorized 200.0 million shares; issued 2016 and 2015 - 45.7 million shares</w:t>
            </w:r>
          </w:p>
        </w:tc>
        <w:tc>
          <w:tcPr>
            <w:tcW w:w="2020" w:type="dxa"/>
            <w:vAlign w:val="bottom"/>
          </w:tcPr>
          <w:p>
            <w:pPr>
              <w:jc w:val="right"/>
              <w:ind w:right="263"/>
              <w:spacing w:after="0"/>
              <w:rPr>
                <w:sz w:val="20"/>
                <w:szCs w:val="20"/>
                <w:color w:val="auto"/>
              </w:rPr>
            </w:pPr>
            <w:r>
              <w:rPr>
                <w:rFonts w:ascii="Arial" w:cs="Arial" w:eastAsia="Arial" w:hAnsi="Arial"/>
                <w:sz w:val="15"/>
                <w:szCs w:val="15"/>
                <w:b w:val="1"/>
                <w:bCs w:val="1"/>
                <w:color w:val="auto"/>
              </w:rPr>
              <w:t>—</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w:t>
            </w:r>
          </w:p>
        </w:tc>
      </w:tr>
      <w:tr>
        <w:trPr>
          <w:trHeight w:val="274"/>
        </w:trPr>
        <w:tc>
          <w:tcPr>
            <w:tcW w:w="77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Additional paid-in capital</w:t>
            </w:r>
          </w:p>
        </w:tc>
        <w:tc>
          <w:tcPr>
            <w:tcW w:w="20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1,058.5</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1,058.2</w:t>
            </w:r>
          </w:p>
        </w:tc>
      </w:tr>
      <w:tr>
        <w:trPr>
          <w:trHeight w:val="266"/>
        </w:trPr>
        <w:tc>
          <w:tcPr>
            <w:tcW w:w="7720" w:type="dxa"/>
            <w:vAlign w:val="bottom"/>
          </w:tcPr>
          <w:p>
            <w:pPr>
              <w:ind w:left="360"/>
              <w:spacing w:after="0"/>
              <w:rPr>
                <w:sz w:val="20"/>
                <w:szCs w:val="20"/>
                <w:color w:val="auto"/>
              </w:rPr>
            </w:pPr>
            <w:r>
              <w:rPr>
                <w:rFonts w:ascii="Arial" w:cs="Arial" w:eastAsia="Arial" w:hAnsi="Arial"/>
                <w:sz w:val="15"/>
                <w:szCs w:val="15"/>
                <w:color w:val="auto"/>
              </w:rPr>
              <w:t>Retained deficit</w:t>
            </w:r>
          </w:p>
        </w:tc>
        <w:tc>
          <w:tcPr>
            <w:tcW w:w="2020" w:type="dxa"/>
            <w:vAlign w:val="bottom"/>
          </w:tcPr>
          <w:p>
            <w:pPr>
              <w:jc w:val="right"/>
              <w:ind w:right="223"/>
              <w:spacing w:after="0"/>
              <w:rPr>
                <w:sz w:val="20"/>
                <w:szCs w:val="20"/>
                <w:color w:val="auto"/>
              </w:rPr>
            </w:pPr>
            <w:r>
              <w:rPr>
                <w:rFonts w:ascii="Arial" w:cs="Arial" w:eastAsia="Arial" w:hAnsi="Arial"/>
                <w:sz w:val="15"/>
                <w:szCs w:val="15"/>
                <w:b w:val="1"/>
                <w:bCs w:val="1"/>
                <w:color w:val="auto"/>
              </w:rPr>
              <w:t>(75.3)</w:t>
            </w:r>
          </w:p>
        </w:tc>
        <w:tc>
          <w:tcPr>
            <w:tcW w:w="1680" w:type="dxa"/>
            <w:vAlign w:val="bottom"/>
          </w:tcPr>
          <w:p>
            <w:pPr>
              <w:jc w:val="right"/>
              <w:spacing w:after="0"/>
              <w:rPr>
                <w:sz w:val="20"/>
                <w:szCs w:val="20"/>
                <w:color w:val="auto"/>
              </w:rPr>
            </w:pPr>
            <w:r>
              <w:rPr>
                <w:rFonts w:ascii="Arial" w:cs="Arial" w:eastAsia="Arial" w:hAnsi="Arial"/>
                <w:sz w:val="15"/>
                <w:szCs w:val="15"/>
                <w:color w:val="auto"/>
              </w:rPr>
              <w:t>(61.7)</w:t>
            </w:r>
          </w:p>
        </w:tc>
      </w:tr>
      <w:tr>
        <w:trPr>
          <w:trHeight w:val="274"/>
        </w:trPr>
        <w:tc>
          <w:tcPr>
            <w:tcW w:w="77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Treasury shares - 2016 and 2015 - 1.5 million, respectively</w:t>
            </w:r>
          </w:p>
        </w:tc>
        <w:tc>
          <w:tcPr>
            <w:tcW w:w="2020" w:type="dxa"/>
            <w:vAlign w:val="bottom"/>
            <w:shd w:val="clear" w:color="auto" w:fill="CCEEFF"/>
          </w:tcPr>
          <w:p>
            <w:pPr>
              <w:jc w:val="right"/>
              <w:ind w:right="223"/>
              <w:spacing w:after="0"/>
              <w:rPr>
                <w:sz w:val="20"/>
                <w:szCs w:val="20"/>
                <w:color w:val="auto"/>
              </w:rPr>
            </w:pPr>
            <w:r>
              <w:rPr>
                <w:rFonts w:ascii="Arial" w:cs="Arial" w:eastAsia="Arial" w:hAnsi="Arial"/>
                <w:sz w:val="15"/>
                <w:szCs w:val="15"/>
                <w:b w:val="1"/>
                <w:bCs w:val="1"/>
                <w:color w:val="auto"/>
              </w:rPr>
              <w:t>(45.1)</w:t>
            </w:r>
          </w:p>
        </w:tc>
        <w:tc>
          <w:tcPr>
            <w:tcW w:w="16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(46.3)</w:t>
            </w:r>
          </w:p>
        </w:tc>
      </w:tr>
      <w:tr>
        <w:trPr>
          <w:trHeight w:val="266"/>
        </w:trPr>
        <w:tc>
          <w:tcPr>
            <w:tcW w:w="7720" w:type="dxa"/>
            <w:vAlign w:val="bottom"/>
            <w:tcBorders>
              <w:bottom w:val="single" w:sz="8" w:color="333333"/>
            </w:tcBorders>
          </w:tcPr>
          <w:p>
            <w:pPr>
              <w:ind w:left="360"/>
              <w:spacing w:after="0"/>
              <w:rPr>
                <w:sz w:val="20"/>
                <w:szCs w:val="20"/>
                <w:color w:val="auto"/>
              </w:rPr>
            </w:pPr>
            <w:r>
              <w:rPr>
                <w:rFonts w:ascii="Arial" w:cs="Arial" w:eastAsia="Arial" w:hAnsi="Arial"/>
                <w:sz w:val="15"/>
                <w:szCs w:val="15"/>
                <w:color w:val="auto"/>
              </w:rPr>
              <w:t>Accumulated other comprehensive loss</w:t>
            </w:r>
          </w:p>
        </w:tc>
        <w:tc>
          <w:tcPr>
            <w:tcW w:w="2020" w:type="dxa"/>
            <w:vAlign w:val="bottom"/>
            <w:tcBorders>
              <w:bottom w:val="single" w:sz="8" w:color="333333"/>
            </w:tcBorders>
          </w:tcPr>
          <w:p>
            <w:pPr>
              <w:jc w:val="right"/>
              <w:ind w:right="223"/>
              <w:spacing w:after="0"/>
              <w:rPr>
                <w:sz w:val="20"/>
                <w:szCs w:val="20"/>
                <w:color w:val="auto"/>
              </w:rPr>
            </w:pPr>
            <w:r>
              <w:rPr>
                <w:rFonts w:ascii="Arial" w:cs="Arial" w:eastAsia="Arial" w:hAnsi="Arial"/>
                <w:sz w:val="15"/>
                <w:szCs w:val="15"/>
                <w:b w:val="1"/>
                <w:bCs w:val="1"/>
                <w:color w:val="auto"/>
              </w:rPr>
              <w:t>(260.1)</w:t>
            </w:r>
          </w:p>
        </w:tc>
        <w:tc>
          <w:tcPr>
            <w:tcW w:w="1680" w:type="dxa"/>
            <w:vAlign w:val="bottom"/>
            <w:tcBorders>
              <w:bottom w:val="single" w:sz="8" w:color="333333"/>
            </w:tcBorders>
          </w:tcPr>
          <w:p>
            <w:pPr>
              <w:jc w:val="right"/>
              <w:spacing w:after="0"/>
              <w:rPr>
                <w:sz w:val="20"/>
                <w:szCs w:val="20"/>
                <w:color w:val="auto"/>
              </w:rPr>
            </w:pPr>
            <w:r>
              <w:rPr>
                <w:rFonts w:ascii="Arial" w:cs="Arial" w:eastAsia="Arial" w:hAnsi="Arial"/>
                <w:sz w:val="15"/>
                <w:szCs w:val="15"/>
                <w:color w:val="auto"/>
              </w:rPr>
              <w:t>(263.8)</w:t>
            </w:r>
          </w:p>
        </w:tc>
      </w:tr>
      <w:tr>
        <w:trPr>
          <w:trHeight w:val="264"/>
        </w:trPr>
        <w:tc>
          <w:tcPr>
            <w:tcW w:w="7720" w:type="dxa"/>
            <w:vAlign w:val="bottom"/>
            <w:tcBorders>
              <w:bottom w:val="single" w:sz="8" w:color="333333"/>
            </w:tcBorders>
            <w:shd w:val="clear" w:color="auto" w:fill="CCEEFF"/>
          </w:tcPr>
          <w:p>
            <w:pPr>
              <w:ind w:left="40"/>
              <w:spacing w:after="0"/>
              <w:rPr>
                <w:sz w:val="20"/>
                <w:szCs w:val="20"/>
                <w:color w:val="auto"/>
              </w:rPr>
            </w:pPr>
            <w:r>
              <w:rPr>
                <w:rFonts w:ascii="Arial" w:cs="Arial" w:eastAsia="Arial" w:hAnsi="Arial"/>
                <w:sz w:val="15"/>
                <w:szCs w:val="15"/>
                <w:b w:val="1"/>
                <w:bCs w:val="1"/>
                <w:color w:val="auto"/>
              </w:rPr>
              <w:t>Total Shareholders’ Equity</w:t>
            </w:r>
          </w:p>
        </w:tc>
        <w:tc>
          <w:tcPr>
            <w:tcW w:w="2020" w:type="dxa"/>
            <w:vAlign w:val="bottom"/>
            <w:tcBorders>
              <w:bottom w:val="single" w:sz="8" w:color="333333"/>
            </w:tcBorders>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678.0</w:t>
            </w:r>
          </w:p>
        </w:tc>
        <w:tc>
          <w:tcPr>
            <w:tcW w:w="1680" w:type="dxa"/>
            <w:vAlign w:val="bottom"/>
            <w:tcBorders>
              <w:bottom w:val="single" w:sz="8" w:color="333333"/>
            </w:tcBorders>
            <w:shd w:val="clear" w:color="auto" w:fill="CCEEFF"/>
          </w:tcPr>
          <w:p>
            <w:pPr>
              <w:jc w:val="right"/>
              <w:ind w:right="23"/>
              <w:spacing w:after="0"/>
              <w:rPr>
                <w:sz w:val="20"/>
                <w:szCs w:val="20"/>
                <w:color w:val="auto"/>
              </w:rPr>
            </w:pPr>
            <w:r>
              <w:rPr>
                <w:rFonts w:ascii="Arial" w:cs="Arial" w:eastAsia="Arial" w:hAnsi="Arial"/>
                <w:sz w:val="15"/>
                <w:szCs w:val="15"/>
                <w:color w:val="auto"/>
              </w:rPr>
              <w:t>686.4</w:t>
            </w:r>
          </w:p>
        </w:tc>
      </w:tr>
      <w:tr>
        <w:trPr>
          <w:trHeight w:val="275"/>
        </w:trPr>
        <w:tc>
          <w:tcPr>
            <w:tcW w:w="7720" w:type="dxa"/>
            <w:vAlign w:val="bottom"/>
            <w:tcBorders>
              <w:bottom w:val="single" w:sz="8" w:color="333333"/>
            </w:tcBorders>
          </w:tcPr>
          <w:p>
            <w:pPr>
              <w:ind w:left="40"/>
              <w:spacing w:after="0"/>
              <w:rPr>
                <w:sz w:val="20"/>
                <w:szCs w:val="20"/>
                <w:color w:val="auto"/>
              </w:rPr>
            </w:pPr>
            <w:r>
              <w:rPr>
                <w:rFonts w:ascii="Arial" w:cs="Arial" w:eastAsia="Arial" w:hAnsi="Arial"/>
                <w:sz w:val="15"/>
                <w:szCs w:val="15"/>
                <w:b w:val="1"/>
                <w:bCs w:val="1"/>
                <w:color w:val="auto"/>
              </w:rPr>
              <w:t>Total Liabilities and Shareholders’ Equity</w:t>
            </w:r>
          </w:p>
        </w:tc>
        <w:tc>
          <w:tcPr>
            <w:tcW w:w="2020" w:type="dxa"/>
            <w:vAlign w:val="bottom"/>
            <w:tcBorders>
              <w:bottom w:val="single" w:sz="8" w:color="333333"/>
            </w:tcBorders>
          </w:tcPr>
          <w:p>
            <w:pPr>
              <w:jc w:val="right"/>
              <w:ind w:right="263"/>
              <w:spacing w:after="0"/>
              <w:rPr>
                <w:sz w:val="20"/>
                <w:szCs w:val="20"/>
                <w:color w:val="auto"/>
              </w:rPr>
            </w:pPr>
            <w:r>
              <w:rPr>
                <w:rFonts w:ascii="Arial" w:cs="Arial" w:eastAsia="Arial" w:hAnsi="Arial"/>
                <w:sz w:val="15"/>
                <w:szCs w:val="15"/>
                <w:b w:val="1"/>
                <w:bCs w:val="1"/>
                <w:color w:val="auto"/>
              </w:rPr>
              <w:t>$1,124.1</w:t>
            </w:r>
          </w:p>
        </w:tc>
        <w:tc>
          <w:tcPr>
            <w:tcW w:w="1680" w:type="dxa"/>
            <w:vAlign w:val="bottom"/>
            <w:tcBorders>
              <w:bottom w:val="single" w:sz="8" w:color="333333"/>
            </w:tcBorders>
          </w:tcPr>
          <w:p>
            <w:pPr>
              <w:jc w:val="right"/>
              <w:ind w:right="23"/>
              <w:spacing w:after="0"/>
              <w:rPr>
                <w:sz w:val="20"/>
                <w:szCs w:val="20"/>
                <w:color w:val="auto"/>
              </w:rPr>
            </w:pPr>
            <w:r>
              <w:rPr>
                <w:rFonts w:ascii="Arial" w:cs="Arial" w:eastAsia="Arial" w:hAnsi="Arial"/>
                <w:sz w:val="15"/>
                <w:szCs w:val="15"/>
                <w:color w:val="auto"/>
              </w:rPr>
              <w:t>$1,141.8</w:t>
            </w:r>
          </w:p>
        </w:tc>
      </w:tr>
    </w:tbl>
    <w:p>
      <w:pPr>
        <w:spacing w:after="0" w:line="35"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ectPr>
          <w:pgSz w:w="11900" w:h="16838" w:orient="portrait"/>
          <w:cols w:equalWidth="0" w:num="1">
            <w:col w:w="11420"/>
          </w:cols>
          <w:pgMar w:left="240" w:top="341" w:right="239" w:bottom="1440" w:gutter="0" w:footer="0" w:header="0"/>
        </w:sectPr>
      </w:pPr>
    </w:p>
    <w:p>
      <w:pPr>
        <w:spacing w:after="0" w:line="249" w:lineRule="exact"/>
        <w:rPr>
          <w:sz w:val="20"/>
          <w:szCs w:val="20"/>
          <w:color w:val="auto"/>
        </w:rPr>
      </w:pPr>
    </w:p>
    <w:p>
      <w:pPr>
        <w:ind w:left="6000"/>
        <w:spacing w:after="0"/>
        <w:rPr>
          <w:sz w:val="20"/>
          <w:szCs w:val="20"/>
          <w:color w:val="auto"/>
        </w:rPr>
      </w:pPr>
      <w:r>
        <w:rPr>
          <w:rFonts w:ascii="Arial" w:cs="Arial" w:eastAsia="Arial" w:hAnsi="Arial"/>
          <w:sz w:val="14"/>
          <w:szCs w:val="14"/>
          <w:color w:val="auto"/>
        </w:rPr>
        <w:t>5</w:t>
      </w:r>
    </w:p>
    <w:p>
      <w:pPr>
        <w:sectPr>
          <w:pgSz w:w="11900" w:h="16838" w:orient="portrait"/>
          <w:cols w:equalWidth="0" w:num="1">
            <w:col w:w="11420"/>
          </w:cols>
          <w:pgMar w:left="240" w:top="341" w:right="239" w:bottom="1440" w:gutter="0" w:footer="0" w:header="0"/>
          <w:type w:val="continuous"/>
        </w:sectPr>
      </w:pPr>
    </w:p>
    <w:bookmarkStart w:id="6" w:name="page7"/>
    <w:bookmarkEnd w:id="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Statements of Cash Flows (Unaudited)</w:t>
      </w:r>
    </w:p>
    <w:p>
      <w:pPr>
        <w:spacing w:after="0" w:line="142" w:lineRule="exact"/>
        <w:rPr>
          <w:sz w:val="20"/>
          <w:szCs w:val="20"/>
          <w:color w:val="auto"/>
        </w:rPr>
      </w:pPr>
    </w:p>
    <w:p>
      <w:pPr>
        <w:ind w:left="8800"/>
        <w:spacing w:after="0"/>
        <w:rPr>
          <w:sz w:val="20"/>
          <w:szCs w:val="20"/>
          <w:color w:val="auto"/>
        </w:rPr>
      </w:pPr>
      <w:r>
        <w:rPr>
          <w:rFonts w:ascii="Arial" w:cs="Arial" w:eastAsia="Arial" w:hAnsi="Arial"/>
          <w:sz w:val="16"/>
          <w:szCs w:val="16"/>
          <w:b w:val="1"/>
          <w:bCs w:val="1"/>
          <w:color w:val="auto"/>
        </w:rPr>
        <w:t>Three Months Ended</w:t>
      </w:r>
    </w:p>
    <w:p>
      <w:pPr>
        <w:spacing w:after="0" w:line="26" w:lineRule="exact"/>
        <w:rPr>
          <w:sz w:val="20"/>
          <w:szCs w:val="20"/>
          <w:color w:val="auto"/>
        </w:rPr>
      </w:pPr>
    </w:p>
    <w:p>
      <w:pPr>
        <w:ind w:left="9200"/>
        <w:spacing w:after="0"/>
        <w:rPr>
          <w:sz w:val="20"/>
          <w:szCs w:val="20"/>
          <w:color w:val="auto"/>
        </w:rPr>
      </w:pPr>
      <w:r>
        <w:rPr>
          <w:rFonts w:ascii="Arial" w:cs="Arial" w:eastAsia="Arial" w:hAnsi="Arial"/>
          <w:sz w:val="16"/>
          <w:szCs w:val="16"/>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33020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72"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840" w:type="dxa"/>
            <w:vAlign w:val="bottom"/>
          </w:tcPr>
          <w:p>
            <w:pPr>
              <w:ind w:left="8420"/>
              <w:spacing w:after="0"/>
              <w:rPr>
                <w:sz w:val="20"/>
                <w:szCs w:val="20"/>
                <w:color w:val="auto"/>
              </w:rPr>
            </w:pPr>
            <w:r>
              <w:rPr>
                <w:rFonts w:ascii="Arial" w:cs="Arial" w:eastAsia="Arial" w:hAnsi="Arial"/>
                <w:sz w:val="16"/>
                <w:szCs w:val="16"/>
                <w:b w:val="1"/>
                <w:bCs w:val="1"/>
                <w:color w:val="auto"/>
              </w:rPr>
              <w:t>2016</w:t>
            </w:r>
          </w:p>
        </w:tc>
        <w:tc>
          <w:tcPr>
            <w:tcW w:w="1060" w:type="dxa"/>
            <w:vAlign w:val="bottom"/>
          </w:tcPr>
          <w:p>
            <w:pPr>
              <w:spacing w:after="0"/>
              <w:rPr>
                <w:sz w:val="18"/>
                <w:szCs w:val="18"/>
                <w:color w:val="auto"/>
              </w:rPr>
            </w:pPr>
          </w:p>
        </w:tc>
        <w:tc>
          <w:tcPr>
            <w:tcW w:w="1520" w:type="dxa"/>
            <w:vAlign w:val="bottom"/>
          </w:tcPr>
          <w:p>
            <w:pPr>
              <w:jc w:val="right"/>
              <w:ind w:right="650"/>
              <w:spacing w:after="0"/>
              <w:rPr>
                <w:sz w:val="20"/>
                <w:szCs w:val="20"/>
                <w:color w:val="auto"/>
              </w:rPr>
            </w:pPr>
            <w:r>
              <w:rPr>
                <w:rFonts w:ascii="Arial" w:cs="Arial" w:eastAsia="Arial" w:hAnsi="Arial"/>
                <w:sz w:val="16"/>
                <w:szCs w:val="16"/>
                <w:b w:val="1"/>
                <w:bCs w:val="1"/>
                <w:color w:val="auto"/>
              </w:rPr>
              <w:t>2015</w:t>
            </w:r>
          </w:p>
        </w:tc>
      </w:tr>
      <w:tr>
        <w:trPr>
          <w:trHeight w:val="33"/>
        </w:trPr>
        <w:tc>
          <w:tcPr>
            <w:tcW w:w="88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44"/>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(Dollars in millions)</w:t>
            </w:r>
          </w:p>
        </w:tc>
        <w:tc>
          <w:tcPr>
            <w:tcW w:w="10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b w:val="1"/>
                <w:bCs w:val="1"/>
                <w:color w:val="auto"/>
              </w:rPr>
              <w:t>CASH PROVIDED (USED)</w:t>
            </w:r>
          </w:p>
        </w:tc>
        <w:tc>
          <w:tcPr>
            <w:tcW w:w="1060" w:type="dxa"/>
            <w:vAlign w:val="bottom"/>
          </w:tcPr>
          <w:p>
            <w:pPr>
              <w:spacing w:after="0"/>
              <w:rPr>
                <w:sz w:val="21"/>
                <w:szCs w:val="21"/>
                <w:color w:val="auto"/>
              </w:rPr>
            </w:pPr>
          </w:p>
        </w:tc>
        <w:tc>
          <w:tcPr>
            <w:tcW w:w="1520" w:type="dxa"/>
            <w:vAlign w:val="bottom"/>
          </w:tcPr>
          <w:p>
            <w:pPr>
              <w:spacing w:after="0"/>
              <w:rPr>
                <w:sz w:val="21"/>
                <w:szCs w:val="21"/>
                <w:color w:val="auto"/>
              </w:rPr>
            </w:pP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Operating Activities</w:t>
            </w:r>
          </w:p>
        </w:tc>
        <w:tc>
          <w:tcPr>
            <w:tcW w:w="10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Net (loss) income</w:t>
            </w:r>
          </w:p>
        </w:tc>
        <w:tc>
          <w:tcPr>
            <w:tcW w:w="1060" w:type="dxa"/>
            <w:vAlign w:val="bottom"/>
          </w:tcPr>
          <w:p>
            <w:pPr>
              <w:jc w:val="right"/>
              <w:ind w:right="350"/>
              <w:spacing w:after="0"/>
              <w:rPr>
                <w:sz w:val="20"/>
                <w:szCs w:val="20"/>
                <w:color w:val="auto"/>
              </w:rPr>
            </w:pPr>
            <w:r>
              <w:rPr>
                <w:rFonts w:ascii="Arial" w:cs="Arial" w:eastAsia="Arial" w:hAnsi="Arial"/>
                <w:sz w:val="18"/>
                <w:szCs w:val="18"/>
                <w:b w:val="1"/>
                <w:bCs w:val="1"/>
                <w:color w:val="auto"/>
              </w:rPr>
              <w:t>($13.6)</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$6.9</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0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Depreciation and amortization</w:t>
            </w: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18.7</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17.6</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Impairment charges</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0.4</w:t>
            </w: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Loss on sale or disposal of assets</w:t>
            </w: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0.8</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0.2</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income taxes</w:t>
            </w:r>
          </w:p>
        </w:tc>
        <w:tc>
          <w:tcPr>
            <w:tcW w:w="106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(8.7)</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w:t>
            </w: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Stock-based compensation expense</w:t>
            </w: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1.5</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2.0</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Pension and postretirement expense</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6.6</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8.6</w:t>
            </w: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Pension and postretirement contributions and payments</w:t>
            </w:r>
          </w:p>
        </w:tc>
        <w:tc>
          <w:tcPr>
            <w:tcW w:w="1060" w:type="dxa"/>
            <w:vAlign w:val="bottom"/>
          </w:tcPr>
          <w:p>
            <w:pPr>
              <w:jc w:val="right"/>
              <w:ind w:right="350"/>
              <w:spacing w:after="0"/>
              <w:rPr>
                <w:sz w:val="20"/>
                <w:szCs w:val="20"/>
                <w:color w:val="auto"/>
              </w:rPr>
            </w:pPr>
            <w:r>
              <w:rPr>
                <w:rFonts w:ascii="Arial" w:cs="Arial" w:eastAsia="Arial" w:hAnsi="Arial"/>
                <w:sz w:val="18"/>
                <w:szCs w:val="18"/>
                <w:b w:val="1"/>
                <w:bCs w:val="1"/>
                <w:color w:val="auto"/>
              </w:rPr>
              <w:t>(1.9)</w:t>
            </w:r>
          </w:p>
        </w:tc>
        <w:tc>
          <w:tcPr>
            <w:tcW w:w="152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Reimbursement from postretirement plan assets</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13.3</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Changes in operating assets and liabilities:</w:t>
            </w:r>
          </w:p>
        </w:tc>
        <w:tc>
          <w:tcPr>
            <w:tcW w:w="1060" w:type="dxa"/>
            <w:vAlign w:val="bottom"/>
          </w:tcPr>
          <w:p>
            <w:pPr>
              <w:spacing w:after="0"/>
              <w:rPr>
                <w:sz w:val="21"/>
                <w:szCs w:val="21"/>
                <w:color w:val="auto"/>
              </w:rPr>
            </w:pPr>
          </w:p>
        </w:tc>
        <w:tc>
          <w:tcPr>
            <w:tcW w:w="1520" w:type="dxa"/>
            <w:vAlign w:val="bottom"/>
          </w:tcPr>
          <w:p>
            <w:pPr>
              <w:spacing w:after="0"/>
              <w:rPr>
                <w:sz w:val="21"/>
                <w:szCs w:val="21"/>
                <w:color w:val="auto"/>
              </w:rPr>
            </w:pP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Accounts receivable</w:t>
            </w:r>
          </w:p>
        </w:tc>
        <w:tc>
          <w:tcPr>
            <w:tcW w:w="106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(14.1)</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0.4</w:t>
            </w:r>
          </w:p>
        </w:tc>
      </w:tr>
      <w:tr>
        <w:trPr>
          <w:trHeight w:val="243"/>
        </w:trPr>
        <w:tc>
          <w:tcPr>
            <w:tcW w:w="8840" w:type="dxa"/>
            <w:vAlign w:val="bottom"/>
          </w:tcPr>
          <w:p>
            <w:pPr>
              <w:ind w:left="360"/>
              <w:spacing w:after="0"/>
              <w:rPr>
                <w:sz w:val="20"/>
                <w:szCs w:val="20"/>
                <w:color w:val="auto"/>
              </w:rPr>
            </w:pPr>
            <w:r>
              <w:rPr>
                <w:rFonts w:ascii="Arial" w:cs="Arial" w:eastAsia="Arial" w:hAnsi="Arial"/>
                <w:sz w:val="18"/>
                <w:szCs w:val="18"/>
                <w:color w:val="auto"/>
              </w:rPr>
              <w:t>Inventories, net</w:t>
            </w: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13.0</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16.6</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Accounts payable</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6.6</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(23.4)</w:t>
            </w:r>
          </w:p>
        </w:tc>
      </w:tr>
      <w:tr>
        <w:trPr>
          <w:trHeight w:val="243"/>
        </w:trPr>
        <w:tc>
          <w:tcPr>
            <w:tcW w:w="8840" w:type="dxa"/>
            <w:vAlign w:val="bottom"/>
          </w:tcPr>
          <w:p>
            <w:pPr>
              <w:ind w:left="360"/>
              <w:spacing w:after="0"/>
              <w:rPr>
                <w:sz w:val="20"/>
                <w:szCs w:val="20"/>
                <w:color w:val="auto"/>
              </w:rPr>
            </w:pPr>
            <w:r>
              <w:rPr>
                <w:rFonts w:ascii="Arial" w:cs="Arial" w:eastAsia="Arial" w:hAnsi="Arial"/>
                <w:sz w:val="18"/>
                <w:szCs w:val="18"/>
                <w:color w:val="auto"/>
              </w:rPr>
              <w:t>Other accrued expenses</w:t>
            </w:r>
          </w:p>
        </w:tc>
        <w:tc>
          <w:tcPr>
            <w:tcW w:w="1060" w:type="dxa"/>
            <w:vAlign w:val="bottom"/>
          </w:tcPr>
          <w:p>
            <w:pPr>
              <w:jc w:val="right"/>
              <w:ind w:right="350"/>
              <w:spacing w:after="0"/>
              <w:rPr>
                <w:sz w:val="20"/>
                <w:szCs w:val="20"/>
                <w:color w:val="auto"/>
              </w:rPr>
            </w:pPr>
            <w:r>
              <w:rPr>
                <w:rFonts w:ascii="Arial" w:cs="Arial" w:eastAsia="Arial" w:hAnsi="Arial"/>
                <w:sz w:val="18"/>
                <w:szCs w:val="18"/>
                <w:b w:val="1"/>
                <w:bCs w:val="1"/>
                <w:color w:val="auto"/>
              </w:rPr>
              <w:t>(10.7)</w:t>
            </w:r>
          </w:p>
        </w:tc>
        <w:tc>
          <w:tcPr>
            <w:tcW w:w="1520" w:type="dxa"/>
            <w:vAlign w:val="bottom"/>
          </w:tcPr>
          <w:p>
            <w:pPr>
              <w:jc w:val="right"/>
              <w:spacing w:after="0"/>
              <w:rPr>
                <w:sz w:val="20"/>
                <w:szCs w:val="20"/>
                <w:color w:val="auto"/>
              </w:rPr>
            </w:pPr>
            <w:r>
              <w:rPr>
                <w:rFonts w:ascii="Arial" w:cs="Arial" w:eastAsia="Arial" w:hAnsi="Arial"/>
                <w:sz w:val="18"/>
                <w:szCs w:val="18"/>
                <w:color w:val="auto"/>
              </w:rPr>
              <w:t>(31.3)</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Prepaid expenses</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7.0</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19.8</w:t>
            </w:r>
          </w:p>
        </w:tc>
      </w:tr>
      <w:tr>
        <w:trPr>
          <w:trHeight w:val="243"/>
        </w:trPr>
        <w:tc>
          <w:tcPr>
            <w:tcW w:w="8840" w:type="dxa"/>
            <w:vAlign w:val="bottom"/>
          </w:tcPr>
          <w:p>
            <w:pPr>
              <w:ind w:left="360"/>
              <w:spacing w:after="0"/>
              <w:rPr>
                <w:sz w:val="20"/>
                <w:szCs w:val="20"/>
                <w:color w:val="auto"/>
              </w:rPr>
            </w:pPr>
            <w:r>
              <w:rPr>
                <w:rFonts w:ascii="Arial" w:cs="Arial" w:eastAsia="Arial" w:hAnsi="Arial"/>
                <w:sz w:val="18"/>
                <w:szCs w:val="18"/>
                <w:color w:val="auto"/>
              </w:rPr>
              <w:t>Other, net</w:t>
            </w: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1.6</w:t>
            </w:r>
          </w:p>
        </w:tc>
        <w:tc>
          <w:tcPr>
            <w:tcW w:w="152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27"/>
        </w:trPr>
        <w:tc>
          <w:tcPr>
            <w:tcW w:w="8840" w:type="dxa"/>
            <w:vAlign w:val="bottom"/>
            <w:tcBorders>
              <w:bottom w:val="single" w:sz="8" w:color="333333"/>
            </w:tcBorders>
          </w:tcPr>
          <w:p>
            <w:pPr>
              <w:spacing w:after="0"/>
              <w:rPr>
                <w:sz w:val="2"/>
                <w:szCs w:val="2"/>
                <w:color w:val="auto"/>
              </w:rPr>
            </w:pPr>
          </w:p>
        </w:tc>
        <w:tc>
          <w:tcPr>
            <w:tcW w:w="1060" w:type="dxa"/>
            <w:vAlign w:val="bottom"/>
            <w:tcBorders>
              <w:bottom w:val="single" w:sz="8" w:color="333333"/>
            </w:tcBorders>
          </w:tcPr>
          <w:p>
            <w:pPr>
              <w:spacing w:after="0"/>
              <w:rPr>
                <w:sz w:val="2"/>
                <w:szCs w:val="2"/>
                <w:color w:val="auto"/>
              </w:rPr>
            </w:pPr>
          </w:p>
        </w:tc>
        <w:tc>
          <w:tcPr>
            <w:tcW w:w="1520" w:type="dxa"/>
            <w:vAlign w:val="bottom"/>
            <w:tcBorders>
              <w:bottom w:val="single" w:sz="8" w:color="333333"/>
            </w:tcBorders>
          </w:tcPr>
          <w:p>
            <w:pPr>
              <w:spacing w:after="0"/>
              <w:rPr>
                <w:sz w:val="2"/>
                <w:szCs w:val="2"/>
                <w:color w:val="auto"/>
              </w:rPr>
            </w:pPr>
          </w:p>
        </w:tc>
      </w:tr>
      <w:tr>
        <w:trPr>
          <w:trHeight w:val="244"/>
        </w:trPr>
        <w:tc>
          <w:tcPr>
            <w:tcW w:w="8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b w:val="1"/>
                <w:bCs w:val="1"/>
                <w:color w:val="auto"/>
              </w:rPr>
              <w:t>Net Cash Provided by Operating Activities</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20.1</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14.6</w:t>
            </w:r>
          </w:p>
        </w:tc>
      </w:tr>
      <w:tr>
        <w:trPr>
          <w:trHeight w:val="297"/>
        </w:trPr>
        <w:tc>
          <w:tcPr>
            <w:tcW w:w="8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Investing Activities</w:t>
            </w:r>
          </w:p>
        </w:tc>
        <w:tc>
          <w:tcPr>
            <w:tcW w:w="10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Capital expenditures</w:t>
            </w:r>
          </w:p>
        </w:tc>
        <w:tc>
          <w:tcPr>
            <w:tcW w:w="1060" w:type="dxa"/>
            <w:vAlign w:val="bottom"/>
          </w:tcPr>
          <w:p>
            <w:pPr>
              <w:jc w:val="right"/>
              <w:ind w:right="350"/>
              <w:spacing w:after="0"/>
              <w:rPr>
                <w:sz w:val="20"/>
                <w:szCs w:val="20"/>
                <w:color w:val="auto"/>
              </w:rPr>
            </w:pPr>
            <w:r>
              <w:rPr>
                <w:rFonts w:ascii="Arial" w:cs="Arial" w:eastAsia="Arial" w:hAnsi="Arial"/>
                <w:sz w:val="18"/>
                <w:szCs w:val="18"/>
                <w:b w:val="1"/>
                <w:bCs w:val="1"/>
                <w:color w:val="auto"/>
              </w:rPr>
              <w:t>(8.5)</w:t>
            </w:r>
          </w:p>
        </w:tc>
        <w:tc>
          <w:tcPr>
            <w:tcW w:w="1520" w:type="dxa"/>
            <w:vAlign w:val="bottom"/>
          </w:tcPr>
          <w:p>
            <w:pPr>
              <w:jc w:val="right"/>
              <w:spacing w:after="0"/>
              <w:rPr>
                <w:sz w:val="20"/>
                <w:szCs w:val="20"/>
                <w:color w:val="auto"/>
              </w:rPr>
            </w:pPr>
            <w:r>
              <w:rPr>
                <w:rFonts w:ascii="Arial" w:cs="Arial" w:eastAsia="Arial" w:hAnsi="Arial"/>
                <w:sz w:val="18"/>
                <w:szCs w:val="18"/>
                <w:color w:val="auto"/>
              </w:rPr>
              <w:t>(17.9)</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5"/>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Proceeds from disposals of property, plant and equipment</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0.2</w:t>
            </w:r>
          </w:p>
        </w:tc>
      </w:tr>
      <w:tr>
        <w:trPr>
          <w:trHeight w:val="237"/>
        </w:trPr>
        <w:tc>
          <w:tcPr>
            <w:tcW w:w="8840" w:type="dxa"/>
            <w:vAlign w:val="bottom"/>
            <w:tcBorders>
              <w:top w:val="single" w:sz="8" w:color="auto"/>
            </w:tcBorders>
          </w:tcPr>
          <w:p>
            <w:pPr>
              <w:ind w:left="360"/>
              <w:spacing w:after="0"/>
              <w:rPr>
                <w:sz w:val="20"/>
                <w:szCs w:val="20"/>
                <w:color w:val="auto"/>
              </w:rPr>
            </w:pPr>
            <w:r>
              <w:rPr>
                <w:rFonts w:ascii="Arial" w:cs="Arial" w:eastAsia="Arial" w:hAnsi="Arial"/>
                <w:sz w:val="18"/>
                <w:szCs w:val="18"/>
                <w:b w:val="1"/>
                <w:bCs w:val="1"/>
                <w:color w:val="auto"/>
              </w:rPr>
              <w:t>Net Cash Used by Investing Activities</w:t>
            </w:r>
          </w:p>
        </w:tc>
        <w:tc>
          <w:tcPr>
            <w:tcW w:w="106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(8.5)</w:t>
            </w:r>
          </w:p>
        </w:tc>
        <w:tc>
          <w:tcPr>
            <w:tcW w:w="15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(17.7)</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97"/>
        </w:trPr>
        <w:tc>
          <w:tcPr>
            <w:tcW w:w="884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520" w:type="dxa"/>
            <w:vAlign w:val="bottom"/>
            <w:shd w:val="clear" w:color="auto" w:fill="CCEEFF"/>
          </w:tcPr>
          <w:p>
            <w:pPr>
              <w:spacing w:after="0"/>
              <w:rPr>
                <w:sz w:val="24"/>
                <w:szCs w:val="24"/>
                <w:color w:val="auto"/>
              </w:rPr>
            </w:pP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b w:val="1"/>
                <w:bCs w:val="1"/>
                <w:color w:val="auto"/>
              </w:rPr>
              <w:t>Financing Activities</w:t>
            </w:r>
          </w:p>
        </w:tc>
        <w:tc>
          <w:tcPr>
            <w:tcW w:w="1060" w:type="dxa"/>
            <w:vAlign w:val="bottom"/>
          </w:tcPr>
          <w:p>
            <w:pPr>
              <w:spacing w:after="0"/>
              <w:rPr>
                <w:sz w:val="21"/>
                <w:szCs w:val="21"/>
                <w:color w:val="auto"/>
              </w:rPr>
            </w:pPr>
          </w:p>
        </w:tc>
        <w:tc>
          <w:tcPr>
            <w:tcW w:w="1520" w:type="dxa"/>
            <w:vAlign w:val="bottom"/>
          </w:tcPr>
          <w:p>
            <w:pPr>
              <w:spacing w:after="0"/>
              <w:rPr>
                <w:sz w:val="21"/>
                <w:szCs w:val="21"/>
                <w:color w:val="auto"/>
              </w:rPr>
            </w:pP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dividends paid to shareholders</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w:t>
            </w: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Purchase of treasury shares</w:t>
            </w: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w:t>
            </w:r>
          </w:p>
        </w:tc>
        <w:tc>
          <w:tcPr>
            <w:tcW w:w="152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Proceeds from exercise of stock options</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w:t>
            </w: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Payment on long-term debt</w:t>
            </w:r>
          </w:p>
        </w:tc>
        <w:tc>
          <w:tcPr>
            <w:tcW w:w="1060" w:type="dxa"/>
            <w:vAlign w:val="bottom"/>
          </w:tcPr>
          <w:p>
            <w:pPr>
              <w:jc w:val="right"/>
              <w:ind w:right="350"/>
              <w:spacing w:after="0"/>
              <w:rPr>
                <w:sz w:val="20"/>
                <w:szCs w:val="20"/>
                <w:color w:val="auto"/>
              </w:rPr>
            </w:pPr>
            <w:r>
              <w:rPr>
                <w:rFonts w:ascii="Arial" w:cs="Arial" w:eastAsia="Arial" w:hAnsi="Arial"/>
                <w:sz w:val="18"/>
                <w:szCs w:val="18"/>
                <w:b w:val="1"/>
                <w:bCs w:val="1"/>
                <w:color w:val="auto"/>
              </w:rPr>
              <w:t>(15.0)</w:t>
            </w:r>
          </w:p>
        </w:tc>
        <w:tc>
          <w:tcPr>
            <w:tcW w:w="1520" w:type="dxa"/>
            <w:vAlign w:val="bottom"/>
          </w:tcPr>
          <w:p>
            <w:pPr>
              <w:jc w:val="right"/>
              <w:spacing w:after="0"/>
              <w:rPr>
                <w:sz w:val="20"/>
                <w:szCs w:val="20"/>
                <w:color w:val="auto"/>
              </w:rPr>
            </w:pPr>
            <w:r>
              <w:rPr>
                <w:rFonts w:ascii="Arial" w:cs="Arial" w:eastAsia="Arial" w:hAnsi="Arial"/>
                <w:sz w:val="18"/>
                <w:szCs w:val="18"/>
                <w:color w:val="auto"/>
              </w:rPr>
              <w:t>(20.0)</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Proceeds from issuance of debt</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30.0</w:t>
            </w: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Deferred financing costs</w:t>
            </w:r>
          </w:p>
        </w:tc>
        <w:tc>
          <w:tcPr>
            <w:tcW w:w="1060" w:type="dxa"/>
            <w:vAlign w:val="bottom"/>
          </w:tcPr>
          <w:p>
            <w:pPr>
              <w:jc w:val="right"/>
              <w:ind w:right="350"/>
              <w:spacing w:after="0"/>
              <w:rPr>
                <w:sz w:val="20"/>
                <w:szCs w:val="20"/>
                <w:color w:val="auto"/>
              </w:rPr>
            </w:pPr>
            <w:r>
              <w:rPr>
                <w:rFonts w:ascii="Arial" w:cs="Arial" w:eastAsia="Arial" w:hAnsi="Arial"/>
                <w:sz w:val="18"/>
                <w:szCs w:val="18"/>
                <w:b w:val="1"/>
                <w:bCs w:val="1"/>
                <w:color w:val="auto"/>
              </w:rPr>
              <w:t>(1.5)</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5"/>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transfers to Timken and affiliates</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w:t>
            </w:r>
          </w:p>
        </w:tc>
      </w:tr>
      <w:tr>
        <w:trPr>
          <w:trHeight w:val="237"/>
        </w:trPr>
        <w:tc>
          <w:tcPr>
            <w:tcW w:w="884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Net Cash Used by Financing Activities</w:t>
            </w:r>
          </w:p>
        </w:tc>
        <w:tc>
          <w:tcPr>
            <w:tcW w:w="1060" w:type="dxa"/>
            <w:vAlign w:val="bottom"/>
            <w:tcBorders>
              <w:top w:val="single" w:sz="8" w:color="333333"/>
            </w:tcBorders>
          </w:tcPr>
          <w:p>
            <w:pPr>
              <w:jc w:val="right"/>
              <w:ind w:right="350"/>
              <w:spacing w:after="0"/>
              <w:rPr>
                <w:sz w:val="20"/>
                <w:szCs w:val="20"/>
                <w:color w:val="auto"/>
              </w:rPr>
            </w:pPr>
            <w:r>
              <w:rPr>
                <w:rFonts w:ascii="Arial" w:cs="Arial" w:eastAsia="Arial" w:hAnsi="Arial"/>
                <w:sz w:val="18"/>
                <w:szCs w:val="18"/>
                <w:b w:val="1"/>
                <w:bCs w:val="1"/>
                <w:color w:val="auto"/>
              </w:rPr>
              <w:t>(16.5)</w:t>
            </w:r>
          </w:p>
        </w:tc>
        <w:tc>
          <w:tcPr>
            <w:tcW w:w="1520" w:type="dxa"/>
            <w:vAlign w:val="bottom"/>
            <w:tcBorders>
              <w:top w:val="single" w:sz="8" w:color="333333"/>
            </w:tcBorders>
          </w:tcPr>
          <w:p>
            <w:pPr>
              <w:jc w:val="right"/>
              <w:spacing w:after="0"/>
              <w:rPr>
                <w:sz w:val="20"/>
                <w:szCs w:val="20"/>
                <w:color w:val="auto"/>
              </w:rPr>
            </w:pPr>
            <w:r>
              <w:rPr>
                <w:rFonts w:ascii="Arial" w:cs="Arial" w:eastAsia="Arial" w:hAnsi="Arial"/>
                <w:sz w:val="18"/>
                <w:szCs w:val="18"/>
                <w:color w:val="auto"/>
              </w:rPr>
              <w:t>(0.4)</w:t>
            </w:r>
          </w:p>
        </w:tc>
      </w:tr>
      <w:tr>
        <w:trPr>
          <w:trHeight w:val="27"/>
        </w:trPr>
        <w:tc>
          <w:tcPr>
            <w:tcW w:w="8840" w:type="dxa"/>
            <w:vAlign w:val="bottom"/>
            <w:tcBorders>
              <w:bottom w:val="single" w:sz="8" w:color="333333"/>
            </w:tcBorders>
          </w:tcPr>
          <w:p>
            <w:pPr>
              <w:spacing w:after="0"/>
              <w:rPr>
                <w:sz w:val="2"/>
                <w:szCs w:val="2"/>
                <w:color w:val="auto"/>
              </w:rPr>
            </w:pPr>
          </w:p>
        </w:tc>
        <w:tc>
          <w:tcPr>
            <w:tcW w:w="1060" w:type="dxa"/>
            <w:vAlign w:val="bottom"/>
            <w:tcBorders>
              <w:bottom w:val="single" w:sz="8" w:color="333333"/>
            </w:tcBorders>
          </w:tcPr>
          <w:p>
            <w:pPr>
              <w:spacing w:after="0"/>
              <w:rPr>
                <w:sz w:val="2"/>
                <w:szCs w:val="2"/>
                <w:color w:val="auto"/>
              </w:rPr>
            </w:pPr>
          </w:p>
        </w:tc>
        <w:tc>
          <w:tcPr>
            <w:tcW w:w="1520" w:type="dxa"/>
            <w:vAlign w:val="bottom"/>
            <w:tcBorders>
              <w:bottom w:val="single" w:sz="8" w:color="333333"/>
            </w:tcBorders>
          </w:tcPr>
          <w:p>
            <w:pPr>
              <w:spacing w:after="0"/>
              <w:rPr>
                <w:sz w:val="2"/>
                <w:szCs w:val="2"/>
                <w:color w:val="auto"/>
              </w:rPr>
            </w:pPr>
          </w:p>
        </w:tc>
      </w:tr>
      <w:tr>
        <w:trPr>
          <w:trHeight w:val="269"/>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Effect of exchange rate changes on cash</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37"/>
        </w:trPr>
        <w:tc>
          <w:tcPr>
            <w:tcW w:w="884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Decrease In Cash and Cash Equivalents</w:t>
            </w:r>
          </w:p>
        </w:tc>
        <w:tc>
          <w:tcPr>
            <w:tcW w:w="1060" w:type="dxa"/>
            <w:vAlign w:val="bottom"/>
            <w:tcBorders>
              <w:top w:val="single" w:sz="8" w:color="333333"/>
            </w:tcBorders>
          </w:tcPr>
          <w:p>
            <w:pPr>
              <w:jc w:val="right"/>
              <w:ind w:right="350"/>
              <w:spacing w:after="0"/>
              <w:rPr>
                <w:sz w:val="20"/>
                <w:szCs w:val="20"/>
                <w:color w:val="auto"/>
              </w:rPr>
            </w:pPr>
            <w:r>
              <w:rPr>
                <w:rFonts w:ascii="Arial" w:cs="Arial" w:eastAsia="Arial" w:hAnsi="Arial"/>
                <w:sz w:val="18"/>
                <w:szCs w:val="18"/>
                <w:b w:val="1"/>
                <w:bCs w:val="1"/>
                <w:color w:val="auto"/>
              </w:rPr>
              <w:t>(4.9)</w:t>
            </w:r>
          </w:p>
        </w:tc>
        <w:tc>
          <w:tcPr>
            <w:tcW w:w="1520" w:type="dxa"/>
            <w:vAlign w:val="bottom"/>
            <w:tcBorders>
              <w:top w:val="single" w:sz="8" w:color="333333"/>
            </w:tcBorders>
          </w:tcPr>
          <w:p>
            <w:pPr>
              <w:jc w:val="right"/>
              <w:spacing w:after="0"/>
              <w:rPr>
                <w:sz w:val="20"/>
                <w:szCs w:val="20"/>
                <w:color w:val="auto"/>
              </w:rPr>
            </w:pPr>
            <w:r>
              <w:rPr>
                <w:rFonts w:ascii="Arial" w:cs="Arial" w:eastAsia="Arial" w:hAnsi="Arial"/>
                <w:sz w:val="18"/>
                <w:szCs w:val="18"/>
                <w:color w:val="auto"/>
              </w:rPr>
              <w:t>(3.5)</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5"/>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 at beginning of period</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42.4</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34.5</w:t>
            </w:r>
          </w:p>
        </w:tc>
      </w:tr>
      <w:tr>
        <w:trPr>
          <w:trHeight w:val="237"/>
        </w:trPr>
        <w:tc>
          <w:tcPr>
            <w:tcW w:w="884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Cash and Cash Equivalents at End of Period</w:t>
            </w:r>
          </w:p>
        </w:tc>
        <w:tc>
          <w:tcPr>
            <w:tcW w:w="1060" w:type="dxa"/>
            <w:vAlign w:val="bottom"/>
            <w:tcBorders>
              <w:top w:val="single" w:sz="8" w:color="333333"/>
            </w:tcBorders>
          </w:tcPr>
          <w:p>
            <w:pPr>
              <w:jc w:val="right"/>
              <w:ind w:right="410"/>
              <w:spacing w:after="0"/>
              <w:rPr>
                <w:sz w:val="20"/>
                <w:szCs w:val="20"/>
                <w:color w:val="auto"/>
              </w:rPr>
            </w:pPr>
            <w:r>
              <w:rPr>
                <w:rFonts w:ascii="Arial" w:cs="Arial" w:eastAsia="Arial" w:hAnsi="Arial"/>
                <w:sz w:val="18"/>
                <w:szCs w:val="18"/>
                <w:b w:val="1"/>
                <w:bCs w:val="1"/>
                <w:color w:val="auto"/>
              </w:rPr>
              <w:t>$37.5</w:t>
            </w:r>
          </w:p>
        </w:tc>
        <w:tc>
          <w:tcPr>
            <w:tcW w:w="1520" w:type="dxa"/>
            <w:vAlign w:val="bottom"/>
            <w:tcBorders>
              <w:top w:val="single" w:sz="8" w:color="333333"/>
            </w:tcBorders>
          </w:tcPr>
          <w:p>
            <w:pPr>
              <w:jc w:val="right"/>
              <w:ind w:right="10"/>
              <w:spacing w:after="0"/>
              <w:rPr>
                <w:sz w:val="20"/>
                <w:szCs w:val="20"/>
                <w:color w:val="auto"/>
              </w:rPr>
            </w:pPr>
            <w:r>
              <w:rPr>
                <w:rFonts w:ascii="Arial" w:cs="Arial" w:eastAsia="Arial" w:hAnsi="Arial"/>
                <w:sz w:val="18"/>
                <w:szCs w:val="18"/>
                <w:color w:val="auto"/>
              </w:rPr>
              <w:t>$31.0</w:t>
            </w:r>
          </w:p>
        </w:tc>
      </w:tr>
      <w:tr>
        <w:trPr>
          <w:trHeight w:val="48"/>
        </w:trPr>
        <w:tc>
          <w:tcPr>
            <w:tcW w:w="8840" w:type="dxa"/>
            <w:vAlign w:val="bottom"/>
            <w:tcBorders>
              <w:bottom w:val="single" w:sz="8" w:color="333333"/>
            </w:tcBorders>
          </w:tcPr>
          <w:p>
            <w:pPr>
              <w:spacing w:after="0"/>
              <w:rPr>
                <w:sz w:val="4"/>
                <w:szCs w:val="4"/>
                <w:color w:val="auto"/>
              </w:rPr>
            </w:pPr>
          </w:p>
        </w:tc>
        <w:tc>
          <w:tcPr>
            <w:tcW w:w="1060" w:type="dxa"/>
            <w:vAlign w:val="bottom"/>
            <w:tcBorders>
              <w:bottom w:val="single" w:sz="8" w:color="333333"/>
            </w:tcBorders>
          </w:tcPr>
          <w:p>
            <w:pPr>
              <w:spacing w:after="0"/>
              <w:rPr>
                <w:sz w:val="4"/>
                <w:szCs w:val="4"/>
                <w:color w:val="auto"/>
              </w:rPr>
            </w:pPr>
          </w:p>
        </w:tc>
        <w:tc>
          <w:tcPr>
            <w:tcW w:w="1520" w:type="dxa"/>
            <w:vAlign w:val="bottom"/>
            <w:tcBorders>
              <w:bottom w:val="single" w:sz="8" w:color="333333"/>
            </w:tcBorders>
          </w:tcPr>
          <w:p>
            <w:pPr>
              <w:spacing w:after="0"/>
              <w:rPr>
                <w:sz w:val="4"/>
                <w:szCs w:val="4"/>
                <w:color w:val="auto"/>
              </w:rPr>
            </w:pPr>
          </w:p>
        </w:tc>
      </w:tr>
    </w:tbl>
    <w:p>
      <w:pPr>
        <w:spacing w:after="0" w:line="157"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ectPr>
          <w:pgSz w:w="11900" w:h="16838" w:orient="portrait"/>
          <w:cols w:equalWidth="0" w:num="1">
            <w:col w:w="11420"/>
          </w:cols>
          <w:pgMar w:left="240" w:top="341" w:right="239" w:bottom="1440" w:gutter="0" w:footer="0" w:header="0"/>
        </w:sectPr>
      </w:pPr>
    </w:p>
    <w:p>
      <w:pPr>
        <w:spacing w:after="0" w:line="249" w:lineRule="exact"/>
        <w:rPr>
          <w:sz w:val="20"/>
          <w:szCs w:val="20"/>
          <w:color w:val="auto"/>
        </w:rPr>
      </w:pPr>
    </w:p>
    <w:p>
      <w:pPr>
        <w:ind w:left="6000"/>
        <w:spacing w:after="0"/>
        <w:rPr>
          <w:sz w:val="20"/>
          <w:szCs w:val="20"/>
          <w:color w:val="auto"/>
        </w:rPr>
      </w:pPr>
      <w:r>
        <w:rPr>
          <w:rFonts w:ascii="Arial" w:cs="Arial" w:eastAsia="Arial" w:hAnsi="Arial"/>
          <w:sz w:val="14"/>
          <w:szCs w:val="14"/>
          <w:color w:val="auto"/>
        </w:rPr>
        <w:t>6</w:t>
      </w:r>
    </w:p>
    <w:p>
      <w:pPr>
        <w:sectPr>
          <w:pgSz w:w="11900" w:h="16838" w:orient="portrait"/>
          <w:cols w:equalWidth="0" w:num="1">
            <w:col w:w="11420"/>
          </w:cols>
          <w:pgMar w:left="240" w:top="341" w:right="239" w:bottom="1440" w:gutter="0" w:footer="0" w:header="0"/>
          <w:type w:val="continuous"/>
        </w:sectPr>
      </w:pPr>
    </w:p>
    <w:bookmarkStart w:id="7" w:name="page8"/>
    <w:bookmarkEnd w:id="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Unaudited Consolidated Financial Statements</w:t>
      </w:r>
    </w:p>
    <w:p>
      <w:pPr>
        <w:jc w:val="center"/>
        <w:spacing w:after="0"/>
        <w:rPr>
          <w:sz w:val="20"/>
          <w:szCs w:val="20"/>
          <w:color w:val="auto"/>
        </w:rPr>
      </w:pPr>
      <w:r>
        <w:rPr>
          <w:rFonts w:ascii="Arial" w:cs="Arial" w:eastAsia="Arial" w:hAnsi="Arial"/>
          <w:sz w:val="20"/>
          <w:szCs w:val="20"/>
          <w:i w:val="1"/>
          <w:iCs w:val="1"/>
          <w:color w:val="auto"/>
        </w:rPr>
        <w:t>(dollars in millions, except per share data)</w:t>
      </w:r>
    </w:p>
    <w:p>
      <w:pPr>
        <w:spacing w:after="0" w:line="198"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1 - Basis of Presentation</w:t>
      </w:r>
    </w:p>
    <w:p>
      <w:pPr>
        <w:spacing w:after="0" w:line="199"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The accompanying Unaudited Consolidated Financial Statements have been prepared in accordance with generally accepted accounting principles in the United States (U.S. GAAP) for interim financial information. Accordingly, they do not include all of the information and footnotes required by U.S. GAAP for complete financial statements. In the opinion of management, all adjustments (consisting of normal recurring accruals) and disclosures considered necessary for a fair presentation have been included. For further information, refer to TimkenSteel’s Audited Consolidated Financial Statements and Notes included in its Annual Report on Form 10-K for the year ended December 31, 2015.</w:t>
      </w:r>
    </w:p>
    <w:p>
      <w:pPr>
        <w:spacing w:after="0" w:line="13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TimkenSteel manufactures alloy steel, as well as carbon and micro-alloy steel, with an annual melt capacity of approximately two million tons. TimkenSteel’s portfolio includes special bar quality steel (SBQ), seamless mechanical tubes (tubes) and value-add solutions, such as precision steel components. In addition, TimkenSteel supplies machining and thermal treatment services, as well as manages raw material recycling programs, which are used as a feeder system for the Company’s melt operations. The Company’s products and services are used in a diverse range of demanding applications in the following market sectors: oil &amp; gas; automotive; industrial equipment; mining; construction; rail; aerospace and defense; heavy truck; agriculture; and power generation.</w:t>
      </w:r>
    </w:p>
    <w:p>
      <w:pPr>
        <w:spacing w:after="0" w:line="153"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The SBQ bars and tube production process occurs out of the Company’s Canton, Ohio manufacturing location. This location accounts for all of the SBQ bars and seamless mechanical tubes the Company produces and includes three manufacturing facilities: the Faircrest, Harrison, and Gambrinus facilities. TimkenSteel’s value-add solutions production process occurs out of three downstream manufacturing facilities: the TimkenSteel Material Services, Tryon Peak, and St. Clair facilities. Many of the production processes are integrated, and the manufacturing facilities produce products that are sold in all of the Company’s market sectors. As a result, investments in the Company’s facilities and resource allocation decisions affecting the Company’s operations are designed to benefit the overall business of the Company, not any specific aspect of the business.</w:t>
      </w:r>
    </w:p>
    <w:p>
      <w:pPr>
        <w:spacing w:after="0" w:line="138"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Effective January 1, 2016, TimkenSteel eliminated its segment reporting as a result of organizational changes made in the fourth quarter of 2015, in addition to the integrated nature of the Company’s business as described above. These organizational changes were made to better align resources to support the business strategy of operating in a leaner, more efficient environment. Specifically, the Company has centralized its customer-facing activities under one leadership role and eliminated the two segment operating structure. The Company is now organized in a centralized manner based on functionality. As a result, TimkenSteel is conducting its business activities and reporting financial results in one business segment.</w:t>
      </w:r>
    </w:p>
    <w:p>
      <w:pPr>
        <w:spacing w:after="0" w:line="132"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presentation of financial results as one reportable segment is consistent with the way the Company operates its business under the realigned organization and is consistent with the manner in which the Chief Operating Decision Maker (CODM) evaluates performance and makes resource and operating decisions for the business as described above. Furthermore the Company notes that monitoring financial results as one reportable segment will help the CODM manage costs on a consolidated basis, consistent with the integrated nature of the operations.</w:t>
      </w:r>
    </w:p>
    <w:p>
      <w:pPr>
        <w:spacing w:after="0" w:line="129"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2 - Recent Accounting Pronouncements</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Adopted Accounting Standards</w:t>
      </w:r>
    </w:p>
    <w:p>
      <w:pPr>
        <w:spacing w:after="0" w:line="185"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In April 2015, the Financial Accounting Standard Board (FASB) issued Accounting Standard Update (ASU) 2015-05, “Intangibles-Goodwill and Other-Internal-Use Software (Subtopic 350-40): Customer’s Accounting for Fees Paid in a Cloud Computing Arrangement.” This ASU clarifies the circumstances under which a cloud computing customer would account for the arrangement as a license of internal-use software. It is effective for annual and interim reporting periods beginning after December 15, 2015, with early adoption permitted. TimkenSteel has adopted ASU 2015-05 effective January 1, 2016 on a prospective basis. The adoption of this ASU did not have a material effect on the Consolidated Financial Statements of TimkenSteel.</w:t>
      </w:r>
    </w:p>
    <w:p>
      <w:pPr>
        <w:spacing w:after="0" w:line="118"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In April 2015, the FASB issued ASU 2015-03, “Interest-Imputation of Interest (Subtopic 835-30): Simplifying the Presentation of Debt Issuance Costs.” This ASU amends existing guidance to require the presentation of debt issuance costs in the balance sheet as a deduction from the carrying amount of the related debt liability instead of a deferred charge. It is effective for annual reporting periods beginning after December 15, 2015, with early adoption permitted. The adoption of ASU 2015-03 as of March 31, 2016 did not have a material effect on the Consolidated Balance Sheets of TimkenSteel.</w:t>
      </w:r>
    </w:p>
    <w:p>
      <w:pPr>
        <w:spacing w:after="0" w:line="357"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341" w:right="23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66" w:lineRule="exact"/>
        <w:rPr>
          <w:sz w:val="20"/>
          <w:szCs w:val="20"/>
          <w:color w:val="auto"/>
        </w:rPr>
      </w:pPr>
    </w:p>
    <w:p>
      <w:pPr>
        <w:jc w:val="both"/>
        <w:ind w:firstLine="648"/>
        <w:spacing w:after="0" w:line="314" w:lineRule="auto"/>
        <w:rPr>
          <w:sz w:val="20"/>
          <w:szCs w:val="20"/>
          <w:color w:val="auto"/>
        </w:rPr>
      </w:pPr>
      <w:r>
        <w:rPr>
          <w:rFonts w:ascii="Arial" w:cs="Arial" w:eastAsia="Arial" w:hAnsi="Arial"/>
          <w:sz w:val="16"/>
          <w:szCs w:val="16"/>
          <w:color w:val="auto"/>
        </w:rPr>
        <w:t>In November 2015, the FASB issued ASU 2015-17, “Income Taxes (Topic 740), Balance Sheet Classification of Deferred Taxes.” This guidance requires companies to classify all deferred tax asset and liabilities as noncurrent on the balance sheet instead of separating deferred taxes into current and noncurrent amounts. Also, companies will no longer allocate valuation allowances between current and noncurrent deferred tax assets because those allowances will be classified as noncurrent. It is effective for annual reporting periods beginning after December 15, 2016, and interim periods within those annual periods, with early adoption permitted. TimkenSteel adopted ASU 2015-17 as of December 31, 2015 and is presenting the changes prospectively.</w:t>
      </w:r>
    </w:p>
    <w:p>
      <w:pPr>
        <w:spacing w:after="0" w:line="106"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In May 2015, the FASB issued ASU 2015-07, “Fair Value Measurement (Topic 820): Disclosures for Investments in Certain Entities That Calculate Net Asset Value per Share (or Its Equivalent),” which removes the requirement to categorize within the fair value hierarchy all investments for which fair value is measured using the net asset value per share practical expedient. However, sufficient information must be provided to permit reconciliation of the fair value of assets categorized within the fair value hierarchy to the amounts presented in the financial statements. The amendments also remove the requirement to make certain disclosures for all investments that are eligible to be measured at fair value using the net asset value per share practical expedient. The amendments in this ASU are effective for annual reporting periods beginning after December 15, 2015. Early adoption is permitted. Upon adoption, the amendments shall be applied retrospectively to all periods presented. TimkenSteel adopted ASU 2015-07 effective December 31, 2015.</w:t>
      </w:r>
    </w:p>
    <w:p>
      <w:pPr>
        <w:spacing w:after="0" w:line="12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In August 2015, the FASB issued ASU 2015-15, "Interest – Imputation of Interest (Subtopic 835-30): Presentation and Subsequent Measurement of Debt Issuance Costs Associated with Line-of-Credit Arrangements". This ASU provides additional guidance to ASU 2015-03, “Interest-Imputation of Interest (Subtopic 835-30): Simplifying the Presentation of Debt Issuance Costs” (ASU 2015-3), which did not address presentation or subsequent measurement of debt issuance costs related to line-of-credit arrangements. This guidance explains that the SEC staff would not object to an entity deferring and presenting debt issuance costs as an asset and subsequently amortizing the deferred debt issuance costs ratably over the term of the line-of-credit arrangement, regardless of whether there are any outstanding borrowings on the line-of-credit arrangement. The adoption of ASU 2015-15 did not affect the results of operations and financial position of TimkenSteel.</w:t>
      </w:r>
    </w:p>
    <w:p>
      <w:pPr>
        <w:spacing w:after="0" w:line="14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In August 2014, the FASB issued ASU 2014-15, “Presentation of Financial Statements-Going Concern (Subtopic 205-40): Disclosure of Uncertainties about an Entity’s Ability to Continue as a Going Concern.” This ASU is intended to define management’s responsibility to evaluate whether there is substantial doubt about an organization’s ability to continue as a going concern and to provide related footnote disclosures. The amendments in this ASU are effective for reporting periods beginning after December 15, 2016, with early adoption permitted. The adoption of ASU 2014-15 did not affect the results of operations and financial condition of TimkenSteel.</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Issued Accounting Standards</w:t>
      </w:r>
    </w:p>
    <w:p>
      <w:pPr>
        <w:spacing w:after="0" w:line="185"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In March 2016, the FASB issued ASU 2016-09, “Compensation—Stock Compensation (Topic 718): Improvements to Employee Share-Based Payment Accounting”. This ASU will affect several aspects of the accounting for share-based payment transactions, including the income tax consequences, classification on the statement of cash flows and accounting for forfeitures. It is effective for fiscal years beginning after December 15, 2016, including interim periods, with early adoption permitted. TimkenSteel is currently evaluating the impact of the adoption of this ASU on its results of operations and financial condition.</w:t>
      </w:r>
    </w:p>
    <w:p>
      <w:pPr>
        <w:spacing w:after="0" w:line="148"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In March 2016, the FASB issued ASU 2016-08, “Revenue from Contracts with Customers (Topic 606): Principal versus Agent Considerations (Reporting Revenue Gross versus Net),” which amends the principal versus agent guidance in ASU 2014-09, “Revenue from Contracts with Customers (Topic 606),” by clarifying how an entity should identify the unit of accounting for the principal versus agent evaluation and how it should apply the control principle to certain types of arrangements. The effective date and transition requirements are the same as those for ASU 2014-09, “Revenue from Contracts with Customers (Topic 606)”. TimkenSteel is currently evaluating the impact of adopting this ASU on its results of operations and financial condition.</w:t>
      </w:r>
    </w:p>
    <w:p>
      <w:pPr>
        <w:spacing w:after="0" w:line="118"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In February 2016, the FASB issued ASU 2016-02, “Leases (Topic 842),” which requires lessees to recognize a lease liability and right-of-use asset on the balance sheet for operating leases with a term greater than one year. The guidance requires the use of a modified retrospective approach for leases that exist or are entered into after the beginning of the earliest comparative period in the financial statements. It is effective for annual reporting periods beginning after December 15, 2018. TimkenSteel regularly enters into operating leases which previously did not require recognition on the balance sheet. The Company is currently evaluating the impact of the adoption of this ASU on its results of operations and financial condition.</w:t>
      </w:r>
    </w:p>
    <w:p>
      <w:pPr>
        <w:spacing w:after="0" w:line="132"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In July 2015, the FASB issued ASU 2015-11, “Inventory: Simplifying the Measurement of Inventory (Topic 330),” which provides guidance that simplifies the subsequent measurement of inventories by replacing the lower of cost or market test with a lower of cost and net realizable value test. The guidance applies only to inventories for which cost is determined by methods other than last-in, first-out (LIFO) and therefore applies only to the approximately 37% of inventory that TimkenSteel values by first-in, first-out (FIFO), average cost or specific identification methods. It is effective for annual reporting periods beginning after</w:t>
      </w:r>
    </w:p>
    <w:p>
      <w:pPr>
        <w:spacing w:after="0" w:line="391"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341" w:right="23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December 15, 2016, with early adoption permitted. TimkenSteel is currently evaluating the impact of the adoption of this ASU on its results of operations and financial condition.</w:t>
      </w:r>
    </w:p>
    <w:p>
      <w:pPr>
        <w:spacing w:after="0" w:line="130"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In May 2014, the FASB issued ASU 2014-09, “Revenue from Contracts with Customers (Topic 606),” which provides guidance for revenue recognition. This ASU affects any entity that either enters into contracts with customers to transfer goods or services or enters into contracts for the transfer of nonfinancial assets. This ASU will supersede the revenue recognition requirements in Topic 605, “Revenue Recognition,” and most industry-specific guidance. This ASU also supersedes some cost guidance included in Subtopic 605-35, “Revenue Recognition-Construction-Type and Production-Type Contracts.” The standard’s core principle is that a company will recognize revenue when it transfers promised goods or services to customers in an amount that reflects the consideration to which the company expects to be entitled in exchange for those goods or services. In doing so, companies will need to use more judgment and make more estimates than under today’s guidance. These may include identifying performance obligations in the contract, estimating the amount of variable consideration to include in the transaction price and allocating the transaction price to each separate performance obligation. In August 2015, the FASB issued ASU 2015-14, "Revenue from Contracts with Customers (Topic 606): Deferral of the Effective Date". This ASU defers the effective date of ASU 2014-09 for all entities by one year. Early application is permitted but not before the original effective date of annual periods beginning after December 15, 2016. TimkenSteel is currently evaluating the impact of the adoption of this ASU on its results of operations and financial condition.</w:t>
      </w:r>
    </w:p>
    <w:p>
      <w:pPr>
        <w:spacing w:after="0" w:line="11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3 - Inventories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inventories, net as of March 31, 2016 and December 31, 2015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5760" w:type="dxa"/>
            <w:vAlign w:val="bottom"/>
          </w:tcPr>
          <w:p>
            <w:pPr>
              <w:spacing w:after="0"/>
              <w:rPr>
                <w:sz w:val="17"/>
                <w:szCs w:val="17"/>
                <w:color w:val="auto"/>
              </w:rPr>
            </w:pPr>
          </w:p>
        </w:tc>
        <w:tc>
          <w:tcPr>
            <w:tcW w:w="3980" w:type="dxa"/>
            <w:vAlign w:val="bottom"/>
          </w:tcPr>
          <w:p>
            <w:pPr>
              <w:jc w:val="right"/>
              <w:ind w:right="732"/>
              <w:spacing w:after="0"/>
              <w:rPr>
                <w:sz w:val="20"/>
                <w:szCs w:val="20"/>
                <w:color w:val="auto"/>
              </w:rPr>
            </w:pPr>
            <w:r>
              <w:rPr>
                <w:rFonts w:ascii="Arial" w:cs="Arial" w:eastAsia="Arial" w:hAnsi="Arial"/>
                <w:sz w:val="16"/>
                <w:szCs w:val="16"/>
                <w:b w:val="1"/>
                <w:bCs w:val="1"/>
                <w:color w:val="auto"/>
              </w:rPr>
              <w:t>March 31,</w:t>
            </w:r>
          </w:p>
        </w:tc>
        <w:tc>
          <w:tcPr>
            <w:tcW w:w="1680" w:type="dxa"/>
            <w:vAlign w:val="bottom"/>
          </w:tcPr>
          <w:p>
            <w:pPr>
              <w:jc w:val="right"/>
              <w:ind w:right="372"/>
              <w:spacing w:after="0"/>
              <w:rPr>
                <w:sz w:val="20"/>
                <w:szCs w:val="20"/>
                <w:color w:val="auto"/>
              </w:rPr>
            </w:pPr>
            <w:r>
              <w:rPr>
                <w:rFonts w:ascii="Arial" w:cs="Arial" w:eastAsia="Arial" w:hAnsi="Arial"/>
                <w:sz w:val="16"/>
                <w:szCs w:val="16"/>
                <w:b w:val="1"/>
                <w:bCs w:val="1"/>
                <w:color w:val="auto"/>
              </w:rPr>
              <w:t>December 31,</w:t>
            </w:r>
          </w:p>
        </w:tc>
      </w:tr>
      <w:tr>
        <w:trPr>
          <w:trHeight w:val="210"/>
        </w:trPr>
        <w:tc>
          <w:tcPr>
            <w:tcW w:w="5760" w:type="dxa"/>
            <w:vAlign w:val="bottom"/>
          </w:tcPr>
          <w:p>
            <w:pPr>
              <w:spacing w:after="0"/>
              <w:rPr>
                <w:sz w:val="18"/>
                <w:szCs w:val="18"/>
                <w:color w:val="auto"/>
              </w:rPr>
            </w:pPr>
          </w:p>
        </w:tc>
        <w:tc>
          <w:tcPr>
            <w:tcW w:w="3980" w:type="dxa"/>
            <w:vAlign w:val="bottom"/>
          </w:tcPr>
          <w:p>
            <w:pPr>
              <w:jc w:val="right"/>
              <w:ind w:right="912"/>
              <w:spacing w:after="0"/>
              <w:rPr>
                <w:sz w:val="20"/>
                <w:szCs w:val="20"/>
                <w:color w:val="auto"/>
              </w:rPr>
            </w:pPr>
            <w:r>
              <w:rPr>
                <w:rFonts w:ascii="Arial" w:cs="Arial" w:eastAsia="Arial" w:hAnsi="Arial"/>
                <w:sz w:val="16"/>
                <w:szCs w:val="16"/>
                <w:b w:val="1"/>
                <w:bCs w:val="1"/>
                <w:color w:val="auto"/>
              </w:rPr>
              <w:t>2016</w:t>
            </w:r>
          </w:p>
        </w:tc>
        <w:tc>
          <w:tcPr>
            <w:tcW w:w="1680" w:type="dxa"/>
            <w:vAlign w:val="bottom"/>
          </w:tcPr>
          <w:p>
            <w:pPr>
              <w:jc w:val="right"/>
              <w:ind w:right="652"/>
              <w:spacing w:after="0"/>
              <w:rPr>
                <w:sz w:val="20"/>
                <w:szCs w:val="20"/>
                <w:color w:val="auto"/>
              </w:rPr>
            </w:pPr>
            <w:r>
              <w:rPr>
                <w:rFonts w:ascii="Arial" w:cs="Arial" w:eastAsia="Arial" w:hAnsi="Arial"/>
                <w:sz w:val="16"/>
                <w:szCs w:val="16"/>
                <w:b w:val="1"/>
                <w:bCs w:val="1"/>
                <w:color w:val="auto"/>
              </w:rPr>
              <w:t>2015</w:t>
            </w:r>
          </w:p>
        </w:tc>
      </w:tr>
      <w:tr>
        <w:trPr>
          <w:trHeight w:val="33"/>
        </w:trPr>
        <w:tc>
          <w:tcPr>
            <w:tcW w:w="5760" w:type="dxa"/>
            <w:vAlign w:val="bottom"/>
            <w:tcBorders>
              <w:bottom w:val="single" w:sz="8" w:color="auto"/>
            </w:tcBorders>
          </w:tcPr>
          <w:p>
            <w:pPr>
              <w:spacing w:after="0"/>
              <w:rPr>
                <w:sz w:val="2"/>
                <w:szCs w:val="2"/>
                <w:color w:val="auto"/>
              </w:rPr>
            </w:pPr>
          </w:p>
        </w:tc>
        <w:tc>
          <w:tcPr>
            <w:tcW w:w="39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5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Inventories, net:</w:t>
            </w:r>
          </w:p>
        </w:tc>
        <w:tc>
          <w:tcPr>
            <w:tcW w:w="39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r>
      <w:tr>
        <w:trPr>
          <w:trHeight w:val="243"/>
        </w:trPr>
        <w:tc>
          <w:tcPr>
            <w:tcW w:w="5760" w:type="dxa"/>
            <w:vAlign w:val="bottom"/>
          </w:tcPr>
          <w:p>
            <w:pPr>
              <w:ind w:left="40"/>
              <w:spacing w:after="0"/>
              <w:rPr>
                <w:sz w:val="20"/>
                <w:szCs w:val="20"/>
                <w:color w:val="auto"/>
              </w:rPr>
            </w:pPr>
            <w:r>
              <w:rPr>
                <w:rFonts w:ascii="Arial" w:cs="Arial" w:eastAsia="Arial" w:hAnsi="Arial"/>
                <w:sz w:val="18"/>
                <w:szCs w:val="18"/>
                <w:color w:val="auto"/>
              </w:rPr>
              <w:t>Manufacturing supplies</w:t>
            </w:r>
          </w:p>
        </w:tc>
        <w:tc>
          <w:tcPr>
            <w:tcW w:w="3980" w:type="dxa"/>
            <w:vAlign w:val="bottom"/>
          </w:tcPr>
          <w:p>
            <w:pPr>
              <w:jc w:val="right"/>
              <w:ind w:right="252"/>
              <w:spacing w:after="0"/>
              <w:rPr>
                <w:sz w:val="20"/>
                <w:szCs w:val="20"/>
                <w:color w:val="auto"/>
              </w:rPr>
            </w:pPr>
            <w:r>
              <w:rPr>
                <w:rFonts w:ascii="Arial" w:cs="Arial" w:eastAsia="Arial" w:hAnsi="Arial"/>
                <w:sz w:val="18"/>
                <w:szCs w:val="18"/>
                <w:b w:val="1"/>
                <w:bCs w:val="1"/>
                <w:color w:val="auto"/>
              </w:rPr>
              <w:t>$41.4</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$43.3</w:t>
            </w:r>
          </w:p>
        </w:tc>
      </w:tr>
      <w:tr>
        <w:trPr>
          <w:trHeight w:val="27"/>
        </w:trPr>
        <w:tc>
          <w:tcPr>
            <w:tcW w:w="5760" w:type="dxa"/>
            <w:vAlign w:val="bottom"/>
          </w:tcPr>
          <w:p>
            <w:pPr>
              <w:spacing w:after="0"/>
              <w:rPr>
                <w:sz w:val="2"/>
                <w:szCs w:val="2"/>
                <w:color w:val="auto"/>
              </w:rPr>
            </w:pPr>
          </w:p>
        </w:tc>
        <w:tc>
          <w:tcPr>
            <w:tcW w:w="39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5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Raw materials</w:t>
            </w:r>
          </w:p>
        </w:tc>
        <w:tc>
          <w:tcPr>
            <w:tcW w:w="398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13.1</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14.6</w:t>
            </w:r>
          </w:p>
        </w:tc>
      </w:tr>
      <w:tr>
        <w:trPr>
          <w:trHeight w:val="243"/>
        </w:trPr>
        <w:tc>
          <w:tcPr>
            <w:tcW w:w="5760" w:type="dxa"/>
            <w:vAlign w:val="bottom"/>
          </w:tcPr>
          <w:p>
            <w:pPr>
              <w:ind w:left="40"/>
              <w:spacing w:after="0"/>
              <w:rPr>
                <w:sz w:val="20"/>
                <w:szCs w:val="20"/>
                <w:color w:val="auto"/>
              </w:rPr>
            </w:pPr>
            <w:r>
              <w:rPr>
                <w:rFonts w:ascii="Arial" w:cs="Arial" w:eastAsia="Arial" w:hAnsi="Arial"/>
                <w:sz w:val="18"/>
                <w:szCs w:val="18"/>
                <w:color w:val="auto"/>
              </w:rPr>
              <w:t>Work in process</w:t>
            </w:r>
          </w:p>
        </w:tc>
        <w:tc>
          <w:tcPr>
            <w:tcW w:w="3980" w:type="dxa"/>
            <w:vAlign w:val="bottom"/>
          </w:tcPr>
          <w:p>
            <w:pPr>
              <w:jc w:val="right"/>
              <w:ind w:right="252"/>
              <w:spacing w:after="0"/>
              <w:rPr>
                <w:sz w:val="20"/>
                <w:szCs w:val="20"/>
                <w:color w:val="auto"/>
              </w:rPr>
            </w:pPr>
            <w:r>
              <w:rPr>
                <w:rFonts w:ascii="Arial" w:cs="Arial" w:eastAsia="Arial" w:hAnsi="Arial"/>
                <w:sz w:val="18"/>
                <w:szCs w:val="18"/>
                <w:b w:val="1"/>
                <w:bCs w:val="1"/>
                <w:color w:val="auto"/>
              </w:rPr>
              <w:t>57.9</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59.5</w:t>
            </w:r>
          </w:p>
        </w:tc>
      </w:tr>
      <w:tr>
        <w:trPr>
          <w:trHeight w:val="27"/>
        </w:trPr>
        <w:tc>
          <w:tcPr>
            <w:tcW w:w="5760" w:type="dxa"/>
            <w:vAlign w:val="bottom"/>
          </w:tcPr>
          <w:p>
            <w:pPr>
              <w:spacing w:after="0"/>
              <w:rPr>
                <w:sz w:val="2"/>
                <w:szCs w:val="2"/>
                <w:color w:val="auto"/>
              </w:rPr>
            </w:pPr>
          </w:p>
        </w:tc>
        <w:tc>
          <w:tcPr>
            <w:tcW w:w="39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75"/>
        </w:trPr>
        <w:tc>
          <w:tcPr>
            <w:tcW w:w="5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Finished products</w:t>
            </w:r>
          </w:p>
        </w:tc>
        <w:tc>
          <w:tcPr>
            <w:tcW w:w="398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57.6</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64.9</w:t>
            </w:r>
          </w:p>
        </w:tc>
      </w:tr>
      <w:tr>
        <w:trPr>
          <w:trHeight w:val="237"/>
        </w:trPr>
        <w:tc>
          <w:tcPr>
            <w:tcW w:w="576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Subtotal</w:t>
            </w:r>
          </w:p>
        </w:tc>
        <w:tc>
          <w:tcPr>
            <w:tcW w:w="3980" w:type="dxa"/>
            <w:vAlign w:val="bottom"/>
            <w:tcBorders>
              <w:top w:val="single" w:sz="8" w:color="auto"/>
            </w:tcBorders>
          </w:tcPr>
          <w:p>
            <w:pPr>
              <w:jc w:val="right"/>
              <w:ind w:right="252"/>
              <w:spacing w:after="0"/>
              <w:rPr>
                <w:sz w:val="20"/>
                <w:szCs w:val="20"/>
                <w:color w:val="auto"/>
              </w:rPr>
            </w:pPr>
            <w:r>
              <w:rPr>
                <w:rFonts w:ascii="Arial" w:cs="Arial" w:eastAsia="Arial" w:hAnsi="Arial"/>
                <w:sz w:val="18"/>
                <w:szCs w:val="18"/>
                <w:b w:val="1"/>
                <w:bCs w:val="1"/>
                <w:color w:val="auto"/>
              </w:rPr>
              <w:t>170.0</w:t>
            </w:r>
          </w:p>
        </w:tc>
        <w:tc>
          <w:tcPr>
            <w:tcW w:w="16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182.3</w:t>
            </w:r>
          </w:p>
        </w:tc>
      </w:tr>
      <w:tr>
        <w:trPr>
          <w:trHeight w:val="27"/>
        </w:trPr>
        <w:tc>
          <w:tcPr>
            <w:tcW w:w="5760" w:type="dxa"/>
            <w:vAlign w:val="bottom"/>
          </w:tcPr>
          <w:p>
            <w:pPr>
              <w:spacing w:after="0"/>
              <w:rPr>
                <w:sz w:val="2"/>
                <w:szCs w:val="2"/>
                <w:color w:val="auto"/>
              </w:rPr>
            </w:pPr>
          </w:p>
        </w:tc>
        <w:tc>
          <w:tcPr>
            <w:tcW w:w="39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75"/>
        </w:trPr>
        <w:tc>
          <w:tcPr>
            <w:tcW w:w="5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Allowance for surplus and obsolete inventory</w:t>
            </w:r>
          </w:p>
        </w:tc>
        <w:tc>
          <w:tcPr>
            <w:tcW w:w="3980" w:type="dxa"/>
            <w:vAlign w:val="bottom"/>
            <w:tcBorders>
              <w:bottom w:val="single" w:sz="8" w:color="CCEEFF"/>
            </w:tcBorders>
            <w:shd w:val="clear" w:color="auto" w:fill="CCEEFF"/>
          </w:tcPr>
          <w:p>
            <w:pPr>
              <w:jc w:val="right"/>
              <w:ind w:right="192"/>
              <w:spacing w:after="0"/>
              <w:rPr>
                <w:sz w:val="20"/>
                <w:szCs w:val="20"/>
                <w:color w:val="auto"/>
              </w:rPr>
            </w:pPr>
            <w:r>
              <w:rPr>
                <w:rFonts w:ascii="Arial" w:cs="Arial" w:eastAsia="Arial" w:hAnsi="Arial"/>
                <w:sz w:val="18"/>
                <w:szCs w:val="18"/>
                <w:b w:val="1"/>
                <w:bCs w:val="1"/>
                <w:color w:val="auto"/>
              </w:rPr>
              <w:t>(9.1)</w:t>
            </w: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w:t>
            </w:r>
          </w:p>
        </w:tc>
      </w:tr>
      <w:tr>
        <w:trPr>
          <w:trHeight w:val="237"/>
        </w:trPr>
        <w:tc>
          <w:tcPr>
            <w:tcW w:w="576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Total Inventories, net</w:t>
            </w:r>
          </w:p>
        </w:tc>
        <w:tc>
          <w:tcPr>
            <w:tcW w:w="3980" w:type="dxa"/>
            <w:vAlign w:val="bottom"/>
            <w:tcBorders>
              <w:top w:val="single" w:sz="8" w:color="auto"/>
            </w:tcBorders>
          </w:tcPr>
          <w:p>
            <w:pPr>
              <w:jc w:val="right"/>
              <w:ind w:right="252"/>
              <w:spacing w:after="0"/>
              <w:rPr>
                <w:sz w:val="20"/>
                <w:szCs w:val="20"/>
                <w:color w:val="auto"/>
              </w:rPr>
            </w:pPr>
            <w:r>
              <w:rPr>
                <w:rFonts w:ascii="Arial" w:cs="Arial" w:eastAsia="Arial" w:hAnsi="Arial"/>
                <w:sz w:val="18"/>
                <w:szCs w:val="18"/>
                <w:b w:val="1"/>
                <w:bCs w:val="1"/>
                <w:color w:val="auto"/>
              </w:rPr>
              <w:t>$160.9</w:t>
            </w:r>
          </w:p>
        </w:tc>
        <w:tc>
          <w:tcPr>
            <w:tcW w:w="16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$173.9</w:t>
            </w:r>
          </w:p>
        </w:tc>
      </w:tr>
      <w:tr>
        <w:trPr>
          <w:trHeight w:val="34"/>
        </w:trPr>
        <w:tc>
          <w:tcPr>
            <w:tcW w:w="5760" w:type="dxa"/>
            <w:vAlign w:val="bottom"/>
            <w:tcBorders>
              <w:bottom w:val="single" w:sz="8" w:color="auto"/>
            </w:tcBorders>
          </w:tcPr>
          <w:p>
            <w:pPr>
              <w:spacing w:after="0"/>
              <w:rPr>
                <w:sz w:val="2"/>
                <w:szCs w:val="2"/>
                <w:color w:val="auto"/>
              </w:rPr>
            </w:pPr>
          </w:p>
        </w:tc>
        <w:tc>
          <w:tcPr>
            <w:tcW w:w="39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Inventories are valued at the lower of cost or market, with approximately 63% valued by the LIFO method and the remaining inventories, including manufacturing supplies inventory as well as international (outside the United States) inventories, valued by FIFO, average cost or specific identification methods.</w:t>
      </w:r>
    </w:p>
    <w:p>
      <w:pPr>
        <w:spacing w:after="0" w:line="14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An actual valuation of the inventory under the LIFO method can be made only at the end of each year based on the inventory levels and costs at that time. Accordingly, interim LIFO calculations must be based on management’s estimates of expected year-end inventory levels and costs. Because these calculations are subject to many factors beyond management’s control, annual results may differ from interim results as they are subject to the final year-end LIFO inventory valuation.</w:t>
      </w:r>
    </w:p>
    <w:p>
      <w:pPr>
        <w:spacing w:after="0" w:line="146"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The LIFO reserve as of March 31, 2016 and December 31, 2015 was $48.9 million and $51.4 million, respectively. TimkenSteel projects that its LIFO reserve will decrease for the year ending December 31, 2016 due primarily to lower anticipated manufacturing costs.</w:t>
      </w:r>
    </w:p>
    <w:p>
      <w:pPr>
        <w:spacing w:after="0" w:line="373"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341" w:right="2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4 - Property, Plant and Equipment</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property, plant and equipment, net as of March 31, 2016 and December 31, 2015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5460" w:type="dxa"/>
            <w:vAlign w:val="bottom"/>
          </w:tcPr>
          <w:p>
            <w:pPr>
              <w:spacing w:after="0"/>
              <w:rPr>
                <w:sz w:val="17"/>
                <w:szCs w:val="17"/>
                <w:color w:val="auto"/>
              </w:rPr>
            </w:pPr>
          </w:p>
        </w:tc>
        <w:tc>
          <w:tcPr>
            <w:tcW w:w="4280" w:type="dxa"/>
            <w:vAlign w:val="bottom"/>
          </w:tcPr>
          <w:p>
            <w:pPr>
              <w:jc w:val="right"/>
              <w:ind w:right="732"/>
              <w:spacing w:after="0"/>
              <w:rPr>
                <w:sz w:val="20"/>
                <w:szCs w:val="20"/>
                <w:color w:val="auto"/>
              </w:rPr>
            </w:pPr>
            <w:r>
              <w:rPr>
                <w:rFonts w:ascii="Arial" w:cs="Arial" w:eastAsia="Arial" w:hAnsi="Arial"/>
                <w:sz w:val="16"/>
                <w:szCs w:val="16"/>
                <w:b w:val="1"/>
                <w:bCs w:val="1"/>
                <w:color w:val="auto"/>
              </w:rPr>
              <w:t>March 31,</w:t>
            </w:r>
          </w:p>
        </w:tc>
        <w:tc>
          <w:tcPr>
            <w:tcW w:w="1680" w:type="dxa"/>
            <w:vAlign w:val="bottom"/>
          </w:tcPr>
          <w:p>
            <w:pPr>
              <w:jc w:val="right"/>
              <w:ind w:right="372"/>
              <w:spacing w:after="0"/>
              <w:rPr>
                <w:sz w:val="20"/>
                <w:szCs w:val="20"/>
                <w:color w:val="auto"/>
              </w:rPr>
            </w:pPr>
            <w:r>
              <w:rPr>
                <w:rFonts w:ascii="Arial" w:cs="Arial" w:eastAsia="Arial" w:hAnsi="Arial"/>
                <w:sz w:val="16"/>
                <w:szCs w:val="16"/>
                <w:b w:val="1"/>
                <w:bCs w:val="1"/>
                <w:color w:val="auto"/>
              </w:rPr>
              <w:t>December 31,</w:t>
            </w:r>
          </w:p>
        </w:tc>
      </w:tr>
      <w:tr>
        <w:trPr>
          <w:trHeight w:val="210"/>
        </w:trPr>
        <w:tc>
          <w:tcPr>
            <w:tcW w:w="5460" w:type="dxa"/>
            <w:vAlign w:val="bottom"/>
          </w:tcPr>
          <w:p>
            <w:pPr>
              <w:spacing w:after="0"/>
              <w:rPr>
                <w:sz w:val="18"/>
                <w:szCs w:val="18"/>
                <w:color w:val="auto"/>
              </w:rPr>
            </w:pPr>
          </w:p>
        </w:tc>
        <w:tc>
          <w:tcPr>
            <w:tcW w:w="4280" w:type="dxa"/>
            <w:vAlign w:val="bottom"/>
          </w:tcPr>
          <w:p>
            <w:pPr>
              <w:jc w:val="right"/>
              <w:ind w:right="912"/>
              <w:spacing w:after="0"/>
              <w:rPr>
                <w:sz w:val="20"/>
                <w:szCs w:val="20"/>
                <w:color w:val="auto"/>
              </w:rPr>
            </w:pPr>
            <w:r>
              <w:rPr>
                <w:rFonts w:ascii="Arial" w:cs="Arial" w:eastAsia="Arial" w:hAnsi="Arial"/>
                <w:sz w:val="16"/>
                <w:szCs w:val="16"/>
                <w:b w:val="1"/>
                <w:bCs w:val="1"/>
                <w:color w:val="auto"/>
              </w:rPr>
              <w:t>2016</w:t>
            </w:r>
          </w:p>
        </w:tc>
        <w:tc>
          <w:tcPr>
            <w:tcW w:w="1680" w:type="dxa"/>
            <w:vAlign w:val="bottom"/>
          </w:tcPr>
          <w:p>
            <w:pPr>
              <w:jc w:val="right"/>
              <w:ind w:right="652"/>
              <w:spacing w:after="0"/>
              <w:rPr>
                <w:sz w:val="20"/>
                <w:szCs w:val="20"/>
                <w:color w:val="auto"/>
              </w:rPr>
            </w:pPr>
            <w:r>
              <w:rPr>
                <w:rFonts w:ascii="Arial" w:cs="Arial" w:eastAsia="Arial" w:hAnsi="Arial"/>
                <w:sz w:val="16"/>
                <w:szCs w:val="16"/>
                <w:b w:val="1"/>
                <w:bCs w:val="1"/>
                <w:color w:val="auto"/>
              </w:rPr>
              <w:t>2015</w:t>
            </w:r>
          </w:p>
        </w:tc>
      </w:tr>
      <w:tr>
        <w:trPr>
          <w:trHeight w:val="33"/>
        </w:trPr>
        <w:tc>
          <w:tcPr>
            <w:tcW w:w="5460" w:type="dxa"/>
            <w:vAlign w:val="bottom"/>
            <w:tcBorders>
              <w:bottom w:val="single" w:sz="8" w:color="auto"/>
            </w:tcBorders>
          </w:tcPr>
          <w:p>
            <w:pPr>
              <w:spacing w:after="0"/>
              <w:rPr>
                <w:sz w:val="2"/>
                <w:szCs w:val="2"/>
                <w:color w:val="auto"/>
              </w:rPr>
            </w:pPr>
          </w:p>
        </w:tc>
        <w:tc>
          <w:tcPr>
            <w:tcW w:w="42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5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Plant and Equipment, net:</w:t>
            </w:r>
          </w:p>
        </w:tc>
        <w:tc>
          <w:tcPr>
            <w:tcW w:w="42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r>
      <w:tr>
        <w:trPr>
          <w:trHeight w:val="243"/>
        </w:trPr>
        <w:tc>
          <w:tcPr>
            <w:tcW w:w="5460" w:type="dxa"/>
            <w:vAlign w:val="bottom"/>
          </w:tcPr>
          <w:p>
            <w:pPr>
              <w:ind w:left="40"/>
              <w:spacing w:after="0"/>
              <w:rPr>
                <w:sz w:val="20"/>
                <w:szCs w:val="20"/>
                <w:color w:val="auto"/>
              </w:rPr>
            </w:pPr>
            <w:r>
              <w:rPr>
                <w:rFonts w:ascii="Arial" w:cs="Arial" w:eastAsia="Arial" w:hAnsi="Arial"/>
                <w:sz w:val="18"/>
                <w:szCs w:val="18"/>
                <w:color w:val="auto"/>
              </w:rPr>
              <w:t>Land</w:t>
            </w:r>
          </w:p>
        </w:tc>
        <w:tc>
          <w:tcPr>
            <w:tcW w:w="4280" w:type="dxa"/>
            <w:vAlign w:val="bottom"/>
          </w:tcPr>
          <w:p>
            <w:pPr>
              <w:jc w:val="right"/>
              <w:ind w:right="252"/>
              <w:spacing w:after="0"/>
              <w:rPr>
                <w:sz w:val="20"/>
                <w:szCs w:val="20"/>
                <w:color w:val="auto"/>
              </w:rPr>
            </w:pPr>
            <w:r>
              <w:rPr>
                <w:rFonts w:ascii="Arial" w:cs="Arial" w:eastAsia="Arial" w:hAnsi="Arial"/>
                <w:sz w:val="18"/>
                <w:szCs w:val="18"/>
                <w:b w:val="1"/>
                <w:bCs w:val="1"/>
                <w:color w:val="auto"/>
              </w:rPr>
              <w:t>$13.4</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$13.4</w:t>
            </w:r>
          </w:p>
        </w:tc>
      </w:tr>
      <w:tr>
        <w:trPr>
          <w:trHeight w:val="27"/>
        </w:trPr>
        <w:tc>
          <w:tcPr>
            <w:tcW w:w="5460" w:type="dxa"/>
            <w:vAlign w:val="bottom"/>
          </w:tcPr>
          <w:p>
            <w:pPr>
              <w:spacing w:after="0"/>
              <w:rPr>
                <w:sz w:val="2"/>
                <w:szCs w:val="2"/>
                <w:color w:val="auto"/>
              </w:rPr>
            </w:pPr>
          </w:p>
        </w:tc>
        <w:tc>
          <w:tcPr>
            <w:tcW w:w="42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5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Buildings and improvements</w:t>
            </w:r>
          </w:p>
        </w:tc>
        <w:tc>
          <w:tcPr>
            <w:tcW w:w="428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417.6</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418.2</w:t>
            </w:r>
          </w:p>
        </w:tc>
      </w:tr>
      <w:tr>
        <w:trPr>
          <w:trHeight w:val="243"/>
        </w:trPr>
        <w:tc>
          <w:tcPr>
            <w:tcW w:w="5460" w:type="dxa"/>
            <w:vAlign w:val="bottom"/>
          </w:tcPr>
          <w:p>
            <w:pPr>
              <w:ind w:left="40"/>
              <w:spacing w:after="0"/>
              <w:rPr>
                <w:sz w:val="20"/>
                <w:szCs w:val="20"/>
                <w:color w:val="auto"/>
              </w:rPr>
            </w:pPr>
            <w:r>
              <w:rPr>
                <w:rFonts w:ascii="Arial" w:cs="Arial" w:eastAsia="Arial" w:hAnsi="Arial"/>
                <w:sz w:val="18"/>
                <w:szCs w:val="18"/>
                <w:color w:val="auto"/>
              </w:rPr>
              <w:t>Machinery and equipment</w:t>
            </w:r>
          </w:p>
        </w:tc>
        <w:tc>
          <w:tcPr>
            <w:tcW w:w="4280" w:type="dxa"/>
            <w:vAlign w:val="bottom"/>
          </w:tcPr>
          <w:p>
            <w:pPr>
              <w:jc w:val="right"/>
              <w:ind w:right="252"/>
              <w:spacing w:after="0"/>
              <w:rPr>
                <w:sz w:val="20"/>
                <w:szCs w:val="20"/>
                <w:color w:val="auto"/>
              </w:rPr>
            </w:pPr>
            <w:r>
              <w:rPr>
                <w:rFonts w:ascii="Arial" w:cs="Arial" w:eastAsia="Arial" w:hAnsi="Arial"/>
                <w:sz w:val="18"/>
                <w:szCs w:val="18"/>
                <w:b w:val="1"/>
                <w:bCs w:val="1"/>
                <w:color w:val="auto"/>
              </w:rPr>
              <w:t>1,318.5</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1,298.2</w:t>
            </w:r>
          </w:p>
        </w:tc>
      </w:tr>
      <w:tr>
        <w:trPr>
          <w:trHeight w:val="27"/>
        </w:trPr>
        <w:tc>
          <w:tcPr>
            <w:tcW w:w="5460" w:type="dxa"/>
            <w:vAlign w:val="bottom"/>
          </w:tcPr>
          <w:p>
            <w:pPr>
              <w:spacing w:after="0"/>
              <w:rPr>
                <w:sz w:val="2"/>
                <w:szCs w:val="2"/>
                <w:color w:val="auto"/>
              </w:rPr>
            </w:pPr>
          </w:p>
        </w:tc>
        <w:tc>
          <w:tcPr>
            <w:tcW w:w="42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75"/>
        </w:trPr>
        <w:tc>
          <w:tcPr>
            <w:tcW w:w="5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Construction in progress</w:t>
            </w:r>
          </w:p>
        </w:tc>
        <w:tc>
          <w:tcPr>
            <w:tcW w:w="428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62.4</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74.9</w:t>
            </w:r>
          </w:p>
        </w:tc>
      </w:tr>
      <w:tr>
        <w:trPr>
          <w:trHeight w:val="237"/>
        </w:trPr>
        <w:tc>
          <w:tcPr>
            <w:tcW w:w="546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Subtotal</w:t>
            </w:r>
          </w:p>
        </w:tc>
        <w:tc>
          <w:tcPr>
            <w:tcW w:w="4280" w:type="dxa"/>
            <w:vAlign w:val="bottom"/>
            <w:tcBorders>
              <w:top w:val="single" w:sz="8" w:color="auto"/>
            </w:tcBorders>
          </w:tcPr>
          <w:p>
            <w:pPr>
              <w:jc w:val="right"/>
              <w:ind w:right="252"/>
              <w:spacing w:after="0"/>
              <w:rPr>
                <w:sz w:val="20"/>
                <w:szCs w:val="20"/>
                <w:color w:val="auto"/>
              </w:rPr>
            </w:pPr>
            <w:r>
              <w:rPr>
                <w:rFonts w:ascii="Arial" w:cs="Arial" w:eastAsia="Arial" w:hAnsi="Arial"/>
                <w:sz w:val="18"/>
                <w:szCs w:val="18"/>
                <w:b w:val="1"/>
                <w:bCs w:val="1"/>
                <w:color w:val="auto"/>
              </w:rPr>
              <w:t>1,811.9</w:t>
            </w:r>
          </w:p>
        </w:tc>
        <w:tc>
          <w:tcPr>
            <w:tcW w:w="16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1,804.7</w:t>
            </w:r>
          </w:p>
        </w:tc>
      </w:tr>
      <w:tr>
        <w:trPr>
          <w:trHeight w:val="27"/>
        </w:trPr>
        <w:tc>
          <w:tcPr>
            <w:tcW w:w="5460" w:type="dxa"/>
            <w:vAlign w:val="bottom"/>
          </w:tcPr>
          <w:p>
            <w:pPr>
              <w:spacing w:after="0"/>
              <w:rPr>
                <w:sz w:val="2"/>
                <w:szCs w:val="2"/>
                <w:color w:val="auto"/>
              </w:rPr>
            </w:pPr>
          </w:p>
        </w:tc>
        <w:tc>
          <w:tcPr>
            <w:tcW w:w="42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75"/>
        </w:trPr>
        <w:tc>
          <w:tcPr>
            <w:tcW w:w="5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Less allowances for depreciation</w:t>
            </w:r>
          </w:p>
        </w:tc>
        <w:tc>
          <w:tcPr>
            <w:tcW w:w="4280" w:type="dxa"/>
            <w:vAlign w:val="bottom"/>
            <w:tcBorders>
              <w:bottom w:val="single" w:sz="8" w:color="CCEEFF"/>
            </w:tcBorders>
            <w:shd w:val="clear" w:color="auto" w:fill="CCEEFF"/>
          </w:tcPr>
          <w:p>
            <w:pPr>
              <w:jc w:val="right"/>
              <w:ind w:right="192"/>
              <w:spacing w:after="0"/>
              <w:rPr>
                <w:sz w:val="20"/>
                <w:szCs w:val="20"/>
                <w:color w:val="auto"/>
              </w:rPr>
            </w:pPr>
            <w:r>
              <w:rPr>
                <w:rFonts w:ascii="Arial" w:cs="Arial" w:eastAsia="Arial" w:hAnsi="Arial"/>
                <w:sz w:val="18"/>
                <w:szCs w:val="18"/>
                <w:b w:val="1"/>
                <w:bCs w:val="1"/>
                <w:color w:val="auto"/>
              </w:rPr>
              <w:t>(1,051.4)</w:t>
            </w: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(1,035.4)</w:t>
            </w:r>
          </w:p>
        </w:tc>
      </w:tr>
      <w:tr>
        <w:trPr>
          <w:trHeight w:val="237"/>
        </w:trPr>
        <w:tc>
          <w:tcPr>
            <w:tcW w:w="546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Property, Plant and Equipment, net</w:t>
            </w:r>
          </w:p>
        </w:tc>
        <w:tc>
          <w:tcPr>
            <w:tcW w:w="4280" w:type="dxa"/>
            <w:vAlign w:val="bottom"/>
            <w:tcBorders>
              <w:top w:val="single" w:sz="8" w:color="auto"/>
            </w:tcBorders>
          </w:tcPr>
          <w:p>
            <w:pPr>
              <w:jc w:val="right"/>
              <w:ind w:right="252"/>
              <w:spacing w:after="0"/>
              <w:rPr>
                <w:sz w:val="20"/>
                <w:szCs w:val="20"/>
                <w:color w:val="auto"/>
              </w:rPr>
            </w:pPr>
            <w:r>
              <w:rPr>
                <w:rFonts w:ascii="Arial" w:cs="Arial" w:eastAsia="Arial" w:hAnsi="Arial"/>
                <w:sz w:val="18"/>
                <w:szCs w:val="18"/>
                <w:b w:val="1"/>
                <w:bCs w:val="1"/>
                <w:color w:val="auto"/>
              </w:rPr>
              <w:t>$760.5</w:t>
            </w:r>
          </w:p>
        </w:tc>
        <w:tc>
          <w:tcPr>
            <w:tcW w:w="16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$769.3</w:t>
            </w:r>
          </w:p>
        </w:tc>
      </w:tr>
      <w:tr>
        <w:trPr>
          <w:trHeight w:val="34"/>
        </w:trPr>
        <w:tc>
          <w:tcPr>
            <w:tcW w:w="5460" w:type="dxa"/>
            <w:vAlign w:val="bottom"/>
            <w:tcBorders>
              <w:bottom w:val="single" w:sz="8" w:color="auto"/>
            </w:tcBorders>
          </w:tcPr>
          <w:p>
            <w:pPr>
              <w:spacing w:after="0"/>
              <w:rPr>
                <w:sz w:val="2"/>
                <w:szCs w:val="2"/>
                <w:color w:val="auto"/>
              </w:rPr>
            </w:pPr>
          </w:p>
        </w:tc>
        <w:tc>
          <w:tcPr>
            <w:tcW w:w="42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Total depreciation expense was $17.1 million and $15.9 million for the three months ended March 31, 2016 and 2015, respectively. TimkenSteel recorded capitalized interest related to construction projects of $0.2 million and $1.0 million for the three months ended March 31, 2016 and 2015, respectively. TimkenSteel recorded impairment charges of $0.4 million related to the discontinued use of certain assets during the three months ended March 31, 2015.</w:t>
      </w:r>
    </w:p>
    <w:p>
      <w:pPr>
        <w:spacing w:after="0" w:line="146"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On February 26, 2016, TimkenSteel entered into an agreement for a sale and leaseback transaction (the “Transaction”) regarding its Canton, Ohio office facilities for a purchase price of $20 million. TimkenSteel will lease back the facilities for a term of 20 years. TimkenSteel anticipates closing the Transaction late in the second quarter of 2016.</w:t>
      </w:r>
    </w:p>
    <w:p>
      <w:pPr>
        <w:spacing w:after="0" w:line="123"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5 - Intangible Assets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intangible assets, net as of March 31, 2016 and December 31, 2015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60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March 31, 2016</w:t>
            </w:r>
          </w:p>
        </w:tc>
        <w:tc>
          <w:tcPr>
            <w:tcW w:w="12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December 31, 2015</w:t>
            </w:r>
          </w:p>
        </w:tc>
        <w:tc>
          <w:tcPr>
            <w:tcW w:w="1080" w:type="dxa"/>
            <w:vAlign w:val="bottom"/>
            <w:tcBorders>
              <w:bottom w:val="single" w:sz="8" w:color="auto"/>
            </w:tcBorders>
          </w:tcPr>
          <w:p>
            <w:pPr>
              <w:spacing w:after="0"/>
              <w:rPr>
                <w:sz w:val="16"/>
                <w:szCs w:val="16"/>
                <w:color w:val="auto"/>
              </w:rPr>
            </w:pPr>
          </w:p>
        </w:tc>
      </w:tr>
      <w:tr>
        <w:trPr>
          <w:trHeight w:val="152"/>
        </w:trPr>
        <w:tc>
          <w:tcPr>
            <w:tcW w:w="3600" w:type="dxa"/>
            <w:vAlign w:val="bottom"/>
          </w:tcPr>
          <w:p>
            <w:pPr>
              <w:spacing w:after="0"/>
              <w:rPr>
                <w:sz w:val="13"/>
                <w:szCs w:val="13"/>
                <w:color w:val="auto"/>
              </w:rPr>
            </w:pPr>
          </w:p>
        </w:tc>
        <w:tc>
          <w:tcPr>
            <w:tcW w:w="1640" w:type="dxa"/>
            <w:vAlign w:val="bottom"/>
          </w:tcPr>
          <w:p>
            <w:pPr>
              <w:jc w:val="right"/>
              <w:ind w:right="96"/>
              <w:spacing w:after="0" w:line="153" w:lineRule="exact"/>
              <w:rPr>
                <w:sz w:val="20"/>
                <w:szCs w:val="20"/>
                <w:color w:val="auto"/>
              </w:rPr>
            </w:pPr>
            <w:r>
              <w:rPr>
                <w:rFonts w:ascii="Arial" w:cs="Arial" w:eastAsia="Arial" w:hAnsi="Arial"/>
                <w:sz w:val="14"/>
                <w:szCs w:val="14"/>
                <w:b w:val="1"/>
                <w:bCs w:val="1"/>
                <w:color w:val="auto"/>
              </w:rPr>
              <w:t>Gross Carrying</w:t>
            </w:r>
          </w:p>
        </w:tc>
        <w:tc>
          <w:tcPr>
            <w:tcW w:w="13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3"/>
              </w:rPr>
              <w:t>Accumulated</w:t>
            </w:r>
          </w:p>
        </w:tc>
        <w:tc>
          <w:tcPr>
            <w:tcW w:w="1200" w:type="dxa"/>
            <w:vAlign w:val="bottom"/>
          </w:tcPr>
          <w:p>
            <w:pPr>
              <w:jc w:val="right"/>
              <w:ind w:right="116"/>
              <w:spacing w:after="0" w:line="153" w:lineRule="exact"/>
              <w:rPr>
                <w:sz w:val="20"/>
                <w:szCs w:val="20"/>
                <w:color w:val="auto"/>
              </w:rPr>
            </w:pPr>
            <w:r>
              <w:rPr>
                <w:rFonts w:ascii="Arial" w:cs="Arial" w:eastAsia="Arial" w:hAnsi="Arial"/>
                <w:sz w:val="14"/>
                <w:szCs w:val="14"/>
                <w:b w:val="1"/>
                <w:bCs w:val="1"/>
                <w:color w:val="auto"/>
              </w:rPr>
              <w:t>Net Carrying</w:t>
            </w:r>
          </w:p>
        </w:tc>
        <w:tc>
          <w:tcPr>
            <w:tcW w:w="1220" w:type="dxa"/>
            <w:vAlign w:val="bottom"/>
          </w:tcPr>
          <w:p>
            <w:pPr>
              <w:jc w:val="right"/>
              <w:ind w:right="16"/>
              <w:spacing w:after="0" w:line="153" w:lineRule="exact"/>
              <w:rPr>
                <w:sz w:val="20"/>
                <w:szCs w:val="20"/>
                <w:color w:val="auto"/>
              </w:rPr>
            </w:pPr>
            <w:r>
              <w:rPr>
                <w:rFonts w:ascii="Arial" w:cs="Arial" w:eastAsia="Arial" w:hAnsi="Arial"/>
                <w:sz w:val="14"/>
                <w:szCs w:val="14"/>
                <w:b w:val="1"/>
                <w:bCs w:val="1"/>
                <w:color w:val="auto"/>
              </w:rPr>
              <w:t>Gross Carrying</w:t>
            </w:r>
          </w:p>
        </w:tc>
        <w:tc>
          <w:tcPr>
            <w:tcW w:w="136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3"/>
              </w:rPr>
              <w:t>Accumulated</w:t>
            </w:r>
          </w:p>
        </w:tc>
        <w:tc>
          <w:tcPr>
            <w:tcW w:w="1080" w:type="dxa"/>
            <w:vAlign w:val="bottom"/>
          </w:tcPr>
          <w:p>
            <w:pPr>
              <w:jc w:val="right"/>
              <w:ind w:right="76"/>
              <w:spacing w:after="0" w:line="153" w:lineRule="exact"/>
              <w:rPr>
                <w:sz w:val="20"/>
                <w:szCs w:val="20"/>
                <w:color w:val="auto"/>
              </w:rPr>
            </w:pPr>
            <w:r>
              <w:rPr>
                <w:rFonts w:ascii="Arial" w:cs="Arial" w:eastAsia="Arial" w:hAnsi="Arial"/>
                <w:sz w:val="14"/>
                <w:szCs w:val="14"/>
                <w:b w:val="1"/>
                <w:bCs w:val="1"/>
                <w:color w:val="auto"/>
              </w:rPr>
              <w:t>Net Carrying</w:t>
            </w:r>
          </w:p>
        </w:tc>
      </w:tr>
      <w:tr>
        <w:trPr>
          <w:trHeight w:val="192"/>
        </w:trPr>
        <w:tc>
          <w:tcPr>
            <w:tcW w:w="360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tcPr>
          <w:p>
            <w:pPr>
              <w:jc w:val="right"/>
              <w:ind w:right="316"/>
              <w:spacing w:after="0"/>
              <w:rPr>
                <w:sz w:val="20"/>
                <w:szCs w:val="20"/>
                <w:color w:val="auto"/>
              </w:rPr>
            </w:pPr>
            <w:r>
              <w:rPr>
                <w:rFonts w:ascii="Arial" w:cs="Arial" w:eastAsia="Arial" w:hAnsi="Arial"/>
                <w:sz w:val="14"/>
                <w:szCs w:val="14"/>
                <w:b w:val="1"/>
                <w:bCs w:val="1"/>
                <w:color w:val="auto"/>
              </w:rPr>
              <w:t>Amount</w:t>
            </w: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Amortization</w:t>
            </w:r>
          </w:p>
        </w:tc>
        <w:tc>
          <w:tcPr>
            <w:tcW w:w="1200" w:type="dxa"/>
            <w:vAlign w:val="bottom"/>
            <w:tcBorders>
              <w:bottom w:val="single" w:sz="8" w:color="auto"/>
            </w:tcBorders>
          </w:tcPr>
          <w:p>
            <w:pPr>
              <w:jc w:val="right"/>
              <w:ind w:right="276"/>
              <w:spacing w:after="0"/>
              <w:rPr>
                <w:sz w:val="20"/>
                <w:szCs w:val="20"/>
                <w:color w:val="auto"/>
              </w:rPr>
            </w:pPr>
            <w:r>
              <w:rPr>
                <w:rFonts w:ascii="Arial" w:cs="Arial" w:eastAsia="Arial" w:hAnsi="Arial"/>
                <w:sz w:val="14"/>
                <w:szCs w:val="14"/>
                <w:b w:val="1"/>
                <w:bCs w:val="1"/>
                <w:color w:val="auto"/>
              </w:rPr>
              <w:t>Amount</w:t>
            </w:r>
          </w:p>
        </w:tc>
        <w:tc>
          <w:tcPr>
            <w:tcW w:w="1220" w:type="dxa"/>
            <w:vAlign w:val="bottom"/>
            <w:tcBorders>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Amount</w:t>
            </w: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Amortization</w:t>
            </w:r>
          </w:p>
        </w:tc>
        <w:tc>
          <w:tcPr>
            <w:tcW w:w="1080" w:type="dxa"/>
            <w:vAlign w:val="bottom"/>
            <w:tcBorders>
              <w:bottom w:val="single" w:sz="8" w:color="auto"/>
            </w:tcBorders>
          </w:tcPr>
          <w:p>
            <w:pPr>
              <w:jc w:val="right"/>
              <w:ind w:right="216"/>
              <w:spacing w:after="0"/>
              <w:rPr>
                <w:sz w:val="20"/>
                <w:szCs w:val="20"/>
                <w:color w:val="auto"/>
              </w:rPr>
            </w:pPr>
            <w:r>
              <w:rPr>
                <w:rFonts w:ascii="Arial" w:cs="Arial" w:eastAsia="Arial" w:hAnsi="Arial"/>
                <w:sz w:val="14"/>
                <w:szCs w:val="14"/>
                <w:b w:val="1"/>
                <w:bCs w:val="1"/>
                <w:color w:val="auto"/>
              </w:rPr>
              <w:t>Amount</w:t>
            </w:r>
          </w:p>
        </w:tc>
      </w:tr>
      <w:tr>
        <w:trPr>
          <w:trHeight w:val="250"/>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 Assets Subject to Amortization:</w:t>
            </w:r>
          </w:p>
        </w:tc>
        <w:tc>
          <w:tcPr>
            <w:tcW w:w="16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r>
      <w:tr>
        <w:trPr>
          <w:trHeight w:val="243"/>
        </w:trPr>
        <w:tc>
          <w:tcPr>
            <w:tcW w:w="3600" w:type="dxa"/>
            <w:vAlign w:val="bottom"/>
          </w:tcPr>
          <w:p>
            <w:pPr>
              <w:ind w:left="40"/>
              <w:spacing w:after="0"/>
              <w:rPr>
                <w:sz w:val="20"/>
                <w:szCs w:val="20"/>
                <w:color w:val="auto"/>
              </w:rPr>
            </w:pPr>
            <w:r>
              <w:rPr>
                <w:rFonts w:ascii="Arial" w:cs="Arial" w:eastAsia="Arial" w:hAnsi="Arial"/>
                <w:sz w:val="18"/>
                <w:szCs w:val="18"/>
                <w:color w:val="auto"/>
              </w:rPr>
              <w:t>Customer relationships</w:t>
            </w:r>
          </w:p>
        </w:tc>
        <w:tc>
          <w:tcPr>
            <w:tcW w:w="1640" w:type="dxa"/>
            <w:vAlign w:val="bottom"/>
          </w:tcPr>
          <w:p>
            <w:pPr>
              <w:jc w:val="right"/>
              <w:ind w:right="116"/>
              <w:spacing w:after="0"/>
              <w:rPr>
                <w:sz w:val="20"/>
                <w:szCs w:val="20"/>
                <w:color w:val="auto"/>
              </w:rPr>
            </w:pPr>
            <w:r>
              <w:rPr>
                <w:rFonts w:ascii="Arial" w:cs="Arial" w:eastAsia="Arial" w:hAnsi="Arial"/>
                <w:sz w:val="18"/>
                <w:szCs w:val="18"/>
                <w:b w:val="1"/>
                <w:bCs w:val="1"/>
                <w:color w:val="auto"/>
              </w:rPr>
              <w:t>$6.8</w:t>
            </w:r>
          </w:p>
        </w:tc>
        <w:tc>
          <w:tcPr>
            <w:tcW w:w="1320" w:type="dxa"/>
            <w:vAlign w:val="bottom"/>
          </w:tcPr>
          <w:p>
            <w:pPr>
              <w:jc w:val="right"/>
              <w:ind w:right="158"/>
              <w:spacing w:after="0"/>
              <w:rPr>
                <w:sz w:val="20"/>
                <w:szCs w:val="20"/>
                <w:color w:val="auto"/>
              </w:rPr>
            </w:pPr>
            <w:r>
              <w:rPr>
                <w:rFonts w:ascii="Arial" w:cs="Arial" w:eastAsia="Arial" w:hAnsi="Arial"/>
                <w:sz w:val="18"/>
                <w:szCs w:val="18"/>
                <w:b w:val="1"/>
                <w:bCs w:val="1"/>
                <w:color w:val="auto"/>
              </w:rPr>
              <w:t>$3.7</w:t>
            </w:r>
          </w:p>
        </w:tc>
        <w:tc>
          <w:tcPr>
            <w:tcW w:w="1200" w:type="dxa"/>
            <w:vAlign w:val="bottom"/>
          </w:tcPr>
          <w:p>
            <w:pPr>
              <w:jc w:val="right"/>
              <w:ind w:right="56"/>
              <w:spacing w:after="0"/>
              <w:rPr>
                <w:sz w:val="20"/>
                <w:szCs w:val="20"/>
                <w:color w:val="auto"/>
              </w:rPr>
            </w:pPr>
            <w:r>
              <w:rPr>
                <w:rFonts w:ascii="Arial" w:cs="Arial" w:eastAsia="Arial" w:hAnsi="Arial"/>
                <w:sz w:val="18"/>
                <w:szCs w:val="18"/>
                <w:b w:val="1"/>
                <w:bCs w:val="1"/>
                <w:color w:val="auto"/>
              </w:rPr>
              <w:t>$3.1</w:t>
            </w:r>
          </w:p>
        </w:tc>
        <w:tc>
          <w:tcPr>
            <w:tcW w:w="1220" w:type="dxa"/>
            <w:vAlign w:val="bottom"/>
          </w:tcPr>
          <w:p>
            <w:pPr>
              <w:jc w:val="right"/>
              <w:ind w:right="36"/>
              <w:spacing w:after="0"/>
              <w:rPr>
                <w:sz w:val="20"/>
                <w:szCs w:val="20"/>
                <w:color w:val="auto"/>
              </w:rPr>
            </w:pPr>
            <w:r>
              <w:rPr>
                <w:rFonts w:ascii="Arial" w:cs="Arial" w:eastAsia="Arial" w:hAnsi="Arial"/>
                <w:sz w:val="18"/>
                <w:szCs w:val="18"/>
                <w:color w:val="auto"/>
              </w:rPr>
              <w:t>$6.8</w:t>
            </w:r>
          </w:p>
        </w:tc>
        <w:tc>
          <w:tcPr>
            <w:tcW w:w="1360" w:type="dxa"/>
            <w:vAlign w:val="bottom"/>
          </w:tcPr>
          <w:p>
            <w:pPr>
              <w:jc w:val="right"/>
              <w:ind w:right="178"/>
              <w:spacing w:after="0"/>
              <w:rPr>
                <w:sz w:val="20"/>
                <w:szCs w:val="20"/>
                <w:color w:val="auto"/>
              </w:rPr>
            </w:pPr>
            <w:r>
              <w:rPr>
                <w:rFonts w:ascii="Arial" w:cs="Arial" w:eastAsia="Arial" w:hAnsi="Arial"/>
                <w:sz w:val="18"/>
                <w:szCs w:val="18"/>
                <w:color w:val="auto"/>
              </w:rPr>
              <w:t>$3.7</w:t>
            </w:r>
          </w:p>
        </w:tc>
        <w:tc>
          <w:tcPr>
            <w:tcW w:w="1080" w:type="dxa"/>
            <w:vAlign w:val="bottom"/>
          </w:tcPr>
          <w:p>
            <w:pPr>
              <w:jc w:val="right"/>
              <w:ind w:right="16"/>
              <w:spacing w:after="0"/>
              <w:rPr>
                <w:sz w:val="20"/>
                <w:szCs w:val="20"/>
                <w:color w:val="auto"/>
              </w:rPr>
            </w:pPr>
            <w:r>
              <w:rPr>
                <w:rFonts w:ascii="Arial" w:cs="Arial" w:eastAsia="Arial" w:hAnsi="Arial"/>
                <w:sz w:val="18"/>
                <w:szCs w:val="18"/>
                <w:color w:val="auto"/>
              </w:rPr>
              <w:t>$3.1</w:t>
            </w:r>
          </w:p>
        </w:tc>
      </w:tr>
      <w:tr>
        <w:trPr>
          <w:trHeight w:val="27"/>
        </w:trPr>
        <w:tc>
          <w:tcPr>
            <w:tcW w:w="360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Technology use</w:t>
            </w:r>
          </w:p>
        </w:tc>
        <w:tc>
          <w:tcPr>
            <w:tcW w:w="164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8"/>
                <w:szCs w:val="18"/>
                <w:b w:val="1"/>
                <w:bCs w:val="1"/>
                <w:color w:val="auto"/>
              </w:rPr>
              <w:t>9.0</w:t>
            </w:r>
          </w:p>
        </w:tc>
        <w:tc>
          <w:tcPr>
            <w:tcW w:w="1320" w:type="dxa"/>
            <w:vAlign w:val="bottom"/>
            <w:tcBorders>
              <w:bottom w:val="single" w:sz="8" w:color="CCEEFF"/>
            </w:tcBorders>
            <w:shd w:val="clear" w:color="auto" w:fill="CCEEFF"/>
          </w:tcPr>
          <w:p>
            <w:pPr>
              <w:jc w:val="right"/>
              <w:ind w:right="158"/>
              <w:spacing w:after="0"/>
              <w:rPr>
                <w:sz w:val="20"/>
                <w:szCs w:val="20"/>
                <w:color w:val="auto"/>
              </w:rPr>
            </w:pPr>
            <w:r>
              <w:rPr>
                <w:rFonts w:ascii="Arial" w:cs="Arial" w:eastAsia="Arial" w:hAnsi="Arial"/>
                <w:sz w:val="18"/>
                <w:szCs w:val="18"/>
                <w:b w:val="1"/>
                <w:bCs w:val="1"/>
                <w:color w:val="auto"/>
              </w:rPr>
              <w:t>4.8</w:t>
            </w:r>
          </w:p>
        </w:tc>
        <w:tc>
          <w:tcPr>
            <w:tcW w:w="120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b w:val="1"/>
                <w:bCs w:val="1"/>
                <w:color w:val="auto"/>
              </w:rPr>
              <w:t>4.2</w:t>
            </w:r>
          </w:p>
        </w:tc>
        <w:tc>
          <w:tcPr>
            <w:tcW w:w="1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9.0</w:t>
            </w:r>
          </w:p>
        </w:tc>
        <w:tc>
          <w:tcPr>
            <w:tcW w:w="1360" w:type="dxa"/>
            <w:vAlign w:val="bottom"/>
            <w:tcBorders>
              <w:bottom w:val="single" w:sz="8" w:color="CCEEFF"/>
            </w:tcBorders>
            <w:shd w:val="clear" w:color="auto" w:fill="CCEEFF"/>
          </w:tcPr>
          <w:p>
            <w:pPr>
              <w:jc w:val="right"/>
              <w:ind w:right="178"/>
              <w:spacing w:after="0"/>
              <w:rPr>
                <w:sz w:val="20"/>
                <w:szCs w:val="20"/>
                <w:color w:val="auto"/>
              </w:rPr>
            </w:pPr>
            <w:r>
              <w:rPr>
                <w:rFonts w:ascii="Arial" w:cs="Arial" w:eastAsia="Arial" w:hAnsi="Arial"/>
                <w:sz w:val="18"/>
                <w:szCs w:val="18"/>
                <w:color w:val="auto"/>
              </w:rPr>
              <w:t>4.7</w:t>
            </w:r>
          </w:p>
        </w:tc>
        <w:tc>
          <w:tcPr>
            <w:tcW w:w="10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4.3</w:t>
            </w:r>
          </w:p>
        </w:tc>
      </w:tr>
      <w:tr>
        <w:trPr>
          <w:trHeight w:val="243"/>
        </w:trPr>
        <w:tc>
          <w:tcPr>
            <w:tcW w:w="3600" w:type="dxa"/>
            <w:vAlign w:val="bottom"/>
          </w:tcPr>
          <w:p>
            <w:pPr>
              <w:ind w:left="40"/>
              <w:spacing w:after="0"/>
              <w:rPr>
                <w:sz w:val="20"/>
                <w:szCs w:val="20"/>
                <w:color w:val="auto"/>
              </w:rPr>
            </w:pPr>
            <w:r>
              <w:rPr>
                <w:rFonts w:ascii="Arial" w:cs="Arial" w:eastAsia="Arial" w:hAnsi="Arial"/>
                <w:sz w:val="18"/>
                <w:szCs w:val="18"/>
                <w:color w:val="auto"/>
              </w:rPr>
              <w:t>Capitalized software</w:t>
            </w:r>
          </w:p>
        </w:tc>
        <w:tc>
          <w:tcPr>
            <w:tcW w:w="1640" w:type="dxa"/>
            <w:vAlign w:val="bottom"/>
          </w:tcPr>
          <w:p>
            <w:pPr>
              <w:jc w:val="right"/>
              <w:ind w:right="116"/>
              <w:spacing w:after="0"/>
              <w:rPr>
                <w:sz w:val="20"/>
                <w:szCs w:val="20"/>
                <w:color w:val="auto"/>
              </w:rPr>
            </w:pPr>
            <w:r>
              <w:rPr>
                <w:rFonts w:ascii="Arial" w:cs="Arial" w:eastAsia="Arial" w:hAnsi="Arial"/>
                <w:sz w:val="18"/>
                <w:szCs w:val="18"/>
                <w:b w:val="1"/>
                <w:bCs w:val="1"/>
                <w:color w:val="auto"/>
              </w:rPr>
              <w:t>58.0</w:t>
            </w:r>
          </w:p>
        </w:tc>
        <w:tc>
          <w:tcPr>
            <w:tcW w:w="1320" w:type="dxa"/>
            <w:vAlign w:val="bottom"/>
          </w:tcPr>
          <w:p>
            <w:pPr>
              <w:jc w:val="right"/>
              <w:ind w:right="158"/>
              <w:spacing w:after="0"/>
              <w:rPr>
                <w:sz w:val="20"/>
                <w:szCs w:val="20"/>
                <w:color w:val="auto"/>
              </w:rPr>
            </w:pPr>
            <w:r>
              <w:rPr>
                <w:rFonts w:ascii="Arial" w:cs="Arial" w:eastAsia="Arial" w:hAnsi="Arial"/>
                <w:sz w:val="18"/>
                <w:szCs w:val="18"/>
                <w:b w:val="1"/>
                <w:bCs w:val="1"/>
                <w:color w:val="auto"/>
              </w:rPr>
              <w:t>36.2</w:t>
            </w:r>
          </w:p>
        </w:tc>
        <w:tc>
          <w:tcPr>
            <w:tcW w:w="1200" w:type="dxa"/>
            <w:vAlign w:val="bottom"/>
          </w:tcPr>
          <w:p>
            <w:pPr>
              <w:jc w:val="right"/>
              <w:ind w:right="56"/>
              <w:spacing w:after="0"/>
              <w:rPr>
                <w:sz w:val="20"/>
                <w:szCs w:val="20"/>
                <w:color w:val="auto"/>
              </w:rPr>
            </w:pPr>
            <w:r>
              <w:rPr>
                <w:rFonts w:ascii="Arial" w:cs="Arial" w:eastAsia="Arial" w:hAnsi="Arial"/>
                <w:sz w:val="18"/>
                <w:szCs w:val="18"/>
                <w:b w:val="1"/>
                <w:bCs w:val="1"/>
                <w:color w:val="auto"/>
              </w:rPr>
              <w:t>21.8</w:t>
            </w:r>
          </w:p>
        </w:tc>
        <w:tc>
          <w:tcPr>
            <w:tcW w:w="1220" w:type="dxa"/>
            <w:vAlign w:val="bottom"/>
          </w:tcPr>
          <w:p>
            <w:pPr>
              <w:jc w:val="right"/>
              <w:ind w:right="36"/>
              <w:spacing w:after="0"/>
              <w:rPr>
                <w:sz w:val="20"/>
                <w:szCs w:val="20"/>
                <w:color w:val="auto"/>
              </w:rPr>
            </w:pPr>
            <w:r>
              <w:rPr>
                <w:rFonts w:ascii="Arial" w:cs="Arial" w:eastAsia="Arial" w:hAnsi="Arial"/>
                <w:sz w:val="18"/>
                <w:szCs w:val="18"/>
                <w:color w:val="auto"/>
              </w:rPr>
              <w:t>57.9</w:t>
            </w:r>
          </w:p>
        </w:tc>
        <w:tc>
          <w:tcPr>
            <w:tcW w:w="1360" w:type="dxa"/>
            <w:vAlign w:val="bottom"/>
          </w:tcPr>
          <w:p>
            <w:pPr>
              <w:jc w:val="right"/>
              <w:ind w:right="178"/>
              <w:spacing w:after="0"/>
              <w:rPr>
                <w:sz w:val="20"/>
                <w:szCs w:val="20"/>
                <w:color w:val="auto"/>
              </w:rPr>
            </w:pPr>
            <w:r>
              <w:rPr>
                <w:rFonts w:ascii="Arial" w:cs="Arial" w:eastAsia="Arial" w:hAnsi="Arial"/>
                <w:sz w:val="18"/>
                <w:szCs w:val="18"/>
                <w:color w:val="auto"/>
              </w:rPr>
              <w:t>34.7</w:t>
            </w:r>
          </w:p>
        </w:tc>
        <w:tc>
          <w:tcPr>
            <w:tcW w:w="1080" w:type="dxa"/>
            <w:vAlign w:val="bottom"/>
          </w:tcPr>
          <w:p>
            <w:pPr>
              <w:jc w:val="right"/>
              <w:ind w:right="16"/>
              <w:spacing w:after="0"/>
              <w:rPr>
                <w:sz w:val="20"/>
                <w:szCs w:val="20"/>
                <w:color w:val="auto"/>
              </w:rPr>
            </w:pPr>
            <w:r>
              <w:rPr>
                <w:rFonts w:ascii="Arial" w:cs="Arial" w:eastAsia="Arial" w:hAnsi="Arial"/>
                <w:sz w:val="18"/>
                <w:szCs w:val="18"/>
                <w:color w:val="auto"/>
              </w:rPr>
              <w:t>23.2</w:t>
            </w:r>
          </w:p>
        </w:tc>
      </w:tr>
      <w:tr>
        <w:trPr>
          <w:trHeight w:val="27"/>
        </w:trPr>
        <w:tc>
          <w:tcPr>
            <w:tcW w:w="360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44"/>
        </w:trPr>
        <w:tc>
          <w:tcPr>
            <w:tcW w:w="36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Total Intangible Assets</w:t>
            </w:r>
          </w:p>
        </w:tc>
        <w:tc>
          <w:tcPr>
            <w:tcW w:w="164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8"/>
                <w:szCs w:val="18"/>
                <w:b w:val="1"/>
                <w:bCs w:val="1"/>
                <w:color w:val="auto"/>
              </w:rPr>
              <w:t>$73.8</w:t>
            </w:r>
          </w:p>
        </w:tc>
        <w:tc>
          <w:tcPr>
            <w:tcW w:w="1320" w:type="dxa"/>
            <w:vAlign w:val="bottom"/>
            <w:tcBorders>
              <w:bottom w:val="single" w:sz="8" w:color="CCEEFF"/>
            </w:tcBorders>
            <w:shd w:val="clear" w:color="auto" w:fill="CCEEFF"/>
          </w:tcPr>
          <w:p>
            <w:pPr>
              <w:jc w:val="right"/>
              <w:ind w:right="158"/>
              <w:spacing w:after="0"/>
              <w:rPr>
                <w:sz w:val="20"/>
                <w:szCs w:val="20"/>
                <w:color w:val="auto"/>
              </w:rPr>
            </w:pPr>
            <w:r>
              <w:rPr>
                <w:rFonts w:ascii="Arial" w:cs="Arial" w:eastAsia="Arial" w:hAnsi="Arial"/>
                <w:sz w:val="18"/>
                <w:szCs w:val="18"/>
                <w:b w:val="1"/>
                <w:bCs w:val="1"/>
                <w:color w:val="auto"/>
              </w:rPr>
              <w:t>$44.7</w:t>
            </w:r>
          </w:p>
        </w:tc>
        <w:tc>
          <w:tcPr>
            <w:tcW w:w="120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b w:val="1"/>
                <w:bCs w:val="1"/>
                <w:color w:val="auto"/>
              </w:rPr>
              <w:t>$29.1</w:t>
            </w:r>
          </w:p>
        </w:tc>
        <w:tc>
          <w:tcPr>
            <w:tcW w:w="1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$73.7</w:t>
            </w:r>
          </w:p>
        </w:tc>
        <w:tc>
          <w:tcPr>
            <w:tcW w:w="1360" w:type="dxa"/>
            <w:vAlign w:val="bottom"/>
            <w:tcBorders>
              <w:bottom w:val="single" w:sz="8" w:color="CCEEFF"/>
            </w:tcBorders>
            <w:shd w:val="clear" w:color="auto" w:fill="CCEEFF"/>
          </w:tcPr>
          <w:p>
            <w:pPr>
              <w:jc w:val="right"/>
              <w:ind w:right="178"/>
              <w:spacing w:after="0"/>
              <w:rPr>
                <w:sz w:val="20"/>
                <w:szCs w:val="20"/>
                <w:color w:val="auto"/>
              </w:rPr>
            </w:pPr>
            <w:r>
              <w:rPr>
                <w:rFonts w:ascii="Arial" w:cs="Arial" w:eastAsia="Arial" w:hAnsi="Arial"/>
                <w:sz w:val="18"/>
                <w:szCs w:val="18"/>
                <w:color w:val="auto"/>
              </w:rPr>
              <w:t>$43.1</w:t>
            </w:r>
          </w:p>
        </w:tc>
        <w:tc>
          <w:tcPr>
            <w:tcW w:w="10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$30.6</w:t>
            </w:r>
          </w:p>
        </w:tc>
      </w:tr>
      <w:tr>
        <w:trPr>
          <w:trHeight w:val="27"/>
        </w:trPr>
        <w:tc>
          <w:tcPr>
            <w:tcW w:w="3600" w:type="dxa"/>
            <w:vAlign w:val="bottom"/>
            <w:shd w:val="clear" w:color="auto" w:fill="000000"/>
          </w:tcPr>
          <w:p>
            <w:pPr>
              <w:spacing w:after="0"/>
              <w:rPr>
                <w:sz w:val="2"/>
                <w:szCs w:val="2"/>
                <w:color w:val="auto"/>
              </w:rPr>
            </w:pPr>
          </w:p>
        </w:tc>
        <w:tc>
          <w:tcPr>
            <w:tcW w:w="1640" w:type="dxa"/>
            <w:vAlign w:val="bottom"/>
            <w:shd w:val="clear" w:color="auto" w:fill="000000"/>
          </w:tcPr>
          <w:p>
            <w:pPr>
              <w:spacing w:after="0"/>
              <w:rPr>
                <w:sz w:val="2"/>
                <w:szCs w:val="2"/>
                <w:color w:val="auto"/>
              </w:rPr>
            </w:pPr>
          </w:p>
        </w:tc>
        <w:tc>
          <w:tcPr>
            <w:tcW w:w="1320" w:type="dxa"/>
            <w:vAlign w:val="bottom"/>
            <w:shd w:val="clear" w:color="auto" w:fill="000000"/>
          </w:tcPr>
          <w:p>
            <w:pPr>
              <w:spacing w:after="0"/>
              <w:rPr>
                <w:sz w:val="2"/>
                <w:szCs w:val="2"/>
                <w:color w:val="auto"/>
              </w:rPr>
            </w:pPr>
          </w:p>
        </w:tc>
        <w:tc>
          <w:tcPr>
            <w:tcW w:w="1200" w:type="dxa"/>
            <w:vAlign w:val="bottom"/>
            <w:shd w:val="clear" w:color="auto" w:fill="000000"/>
          </w:tcPr>
          <w:p>
            <w:pPr>
              <w:spacing w:after="0"/>
              <w:rPr>
                <w:sz w:val="2"/>
                <w:szCs w:val="2"/>
                <w:color w:val="auto"/>
              </w:rPr>
            </w:pPr>
          </w:p>
        </w:tc>
        <w:tc>
          <w:tcPr>
            <w:tcW w:w="1220" w:type="dxa"/>
            <w:vAlign w:val="bottom"/>
            <w:shd w:val="clear" w:color="auto" w:fill="000000"/>
          </w:tcPr>
          <w:p>
            <w:pPr>
              <w:spacing w:after="0"/>
              <w:rPr>
                <w:sz w:val="2"/>
                <w:szCs w:val="2"/>
                <w:color w:val="auto"/>
              </w:rPr>
            </w:pPr>
          </w:p>
        </w:tc>
        <w:tc>
          <w:tcPr>
            <w:tcW w:w="136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Intangible assets subject to amortization are amortized on a straight-line method over their legal or estimated useful lives. Amortization expense for intangible assets for the three months ended March 31, 2016 and 2015 was $1.6 million and $1.7 million, respectively.</w:t>
      </w:r>
    </w:p>
    <w:p>
      <w:pPr>
        <w:spacing w:after="0" w:line="11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6 - Financing Arrangements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long-term debt as of March 31, 2016 and December 31, 2015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7900" w:type="dxa"/>
            <w:vAlign w:val="bottom"/>
          </w:tcPr>
          <w:p>
            <w:pPr>
              <w:spacing w:after="0"/>
              <w:rPr>
                <w:sz w:val="17"/>
                <w:szCs w:val="17"/>
                <w:color w:val="auto"/>
              </w:rPr>
            </w:pPr>
          </w:p>
        </w:tc>
        <w:tc>
          <w:tcPr>
            <w:tcW w:w="1800" w:type="dxa"/>
            <w:vAlign w:val="bottom"/>
          </w:tcPr>
          <w:p>
            <w:pPr>
              <w:jc w:val="right"/>
              <w:ind w:right="693"/>
              <w:spacing w:after="0"/>
              <w:rPr>
                <w:sz w:val="20"/>
                <w:szCs w:val="20"/>
                <w:color w:val="auto"/>
              </w:rPr>
            </w:pPr>
            <w:r>
              <w:rPr>
                <w:rFonts w:ascii="Arial" w:cs="Arial" w:eastAsia="Arial" w:hAnsi="Arial"/>
                <w:sz w:val="16"/>
                <w:szCs w:val="16"/>
                <w:b w:val="1"/>
                <w:bCs w:val="1"/>
                <w:color w:val="auto"/>
              </w:rPr>
              <w:t>March 31,</w:t>
            </w:r>
          </w:p>
        </w:tc>
        <w:tc>
          <w:tcPr>
            <w:tcW w:w="1720" w:type="dxa"/>
            <w:vAlign w:val="bottom"/>
          </w:tcPr>
          <w:p>
            <w:pPr>
              <w:jc w:val="right"/>
              <w:ind w:right="373"/>
              <w:spacing w:after="0"/>
              <w:rPr>
                <w:sz w:val="20"/>
                <w:szCs w:val="20"/>
                <w:color w:val="auto"/>
              </w:rPr>
            </w:pPr>
            <w:r>
              <w:rPr>
                <w:rFonts w:ascii="Arial" w:cs="Arial" w:eastAsia="Arial" w:hAnsi="Arial"/>
                <w:sz w:val="16"/>
                <w:szCs w:val="16"/>
                <w:b w:val="1"/>
                <w:bCs w:val="1"/>
                <w:color w:val="auto"/>
              </w:rPr>
              <w:t>December 31,</w:t>
            </w:r>
          </w:p>
        </w:tc>
        <w:tc>
          <w:tcPr>
            <w:tcW w:w="0" w:type="dxa"/>
            <w:vAlign w:val="bottom"/>
          </w:tcPr>
          <w:p>
            <w:pPr>
              <w:spacing w:after="0"/>
              <w:rPr>
                <w:sz w:val="1"/>
                <w:szCs w:val="1"/>
                <w:color w:val="auto"/>
              </w:rPr>
            </w:pPr>
          </w:p>
        </w:tc>
      </w:tr>
      <w:tr>
        <w:trPr>
          <w:trHeight w:val="210"/>
        </w:trPr>
        <w:tc>
          <w:tcPr>
            <w:tcW w:w="7900" w:type="dxa"/>
            <w:vAlign w:val="bottom"/>
          </w:tcPr>
          <w:p>
            <w:pPr>
              <w:spacing w:after="0"/>
              <w:rPr>
                <w:sz w:val="18"/>
                <w:szCs w:val="18"/>
                <w:color w:val="auto"/>
              </w:rPr>
            </w:pPr>
          </w:p>
        </w:tc>
        <w:tc>
          <w:tcPr>
            <w:tcW w:w="1800" w:type="dxa"/>
            <w:vAlign w:val="bottom"/>
          </w:tcPr>
          <w:p>
            <w:pPr>
              <w:jc w:val="right"/>
              <w:ind w:right="873"/>
              <w:spacing w:after="0"/>
              <w:rPr>
                <w:sz w:val="20"/>
                <w:szCs w:val="20"/>
                <w:color w:val="auto"/>
              </w:rPr>
            </w:pPr>
            <w:r>
              <w:rPr>
                <w:rFonts w:ascii="Arial" w:cs="Arial" w:eastAsia="Arial" w:hAnsi="Arial"/>
                <w:sz w:val="16"/>
                <w:szCs w:val="16"/>
                <w:b w:val="1"/>
                <w:bCs w:val="1"/>
                <w:color w:val="auto"/>
              </w:rPr>
              <w:t>2016</w:t>
            </w:r>
          </w:p>
        </w:tc>
        <w:tc>
          <w:tcPr>
            <w:tcW w:w="1720" w:type="dxa"/>
            <w:vAlign w:val="bottom"/>
          </w:tcPr>
          <w:p>
            <w:pPr>
              <w:jc w:val="right"/>
              <w:ind w:right="653"/>
              <w:spacing w:after="0"/>
              <w:rPr>
                <w:sz w:val="20"/>
                <w:szCs w:val="20"/>
                <w:color w:val="auto"/>
              </w:rPr>
            </w:pPr>
            <w:r>
              <w:rPr>
                <w:rFonts w:ascii="Arial" w:cs="Arial" w:eastAsia="Arial" w:hAnsi="Arial"/>
                <w:sz w:val="16"/>
                <w:szCs w:val="16"/>
                <w:b w:val="1"/>
                <w:bCs w:val="1"/>
                <w:color w:val="auto"/>
              </w:rPr>
              <w:t>2015</w:t>
            </w:r>
          </w:p>
        </w:tc>
        <w:tc>
          <w:tcPr>
            <w:tcW w:w="0" w:type="dxa"/>
            <w:vAlign w:val="bottom"/>
          </w:tcPr>
          <w:p>
            <w:pPr>
              <w:spacing w:after="0"/>
              <w:rPr>
                <w:sz w:val="1"/>
                <w:szCs w:val="1"/>
                <w:color w:val="auto"/>
              </w:rPr>
            </w:pPr>
          </w:p>
        </w:tc>
      </w:tr>
      <w:tr>
        <w:trPr>
          <w:trHeight w:val="33"/>
        </w:trPr>
        <w:tc>
          <w:tcPr>
            <w:tcW w:w="790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900" w:type="dxa"/>
            <w:vAlign w:val="bottom"/>
            <w:shd w:val="clear" w:color="auto" w:fill="CCEEFF"/>
          </w:tcPr>
          <w:p>
            <w:pPr>
              <w:ind w:left="40"/>
              <w:spacing w:after="0"/>
              <w:rPr>
                <w:sz w:val="20"/>
                <w:szCs w:val="20"/>
                <w:color w:val="auto"/>
              </w:rPr>
            </w:pPr>
            <w:r>
              <w:rPr>
                <w:rFonts w:ascii="Arial" w:cs="Arial" w:eastAsia="Arial" w:hAnsi="Arial"/>
                <w:sz w:val="18"/>
                <w:szCs w:val="18"/>
                <w:color w:val="auto"/>
                <w:w w:val="96"/>
              </w:rPr>
              <w:t>Variable-rate State of Ohio Water Development Revenue Refunding Bonds, maturing on November 1,</w:t>
            </w:r>
          </w:p>
        </w:tc>
        <w:tc>
          <w:tcPr>
            <w:tcW w:w="1800" w:type="dxa"/>
            <w:vAlign w:val="bottom"/>
            <w:vMerge w:val="restart"/>
            <w:shd w:val="clear" w:color="auto" w:fill="CCEEFF"/>
          </w:tcPr>
          <w:p>
            <w:pPr>
              <w:jc w:val="right"/>
              <w:ind w:right="213"/>
              <w:spacing w:after="0"/>
              <w:rPr>
                <w:sz w:val="20"/>
                <w:szCs w:val="20"/>
                <w:color w:val="auto"/>
              </w:rPr>
            </w:pPr>
            <w:r>
              <w:rPr>
                <w:rFonts w:ascii="Arial" w:cs="Arial" w:eastAsia="Arial" w:hAnsi="Arial"/>
                <w:sz w:val="18"/>
                <w:szCs w:val="18"/>
                <w:b w:val="1"/>
                <w:bCs w:val="1"/>
                <w:color w:val="auto"/>
              </w:rPr>
              <w:t>$12.2</w:t>
            </w:r>
          </w:p>
        </w:tc>
        <w:tc>
          <w:tcPr>
            <w:tcW w:w="17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2025 (0.38% as of March 31, 2016)</w:t>
            </w:r>
          </w:p>
        </w:tc>
        <w:tc>
          <w:tcPr>
            <w:tcW w:w="1800" w:type="dxa"/>
            <w:vAlign w:val="bottom"/>
            <w:tcBorders>
              <w:bottom w:val="single" w:sz="8" w:color="CCEEFF"/>
            </w:tcBorders>
            <w:vMerge w:val="continue"/>
            <w:shd w:val="clear" w:color="auto" w:fill="CCEEFF"/>
          </w:tcPr>
          <w:p>
            <w:pPr>
              <w:spacing w:after="0"/>
              <w:rPr>
                <w:sz w:val="20"/>
                <w:szCs w:val="20"/>
                <w:color w:val="auto"/>
              </w:rPr>
            </w:pPr>
          </w:p>
        </w:tc>
        <w:tc>
          <w:tcPr>
            <w:tcW w:w="17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229"/>
        </w:trPr>
        <w:tc>
          <w:tcPr>
            <w:tcW w:w="7900" w:type="dxa"/>
            <w:vAlign w:val="bottom"/>
          </w:tcPr>
          <w:p>
            <w:pPr>
              <w:ind w:left="40"/>
              <w:spacing w:after="0"/>
              <w:rPr>
                <w:sz w:val="20"/>
                <w:szCs w:val="20"/>
                <w:color w:val="auto"/>
              </w:rPr>
            </w:pPr>
            <w:r>
              <w:rPr>
                <w:rFonts w:ascii="Arial" w:cs="Arial" w:eastAsia="Arial" w:hAnsi="Arial"/>
                <w:sz w:val="18"/>
                <w:szCs w:val="18"/>
                <w:color w:val="auto"/>
                <w:w w:val="94"/>
              </w:rPr>
              <w:t>Variable-rate State of Ohio Air Quality Development Revenue Refunding Bonds, maturing on November</w:t>
            </w:r>
          </w:p>
        </w:tc>
        <w:tc>
          <w:tcPr>
            <w:tcW w:w="1800" w:type="dxa"/>
            <w:vAlign w:val="bottom"/>
            <w:vMerge w:val="restart"/>
          </w:tcPr>
          <w:p>
            <w:pPr>
              <w:jc w:val="right"/>
              <w:ind w:right="213"/>
              <w:spacing w:after="0"/>
              <w:rPr>
                <w:sz w:val="20"/>
                <w:szCs w:val="20"/>
                <w:color w:val="auto"/>
              </w:rPr>
            </w:pPr>
            <w:r>
              <w:rPr>
                <w:rFonts w:ascii="Arial" w:cs="Arial" w:eastAsia="Arial" w:hAnsi="Arial"/>
                <w:sz w:val="18"/>
                <w:szCs w:val="18"/>
                <w:b w:val="1"/>
                <w:bCs w:val="1"/>
                <w:color w:val="auto"/>
              </w:rPr>
              <w:t>9.5</w:t>
            </w: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00" w:type="dxa"/>
            <w:vAlign w:val="bottom"/>
          </w:tcPr>
          <w:p>
            <w:pPr>
              <w:ind w:left="40"/>
              <w:spacing w:after="0"/>
              <w:rPr>
                <w:sz w:val="20"/>
                <w:szCs w:val="20"/>
                <w:color w:val="auto"/>
              </w:rPr>
            </w:pPr>
            <w:r>
              <w:rPr>
                <w:rFonts w:ascii="Arial" w:cs="Arial" w:eastAsia="Arial" w:hAnsi="Arial"/>
                <w:sz w:val="18"/>
                <w:szCs w:val="18"/>
                <w:color w:val="auto"/>
              </w:rPr>
              <w:t>1, 2025 (0.39% as of March 31, 2016)</w:t>
            </w:r>
          </w:p>
        </w:tc>
        <w:tc>
          <w:tcPr>
            <w:tcW w:w="1800" w:type="dxa"/>
            <w:vAlign w:val="bottom"/>
            <w:vMerge w:val="continue"/>
          </w:tcPr>
          <w:p>
            <w:pPr>
              <w:spacing w:after="0"/>
              <w:rPr>
                <w:sz w:val="20"/>
                <w:szCs w:val="20"/>
                <w:color w:val="auto"/>
              </w:rPr>
            </w:pPr>
          </w:p>
        </w:tc>
        <w:tc>
          <w:tcPr>
            <w:tcW w:w="1720" w:type="dxa"/>
            <w:vAlign w:val="bottom"/>
          </w:tcPr>
          <w:p>
            <w:pPr>
              <w:jc w:val="right"/>
              <w:ind w:right="13"/>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7"/>
        </w:trPr>
        <w:tc>
          <w:tcPr>
            <w:tcW w:w="790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7900" w:type="dxa"/>
            <w:vAlign w:val="bottom"/>
            <w:shd w:val="clear" w:color="auto" w:fill="CCEEFF"/>
          </w:tcPr>
          <w:p>
            <w:pPr>
              <w:ind w:left="40"/>
              <w:spacing w:after="0"/>
              <w:rPr>
                <w:sz w:val="20"/>
                <w:szCs w:val="20"/>
                <w:color w:val="auto"/>
              </w:rPr>
            </w:pPr>
            <w:r>
              <w:rPr>
                <w:rFonts w:ascii="Arial" w:cs="Arial" w:eastAsia="Arial" w:hAnsi="Arial"/>
                <w:sz w:val="18"/>
                <w:szCs w:val="18"/>
                <w:color w:val="auto"/>
                <w:w w:val="99"/>
              </w:rPr>
              <w:t>Variable-rate State of Ohio Pollution Control Revenue Refunding Bonds, maturing on June 1, 2033</w:t>
            </w:r>
          </w:p>
        </w:tc>
        <w:tc>
          <w:tcPr>
            <w:tcW w:w="1800" w:type="dxa"/>
            <w:vAlign w:val="bottom"/>
            <w:vMerge w:val="restart"/>
            <w:shd w:val="clear" w:color="auto" w:fill="CCEEFF"/>
          </w:tcPr>
          <w:p>
            <w:pPr>
              <w:jc w:val="right"/>
              <w:ind w:right="213"/>
              <w:spacing w:after="0"/>
              <w:rPr>
                <w:sz w:val="20"/>
                <w:szCs w:val="20"/>
                <w:color w:val="auto"/>
              </w:rPr>
            </w:pPr>
            <w:r>
              <w:rPr>
                <w:rFonts w:ascii="Arial" w:cs="Arial" w:eastAsia="Arial" w:hAnsi="Arial"/>
                <w:sz w:val="18"/>
                <w:szCs w:val="18"/>
                <w:b w:val="1"/>
                <w:bCs w:val="1"/>
                <w:color w:val="auto"/>
              </w:rPr>
              <w:t>8.5</w:t>
            </w:r>
          </w:p>
        </w:tc>
        <w:tc>
          <w:tcPr>
            <w:tcW w:w="17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(0.39% as of March 31, 2016)</w:t>
            </w:r>
          </w:p>
        </w:tc>
        <w:tc>
          <w:tcPr>
            <w:tcW w:w="1800" w:type="dxa"/>
            <w:vAlign w:val="bottom"/>
            <w:tcBorders>
              <w:bottom w:val="single" w:sz="8" w:color="CCEEFF"/>
            </w:tcBorders>
            <w:vMerge w:val="continue"/>
            <w:shd w:val="clear" w:color="auto" w:fill="CCEEFF"/>
          </w:tcPr>
          <w:p>
            <w:pPr>
              <w:spacing w:after="0"/>
              <w:rPr>
                <w:sz w:val="20"/>
                <w:szCs w:val="20"/>
                <w:color w:val="auto"/>
              </w:rPr>
            </w:pPr>
          </w:p>
        </w:tc>
        <w:tc>
          <w:tcPr>
            <w:tcW w:w="17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8.5</w:t>
            </w:r>
          </w:p>
        </w:tc>
        <w:tc>
          <w:tcPr>
            <w:tcW w:w="0" w:type="dxa"/>
            <w:vAlign w:val="bottom"/>
          </w:tcPr>
          <w:p>
            <w:pPr>
              <w:spacing w:after="0"/>
              <w:rPr>
                <w:sz w:val="1"/>
                <w:szCs w:val="1"/>
                <w:color w:val="auto"/>
              </w:rPr>
            </w:pP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Amended Credit Agreement, due 2019 (LIBOR plus applicable spread)</w:t>
            </w:r>
          </w:p>
        </w:tc>
        <w:tc>
          <w:tcPr>
            <w:tcW w:w="1800" w:type="dxa"/>
            <w:vAlign w:val="bottom"/>
          </w:tcPr>
          <w:p>
            <w:pPr>
              <w:jc w:val="right"/>
              <w:ind w:right="213"/>
              <w:spacing w:after="0"/>
              <w:rPr>
                <w:sz w:val="20"/>
                <w:szCs w:val="20"/>
                <w:color w:val="auto"/>
              </w:rPr>
            </w:pPr>
            <w:r>
              <w:rPr>
                <w:rFonts w:ascii="Arial" w:cs="Arial" w:eastAsia="Arial" w:hAnsi="Arial"/>
                <w:sz w:val="18"/>
                <w:szCs w:val="18"/>
                <w:b w:val="1"/>
                <w:bCs w:val="1"/>
                <w:color w:val="auto"/>
              </w:rPr>
              <w:t>155.0</w:t>
            </w:r>
          </w:p>
        </w:tc>
        <w:tc>
          <w:tcPr>
            <w:tcW w:w="1720" w:type="dxa"/>
            <w:vAlign w:val="bottom"/>
          </w:tcPr>
          <w:p>
            <w:pPr>
              <w:jc w:val="right"/>
              <w:ind w:right="13"/>
              <w:spacing w:after="0"/>
              <w:rPr>
                <w:sz w:val="20"/>
                <w:szCs w:val="20"/>
                <w:color w:val="auto"/>
              </w:rPr>
            </w:pPr>
            <w:r>
              <w:rPr>
                <w:rFonts w:ascii="Arial" w:cs="Arial" w:eastAsia="Arial" w:hAnsi="Arial"/>
                <w:sz w:val="18"/>
                <w:szCs w:val="18"/>
                <w:color w:val="auto"/>
              </w:rPr>
              <w:t>170.0</w:t>
            </w:r>
          </w:p>
        </w:tc>
        <w:tc>
          <w:tcPr>
            <w:tcW w:w="0" w:type="dxa"/>
            <w:vAlign w:val="bottom"/>
          </w:tcPr>
          <w:p>
            <w:pPr>
              <w:spacing w:after="0"/>
              <w:rPr>
                <w:sz w:val="1"/>
                <w:szCs w:val="1"/>
                <w:color w:val="auto"/>
              </w:rPr>
            </w:pPr>
          </w:p>
        </w:tc>
      </w:tr>
      <w:tr>
        <w:trPr>
          <w:trHeight w:val="27"/>
        </w:trPr>
        <w:tc>
          <w:tcPr>
            <w:tcW w:w="790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9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Total Long-Term Debt</w:t>
            </w:r>
          </w:p>
        </w:tc>
        <w:tc>
          <w:tcPr>
            <w:tcW w:w="1800" w:type="dxa"/>
            <w:vAlign w:val="bottom"/>
            <w:tcBorders>
              <w:bottom w:val="single" w:sz="8" w:color="CCEEFF"/>
            </w:tcBorders>
            <w:shd w:val="clear" w:color="auto" w:fill="CCEEFF"/>
          </w:tcPr>
          <w:p>
            <w:pPr>
              <w:jc w:val="right"/>
              <w:ind w:right="213"/>
              <w:spacing w:after="0"/>
              <w:rPr>
                <w:sz w:val="20"/>
                <w:szCs w:val="20"/>
                <w:color w:val="auto"/>
              </w:rPr>
            </w:pPr>
            <w:r>
              <w:rPr>
                <w:rFonts w:ascii="Arial" w:cs="Arial" w:eastAsia="Arial" w:hAnsi="Arial"/>
                <w:sz w:val="18"/>
                <w:szCs w:val="18"/>
                <w:b w:val="1"/>
                <w:bCs w:val="1"/>
                <w:color w:val="auto"/>
              </w:rPr>
              <w:t>$185.2</w:t>
            </w:r>
          </w:p>
        </w:tc>
        <w:tc>
          <w:tcPr>
            <w:tcW w:w="17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$200.2</w:t>
            </w:r>
          </w:p>
        </w:tc>
        <w:tc>
          <w:tcPr>
            <w:tcW w:w="0" w:type="dxa"/>
            <w:vAlign w:val="bottom"/>
          </w:tcPr>
          <w:p>
            <w:pPr>
              <w:spacing w:after="0"/>
              <w:rPr>
                <w:sz w:val="1"/>
                <w:szCs w:val="1"/>
                <w:color w:val="auto"/>
              </w:rPr>
            </w:pPr>
          </w:p>
        </w:tc>
      </w:tr>
      <w:tr>
        <w:trPr>
          <w:trHeight w:val="20"/>
        </w:trPr>
        <w:tc>
          <w:tcPr>
            <w:tcW w:w="7900" w:type="dxa"/>
            <w:vAlign w:val="bottom"/>
            <w:shd w:val="clear" w:color="auto" w:fill="000000"/>
          </w:tcPr>
          <w:p>
            <w:pPr>
              <w:spacing w:after="0" w:line="20" w:lineRule="exact"/>
              <w:rPr>
                <w:sz w:val="1"/>
                <w:szCs w:val="1"/>
                <w:color w:val="auto"/>
              </w:rPr>
            </w:pPr>
          </w:p>
        </w:tc>
        <w:tc>
          <w:tcPr>
            <w:tcW w:w="1800" w:type="dxa"/>
            <w:vAlign w:val="bottom"/>
            <w:shd w:val="clear" w:color="auto" w:fill="000000"/>
          </w:tcPr>
          <w:p>
            <w:pPr>
              <w:spacing w:after="0" w:line="20" w:lineRule="exact"/>
              <w:rPr>
                <w:sz w:val="1"/>
                <w:szCs w:val="1"/>
                <w:color w:val="auto"/>
              </w:rPr>
            </w:pPr>
          </w:p>
        </w:tc>
        <w:tc>
          <w:tcPr>
            <w:tcW w:w="17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341" w:right="239" w:bottom="1440" w:gutter="0" w:footer="0" w:header="0"/>
        </w:sectPr>
      </w:pPr>
    </w:p>
    <w:p>
      <w:pPr>
        <w:spacing w:after="0" w:line="204" w:lineRule="exact"/>
        <w:rPr>
          <w:sz w:val="20"/>
          <w:szCs w:val="20"/>
          <w:color w:val="auto"/>
        </w:rPr>
      </w:pPr>
    </w:p>
    <w:p>
      <w:pPr>
        <w:ind w:left="5940"/>
        <w:spacing w:after="0"/>
        <w:rPr>
          <w:sz w:val="20"/>
          <w:szCs w:val="20"/>
          <w:color w:val="auto"/>
        </w:rPr>
      </w:pPr>
      <w:r>
        <w:rPr>
          <w:rFonts w:ascii="Arial" w:cs="Arial" w:eastAsia="Arial" w:hAnsi="Arial"/>
          <w:sz w:val="16"/>
          <w:szCs w:val="16"/>
          <w:color w:val="auto"/>
        </w:rPr>
        <w:t>10</w:t>
      </w:r>
    </w:p>
    <w:p>
      <w:pPr>
        <w:sectPr>
          <w:pgSz w:w="11900" w:h="16838" w:orient="portrait"/>
          <w:cols w:equalWidth="0" w:num="1">
            <w:col w:w="11420"/>
          </w:cols>
          <w:pgMar w:left="240" w:top="341" w:right="239" w:bottom="1440" w:gutter="0" w:footer="0" w:header="0"/>
          <w:type w:val="continuous"/>
        </w:sectPr>
      </w:pPr>
    </w:p>
    <w:bookmarkStart w:id="11" w:name="page12"/>
    <w:bookmarkEnd w:id="1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Amended Credit Agreement</w:t>
      </w:r>
    </w:p>
    <w:p>
      <w:pPr>
        <w:spacing w:after="0" w:line="18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On February 26, 2016, the Company, as borrower, and certain domestic subsidiaries, as subsidiary guarantors, entered into Amendment No. 1 to the Amended and Restated Credit Agreement (as amended by the Amendment, the “Amended Credit Agreement”) with JPMorgan Chase Bank, N.A., as administrative agent, and the other lenders party thereto.</w:t>
      </w:r>
    </w:p>
    <w:p>
      <w:pPr>
        <w:spacing w:after="0" w:line="141"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The Amended Credit Agreement provides for a $265.0 million asset-based revolving credit facility, including a $13.3 million sublimit for the issuance of commercial and standby letters of credit and a $26.5 million sublimit for swingline loans. The availability of borrowings under the Amended Credit Agreement is subject to a borrowing base calculation based upon a valuation of the eligible accounts receivable, inventory and machinery and equipment of TimkenSteel and the subsidiaries of TimkenSteel guaranteeing TimkenSteel’s obligations thereunder, each multiplied by an applicable advance rate. The Amended Credit Agreement includes a block on availability equal to the greater $28.9 million or 12.5% of the aggregate commitments (except that in the event of a mandatory reduction in the commitments the block on availability will be equal to the greater of $20.0 million or 12.5% of the aggregate commitments), effectively reducing the Company’s borrowing base by the availability block.</w:t>
      </w:r>
    </w:p>
    <w:p>
      <w:pPr>
        <w:spacing w:after="0" w:line="137"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6"/>
          <w:szCs w:val="16"/>
          <w:color w:val="auto"/>
        </w:rPr>
        <w:t>The Amended Credit Agreement contains certain customary covenants, including covenants that limit the ability of TimkenSteel and its subsidiaries to, among other things, (i) incur or suffer to exist certain liens, (ii) make investments, (iii) incur or guaranty additional indebtedness (iv) enter into consolidations, mergers, acquisitions and sales of assets, (v) make distributions and other restricted payments, (vi) change the nature of its business,</w:t>
      </w:r>
    </w:p>
    <w:p>
      <w:pPr>
        <w:jc w:val="both"/>
        <w:ind w:firstLine="8"/>
        <w:spacing w:after="0" w:line="254" w:lineRule="auto"/>
        <w:tabs>
          <w:tab w:leader="none" w:pos="376" w:val="left"/>
        </w:tabs>
        <w:numPr>
          <w:ilvl w:val="0"/>
          <w:numId w:val="3"/>
        </w:numPr>
        <w:rPr>
          <w:rFonts w:ascii="Arial" w:cs="Arial" w:eastAsia="Arial" w:hAnsi="Arial"/>
          <w:sz w:val="18"/>
          <w:szCs w:val="18"/>
          <w:color w:val="auto"/>
        </w:rPr>
      </w:pPr>
      <w:r>
        <w:rPr>
          <w:rFonts w:ascii="Arial" w:cs="Arial" w:eastAsia="Arial" w:hAnsi="Arial"/>
          <w:sz w:val="18"/>
          <w:szCs w:val="18"/>
          <w:color w:val="auto"/>
        </w:rPr>
        <w:t>engage in transactions with affiliates and (viii) enter into restrictive agreements, including agreements that restrict the ability to incur liens or make distributions. Further, the Amended Credit Agreement contains financial covenants that (i) limit the amount of capital expenditures TimkenSteel may make to $45 million in fiscal year 2016 and $50 million in fiscal years thereafter and (ii) require the Company to maintain a minimum specified fixed charge coverage ratio for the year-to-date periods ending June 30, 2017, July 31, 2017 and August 31, 2017.</w:t>
      </w:r>
    </w:p>
    <w:p>
      <w:pPr>
        <w:spacing w:after="0" w:line="149"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Borrowings under the Amended Credit Agreement bear interest based on the daily balance outstanding at LIBOR (with no rate floor), plus an applicable margin (varying from 3.00% to 3.50%) and an additional 0.75% on the machinery and equipment component or, in certain cases, an alternate base rate (based on certain lending institutions’ Prime Rate or as otherwise specified in the Amended and Restated Credit Agreement, with no rate floor), plus an applicable margin (varying from 2.00% to 2.50%). The Amended Credit Agreement also carries a commitment fee equal to the unused borrowings multiplied by an applicable margin 0.50%. The applicable margins are calculated quarterly and vary based on TimkenSteel’s average quarterly availability as set forth in the Amended Credit Agreement. The interest rate under the Amended Credit Agreement was 4.22% as of March 31, 2016. The amount available under the Amended Credit Agreement as of March 31, 2016 was $17.1 million net, after reducing for the block on availability of $33.1 million.</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Advanced Quench-and-Temper Facility</w:t>
      </w:r>
    </w:p>
    <w:p>
      <w:pPr>
        <w:spacing w:after="0" w:line="185"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In the second quarter of 2015, TimkenSteel entered into a capital lease arrangement with the Stark County Port Authority in connection with the construction of a new advanced quench-and-temper facility in Perry Township, Ohio and the issuance of an Industrial Revenue Bond. The bond is held 100% by TimkenSteel Material Services, LLC (a wholly-owned subsidiary of TimkenSteel) and, accordingly, the obligation under the lease agreement and investment in the Industrial Revenue Bond, as well as the related interest income and expense, are eliminated in the Consolidated Financial Statements. As of March 31, 2016, $34.6 million has been spent on the new advanced quench-and-temper facility and is reported in property, plant and equipment, net in the Consolidated Balance Sheets. Of this amount, $7.2 million has been financed through the capital lease arrangement described above.</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Refunding Bonds</w:t>
      </w:r>
    </w:p>
    <w:p>
      <w:pPr>
        <w:spacing w:after="0" w:line="185"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On June 1, 2014, Timken purchased, in lieu of redemption, the State of Ohio Water Development Revenue Refunding Bonds (Water Bonds), State of Ohio Air Quality Development Revenue Refunding Bonds (Air Quality Bonds) and State of Ohio Pollution Control Revenue Refunding Bonds (Pollution Control Bonds) (collectively, Bonds). Pursuant to an Assignment and Assumption Agreement dated June 24, 2014 (Assignment) between Timken and TimkenSteel, Timken assigned all of its right, title and interest in and to the loan agreements and the notes associated with the Bonds to, and these obligations were assumed by, TimkenSteel. Additionally, replacement letters of credit were issued for the Water Bonds and the Pollution Control Bonds. The Bonds were remarketed on June 24, 2014 (Remarketing Date) in connection with the conversion of the interest rate mode for the Bonds to the weekly rate and the delivery of the replacement letters of credit, as applicable. TimkenSteel is responsible for payment of the interest and principal associated with the Bonds subsequent to the Remarketing Date.</w:t>
      </w:r>
    </w:p>
    <w:p>
      <w:pPr>
        <w:spacing w:after="0" w:line="15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All of TimkenSteel’s long-term debt is variable-rate debt and, as a result, the carrying value of this debt is a reasonable estimate of fair value as interest rates on these borrowings approximate current market rates, which is considered a Level 2 fair</w:t>
      </w:r>
    </w:p>
    <w:p>
      <w:pPr>
        <w:spacing w:after="0" w:line="37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341" w:right="2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value input as defined by Accounting Standard Codification (ASC) 820, “Fair Value Measurements”. The valuation of Level 2 is based on quoted prices for similar assets and liabilities in active markets that are observable either directly or indirectly.</w:t>
      </w:r>
    </w:p>
    <w:p>
      <w:pPr>
        <w:spacing w:after="0" w:line="11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7 - Accumulated Other Comprehensive Loss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Changes in accumulated other comprehensive loss for the three months ended March 31, 2016 and 2015 by component are as follows: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0" w:type="dxa"/>
            <w:vAlign w:val="bottom"/>
          </w:tcPr>
          <w:p>
            <w:pPr>
              <w:spacing w:after="0"/>
              <w:rPr>
                <w:sz w:val="17"/>
                <w:szCs w:val="17"/>
                <w:color w:val="auto"/>
              </w:rPr>
            </w:pPr>
          </w:p>
        </w:tc>
        <w:tc>
          <w:tcPr>
            <w:tcW w:w="5980" w:type="dxa"/>
            <w:vAlign w:val="bottom"/>
          </w:tcPr>
          <w:p>
            <w:pPr>
              <w:spacing w:after="0"/>
              <w:rPr>
                <w:sz w:val="17"/>
                <w:szCs w:val="17"/>
                <w:color w:val="auto"/>
              </w:rPr>
            </w:pPr>
          </w:p>
        </w:tc>
        <w:tc>
          <w:tcPr>
            <w:tcW w:w="1820" w:type="dxa"/>
            <w:vAlign w:val="bottom"/>
          </w:tcPr>
          <w:p>
            <w:pPr>
              <w:jc w:val="center"/>
              <w:spacing w:after="0"/>
              <w:rPr>
                <w:sz w:val="20"/>
                <w:szCs w:val="20"/>
                <w:color w:val="auto"/>
              </w:rPr>
            </w:pPr>
            <w:r>
              <w:rPr>
                <w:rFonts w:ascii="Arial" w:cs="Arial" w:eastAsia="Arial" w:hAnsi="Arial"/>
                <w:sz w:val="16"/>
                <w:szCs w:val="16"/>
                <w:b w:val="1"/>
                <w:bCs w:val="1"/>
                <w:color w:val="auto"/>
                <w:w w:val="92"/>
              </w:rPr>
              <w:t>Foreign Currency</w:t>
            </w:r>
          </w:p>
        </w:tc>
        <w:tc>
          <w:tcPr>
            <w:tcW w:w="2100" w:type="dxa"/>
            <w:vAlign w:val="bottom"/>
          </w:tcPr>
          <w:p>
            <w:pPr>
              <w:jc w:val="center"/>
              <w:ind w:right="253"/>
              <w:spacing w:after="0"/>
              <w:rPr>
                <w:sz w:val="20"/>
                <w:szCs w:val="20"/>
                <w:color w:val="auto"/>
              </w:rPr>
            </w:pPr>
            <w:r>
              <w:rPr>
                <w:rFonts w:ascii="Arial" w:cs="Arial" w:eastAsia="Arial" w:hAnsi="Arial"/>
                <w:sz w:val="16"/>
                <w:szCs w:val="16"/>
                <w:b w:val="1"/>
                <w:bCs w:val="1"/>
                <w:color w:val="auto"/>
                <w:w w:val="88"/>
              </w:rPr>
              <w:t>Pension and</w:t>
            </w:r>
          </w:p>
        </w:tc>
        <w:tc>
          <w:tcPr>
            <w:tcW w:w="142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03"/>
        </w:trPr>
        <w:tc>
          <w:tcPr>
            <w:tcW w:w="40" w:type="dxa"/>
            <w:vAlign w:val="bottom"/>
          </w:tcPr>
          <w:p>
            <w:pPr>
              <w:spacing w:after="0"/>
              <w:rPr>
                <w:sz w:val="17"/>
                <w:szCs w:val="17"/>
                <w:color w:val="auto"/>
              </w:rPr>
            </w:pPr>
          </w:p>
        </w:tc>
        <w:tc>
          <w:tcPr>
            <w:tcW w:w="5980" w:type="dxa"/>
            <w:vAlign w:val="bottom"/>
          </w:tcPr>
          <w:p>
            <w:pPr>
              <w:spacing w:after="0"/>
              <w:rPr>
                <w:sz w:val="17"/>
                <w:szCs w:val="17"/>
                <w:color w:val="auto"/>
              </w:rPr>
            </w:pPr>
          </w:p>
        </w:tc>
        <w:tc>
          <w:tcPr>
            <w:tcW w:w="1820" w:type="dxa"/>
            <w:vAlign w:val="bottom"/>
          </w:tcPr>
          <w:p>
            <w:pPr>
              <w:jc w:val="center"/>
              <w:spacing w:after="0"/>
              <w:rPr>
                <w:sz w:val="20"/>
                <w:szCs w:val="20"/>
                <w:color w:val="auto"/>
              </w:rPr>
            </w:pPr>
            <w:r>
              <w:rPr>
                <w:rFonts w:ascii="Arial" w:cs="Arial" w:eastAsia="Arial" w:hAnsi="Arial"/>
                <w:sz w:val="16"/>
                <w:szCs w:val="16"/>
                <w:b w:val="1"/>
                <w:bCs w:val="1"/>
                <w:color w:val="auto"/>
                <w:w w:val="92"/>
              </w:rPr>
              <w:t>Translation</w:t>
            </w:r>
          </w:p>
        </w:tc>
        <w:tc>
          <w:tcPr>
            <w:tcW w:w="2100" w:type="dxa"/>
            <w:vAlign w:val="bottom"/>
          </w:tcPr>
          <w:p>
            <w:pPr>
              <w:jc w:val="center"/>
              <w:ind w:right="233"/>
              <w:spacing w:after="0"/>
              <w:rPr>
                <w:sz w:val="20"/>
                <w:szCs w:val="20"/>
                <w:color w:val="auto"/>
              </w:rPr>
            </w:pPr>
            <w:r>
              <w:rPr>
                <w:rFonts w:ascii="Arial" w:cs="Arial" w:eastAsia="Arial" w:hAnsi="Arial"/>
                <w:sz w:val="16"/>
                <w:szCs w:val="16"/>
                <w:b w:val="1"/>
                <w:bCs w:val="1"/>
                <w:color w:val="auto"/>
                <w:w w:val="90"/>
              </w:rPr>
              <w:t>Postretirement</w:t>
            </w:r>
          </w:p>
        </w:tc>
        <w:tc>
          <w:tcPr>
            <w:tcW w:w="142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10"/>
        </w:trPr>
        <w:tc>
          <w:tcPr>
            <w:tcW w:w="40" w:type="dxa"/>
            <w:vAlign w:val="bottom"/>
          </w:tcPr>
          <w:p>
            <w:pPr>
              <w:spacing w:after="0"/>
              <w:rPr>
                <w:sz w:val="18"/>
                <w:szCs w:val="18"/>
                <w:color w:val="auto"/>
              </w:rPr>
            </w:pPr>
          </w:p>
        </w:tc>
        <w:tc>
          <w:tcPr>
            <w:tcW w:w="5980" w:type="dxa"/>
            <w:vAlign w:val="bottom"/>
          </w:tcPr>
          <w:p>
            <w:pPr>
              <w:spacing w:after="0"/>
              <w:rPr>
                <w:sz w:val="18"/>
                <w:szCs w:val="18"/>
                <w:color w:val="auto"/>
              </w:rPr>
            </w:pPr>
          </w:p>
        </w:tc>
        <w:tc>
          <w:tcPr>
            <w:tcW w:w="1820" w:type="dxa"/>
            <w:vAlign w:val="bottom"/>
          </w:tcPr>
          <w:p>
            <w:pPr>
              <w:jc w:val="center"/>
              <w:spacing w:after="0"/>
              <w:rPr>
                <w:sz w:val="20"/>
                <w:szCs w:val="20"/>
                <w:color w:val="auto"/>
              </w:rPr>
            </w:pPr>
            <w:r>
              <w:rPr>
                <w:rFonts w:ascii="Arial" w:cs="Arial" w:eastAsia="Arial" w:hAnsi="Arial"/>
                <w:sz w:val="16"/>
                <w:szCs w:val="16"/>
                <w:b w:val="1"/>
                <w:bCs w:val="1"/>
                <w:color w:val="auto"/>
                <w:w w:val="90"/>
              </w:rPr>
              <w:t>Adjustments</w:t>
            </w:r>
          </w:p>
        </w:tc>
        <w:tc>
          <w:tcPr>
            <w:tcW w:w="2100" w:type="dxa"/>
            <w:vAlign w:val="bottom"/>
          </w:tcPr>
          <w:p>
            <w:pPr>
              <w:jc w:val="center"/>
              <w:ind w:right="253"/>
              <w:spacing w:after="0"/>
              <w:rPr>
                <w:sz w:val="20"/>
                <w:szCs w:val="20"/>
                <w:color w:val="auto"/>
              </w:rPr>
            </w:pPr>
            <w:r>
              <w:rPr>
                <w:rFonts w:ascii="Arial" w:cs="Arial" w:eastAsia="Arial" w:hAnsi="Arial"/>
                <w:sz w:val="16"/>
                <w:szCs w:val="16"/>
                <w:b w:val="1"/>
                <w:bCs w:val="1"/>
                <w:color w:val="auto"/>
                <w:w w:val="93"/>
              </w:rPr>
              <w:t>Liability Adjustments</w:t>
            </w:r>
          </w:p>
        </w:tc>
        <w:tc>
          <w:tcPr>
            <w:tcW w:w="1420" w:type="dxa"/>
            <w:vAlign w:val="bottom"/>
          </w:tcPr>
          <w:p>
            <w:pPr>
              <w:jc w:val="right"/>
              <w:ind w:right="571"/>
              <w:spacing w:after="0"/>
              <w:rPr>
                <w:sz w:val="20"/>
                <w:szCs w:val="20"/>
                <w:color w:val="auto"/>
              </w:rPr>
            </w:pPr>
            <w:r>
              <w:rPr>
                <w:rFonts w:ascii="Arial" w:cs="Arial" w:eastAsia="Arial" w:hAnsi="Arial"/>
                <w:sz w:val="16"/>
                <w:szCs w:val="16"/>
                <w:b w:val="1"/>
                <w:bCs w:val="1"/>
                <w:color w:val="auto"/>
              </w:rPr>
              <w:t>Total</w:t>
            </w:r>
          </w:p>
        </w:tc>
        <w:tc>
          <w:tcPr>
            <w:tcW w:w="40" w:type="dxa"/>
            <w:vAlign w:val="bottom"/>
          </w:tcPr>
          <w:p>
            <w:pPr>
              <w:spacing w:after="0"/>
              <w:rPr>
                <w:sz w:val="18"/>
                <w:szCs w:val="18"/>
                <w:color w:val="auto"/>
              </w:rPr>
            </w:pPr>
          </w:p>
        </w:tc>
      </w:tr>
      <w:tr>
        <w:trPr>
          <w:trHeight w:val="33"/>
        </w:trPr>
        <w:tc>
          <w:tcPr>
            <w:tcW w:w="40" w:type="dxa"/>
            <w:vAlign w:val="bottom"/>
            <w:tcBorders>
              <w:bottom w:val="single" w:sz="8" w:color="auto"/>
            </w:tcBorders>
          </w:tcPr>
          <w:p>
            <w:pPr>
              <w:spacing w:after="0"/>
              <w:rPr>
                <w:sz w:val="2"/>
                <w:szCs w:val="2"/>
                <w:color w:val="auto"/>
              </w:rPr>
            </w:pPr>
          </w:p>
        </w:tc>
        <w:tc>
          <w:tcPr>
            <w:tcW w:w="598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r>
      <w:tr>
        <w:trPr>
          <w:trHeight w:val="244"/>
        </w:trPr>
        <w:tc>
          <w:tcPr>
            <w:tcW w:w="6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Balance at December 31, 2015</w:t>
            </w:r>
          </w:p>
        </w:tc>
        <w:tc>
          <w:tcPr>
            <w:tcW w:w="18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($6.3)</w:t>
            </w:r>
          </w:p>
        </w:tc>
        <w:tc>
          <w:tcPr>
            <w:tcW w:w="2100" w:type="dxa"/>
            <w:vAlign w:val="bottom"/>
            <w:tcBorders>
              <w:bottom w:val="single" w:sz="8" w:color="CCEEFF"/>
            </w:tcBorders>
            <w:shd w:val="clear" w:color="auto" w:fill="CCEEFF"/>
          </w:tcPr>
          <w:p>
            <w:pPr>
              <w:jc w:val="right"/>
              <w:ind w:right="333"/>
              <w:spacing w:after="0"/>
              <w:rPr>
                <w:sz w:val="20"/>
                <w:szCs w:val="20"/>
                <w:color w:val="auto"/>
              </w:rPr>
            </w:pPr>
            <w:r>
              <w:rPr>
                <w:rFonts w:ascii="Arial" w:cs="Arial" w:eastAsia="Arial" w:hAnsi="Arial"/>
                <w:sz w:val="18"/>
                <w:szCs w:val="18"/>
                <w:color w:val="auto"/>
              </w:rPr>
              <w:t>($257.5)</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($263.8)</w:t>
            </w:r>
          </w:p>
        </w:tc>
        <w:tc>
          <w:tcPr>
            <w:tcW w:w="40" w:type="dxa"/>
            <w:vAlign w:val="bottom"/>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5980" w:type="dxa"/>
            <w:vAlign w:val="bottom"/>
          </w:tcPr>
          <w:p>
            <w:pPr>
              <w:ind w:left="160"/>
              <w:spacing w:after="0"/>
              <w:rPr>
                <w:sz w:val="20"/>
                <w:szCs w:val="20"/>
                <w:color w:val="auto"/>
              </w:rPr>
            </w:pPr>
            <w:r>
              <w:rPr>
                <w:rFonts w:ascii="Arial" w:cs="Arial" w:eastAsia="Arial" w:hAnsi="Arial"/>
                <w:sz w:val="16"/>
                <w:szCs w:val="16"/>
                <w:color w:val="auto"/>
              </w:rPr>
              <w:t>Other comprehensive income (loss) before reclassifications, before income tax</w:t>
            </w:r>
          </w:p>
        </w:tc>
        <w:tc>
          <w:tcPr>
            <w:tcW w:w="1820" w:type="dxa"/>
            <w:vAlign w:val="bottom"/>
          </w:tcPr>
          <w:p>
            <w:pPr>
              <w:jc w:val="right"/>
              <w:ind w:right="53"/>
              <w:spacing w:after="0"/>
              <w:rPr>
                <w:sz w:val="20"/>
                <w:szCs w:val="20"/>
                <w:color w:val="auto"/>
              </w:rPr>
            </w:pPr>
            <w:r>
              <w:rPr>
                <w:rFonts w:ascii="Arial" w:cs="Arial" w:eastAsia="Arial" w:hAnsi="Arial"/>
                <w:sz w:val="18"/>
                <w:szCs w:val="18"/>
                <w:color w:val="auto"/>
              </w:rPr>
              <w:t>(0.5)</w:t>
            </w:r>
          </w:p>
        </w:tc>
        <w:tc>
          <w:tcPr>
            <w:tcW w:w="2100" w:type="dxa"/>
            <w:vAlign w:val="bottom"/>
          </w:tcPr>
          <w:p>
            <w:pPr>
              <w:jc w:val="right"/>
              <w:ind w:right="393"/>
              <w:spacing w:after="0"/>
              <w:rPr>
                <w:sz w:val="20"/>
                <w:szCs w:val="20"/>
                <w:color w:val="auto"/>
              </w:rPr>
            </w:pPr>
            <w:r>
              <w:rPr>
                <w:rFonts w:ascii="Arial" w:cs="Arial" w:eastAsia="Arial" w:hAnsi="Arial"/>
                <w:sz w:val="18"/>
                <w:szCs w:val="18"/>
                <w:color w:val="auto"/>
              </w:rPr>
              <w:t>—</w:t>
            </w:r>
          </w:p>
        </w:tc>
        <w:tc>
          <w:tcPr>
            <w:tcW w:w="1420" w:type="dxa"/>
            <w:vAlign w:val="bottom"/>
          </w:tcPr>
          <w:p>
            <w:pPr>
              <w:jc w:val="right"/>
              <w:spacing w:after="0"/>
              <w:rPr>
                <w:sz w:val="20"/>
                <w:szCs w:val="20"/>
                <w:color w:val="auto"/>
              </w:rPr>
            </w:pPr>
            <w:r>
              <w:rPr>
                <w:rFonts w:ascii="Arial" w:cs="Arial" w:eastAsia="Arial" w:hAnsi="Arial"/>
                <w:sz w:val="18"/>
                <w:szCs w:val="18"/>
                <w:color w:val="auto"/>
              </w:rPr>
              <w:t>(0.5)</w:t>
            </w:r>
          </w:p>
        </w:tc>
        <w:tc>
          <w:tcPr>
            <w:tcW w:w="4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598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59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w w:val="96"/>
              </w:rPr>
              <w:t>Amounts reclassified from accumulated other comprehensive loss, before income tax</w:t>
            </w:r>
          </w:p>
        </w:tc>
        <w:tc>
          <w:tcPr>
            <w:tcW w:w="182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w:t>
            </w:r>
          </w:p>
        </w:tc>
        <w:tc>
          <w:tcPr>
            <w:tcW w:w="2100" w:type="dxa"/>
            <w:vAlign w:val="bottom"/>
            <w:tcBorders>
              <w:bottom w:val="single" w:sz="8" w:color="CCEEFF"/>
            </w:tcBorders>
            <w:shd w:val="clear" w:color="auto" w:fill="CCEEFF"/>
          </w:tcPr>
          <w:p>
            <w:pPr>
              <w:jc w:val="right"/>
              <w:ind w:right="393"/>
              <w:spacing w:after="0"/>
              <w:rPr>
                <w:sz w:val="20"/>
                <w:szCs w:val="20"/>
                <w:color w:val="auto"/>
              </w:rPr>
            </w:pPr>
            <w:r>
              <w:rPr>
                <w:rFonts w:ascii="Arial" w:cs="Arial" w:eastAsia="Arial" w:hAnsi="Arial"/>
                <w:sz w:val="18"/>
                <w:szCs w:val="18"/>
                <w:color w:val="auto"/>
              </w:rPr>
              <w:t>6.5</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6.5</w:t>
            </w:r>
          </w:p>
        </w:tc>
        <w:tc>
          <w:tcPr>
            <w:tcW w:w="40" w:type="dxa"/>
            <w:vAlign w:val="bottom"/>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5980" w:type="dxa"/>
            <w:vAlign w:val="bottom"/>
          </w:tcPr>
          <w:p>
            <w:pPr>
              <w:ind w:left="160"/>
              <w:spacing w:after="0"/>
              <w:rPr>
                <w:sz w:val="20"/>
                <w:szCs w:val="20"/>
                <w:color w:val="auto"/>
              </w:rPr>
            </w:pPr>
            <w:r>
              <w:rPr>
                <w:rFonts w:ascii="Arial" w:cs="Arial" w:eastAsia="Arial" w:hAnsi="Arial"/>
                <w:sz w:val="16"/>
                <w:szCs w:val="16"/>
                <w:color w:val="auto"/>
              </w:rPr>
              <w:t>Income tax expense</w:t>
            </w:r>
          </w:p>
        </w:tc>
        <w:tc>
          <w:tcPr>
            <w:tcW w:w="1820" w:type="dxa"/>
            <w:vAlign w:val="bottom"/>
          </w:tcPr>
          <w:p>
            <w:pPr>
              <w:jc w:val="right"/>
              <w:ind w:right="113"/>
              <w:spacing w:after="0"/>
              <w:rPr>
                <w:sz w:val="20"/>
                <w:szCs w:val="20"/>
                <w:color w:val="auto"/>
              </w:rPr>
            </w:pPr>
            <w:r>
              <w:rPr>
                <w:rFonts w:ascii="Arial" w:cs="Arial" w:eastAsia="Arial" w:hAnsi="Arial"/>
                <w:sz w:val="18"/>
                <w:szCs w:val="18"/>
                <w:color w:val="auto"/>
              </w:rPr>
              <w:t>—</w:t>
            </w:r>
          </w:p>
        </w:tc>
        <w:tc>
          <w:tcPr>
            <w:tcW w:w="2100" w:type="dxa"/>
            <w:vAlign w:val="bottom"/>
          </w:tcPr>
          <w:p>
            <w:pPr>
              <w:jc w:val="right"/>
              <w:ind w:right="333"/>
              <w:spacing w:after="0"/>
              <w:rPr>
                <w:sz w:val="20"/>
                <w:szCs w:val="20"/>
                <w:color w:val="auto"/>
              </w:rPr>
            </w:pPr>
            <w:r>
              <w:rPr>
                <w:rFonts w:ascii="Arial" w:cs="Arial" w:eastAsia="Arial" w:hAnsi="Arial"/>
                <w:sz w:val="18"/>
                <w:szCs w:val="18"/>
                <w:color w:val="auto"/>
              </w:rPr>
              <w:t>(2.3)</w:t>
            </w:r>
          </w:p>
        </w:tc>
        <w:tc>
          <w:tcPr>
            <w:tcW w:w="1420" w:type="dxa"/>
            <w:vAlign w:val="bottom"/>
          </w:tcPr>
          <w:p>
            <w:pPr>
              <w:jc w:val="right"/>
              <w:spacing w:after="0"/>
              <w:rPr>
                <w:sz w:val="20"/>
                <w:szCs w:val="20"/>
                <w:color w:val="auto"/>
              </w:rPr>
            </w:pPr>
            <w:r>
              <w:rPr>
                <w:rFonts w:ascii="Arial" w:cs="Arial" w:eastAsia="Arial" w:hAnsi="Arial"/>
                <w:sz w:val="18"/>
                <w:szCs w:val="18"/>
                <w:color w:val="auto"/>
              </w:rPr>
              <w:t>(2.3)</w:t>
            </w:r>
          </w:p>
        </w:tc>
        <w:tc>
          <w:tcPr>
            <w:tcW w:w="40" w:type="dxa"/>
            <w:vAlign w:val="bottom"/>
          </w:tcPr>
          <w:p>
            <w:pPr>
              <w:spacing w:after="0"/>
              <w:rPr>
                <w:sz w:val="21"/>
                <w:szCs w:val="21"/>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598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r>
      <w:tr>
        <w:trPr>
          <w:trHeight w:val="269"/>
        </w:trPr>
        <w:tc>
          <w:tcPr>
            <w:tcW w:w="6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Net current period other comprehensive (loss), net of income taxes</w:t>
            </w:r>
          </w:p>
        </w:tc>
        <w:tc>
          <w:tcPr>
            <w:tcW w:w="18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(0.5)</w:t>
            </w:r>
          </w:p>
        </w:tc>
        <w:tc>
          <w:tcPr>
            <w:tcW w:w="2100" w:type="dxa"/>
            <w:vAlign w:val="bottom"/>
            <w:tcBorders>
              <w:bottom w:val="single" w:sz="8" w:color="CCEEFF"/>
            </w:tcBorders>
            <w:shd w:val="clear" w:color="auto" w:fill="CCEEFF"/>
          </w:tcPr>
          <w:p>
            <w:pPr>
              <w:jc w:val="right"/>
              <w:ind w:right="393"/>
              <w:spacing w:after="0"/>
              <w:rPr>
                <w:sz w:val="20"/>
                <w:szCs w:val="20"/>
                <w:color w:val="auto"/>
              </w:rPr>
            </w:pPr>
            <w:r>
              <w:rPr>
                <w:rFonts w:ascii="Arial" w:cs="Arial" w:eastAsia="Arial" w:hAnsi="Arial"/>
                <w:sz w:val="18"/>
                <w:szCs w:val="18"/>
                <w:color w:val="auto"/>
              </w:rPr>
              <w:t>4.2</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3.7</w:t>
            </w:r>
          </w:p>
        </w:tc>
        <w:tc>
          <w:tcPr>
            <w:tcW w:w="40" w:type="dxa"/>
            <w:vAlign w:val="bottom"/>
          </w:tcPr>
          <w:p>
            <w:pPr>
              <w:spacing w:after="0"/>
              <w:rPr>
                <w:sz w:val="22"/>
                <w:szCs w:val="22"/>
                <w:color w:val="auto"/>
              </w:rPr>
            </w:pPr>
          </w:p>
        </w:tc>
      </w:tr>
      <w:tr>
        <w:trPr>
          <w:trHeight w:val="237"/>
        </w:trPr>
        <w:tc>
          <w:tcPr>
            <w:tcW w:w="6020" w:type="dxa"/>
            <w:vAlign w:val="bottom"/>
            <w:tcBorders>
              <w:top w:val="single" w:sz="8" w:color="auto"/>
            </w:tcBorders>
            <w:gridSpan w:val="2"/>
          </w:tcPr>
          <w:p>
            <w:pPr>
              <w:ind w:left="40"/>
              <w:spacing w:after="0"/>
              <w:rPr>
                <w:sz w:val="20"/>
                <w:szCs w:val="20"/>
                <w:color w:val="auto"/>
              </w:rPr>
            </w:pPr>
            <w:r>
              <w:rPr>
                <w:rFonts w:ascii="Arial" w:cs="Arial" w:eastAsia="Arial" w:hAnsi="Arial"/>
                <w:sz w:val="16"/>
                <w:szCs w:val="16"/>
                <w:b w:val="1"/>
                <w:bCs w:val="1"/>
                <w:color w:val="auto"/>
              </w:rPr>
              <w:t>Balance at March 31, 2016</w:t>
            </w:r>
          </w:p>
        </w:tc>
        <w:tc>
          <w:tcPr>
            <w:tcW w:w="1820" w:type="dxa"/>
            <w:vAlign w:val="bottom"/>
            <w:tcBorders>
              <w:top w:val="single" w:sz="8" w:color="auto"/>
            </w:tcBorders>
          </w:tcPr>
          <w:p>
            <w:pPr>
              <w:jc w:val="right"/>
              <w:ind w:right="53"/>
              <w:spacing w:after="0"/>
              <w:rPr>
                <w:sz w:val="20"/>
                <w:szCs w:val="20"/>
                <w:color w:val="auto"/>
              </w:rPr>
            </w:pPr>
            <w:r>
              <w:rPr>
                <w:rFonts w:ascii="Arial" w:cs="Arial" w:eastAsia="Arial" w:hAnsi="Arial"/>
                <w:sz w:val="18"/>
                <w:szCs w:val="18"/>
                <w:b w:val="1"/>
                <w:bCs w:val="1"/>
                <w:color w:val="auto"/>
              </w:rPr>
              <w:t>($6.8)</w:t>
            </w:r>
          </w:p>
        </w:tc>
        <w:tc>
          <w:tcPr>
            <w:tcW w:w="2100" w:type="dxa"/>
            <w:vAlign w:val="bottom"/>
            <w:tcBorders>
              <w:top w:val="single" w:sz="8" w:color="auto"/>
            </w:tcBorders>
          </w:tcPr>
          <w:p>
            <w:pPr>
              <w:jc w:val="right"/>
              <w:ind w:right="333"/>
              <w:spacing w:after="0"/>
              <w:rPr>
                <w:sz w:val="20"/>
                <w:szCs w:val="20"/>
                <w:color w:val="auto"/>
              </w:rPr>
            </w:pPr>
            <w:r>
              <w:rPr>
                <w:rFonts w:ascii="Arial" w:cs="Arial" w:eastAsia="Arial" w:hAnsi="Arial"/>
                <w:sz w:val="18"/>
                <w:szCs w:val="18"/>
                <w:b w:val="1"/>
                <w:bCs w:val="1"/>
                <w:color w:val="auto"/>
              </w:rPr>
              <w:t>($253.3)</w:t>
            </w: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($260.1)</w:t>
            </w:r>
          </w:p>
        </w:tc>
        <w:tc>
          <w:tcPr>
            <w:tcW w:w="40" w:type="dxa"/>
            <w:vAlign w:val="bottom"/>
          </w:tcPr>
          <w:p>
            <w:pPr>
              <w:spacing w:after="0"/>
              <w:rPr>
                <w:sz w:val="20"/>
                <w:szCs w:val="20"/>
                <w:color w:val="auto"/>
              </w:rPr>
            </w:pPr>
          </w:p>
        </w:tc>
      </w:tr>
      <w:tr>
        <w:trPr>
          <w:trHeight w:val="34"/>
        </w:trPr>
        <w:tc>
          <w:tcPr>
            <w:tcW w:w="40" w:type="dxa"/>
            <w:vAlign w:val="bottom"/>
            <w:tcBorders>
              <w:bottom w:val="single" w:sz="8" w:color="auto"/>
            </w:tcBorders>
          </w:tcPr>
          <w:p>
            <w:pPr>
              <w:spacing w:after="0"/>
              <w:rPr>
                <w:sz w:val="2"/>
                <w:szCs w:val="2"/>
                <w:color w:val="auto"/>
              </w:rPr>
            </w:pPr>
          </w:p>
        </w:tc>
        <w:tc>
          <w:tcPr>
            <w:tcW w:w="598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r>
      <w:tr>
        <w:trPr>
          <w:trHeight w:val="351"/>
        </w:trPr>
        <w:tc>
          <w:tcPr>
            <w:tcW w:w="40" w:type="dxa"/>
            <w:vAlign w:val="bottom"/>
          </w:tcPr>
          <w:p>
            <w:pPr>
              <w:spacing w:after="0"/>
              <w:rPr>
                <w:sz w:val="24"/>
                <w:szCs w:val="24"/>
                <w:color w:val="auto"/>
              </w:rPr>
            </w:pPr>
          </w:p>
        </w:tc>
        <w:tc>
          <w:tcPr>
            <w:tcW w:w="5980" w:type="dxa"/>
            <w:vAlign w:val="bottom"/>
          </w:tcPr>
          <w:p>
            <w:pPr>
              <w:spacing w:after="0"/>
              <w:rPr>
                <w:sz w:val="24"/>
                <w:szCs w:val="24"/>
                <w:color w:val="auto"/>
              </w:rPr>
            </w:pPr>
          </w:p>
        </w:tc>
        <w:tc>
          <w:tcPr>
            <w:tcW w:w="1820" w:type="dxa"/>
            <w:vAlign w:val="bottom"/>
          </w:tcPr>
          <w:p>
            <w:pPr>
              <w:jc w:val="center"/>
              <w:spacing w:after="0"/>
              <w:rPr>
                <w:sz w:val="20"/>
                <w:szCs w:val="20"/>
                <w:color w:val="auto"/>
              </w:rPr>
            </w:pPr>
            <w:r>
              <w:rPr>
                <w:rFonts w:ascii="Arial" w:cs="Arial" w:eastAsia="Arial" w:hAnsi="Arial"/>
                <w:sz w:val="16"/>
                <w:szCs w:val="16"/>
                <w:b w:val="1"/>
                <w:bCs w:val="1"/>
                <w:color w:val="auto"/>
                <w:w w:val="92"/>
              </w:rPr>
              <w:t>Foreign Currency</w:t>
            </w:r>
          </w:p>
        </w:tc>
        <w:tc>
          <w:tcPr>
            <w:tcW w:w="2100" w:type="dxa"/>
            <w:vAlign w:val="bottom"/>
          </w:tcPr>
          <w:p>
            <w:pPr>
              <w:jc w:val="center"/>
              <w:ind w:right="173"/>
              <w:spacing w:after="0"/>
              <w:rPr>
                <w:sz w:val="20"/>
                <w:szCs w:val="20"/>
                <w:color w:val="auto"/>
              </w:rPr>
            </w:pPr>
            <w:r>
              <w:rPr>
                <w:rFonts w:ascii="Arial" w:cs="Arial" w:eastAsia="Arial" w:hAnsi="Arial"/>
                <w:sz w:val="16"/>
                <w:szCs w:val="16"/>
                <w:b w:val="1"/>
                <w:bCs w:val="1"/>
                <w:color w:val="auto"/>
                <w:w w:val="88"/>
              </w:rPr>
              <w:t>Pension and</w:t>
            </w:r>
          </w:p>
        </w:tc>
        <w:tc>
          <w:tcPr>
            <w:tcW w:w="14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03"/>
        </w:trPr>
        <w:tc>
          <w:tcPr>
            <w:tcW w:w="40" w:type="dxa"/>
            <w:vAlign w:val="bottom"/>
          </w:tcPr>
          <w:p>
            <w:pPr>
              <w:spacing w:after="0"/>
              <w:rPr>
                <w:sz w:val="17"/>
                <w:szCs w:val="17"/>
                <w:color w:val="auto"/>
              </w:rPr>
            </w:pPr>
          </w:p>
        </w:tc>
        <w:tc>
          <w:tcPr>
            <w:tcW w:w="5980" w:type="dxa"/>
            <w:vAlign w:val="bottom"/>
          </w:tcPr>
          <w:p>
            <w:pPr>
              <w:spacing w:after="0"/>
              <w:rPr>
                <w:sz w:val="17"/>
                <w:szCs w:val="17"/>
                <w:color w:val="auto"/>
              </w:rPr>
            </w:pPr>
          </w:p>
        </w:tc>
        <w:tc>
          <w:tcPr>
            <w:tcW w:w="1820" w:type="dxa"/>
            <w:vAlign w:val="bottom"/>
          </w:tcPr>
          <w:p>
            <w:pPr>
              <w:jc w:val="center"/>
              <w:spacing w:after="0"/>
              <w:rPr>
                <w:sz w:val="20"/>
                <w:szCs w:val="20"/>
                <w:color w:val="auto"/>
              </w:rPr>
            </w:pPr>
            <w:r>
              <w:rPr>
                <w:rFonts w:ascii="Arial" w:cs="Arial" w:eastAsia="Arial" w:hAnsi="Arial"/>
                <w:sz w:val="16"/>
                <w:szCs w:val="16"/>
                <w:b w:val="1"/>
                <w:bCs w:val="1"/>
                <w:color w:val="auto"/>
                <w:w w:val="92"/>
              </w:rPr>
              <w:t>Translation</w:t>
            </w:r>
          </w:p>
        </w:tc>
        <w:tc>
          <w:tcPr>
            <w:tcW w:w="2100" w:type="dxa"/>
            <w:vAlign w:val="bottom"/>
          </w:tcPr>
          <w:p>
            <w:pPr>
              <w:jc w:val="center"/>
              <w:ind w:right="193"/>
              <w:spacing w:after="0"/>
              <w:rPr>
                <w:sz w:val="20"/>
                <w:szCs w:val="20"/>
                <w:color w:val="auto"/>
              </w:rPr>
            </w:pPr>
            <w:r>
              <w:rPr>
                <w:rFonts w:ascii="Arial" w:cs="Arial" w:eastAsia="Arial" w:hAnsi="Arial"/>
                <w:sz w:val="16"/>
                <w:szCs w:val="16"/>
                <w:b w:val="1"/>
                <w:bCs w:val="1"/>
                <w:color w:val="auto"/>
                <w:w w:val="90"/>
              </w:rPr>
              <w:t>Postretirement</w:t>
            </w:r>
          </w:p>
        </w:tc>
        <w:tc>
          <w:tcPr>
            <w:tcW w:w="142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10"/>
        </w:trPr>
        <w:tc>
          <w:tcPr>
            <w:tcW w:w="40" w:type="dxa"/>
            <w:vAlign w:val="bottom"/>
          </w:tcPr>
          <w:p>
            <w:pPr>
              <w:spacing w:after="0"/>
              <w:rPr>
                <w:sz w:val="18"/>
                <w:szCs w:val="18"/>
                <w:color w:val="auto"/>
              </w:rPr>
            </w:pPr>
          </w:p>
        </w:tc>
        <w:tc>
          <w:tcPr>
            <w:tcW w:w="5980" w:type="dxa"/>
            <w:vAlign w:val="bottom"/>
          </w:tcPr>
          <w:p>
            <w:pPr>
              <w:spacing w:after="0"/>
              <w:rPr>
                <w:sz w:val="18"/>
                <w:szCs w:val="18"/>
                <w:color w:val="auto"/>
              </w:rPr>
            </w:pPr>
          </w:p>
        </w:tc>
        <w:tc>
          <w:tcPr>
            <w:tcW w:w="1820" w:type="dxa"/>
            <w:vAlign w:val="bottom"/>
          </w:tcPr>
          <w:p>
            <w:pPr>
              <w:jc w:val="center"/>
              <w:spacing w:after="0"/>
              <w:rPr>
                <w:sz w:val="20"/>
                <w:szCs w:val="20"/>
                <w:color w:val="auto"/>
              </w:rPr>
            </w:pPr>
            <w:r>
              <w:rPr>
                <w:rFonts w:ascii="Arial" w:cs="Arial" w:eastAsia="Arial" w:hAnsi="Arial"/>
                <w:sz w:val="16"/>
                <w:szCs w:val="16"/>
                <w:b w:val="1"/>
                <w:bCs w:val="1"/>
                <w:color w:val="auto"/>
                <w:w w:val="90"/>
              </w:rPr>
              <w:t>Adjustments</w:t>
            </w:r>
          </w:p>
        </w:tc>
        <w:tc>
          <w:tcPr>
            <w:tcW w:w="2100" w:type="dxa"/>
            <w:vAlign w:val="bottom"/>
          </w:tcPr>
          <w:p>
            <w:pPr>
              <w:jc w:val="center"/>
              <w:ind w:right="173"/>
              <w:spacing w:after="0"/>
              <w:rPr>
                <w:sz w:val="20"/>
                <w:szCs w:val="20"/>
                <w:color w:val="auto"/>
              </w:rPr>
            </w:pPr>
            <w:r>
              <w:rPr>
                <w:rFonts w:ascii="Arial" w:cs="Arial" w:eastAsia="Arial" w:hAnsi="Arial"/>
                <w:sz w:val="16"/>
                <w:szCs w:val="16"/>
                <w:b w:val="1"/>
                <w:bCs w:val="1"/>
                <w:color w:val="auto"/>
                <w:w w:val="93"/>
              </w:rPr>
              <w:t>Liability Adjustments</w:t>
            </w:r>
          </w:p>
        </w:tc>
        <w:tc>
          <w:tcPr>
            <w:tcW w:w="1420" w:type="dxa"/>
            <w:vAlign w:val="bottom"/>
          </w:tcPr>
          <w:p>
            <w:pPr>
              <w:jc w:val="right"/>
              <w:ind w:right="551"/>
              <w:spacing w:after="0"/>
              <w:rPr>
                <w:sz w:val="20"/>
                <w:szCs w:val="20"/>
                <w:color w:val="auto"/>
              </w:rPr>
            </w:pPr>
            <w:r>
              <w:rPr>
                <w:rFonts w:ascii="Arial" w:cs="Arial" w:eastAsia="Arial" w:hAnsi="Arial"/>
                <w:sz w:val="16"/>
                <w:szCs w:val="16"/>
                <w:b w:val="1"/>
                <w:bCs w:val="1"/>
                <w:color w:val="auto"/>
              </w:rPr>
              <w:t>Total</w:t>
            </w:r>
          </w:p>
        </w:tc>
        <w:tc>
          <w:tcPr>
            <w:tcW w:w="40" w:type="dxa"/>
            <w:vAlign w:val="bottom"/>
          </w:tcPr>
          <w:p>
            <w:pPr>
              <w:spacing w:after="0"/>
              <w:rPr>
                <w:sz w:val="18"/>
                <w:szCs w:val="18"/>
                <w:color w:val="auto"/>
              </w:rPr>
            </w:pPr>
          </w:p>
        </w:tc>
      </w:tr>
      <w:tr>
        <w:trPr>
          <w:trHeight w:val="33"/>
        </w:trPr>
        <w:tc>
          <w:tcPr>
            <w:tcW w:w="40" w:type="dxa"/>
            <w:vAlign w:val="bottom"/>
          </w:tcPr>
          <w:p>
            <w:pPr>
              <w:spacing w:after="0"/>
              <w:rPr>
                <w:sz w:val="2"/>
                <w:szCs w:val="2"/>
                <w:color w:val="auto"/>
              </w:rPr>
            </w:pPr>
          </w:p>
        </w:tc>
        <w:tc>
          <w:tcPr>
            <w:tcW w:w="598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r>
      <w:tr>
        <w:trPr>
          <w:trHeight w:val="244"/>
        </w:trPr>
        <w:tc>
          <w:tcPr>
            <w:tcW w:w="40" w:type="dxa"/>
            <w:vAlign w:val="bottom"/>
          </w:tcPr>
          <w:p>
            <w:pPr>
              <w:spacing w:after="0"/>
              <w:rPr>
                <w:sz w:val="21"/>
                <w:szCs w:val="21"/>
                <w:color w:val="auto"/>
              </w:rPr>
            </w:pPr>
          </w:p>
        </w:tc>
        <w:tc>
          <w:tcPr>
            <w:tcW w:w="5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Balance at December 31, 2014</w:t>
            </w:r>
          </w:p>
        </w:tc>
        <w:tc>
          <w:tcPr>
            <w:tcW w:w="18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($4.8)</w:t>
            </w:r>
          </w:p>
        </w:tc>
        <w:tc>
          <w:tcPr>
            <w:tcW w:w="2100" w:type="dxa"/>
            <w:vAlign w:val="bottom"/>
            <w:tcBorders>
              <w:bottom w:val="single" w:sz="8" w:color="CCEEFF"/>
            </w:tcBorders>
            <w:shd w:val="clear" w:color="auto" w:fill="CCEEFF"/>
          </w:tcPr>
          <w:p>
            <w:pPr>
              <w:jc w:val="right"/>
              <w:ind w:right="313"/>
              <w:spacing w:after="0"/>
              <w:rPr>
                <w:sz w:val="20"/>
                <w:szCs w:val="20"/>
                <w:color w:val="auto"/>
              </w:rPr>
            </w:pPr>
            <w:r>
              <w:rPr>
                <w:rFonts w:ascii="Arial" w:cs="Arial" w:eastAsia="Arial" w:hAnsi="Arial"/>
                <w:sz w:val="18"/>
                <w:szCs w:val="18"/>
                <w:color w:val="auto"/>
              </w:rPr>
              <w:t>($292.5)</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($297.3)</w:t>
            </w:r>
          </w:p>
        </w:tc>
        <w:tc>
          <w:tcPr>
            <w:tcW w:w="4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5980" w:type="dxa"/>
            <w:vAlign w:val="bottom"/>
          </w:tcPr>
          <w:p>
            <w:pPr>
              <w:ind w:left="180"/>
              <w:spacing w:after="0"/>
              <w:rPr>
                <w:sz w:val="20"/>
                <w:szCs w:val="20"/>
                <w:color w:val="auto"/>
              </w:rPr>
            </w:pPr>
            <w:r>
              <w:rPr>
                <w:rFonts w:ascii="Arial" w:cs="Arial" w:eastAsia="Arial" w:hAnsi="Arial"/>
                <w:sz w:val="16"/>
                <w:szCs w:val="16"/>
                <w:color w:val="auto"/>
              </w:rPr>
              <w:t>Other comprehensive income (loss) before reclassifications, before income tax</w:t>
            </w:r>
          </w:p>
        </w:tc>
        <w:tc>
          <w:tcPr>
            <w:tcW w:w="1820" w:type="dxa"/>
            <w:vAlign w:val="bottom"/>
          </w:tcPr>
          <w:p>
            <w:pPr>
              <w:jc w:val="right"/>
              <w:ind w:right="33"/>
              <w:spacing w:after="0"/>
              <w:rPr>
                <w:sz w:val="20"/>
                <w:szCs w:val="20"/>
                <w:color w:val="auto"/>
              </w:rPr>
            </w:pPr>
            <w:r>
              <w:rPr>
                <w:rFonts w:ascii="Arial" w:cs="Arial" w:eastAsia="Arial" w:hAnsi="Arial"/>
                <w:sz w:val="18"/>
                <w:szCs w:val="18"/>
                <w:color w:val="auto"/>
              </w:rPr>
              <w:t>(0.9)</w:t>
            </w:r>
          </w:p>
        </w:tc>
        <w:tc>
          <w:tcPr>
            <w:tcW w:w="2100" w:type="dxa"/>
            <w:vAlign w:val="bottom"/>
          </w:tcPr>
          <w:p>
            <w:pPr>
              <w:jc w:val="right"/>
              <w:ind w:right="373"/>
              <w:spacing w:after="0"/>
              <w:rPr>
                <w:sz w:val="20"/>
                <w:szCs w:val="20"/>
                <w:color w:val="auto"/>
              </w:rPr>
            </w:pPr>
            <w:r>
              <w:rPr>
                <w:rFonts w:ascii="Arial" w:cs="Arial" w:eastAsia="Arial" w:hAnsi="Arial"/>
                <w:sz w:val="18"/>
                <w:szCs w:val="18"/>
                <w:color w:val="auto"/>
              </w:rPr>
              <w:t>0.8</w:t>
            </w:r>
          </w:p>
        </w:tc>
        <w:tc>
          <w:tcPr>
            <w:tcW w:w="1420" w:type="dxa"/>
            <w:vAlign w:val="bottom"/>
          </w:tcPr>
          <w:p>
            <w:pPr>
              <w:jc w:val="right"/>
              <w:spacing w:after="0"/>
              <w:rPr>
                <w:sz w:val="20"/>
                <w:szCs w:val="20"/>
                <w:color w:val="auto"/>
              </w:rPr>
            </w:pPr>
            <w:r>
              <w:rPr>
                <w:rFonts w:ascii="Arial" w:cs="Arial" w:eastAsia="Arial" w:hAnsi="Arial"/>
                <w:sz w:val="18"/>
                <w:szCs w:val="18"/>
                <w:color w:val="auto"/>
              </w:rPr>
              <w:t>(0.1)</w:t>
            </w:r>
          </w:p>
        </w:tc>
        <w:tc>
          <w:tcPr>
            <w:tcW w:w="4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598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40" w:type="dxa"/>
            <w:vAlign w:val="bottom"/>
          </w:tcPr>
          <w:p>
            <w:pPr>
              <w:spacing w:after="0"/>
              <w:rPr>
                <w:sz w:val="21"/>
                <w:szCs w:val="21"/>
                <w:color w:val="auto"/>
              </w:rPr>
            </w:pPr>
          </w:p>
        </w:tc>
        <w:tc>
          <w:tcPr>
            <w:tcW w:w="59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w w:val="96"/>
              </w:rPr>
              <w:t>Amounts reclassified from accumulated other comprehensive loss, before income tax</w:t>
            </w:r>
          </w:p>
        </w:tc>
        <w:tc>
          <w:tcPr>
            <w:tcW w:w="182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w:t>
            </w:r>
          </w:p>
        </w:tc>
        <w:tc>
          <w:tcPr>
            <w:tcW w:w="2100" w:type="dxa"/>
            <w:vAlign w:val="bottom"/>
            <w:tcBorders>
              <w:bottom w:val="single" w:sz="8" w:color="CCEEFF"/>
            </w:tcBorders>
            <w:shd w:val="clear" w:color="auto" w:fill="CCEEFF"/>
          </w:tcPr>
          <w:p>
            <w:pPr>
              <w:jc w:val="right"/>
              <w:ind w:right="373"/>
              <w:spacing w:after="0"/>
              <w:rPr>
                <w:sz w:val="20"/>
                <w:szCs w:val="20"/>
                <w:color w:val="auto"/>
              </w:rPr>
            </w:pPr>
            <w:r>
              <w:rPr>
                <w:rFonts w:ascii="Arial" w:cs="Arial" w:eastAsia="Arial" w:hAnsi="Arial"/>
                <w:sz w:val="18"/>
                <w:szCs w:val="18"/>
                <w:color w:val="auto"/>
              </w:rPr>
              <w:t>9.1</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w:t>
            </w:r>
          </w:p>
        </w:tc>
        <w:tc>
          <w:tcPr>
            <w:tcW w:w="4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5980" w:type="dxa"/>
            <w:vAlign w:val="bottom"/>
          </w:tcPr>
          <w:p>
            <w:pPr>
              <w:ind w:left="180"/>
              <w:spacing w:after="0"/>
              <w:rPr>
                <w:sz w:val="20"/>
                <w:szCs w:val="20"/>
                <w:color w:val="auto"/>
              </w:rPr>
            </w:pPr>
            <w:r>
              <w:rPr>
                <w:rFonts w:ascii="Arial" w:cs="Arial" w:eastAsia="Arial" w:hAnsi="Arial"/>
                <w:sz w:val="16"/>
                <w:szCs w:val="16"/>
                <w:color w:val="auto"/>
              </w:rPr>
              <w:t>Income tax expense</w:t>
            </w:r>
          </w:p>
        </w:tc>
        <w:tc>
          <w:tcPr>
            <w:tcW w:w="1820" w:type="dxa"/>
            <w:vAlign w:val="bottom"/>
          </w:tcPr>
          <w:p>
            <w:pPr>
              <w:jc w:val="right"/>
              <w:ind w:right="93"/>
              <w:spacing w:after="0"/>
              <w:rPr>
                <w:sz w:val="20"/>
                <w:szCs w:val="20"/>
                <w:color w:val="auto"/>
              </w:rPr>
            </w:pPr>
            <w:r>
              <w:rPr>
                <w:rFonts w:ascii="Arial" w:cs="Arial" w:eastAsia="Arial" w:hAnsi="Arial"/>
                <w:sz w:val="18"/>
                <w:szCs w:val="18"/>
                <w:color w:val="auto"/>
              </w:rPr>
              <w:t>—</w:t>
            </w:r>
          </w:p>
        </w:tc>
        <w:tc>
          <w:tcPr>
            <w:tcW w:w="2100" w:type="dxa"/>
            <w:vAlign w:val="bottom"/>
          </w:tcPr>
          <w:p>
            <w:pPr>
              <w:jc w:val="right"/>
              <w:ind w:right="313"/>
              <w:spacing w:after="0"/>
              <w:rPr>
                <w:sz w:val="20"/>
                <w:szCs w:val="20"/>
                <w:color w:val="auto"/>
              </w:rPr>
            </w:pPr>
            <w:r>
              <w:rPr>
                <w:rFonts w:ascii="Arial" w:cs="Arial" w:eastAsia="Arial" w:hAnsi="Arial"/>
                <w:sz w:val="18"/>
                <w:szCs w:val="18"/>
                <w:color w:val="auto"/>
              </w:rPr>
              <w:t>(3.4)</w:t>
            </w:r>
          </w:p>
        </w:tc>
        <w:tc>
          <w:tcPr>
            <w:tcW w:w="1420" w:type="dxa"/>
            <w:vAlign w:val="bottom"/>
          </w:tcPr>
          <w:p>
            <w:pPr>
              <w:jc w:val="right"/>
              <w:spacing w:after="0"/>
              <w:rPr>
                <w:sz w:val="20"/>
                <w:szCs w:val="20"/>
                <w:color w:val="auto"/>
              </w:rPr>
            </w:pPr>
            <w:r>
              <w:rPr>
                <w:rFonts w:ascii="Arial" w:cs="Arial" w:eastAsia="Arial" w:hAnsi="Arial"/>
                <w:sz w:val="18"/>
                <w:szCs w:val="18"/>
                <w:color w:val="auto"/>
              </w:rPr>
              <w:t>(3.4)</w:t>
            </w:r>
          </w:p>
        </w:tc>
        <w:tc>
          <w:tcPr>
            <w:tcW w:w="4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598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r>
      <w:tr>
        <w:trPr>
          <w:trHeight w:val="269"/>
        </w:trPr>
        <w:tc>
          <w:tcPr>
            <w:tcW w:w="40" w:type="dxa"/>
            <w:vAlign w:val="bottom"/>
          </w:tcPr>
          <w:p>
            <w:pPr>
              <w:spacing w:after="0"/>
              <w:rPr>
                <w:sz w:val="22"/>
                <w:szCs w:val="22"/>
                <w:color w:val="auto"/>
              </w:rPr>
            </w:pPr>
          </w:p>
        </w:tc>
        <w:tc>
          <w:tcPr>
            <w:tcW w:w="5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current period other comprehensive (loss), net of income taxes</w:t>
            </w:r>
          </w:p>
        </w:tc>
        <w:tc>
          <w:tcPr>
            <w:tcW w:w="18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(0.9)</w:t>
            </w:r>
          </w:p>
        </w:tc>
        <w:tc>
          <w:tcPr>
            <w:tcW w:w="2100" w:type="dxa"/>
            <w:vAlign w:val="bottom"/>
            <w:tcBorders>
              <w:bottom w:val="single" w:sz="8" w:color="CCEEFF"/>
            </w:tcBorders>
            <w:shd w:val="clear" w:color="auto" w:fill="CCEEFF"/>
          </w:tcPr>
          <w:p>
            <w:pPr>
              <w:jc w:val="right"/>
              <w:ind w:right="373"/>
              <w:spacing w:after="0"/>
              <w:rPr>
                <w:sz w:val="20"/>
                <w:szCs w:val="20"/>
                <w:color w:val="auto"/>
              </w:rPr>
            </w:pPr>
            <w:r>
              <w:rPr>
                <w:rFonts w:ascii="Arial" w:cs="Arial" w:eastAsia="Arial" w:hAnsi="Arial"/>
                <w:sz w:val="18"/>
                <w:szCs w:val="18"/>
                <w:color w:val="auto"/>
              </w:rPr>
              <w:t>6.5</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40" w:type="dxa"/>
            <w:vAlign w:val="bottom"/>
            <w:tcBorders>
              <w:bottom w:val="single" w:sz="8" w:color="CCEEFF"/>
            </w:tcBorders>
            <w:shd w:val="clear" w:color="auto" w:fill="CCEEFF"/>
          </w:tcPr>
          <w:p>
            <w:pPr>
              <w:spacing w:after="0"/>
              <w:rPr>
                <w:sz w:val="22"/>
                <w:szCs w:val="22"/>
                <w:color w:val="auto"/>
              </w:rPr>
            </w:pPr>
          </w:p>
        </w:tc>
      </w:tr>
      <w:tr>
        <w:trPr>
          <w:trHeight w:val="237"/>
        </w:trPr>
        <w:tc>
          <w:tcPr>
            <w:tcW w:w="40" w:type="dxa"/>
            <w:vAlign w:val="bottom"/>
          </w:tcPr>
          <w:p>
            <w:pPr>
              <w:spacing w:after="0"/>
              <w:rPr>
                <w:sz w:val="20"/>
                <w:szCs w:val="20"/>
                <w:color w:val="auto"/>
              </w:rPr>
            </w:pPr>
          </w:p>
        </w:tc>
        <w:tc>
          <w:tcPr>
            <w:tcW w:w="5980" w:type="dxa"/>
            <w:vAlign w:val="bottom"/>
            <w:tcBorders>
              <w:top w:val="single" w:sz="8" w:color="auto"/>
            </w:tcBorders>
          </w:tcPr>
          <w:p>
            <w:pPr>
              <w:ind w:left="20"/>
              <w:spacing w:after="0"/>
              <w:rPr>
                <w:sz w:val="20"/>
                <w:szCs w:val="20"/>
                <w:color w:val="auto"/>
              </w:rPr>
            </w:pPr>
            <w:r>
              <w:rPr>
                <w:rFonts w:ascii="Arial" w:cs="Arial" w:eastAsia="Arial" w:hAnsi="Arial"/>
                <w:sz w:val="16"/>
                <w:szCs w:val="16"/>
                <w:b w:val="1"/>
                <w:bCs w:val="1"/>
                <w:color w:val="auto"/>
              </w:rPr>
              <w:t>Balance at March 31, 2015</w:t>
            </w:r>
          </w:p>
        </w:tc>
        <w:tc>
          <w:tcPr>
            <w:tcW w:w="182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b w:val="1"/>
                <w:bCs w:val="1"/>
                <w:color w:val="auto"/>
              </w:rPr>
              <w:t>($5.7)</w:t>
            </w:r>
          </w:p>
        </w:tc>
        <w:tc>
          <w:tcPr>
            <w:tcW w:w="2100" w:type="dxa"/>
            <w:vAlign w:val="bottom"/>
            <w:tcBorders>
              <w:top w:val="single" w:sz="8" w:color="auto"/>
            </w:tcBorders>
          </w:tcPr>
          <w:p>
            <w:pPr>
              <w:jc w:val="right"/>
              <w:ind w:right="313"/>
              <w:spacing w:after="0"/>
              <w:rPr>
                <w:sz w:val="20"/>
                <w:szCs w:val="20"/>
                <w:color w:val="auto"/>
              </w:rPr>
            </w:pPr>
            <w:r>
              <w:rPr>
                <w:rFonts w:ascii="Arial" w:cs="Arial" w:eastAsia="Arial" w:hAnsi="Arial"/>
                <w:sz w:val="18"/>
                <w:szCs w:val="18"/>
                <w:b w:val="1"/>
                <w:bCs w:val="1"/>
                <w:color w:val="auto"/>
              </w:rPr>
              <w:t>($286.0)</w:t>
            </w: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($291.7)</w:t>
            </w:r>
          </w:p>
        </w:tc>
        <w:tc>
          <w:tcPr>
            <w:tcW w:w="40" w:type="dxa"/>
            <w:vAlign w:val="bottom"/>
            <w:tcBorders>
              <w:top w:val="single" w:sz="8" w:color="auto"/>
            </w:tcBorders>
          </w:tcPr>
          <w:p>
            <w:pPr>
              <w:spacing w:after="0"/>
              <w:rPr>
                <w:sz w:val="20"/>
                <w:szCs w:val="20"/>
                <w:color w:val="auto"/>
              </w:rPr>
            </w:pPr>
          </w:p>
        </w:tc>
      </w:tr>
      <w:tr>
        <w:trPr>
          <w:trHeight w:val="34"/>
        </w:trPr>
        <w:tc>
          <w:tcPr>
            <w:tcW w:w="40" w:type="dxa"/>
            <w:vAlign w:val="bottom"/>
          </w:tcPr>
          <w:p>
            <w:pPr>
              <w:spacing w:after="0"/>
              <w:rPr>
                <w:sz w:val="2"/>
                <w:szCs w:val="2"/>
                <w:color w:val="auto"/>
              </w:rPr>
            </w:pPr>
          </w:p>
        </w:tc>
        <w:tc>
          <w:tcPr>
            <w:tcW w:w="598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reclassification of the pension and postretirement liability adjustment was included in costs of products sold and selling, general and administrative expenses in the Unaudited Consolidated Statements of Operations. These components are included in the computation of net periodic benefit cost.</w:t>
      </w:r>
    </w:p>
    <w:p>
      <w:pPr>
        <w:spacing w:after="0" w:line="123"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8 - Changes in Shareholders' Equity</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Changes in the components of shareholders’ equity for the three months ended March 31, 2016 were as follows: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420" w:type="dxa"/>
            <w:vAlign w:val="bottom"/>
          </w:tcPr>
          <w:p>
            <w:pPr>
              <w:spacing w:after="0"/>
              <w:rPr>
                <w:sz w:val="14"/>
                <w:szCs w:val="14"/>
                <w:color w:val="auto"/>
              </w:rPr>
            </w:pPr>
          </w:p>
        </w:tc>
        <w:tc>
          <w:tcPr>
            <w:tcW w:w="1460" w:type="dxa"/>
            <w:vAlign w:val="bottom"/>
            <w:vMerge w:val="restart"/>
          </w:tcPr>
          <w:p>
            <w:pPr>
              <w:jc w:val="right"/>
              <w:ind w:right="412"/>
              <w:spacing w:after="0"/>
              <w:rPr>
                <w:sz w:val="20"/>
                <w:szCs w:val="20"/>
                <w:color w:val="auto"/>
              </w:rPr>
            </w:pPr>
            <w:r>
              <w:rPr>
                <w:rFonts w:ascii="Arial" w:cs="Arial" w:eastAsia="Arial" w:hAnsi="Arial"/>
                <w:sz w:val="14"/>
                <w:szCs w:val="14"/>
                <w:b w:val="1"/>
                <w:bCs w:val="1"/>
                <w:color w:val="auto"/>
              </w:rPr>
              <w:t>Total</w:t>
            </w:r>
          </w:p>
        </w:tc>
        <w:tc>
          <w:tcPr>
            <w:tcW w:w="1440" w:type="dxa"/>
            <w:vAlign w:val="bottom"/>
          </w:tcPr>
          <w:p>
            <w:pPr>
              <w:jc w:val="right"/>
              <w:ind w:right="34"/>
              <w:spacing w:after="0"/>
              <w:rPr>
                <w:sz w:val="20"/>
                <w:szCs w:val="20"/>
                <w:color w:val="auto"/>
              </w:rPr>
            </w:pPr>
            <w:r>
              <w:rPr>
                <w:rFonts w:ascii="Arial" w:cs="Arial" w:eastAsia="Arial" w:hAnsi="Arial"/>
                <w:sz w:val="14"/>
                <w:szCs w:val="14"/>
                <w:b w:val="1"/>
                <w:bCs w:val="1"/>
                <w:color w:val="auto"/>
              </w:rPr>
              <w:t>Additional Paid-in</w:t>
            </w:r>
          </w:p>
        </w:tc>
        <w:tc>
          <w:tcPr>
            <w:tcW w:w="1380" w:type="dxa"/>
            <w:vAlign w:val="bottom"/>
            <w:vMerge w:val="restart"/>
          </w:tcPr>
          <w:p>
            <w:pPr>
              <w:jc w:val="right"/>
              <w:ind w:right="72"/>
              <w:spacing w:after="0"/>
              <w:rPr>
                <w:sz w:val="20"/>
                <w:szCs w:val="20"/>
                <w:color w:val="auto"/>
              </w:rPr>
            </w:pPr>
            <w:r>
              <w:rPr>
                <w:rFonts w:ascii="Arial" w:cs="Arial" w:eastAsia="Arial" w:hAnsi="Arial"/>
                <w:sz w:val="14"/>
                <w:szCs w:val="14"/>
                <w:b w:val="1"/>
                <w:bCs w:val="1"/>
                <w:color w:val="auto"/>
              </w:rPr>
              <w:t>Retained (Deficit)</w:t>
            </w:r>
          </w:p>
        </w:tc>
        <w:tc>
          <w:tcPr>
            <w:tcW w:w="1320" w:type="dxa"/>
            <w:vAlign w:val="bottom"/>
            <w:vMerge w:val="restart"/>
          </w:tcPr>
          <w:p>
            <w:pPr>
              <w:jc w:val="right"/>
              <w:ind w:right="92"/>
              <w:spacing w:after="0"/>
              <w:rPr>
                <w:sz w:val="20"/>
                <w:szCs w:val="20"/>
                <w:color w:val="auto"/>
              </w:rPr>
            </w:pPr>
            <w:r>
              <w:rPr>
                <w:rFonts w:ascii="Arial" w:cs="Arial" w:eastAsia="Arial" w:hAnsi="Arial"/>
                <w:sz w:val="14"/>
                <w:szCs w:val="14"/>
                <w:b w:val="1"/>
                <w:bCs w:val="1"/>
                <w:color w:val="auto"/>
              </w:rPr>
              <w:t>Treasury Shares</w:t>
            </w:r>
          </w:p>
        </w:tc>
        <w:tc>
          <w:tcPr>
            <w:tcW w:w="1400" w:type="dxa"/>
            <w:vAlign w:val="bottom"/>
          </w:tcPr>
          <w:p>
            <w:pPr>
              <w:jc w:val="right"/>
              <w:spacing w:after="0"/>
              <w:rPr>
                <w:sz w:val="20"/>
                <w:szCs w:val="20"/>
                <w:color w:val="auto"/>
              </w:rPr>
            </w:pPr>
            <w:r>
              <w:rPr>
                <w:rFonts w:ascii="Arial" w:cs="Arial" w:eastAsia="Arial" w:hAnsi="Arial"/>
                <w:sz w:val="14"/>
                <w:szCs w:val="14"/>
                <w:b w:val="1"/>
                <w:bCs w:val="1"/>
                <w:color w:val="auto"/>
              </w:rPr>
              <w:t>Accumulated Other</w:t>
            </w:r>
          </w:p>
        </w:tc>
        <w:tc>
          <w:tcPr>
            <w:tcW w:w="0" w:type="dxa"/>
            <w:vAlign w:val="bottom"/>
          </w:tcPr>
          <w:p>
            <w:pPr>
              <w:spacing w:after="0"/>
              <w:rPr>
                <w:sz w:val="1"/>
                <w:szCs w:val="1"/>
                <w:color w:val="auto"/>
              </w:rPr>
            </w:pPr>
          </w:p>
        </w:tc>
      </w:tr>
      <w:tr>
        <w:trPr>
          <w:trHeight w:val="192"/>
        </w:trPr>
        <w:tc>
          <w:tcPr>
            <w:tcW w:w="442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vMerge w:val="continue"/>
          </w:tcPr>
          <w:p>
            <w:pPr>
              <w:spacing w:after="0"/>
              <w:rPr>
                <w:sz w:val="16"/>
                <w:szCs w:val="16"/>
                <w:color w:val="auto"/>
              </w:rPr>
            </w:pPr>
          </w:p>
        </w:tc>
        <w:tc>
          <w:tcPr>
            <w:tcW w:w="1440" w:type="dxa"/>
            <w:vAlign w:val="bottom"/>
            <w:tcBorders>
              <w:bottom w:val="single" w:sz="8" w:color="auto"/>
            </w:tcBorders>
          </w:tcPr>
          <w:p>
            <w:pPr>
              <w:jc w:val="right"/>
              <w:ind w:right="374"/>
              <w:spacing w:after="0"/>
              <w:rPr>
                <w:sz w:val="20"/>
                <w:szCs w:val="20"/>
                <w:color w:val="auto"/>
              </w:rPr>
            </w:pPr>
            <w:r>
              <w:rPr>
                <w:rFonts w:ascii="Arial" w:cs="Arial" w:eastAsia="Arial" w:hAnsi="Arial"/>
                <w:sz w:val="14"/>
                <w:szCs w:val="14"/>
                <w:b w:val="1"/>
                <w:bCs w:val="1"/>
                <w:color w:val="auto"/>
              </w:rPr>
              <w:t>Capital</w:t>
            </w:r>
          </w:p>
        </w:tc>
        <w:tc>
          <w:tcPr>
            <w:tcW w:w="1380" w:type="dxa"/>
            <w:vAlign w:val="bottom"/>
            <w:tcBorders>
              <w:bottom w:val="single" w:sz="8" w:color="auto"/>
            </w:tcBorders>
            <w:vMerge w:val="continue"/>
          </w:tcPr>
          <w:p>
            <w:pPr>
              <w:spacing w:after="0"/>
              <w:rPr>
                <w:sz w:val="16"/>
                <w:szCs w:val="16"/>
                <w:color w:val="auto"/>
              </w:rPr>
            </w:pPr>
          </w:p>
        </w:tc>
        <w:tc>
          <w:tcPr>
            <w:tcW w:w="1320" w:type="dxa"/>
            <w:vAlign w:val="bottom"/>
            <w:tcBorders>
              <w:bottom w:val="single" w:sz="8" w:color="auto"/>
            </w:tcBorders>
            <w:vMerge w:val="continue"/>
          </w:tcPr>
          <w:p>
            <w:pPr>
              <w:spacing w:after="0"/>
              <w:rPr>
                <w:sz w:val="16"/>
                <w:szCs w:val="16"/>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Comprehensive Loss</w:t>
            </w:r>
          </w:p>
        </w:tc>
        <w:tc>
          <w:tcPr>
            <w:tcW w:w="0" w:type="dxa"/>
            <w:vAlign w:val="bottom"/>
          </w:tcPr>
          <w:p>
            <w:pPr>
              <w:spacing w:after="0"/>
              <w:rPr>
                <w:sz w:val="1"/>
                <w:szCs w:val="1"/>
                <w:color w:val="auto"/>
              </w:rPr>
            </w:pPr>
          </w:p>
        </w:tc>
      </w:tr>
      <w:tr>
        <w:trPr>
          <w:trHeight w:val="250"/>
        </w:trPr>
        <w:tc>
          <w:tcPr>
            <w:tcW w:w="4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as of December 31, 2015</w:t>
            </w:r>
          </w:p>
        </w:tc>
        <w:tc>
          <w:tcPr>
            <w:tcW w:w="146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$686.4</w:t>
            </w:r>
          </w:p>
        </w:tc>
        <w:tc>
          <w:tcPr>
            <w:tcW w:w="144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$1,058.2</w:t>
            </w:r>
          </w:p>
        </w:tc>
        <w:tc>
          <w:tcPr>
            <w:tcW w:w="138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($61.7)</w:t>
            </w:r>
          </w:p>
        </w:tc>
        <w:tc>
          <w:tcPr>
            <w:tcW w:w="13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($46.3)</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($263.8)</w:t>
            </w:r>
          </w:p>
        </w:tc>
        <w:tc>
          <w:tcPr>
            <w:tcW w:w="0" w:type="dxa"/>
            <w:vAlign w:val="bottom"/>
          </w:tcPr>
          <w:p>
            <w:pPr>
              <w:spacing w:after="0"/>
              <w:rPr>
                <w:sz w:val="1"/>
                <w:szCs w:val="1"/>
                <w:color w:val="auto"/>
              </w:rPr>
            </w:pPr>
          </w:p>
        </w:tc>
      </w:tr>
      <w:tr>
        <w:trPr>
          <w:trHeight w:val="243"/>
        </w:trPr>
        <w:tc>
          <w:tcPr>
            <w:tcW w:w="4420" w:type="dxa"/>
            <w:vAlign w:val="bottom"/>
          </w:tcPr>
          <w:p>
            <w:pPr>
              <w:ind w:left="200"/>
              <w:spacing w:after="0"/>
              <w:rPr>
                <w:sz w:val="20"/>
                <w:szCs w:val="20"/>
                <w:color w:val="auto"/>
              </w:rPr>
            </w:pPr>
            <w:r>
              <w:rPr>
                <w:rFonts w:ascii="Arial" w:cs="Arial" w:eastAsia="Arial" w:hAnsi="Arial"/>
                <w:sz w:val="18"/>
                <w:szCs w:val="18"/>
                <w:color w:val="auto"/>
              </w:rPr>
              <w:t>Net loss</w:t>
            </w:r>
          </w:p>
        </w:tc>
        <w:tc>
          <w:tcPr>
            <w:tcW w:w="1460" w:type="dxa"/>
            <w:vAlign w:val="bottom"/>
          </w:tcPr>
          <w:p>
            <w:pPr>
              <w:jc w:val="right"/>
              <w:spacing w:after="0"/>
              <w:rPr>
                <w:sz w:val="20"/>
                <w:szCs w:val="20"/>
                <w:color w:val="auto"/>
              </w:rPr>
            </w:pPr>
            <w:r>
              <w:rPr>
                <w:rFonts w:ascii="Arial" w:cs="Arial" w:eastAsia="Arial" w:hAnsi="Arial"/>
                <w:sz w:val="18"/>
                <w:szCs w:val="18"/>
                <w:color w:val="auto"/>
              </w:rPr>
              <w:t>(13.6)</w:t>
            </w:r>
          </w:p>
        </w:tc>
        <w:tc>
          <w:tcPr>
            <w:tcW w:w="1440" w:type="dxa"/>
            <w:vAlign w:val="bottom"/>
          </w:tcPr>
          <w:p>
            <w:pPr>
              <w:jc w:val="right"/>
              <w:ind w:right="74"/>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52"/>
              <w:spacing w:after="0"/>
              <w:rPr>
                <w:sz w:val="20"/>
                <w:szCs w:val="20"/>
                <w:color w:val="auto"/>
              </w:rPr>
            </w:pPr>
            <w:r>
              <w:rPr>
                <w:rFonts w:ascii="Arial" w:cs="Arial" w:eastAsia="Arial" w:hAnsi="Arial"/>
                <w:sz w:val="18"/>
                <w:szCs w:val="18"/>
                <w:color w:val="auto"/>
              </w:rPr>
              <w:t>(13.6)</w:t>
            </w:r>
          </w:p>
        </w:tc>
        <w:tc>
          <w:tcPr>
            <w:tcW w:w="1320" w:type="dxa"/>
            <w:vAlign w:val="bottom"/>
          </w:tcPr>
          <w:p>
            <w:pPr>
              <w:jc w:val="right"/>
              <w:ind w:right="72"/>
              <w:spacing w:after="0"/>
              <w:rPr>
                <w:sz w:val="20"/>
                <w:szCs w:val="20"/>
                <w:color w:val="auto"/>
              </w:rPr>
            </w:pPr>
            <w:r>
              <w:rPr>
                <w:rFonts w:ascii="Arial" w:cs="Arial" w:eastAsia="Arial" w:hAnsi="Arial"/>
                <w:sz w:val="18"/>
                <w:szCs w:val="18"/>
                <w:color w:val="auto"/>
              </w:rPr>
              <w:t>—</w:t>
            </w:r>
          </w:p>
        </w:tc>
        <w:tc>
          <w:tcPr>
            <w:tcW w:w="14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Pension and postretirement adjustment, net of tax</w:t>
            </w:r>
          </w:p>
        </w:tc>
        <w:tc>
          <w:tcPr>
            <w:tcW w:w="146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4.2</w:t>
            </w:r>
          </w:p>
        </w:tc>
        <w:tc>
          <w:tcPr>
            <w:tcW w:w="144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CCEEFF"/>
            </w:tcBorders>
            <w:shd w:val="clear" w:color="auto" w:fill="CCEEFF"/>
          </w:tcPr>
          <w:p>
            <w:pPr>
              <w:jc w:val="right"/>
              <w:ind w:right="112"/>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43"/>
        </w:trPr>
        <w:tc>
          <w:tcPr>
            <w:tcW w:w="4420" w:type="dxa"/>
            <w:vAlign w:val="bottom"/>
          </w:tcPr>
          <w:p>
            <w:pPr>
              <w:ind w:left="200"/>
              <w:spacing w:after="0"/>
              <w:rPr>
                <w:sz w:val="20"/>
                <w:szCs w:val="20"/>
                <w:color w:val="auto"/>
              </w:rPr>
            </w:pPr>
            <w:r>
              <w:rPr>
                <w:rFonts w:ascii="Arial" w:cs="Arial" w:eastAsia="Arial" w:hAnsi="Arial"/>
                <w:sz w:val="18"/>
                <w:szCs w:val="18"/>
                <w:color w:val="auto"/>
              </w:rPr>
              <w:t>Foreign currency translation adjustments</w:t>
            </w:r>
          </w:p>
        </w:tc>
        <w:tc>
          <w:tcPr>
            <w:tcW w:w="1460" w:type="dxa"/>
            <w:vAlign w:val="bottom"/>
          </w:tcPr>
          <w:p>
            <w:pPr>
              <w:jc w:val="right"/>
              <w:spacing w:after="0"/>
              <w:rPr>
                <w:sz w:val="20"/>
                <w:szCs w:val="20"/>
                <w:color w:val="auto"/>
              </w:rPr>
            </w:pPr>
            <w:r>
              <w:rPr>
                <w:rFonts w:ascii="Arial" w:cs="Arial" w:eastAsia="Arial" w:hAnsi="Arial"/>
                <w:sz w:val="18"/>
                <w:szCs w:val="18"/>
                <w:color w:val="auto"/>
              </w:rPr>
              <w:t>(0.5)</w:t>
            </w:r>
          </w:p>
        </w:tc>
        <w:tc>
          <w:tcPr>
            <w:tcW w:w="1440" w:type="dxa"/>
            <w:vAlign w:val="bottom"/>
          </w:tcPr>
          <w:p>
            <w:pPr>
              <w:jc w:val="right"/>
              <w:ind w:right="74"/>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112"/>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72"/>
              <w:spacing w:after="0"/>
              <w:rPr>
                <w:sz w:val="20"/>
                <w:szCs w:val="20"/>
                <w:color w:val="auto"/>
              </w:rPr>
            </w:pPr>
            <w:r>
              <w:rPr>
                <w:rFonts w:ascii="Arial" w:cs="Arial" w:eastAsia="Arial" w:hAnsi="Arial"/>
                <w:sz w:val="18"/>
                <w:szCs w:val="18"/>
                <w:color w:val="auto"/>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Stock-based compensation expense</w:t>
            </w:r>
          </w:p>
        </w:tc>
        <w:tc>
          <w:tcPr>
            <w:tcW w:w="146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1.5</w:t>
            </w:r>
          </w:p>
        </w:tc>
        <w:tc>
          <w:tcPr>
            <w:tcW w:w="144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1.5</w:t>
            </w:r>
          </w:p>
        </w:tc>
        <w:tc>
          <w:tcPr>
            <w:tcW w:w="1380" w:type="dxa"/>
            <w:vAlign w:val="bottom"/>
            <w:tcBorders>
              <w:bottom w:val="single" w:sz="8" w:color="CCEEFF"/>
            </w:tcBorders>
            <w:shd w:val="clear" w:color="auto" w:fill="CCEEFF"/>
          </w:tcPr>
          <w:p>
            <w:pPr>
              <w:jc w:val="right"/>
              <w:ind w:right="112"/>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420" w:type="dxa"/>
            <w:vAlign w:val="bottom"/>
          </w:tcPr>
          <w:p>
            <w:pPr>
              <w:ind w:left="200"/>
              <w:spacing w:after="0"/>
              <w:rPr>
                <w:sz w:val="20"/>
                <w:szCs w:val="20"/>
                <w:color w:val="auto"/>
              </w:rPr>
            </w:pPr>
            <w:r>
              <w:rPr>
                <w:rFonts w:ascii="Arial" w:cs="Arial" w:eastAsia="Arial" w:hAnsi="Arial"/>
                <w:sz w:val="18"/>
                <w:szCs w:val="18"/>
                <w:color w:val="auto"/>
              </w:rPr>
              <w:t>Issuance of treasury shares</w:t>
            </w:r>
          </w:p>
        </w:tc>
        <w:tc>
          <w:tcPr>
            <w:tcW w:w="1460" w:type="dxa"/>
            <w:vAlign w:val="bottom"/>
          </w:tcPr>
          <w:p>
            <w:pPr>
              <w:jc w:val="right"/>
              <w:ind w:right="52"/>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14"/>
              <w:spacing w:after="0"/>
              <w:rPr>
                <w:sz w:val="20"/>
                <w:szCs w:val="20"/>
                <w:color w:val="auto"/>
              </w:rPr>
            </w:pPr>
            <w:r>
              <w:rPr>
                <w:rFonts w:ascii="Arial" w:cs="Arial" w:eastAsia="Arial" w:hAnsi="Arial"/>
                <w:sz w:val="18"/>
                <w:szCs w:val="18"/>
                <w:color w:val="auto"/>
              </w:rPr>
              <w:t>(1.2)</w:t>
            </w:r>
          </w:p>
        </w:tc>
        <w:tc>
          <w:tcPr>
            <w:tcW w:w="1380" w:type="dxa"/>
            <w:vAlign w:val="bottom"/>
          </w:tcPr>
          <w:p>
            <w:pPr>
              <w:jc w:val="right"/>
              <w:ind w:right="112"/>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72"/>
              <w:spacing w:after="0"/>
              <w:rPr>
                <w:sz w:val="20"/>
                <w:szCs w:val="20"/>
                <w:color w:val="auto"/>
              </w:rPr>
            </w:pPr>
            <w:r>
              <w:rPr>
                <w:rFonts w:ascii="Arial" w:cs="Arial" w:eastAsia="Arial" w:hAnsi="Arial"/>
                <w:sz w:val="18"/>
                <w:szCs w:val="18"/>
                <w:color w:val="auto"/>
              </w:rPr>
              <w:t>1.2</w:t>
            </w:r>
          </w:p>
        </w:tc>
        <w:tc>
          <w:tcPr>
            <w:tcW w:w="14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4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6"/>
        </w:trPr>
        <w:tc>
          <w:tcPr>
            <w:tcW w:w="4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as of March 31, 2016</w:t>
            </w:r>
          </w:p>
        </w:tc>
        <w:tc>
          <w:tcPr>
            <w:tcW w:w="146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b w:val="1"/>
                <w:bCs w:val="1"/>
                <w:color w:val="auto"/>
              </w:rPr>
              <w:t>$678.0</w:t>
            </w:r>
          </w:p>
        </w:tc>
        <w:tc>
          <w:tcPr>
            <w:tcW w:w="144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b w:val="1"/>
                <w:bCs w:val="1"/>
                <w:color w:val="auto"/>
              </w:rPr>
              <w:t>$1,058.5</w:t>
            </w:r>
          </w:p>
        </w:tc>
        <w:tc>
          <w:tcPr>
            <w:tcW w:w="138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b w:val="1"/>
                <w:bCs w:val="1"/>
                <w:color w:val="auto"/>
              </w:rPr>
              <w:t>($75.3)</w:t>
            </w:r>
          </w:p>
        </w:tc>
        <w:tc>
          <w:tcPr>
            <w:tcW w:w="13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($45.1)</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($260.1)</w:t>
            </w:r>
          </w:p>
        </w:tc>
        <w:tc>
          <w:tcPr>
            <w:tcW w:w="0" w:type="dxa"/>
            <w:vAlign w:val="bottom"/>
          </w:tcPr>
          <w:p>
            <w:pPr>
              <w:spacing w:after="0"/>
              <w:rPr>
                <w:sz w:val="1"/>
                <w:szCs w:val="1"/>
                <w:color w:val="auto"/>
              </w:rPr>
            </w:pPr>
          </w:p>
        </w:tc>
      </w:tr>
      <w:tr>
        <w:trPr>
          <w:trHeight w:val="635"/>
        </w:trPr>
        <w:tc>
          <w:tcPr>
            <w:tcW w:w="4420" w:type="dxa"/>
            <w:vAlign w:val="bottom"/>
            <w:tcBorders>
              <w:top w:val="single" w:sz="8" w:color="auto"/>
            </w:tcBorders>
          </w:tcPr>
          <w:p>
            <w:pPr>
              <w:spacing w:after="0"/>
              <w:rPr>
                <w:sz w:val="24"/>
                <w:szCs w:val="24"/>
                <w:color w:val="auto"/>
              </w:rPr>
            </w:pPr>
          </w:p>
        </w:tc>
        <w:tc>
          <w:tcPr>
            <w:tcW w:w="1460" w:type="dxa"/>
            <w:vAlign w:val="bottom"/>
            <w:tcBorders>
              <w:top w:val="single" w:sz="8" w:color="auto"/>
            </w:tcBorders>
          </w:tcPr>
          <w:p>
            <w:pPr>
              <w:spacing w:after="0"/>
              <w:rPr>
                <w:sz w:val="24"/>
                <w:szCs w:val="24"/>
                <w:color w:val="auto"/>
              </w:rPr>
            </w:pPr>
          </w:p>
        </w:tc>
        <w:tc>
          <w:tcPr>
            <w:tcW w:w="1440" w:type="dxa"/>
            <w:vAlign w:val="bottom"/>
            <w:tcBorders>
              <w:top w:val="single" w:sz="8" w:color="auto"/>
            </w:tcBorders>
          </w:tcPr>
          <w:p>
            <w:pPr>
              <w:jc w:val="right"/>
              <w:ind w:right="1114"/>
              <w:spacing w:after="0"/>
              <w:rPr>
                <w:sz w:val="20"/>
                <w:szCs w:val="20"/>
                <w:color w:val="auto"/>
              </w:rPr>
            </w:pPr>
            <w:r>
              <w:rPr>
                <w:rFonts w:ascii="Arial" w:cs="Arial" w:eastAsia="Arial" w:hAnsi="Arial"/>
                <w:sz w:val="18"/>
                <w:szCs w:val="18"/>
                <w:color w:val="auto"/>
              </w:rPr>
              <w:t>12</w:t>
            </w:r>
          </w:p>
        </w:tc>
        <w:tc>
          <w:tcPr>
            <w:tcW w:w="1380" w:type="dxa"/>
            <w:vAlign w:val="bottom"/>
            <w:tcBorders>
              <w:top w:val="single" w:sz="8" w:color="auto"/>
            </w:tcBorders>
          </w:tcPr>
          <w:p>
            <w:pPr>
              <w:spacing w:after="0"/>
              <w:rPr>
                <w:sz w:val="24"/>
                <w:szCs w:val="24"/>
                <w:color w:val="auto"/>
              </w:rPr>
            </w:pPr>
          </w:p>
        </w:tc>
        <w:tc>
          <w:tcPr>
            <w:tcW w:w="1320" w:type="dxa"/>
            <w:vAlign w:val="bottom"/>
            <w:tcBorders>
              <w:top w:val="single" w:sz="8" w:color="auto"/>
            </w:tcBorders>
          </w:tcPr>
          <w:p>
            <w:pPr>
              <w:spacing w:after="0"/>
              <w:rPr>
                <w:sz w:val="24"/>
                <w:szCs w:val="24"/>
                <w:color w:val="auto"/>
              </w:rPr>
            </w:pPr>
          </w:p>
        </w:tc>
        <w:tc>
          <w:tcPr>
            <w:tcW w:w="140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41" w:right="2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9 - Retirement and Postretirement Plans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net periodic benefit cost for the three months ended March 31, 2016 and 2015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3820" w:type="dxa"/>
            <w:vAlign w:val="bottom"/>
          </w:tcPr>
          <w:p>
            <w:pPr>
              <w:spacing w:after="0"/>
              <w:rPr>
                <w:sz w:val="17"/>
                <w:szCs w:val="17"/>
                <w:color w:val="auto"/>
              </w:rPr>
            </w:pPr>
          </w:p>
        </w:tc>
        <w:tc>
          <w:tcPr>
            <w:tcW w:w="4320" w:type="dxa"/>
            <w:vAlign w:val="bottom"/>
            <w:gridSpan w:val="2"/>
          </w:tcPr>
          <w:p>
            <w:pPr>
              <w:jc w:val="right"/>
              <w:ind w:right="1291"/>
              <w:spacing w:after="0"/>
              <w:rPr>
                <w:sz w:val="20"/>
                <w:szCs w:val="20"/>
                <w:color w:val="auto"/>
              </w:rPr>
            </w:pPr>
            <w:r>
              <w:rPr>
                <w:rFonts w:ascii="Arial" w:cs="Arial" w:eastAsia="Arial" w:hAnsi="Arial"/>
                <w:sz w:val="16"/>
                <w:szCs w:val="16"/>
                <w:b w:val="1"/>
                <w:bCs w:val="1"/>
                <w:color w:val="auto"/>
              </w:rPr>
              <w:t>Three Months Ended</w:t>
            </w:r>
          </w:p>
        </w:tc>
        <w:tc>
          <w:tcPr>
            <w:tcW w:w="3280" w:type="dxa"/>
            <w:vAlign w:val="bottom"/>
            <w:gridSpan w:val="2"/>
          </w:tcPr>
          <w:p>
            <w:pPr>
              <w:jc w:val="right"/>
              <w:ind w:right="931"/>
              <w:spacing w:after="0"/>
              <w:rPr>
                <w:sz w:val="20"/>
                <w:szCs w:val="20"/>
                <w:color w:val="auto"/>
              </w:rPr>
            </w:pPr>
            <w:r>
              <w:rPr>
                <w:rFonts w:ascii="Arial" w:cs="Arial" w:eastAsia="Arial" w:hAnsi="Arial"/>
                <w:sz w:val="16"/>
                <w:szCs w:val="16"/>
                <w:b w:val="1"/>
                <w:bCs w:val="1"/>
                <w:color w:val="auto"/>
              </w:rPr>
              <w:t>Three Months Ended</w:t>
            </w:r>
          </w:p>
        </w:tc>
      </w:tr>
      <w:tr>
        <w:trPr>
          <w:trHeight w:val="210"/>
        </w:trPr>
        <w:tc>
          <w:tcPr>
            <w:tcW w:w="3820" w:type="dxa"/>
            <w:vAlign w:val="bottom"/>
          </w:tcPr>
          <w:p>
            <w:pPr>
              <w:spacing w:after="0"/>
              <w:rPr>
                <w:sz w:val="18"/>
                <w:szCs w:val="18"/>
                <w:color w:val="auto"/>
              </w:rPr>
            </w:pPr>
          </w:p>
        </w:tc>
        <w:tc>
          <w:tcPr>
            <w:tcW w:w="4320" w:type="dxa"/>
            <w:vAlign w:val="bottom"/>
            <w:gridSpan w:val="2"/>
          </w:tcPr>
          <w:p>
            <w:pPr>
              <w:jc w:val="right"/>
              <w:ind w:right="1471"/>
              <w:spacing w:after="0"/>
              <w:rPr>
                <w:sz w:val="20"/>
                <w:szCs w:val="20"/>
                <w:color w:val="auto"/>
              </w:rPr>
            </w:pPr>
            <w:r>
              <w:rPr>
                <w:rFonts w:ascii="Arial" w:cs="Arial" w:eastAsia="Arial" w:hAnsi="Arial"/>
                <w:sz w:val="16"/>
                <w:szCs w:val="16"/>
                <w:b w:val="1"/>
                <w:bCs w:val="1"/>
                <w:color w:val="auto"/>
              </w:rPr>
              <w:t>March 31, 2016</w:t>
            </w:r>
          </w:p>
        </w:tc>
        <w:tc>
          <w:tcPr>
            <w:tcW w:w="3280" w:type="dxa"/>
            <w:vAlign w:val="bottom"/>
            <w:gridSpan w:val="2"/>
          </w:tcPr>
          <w:p>
            <w:pPr>
              <w:jc w:val="right"/>
              <w:ind w:right="1111"/>
              <w:spacing w:after="0"/>
              <w:rPr>
                <w:sz w:val="20"/>
                <w:szCs w:val="20"/>
                <w:color w:val="auto"/>
              </w:rPr>
            </w:pPr>
            <w:r>
              <w:rPr>
                <w:rFonts w:ascii="Arial" w:cs="Arial" w:eastAsia="Arial" w:hAnsi="Arial"/>
                <w:sz w:val="16"/>
                <w:szCs w:val="16"/>
                <w:b w:val="1"/>
                <w:bCs w:val="1"/>
                <w:color w:val="auto"/>
              </w:rPr>
              <w:t>March 31, 2015</w:t>
            </w:r>
          </w:p>
        </w:tc>
      </w:tr>
      <w:tr>
        <w:trPr>
          <w:trHeight w:val="33"/>
        </w:trPr>
        <w:tc>
          <w:tcPr>
            <w:tcW w:w="382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19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31"/>
        </w:trPr>
        <w:tc>
          <w:tcPr>
            <w:tcW w:w="3820" w:type="dxa"/>
            <w:vAlign w:val="bottom"/>
          </w:tcPr>
          <w:p>
            <w:pPr>
              <w:ind w:left="40"/>
              <w:spacing w:after="0"/>
              <w:rPr>
                <w:sz w:val="20"/>
                <w:szCs w:val="20"/>
                <w:color w:val="auto"/>
              </w:rPr>
            </w:pPr>
            <w:r>
              <w:rPr>
                <w:rFonts w:ascii="Arial" w:cs="Arial" w:eastAsia="Arial" w:hAnsi="Arial"/>
                <w:sz w:val="16"/>
                <w:szCs w:val="16"/>
                <w:b w:val="1"/>
                <w:bCs w:val="1"/>
                <w:color w:val="auto"/>
              </w:rPr>
              <w:t>Components of net periodic benefit cost:</w:t>
            </w:r>
          </w:p>
        </w:tc>
        <w:tc>
          <w:tcPr>
            <w:tcW w:w="2340" w:type="dxa"/>
            <w:vAlign w:val="bottom"/>
          </w:tcPr>
          <w:p>
            <w:pPr>
              <w:jc w:val="right"/>
              <w:ind w:right="713"/>
              <w:spacing w:after="0"/>
              <w:rPr>
                <w:sz w:val="20"/>
                <w:szCs w:val="20"/>
                <w:color w:val="auto"/>
              </w:rPr>
            </w:pPr>
            <w:r>
              <w:rPr>
                <w:rFonts w:ascii="Arial" w:cs="Arial" w:eastAsia="Arial" w:hAnsi="Arial"/>
                <w:sz w:val="16"/>
                <w:szCs w:val="16"/>
                <w:b w:val="1"/>
                <w:bCs w:val="1"/>
                <w:color w:val="auto"/>
              </w:rPr>
              <w:t>Pension</w:t>
            </w:r>
          </w:p>
        </w:tc>
        <w:tc>
          <w:tcPr>
            <w:tcW w:w="1980" w:type="dxa"/>
            <w:vAlign w:val="bottom"/>
          </w:tcPr>
          <w:p>
            <w:pPr>
              <w:jc w:val="right"/>
              <w:ind w:right="591"/>
              <w:spacing w:after="0"/>
              <w:rPr>
                <w:sz w:val="20"/>
                <w:szCs w:val="20"/>
                <w:color w:val="auto"/>
              </w:rPr>
            </w:pPr>
            <w:r>
              <w:rPr>
                <w:rFonts w:ascii="Arial" w:cs="Arial" w:eastAsia="Arial" w:hAnsi="Arial"/>
                <w:sz w:val="16"/>
                <w:szCs w:val="16"/>
                <w:b w:val="1"/>
                <w:bCs w:val="1"/>
                <w:color w:val="auto"/>
              </w:rPr>
              <w:t>Postretirement</w:t>
            </w:r>
          </w:p>
        </w:tc>
        <w:tc>
          <w:tcPr>
            <w:tcW w:w="1680" w:type="dxa"/>
            <w:vAlign w:val="bottom"/>
          </w:tcPr>
          <w:p>
            <w:pPr>
              <w:jc w:val="right"/>
              <w:ind w:right="693"/>
              <w:spacing w:after="0"/>
              <w:rPr>
                <w:sz w:val="20"/>
                <w:szCs w:val="20"/>
                <w:color w:val="auto"/>
              </w:rPr>
            </w:pPr>
            <w:r>
              <w:rPr>
                <w:rFonts w:ascii="Arial" w:cs="Arial" w:eastAsia="Arial" w:hAnsi="Arial"/>
                <w:sz w:val="16"/>
                <w:szCs w:val="16"/>
                <w:b w:val="1"/>
                <w:bCs w:val="1"/>
                <w:color w:val="auto"/>
              </w:rPr>
              <w:t>Pension</w:t>
            </w:r>
          </w:p>
        </w:tc>
        <w:tc>
          <w:tcPr>
            <w:tcW w:w="1600" w:type="dxa"/>
            <w:vAlign w:val="bottom"/>
          </w:tcPr>
          <w:p>
            <w:pPr>
              <w:jc w:val="right"/>
              <w:ind w:right="231"/>
              <w:spacing w:after="0"/>
              <w:rPr>
                <w:sz w:val="20"/>
                <w:szCs w:val="20"/>
                <w:color w:val="auto"/>
              </w:rPr>
            </w:pPr>
            <w:r>
              <w:rPr>
                <w:rFonts w:ascii="Arial" w:cs="Arial" w:eastAsia="Arial" w:hAnsi="Arial"/>
                <w:sz w:val="16"/>
                <w:szCs w:val="16"/>
                <w:b w:val="1"/>
                <w:bCs w:val="1"/>
                <w:color w:val="auto"/>
              </w:rPr>
              <w:t>Postretirement</w:t>
            </w:r>
          </w:p>
        </w:tc>
      </w:tr>
      <w:tr>
        <w:trPr>
          <w:trHeight w:val="33"/>
        </w:trPr>
        <w:tc>
          <w:tcPr>
            <w:tcW w:w="382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19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44"/>
        </w:trPr>
        <w:tc>
          <w:tcPr>
            <w:tcW w:w="3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Service cost</w:t>
            </w:r>
          </w:p>
        </w:tc>
        <w:tc>
          <w:tcPr>
            <w:tcW w:w="2340" w:type="dxa"/>
            <w:vAlign w:val="bottom"/>
            <w:tcBorders>
              <w:bottom w:val="single" w:sz="8" w:color="CCEEFF"/>
            </w:tcBorders>
            <w:shd w:val="clear" w:color="auto" w:fill="CCEEFF"/>
          </w:tcPr>
          <w:p>
            <w:pPr>
              <w:jc w:val="right"/>
              <w:ind w:right="233"/>
              <w:spacing w:after="0"/>
              <w:rPr>
                <w:sz w:val="20"/>
                <w:szCs w:val="20"/>
                <w:color w:val="auto"/>
              </w:rPr>
            </w:pPr>
            <w:r>
              <w:rPr>
                <w:rFonts w:ascii="Arial" w:cs="Arial" w:eastAsia="Arial" w:hAnsi="Arial"/>
                <w:sz w:val="18"/>
                <w:szCs w:val="18"/>
                <w:b w:val="1"/>
                <w:bCs w:val="1"/>
                <w:color w:val="auto"/>
              </w:rPr>
              <w:t>$4.2</w:t>
            </w:r>
          </w:p>
        </w:tc>
        <w:tc>
          <w:tcPr>
            <w:tcW w:w="1980" w:type="dxa"/>
            <w:vAlign w:val="bottom"/>
            <w:tcBorders>
              <w:bottom w:val="single" w:sz="8" w:color="CCEEFF"/>
            </w:tcBorders>
            <w:shd w:val="clear" w:color="auto" w:fill="CCEEFF"/>
          </w:tcPr>
          <w:p>
            <w:pPr>
              <w:jc w:val="right"/>
              <w:ind w:right="351"/>
              <w:spacing w:after="0"/>
              <w:rPr>
                <w:sz w:val="20"/>
                <w:szCs w:val="20"/>
                <w:color w:val="auto"/>
              </w:rPr>
            </w:pPr>
            <w:r>
              <w:rPr>
                <w:rFonts w:ascii="Arial" w:cs="Arial" w:eastAsia="Arial" w:hAnsi="Arial"/>
                <w:sz w:val="18"/>
                <w:szCs w:val="18"/>
                <w:b w:val="1"/>
                <w:bCs w:val="1"/>
                <w:color w:val="auto"/>
              </w:rPr>
              <w:t>$0.4</w:t>
            </w:r>
          </w:p>
        </w:tc>
        <w:tc>
          <w:tcPr>
            <w:tcW w:w="1680" w:type="dxa"/>
            <w:vAlign w:val="bottom"/>
            <w:tcBorders>
              <w:bottom w:val="single" w:sz="8" w:color="CCEEFF"/>
            </w:tcBorders>
            <w:shd w:val="clear" w:color="auto" w:fill="CCEEFF"/>
          </w:tcPr>
          <w:p>
            <w:pPr>
              <w:jc w:val="right"/>
              <w:ind w:right="213"/>
              <w:spacing w:after="0"/>
              <w:rPr>
                <w:sz w:val="20"/>
                <w:szCs w:val="20"/>
                <w:color w:val="auto"/>
              </w:rPr>
            </w:pPr>
            <w:r>
              <w:rPr>
                <w:rFonts w:ascii="Arial" w:cs="Arial" w:eastAsia="Arial" w:hAnsi="Arial"/>
                <w:sz w:val="18"/>
                <w:szCs w:val="18"/>
                <w:color w:val="auto"/>
              </w:rPr>
              <w:t>$4.2</w:t>
            </w:r>
          </w:p>
        </w:tc>
        <w:tc>
          <w:tcPr>
            <w:tcW w:w="16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$0.4</w:t>
            </w:r>
          </w:p>
        </w:tc>
      </w:tr>
      <w:tr>
        <w:trPr>
          <w:trHeight w:val="243"/>
        </w:trPr>
        <w:tc>
          <w:tcPr>
            <w:tcW w:w="3820" w:type="dxa"/>
            <w:vAlign w:val="bottom"/>
          </w:tcPr>
          <w:p>
            <w:pPr>
              <w:ind w:left="40"/>
              <w:spacing w:after="0"/>
              <w:rPr>
                <w:sz w:val="20"/>
                <w:szCs w:val="20"/>
                <w:color w:val="auto"/>
              </w:rPr>
            </w:pPr>
            <w:r>
              <w:rPr>
                <w:rFonts w:ascii="Arial" w:cs="Arial" w:eastAsia="Arial" w:hAnsi="Arial"/>
                <w:sz w:val="18"/>
                <w:szCs w:val="18"/>
                <w:color w:val="auto"/>
              </w:rPr>
              <w:t>Interest cost</w:t>
            </w:r>
          </w:p>
        </w:tc>
        <w:tc>
          <w:tcPr>
            <w:tcW w:w="2340" w:type="dxa"/>
            <w:vAlign w:val="bottom"/>
          </w:tcPr>
          <w:p>
            <w:pPr>
              <w:jc w:val="right"/>
              <w:ind w:right="233"/>
              <w:spacing w:after="0"/>
              <w:rPr>
                <w:sz w:val="20"/>
                <w:szCs w:val="20"/>
                <w:color w:val="auto"/>
              </w:rPr>
            </w:pPr>
            <w:r>
              <w:rPr>
                <w:rFonts w:ascii="Arial" w:cs="Arial" w:eastAsia="Arial" w:hAnsi="Arial"/>
                <w:sz w:val="18"/>
                <w:szCs w:val="18"/>
                <w:b w:val="1"/>
                <w:bCs w:val="1"/>
                <w:color w:val="auto"/>
              </w:rPr>
              <w:t>13.1</w:t>
            </w:r>
          </w:p>
        </w:tc>
        <w:tc>
          <w:tcPr>
            <w:tcW w:w="1980" w:type="dxa"/>
            <w:vAlign w:val="bottom"/>
          </w:tcPr>
          <w:p>
            <w:pPr>
              <w:jc w:val="right"/>
              <w:ind w:right="351"/>
              <w:spacing w:after="0"/>
              <w:rPr>
                <w:sz w:val="20"/>
                <w:szCs w:val="20"/>
                <w:color w:val="auto"/>
              </w:rPr>
            </w:pPr>
            <w:r>
              <w:rPr>
                <w:rFonts w:ascii="Arial" w:cs="Arial" w:eastAsia="Arial" w:hAnsi="Arial"/>
                <w:sz w:val="18"/>
                <w:szCs w:val="18"/>
                <w:b w:val="1"/>
                <w:bCs w:val="1"/>
                <w:color w:val="auto"/>
              </w:rPr>
              <w:t>2.3</w:t>
            </w:r>
          </w:p>
        </w:tc>
        <w:tc>
          <w:tcPr>
            <w:tcW w:w="1680" w:type="dxa"/>
            <w:vAlign w:val="bottom"/>
          </w:tcPr>
          <w:p>
            <w:pPr>
              <w:jc w:val="right"/>
              <w:ind w:right="213"/>
              <w:spacing w:after="0"/>
              <w:rPr>
                <w:sz w:val="20"/>
                <w:szCs w:val="20"/>
                <w:color w:val="auto"/>
              </w:rPr>
            </w:pPr>
            <w:r>
              <w:rPr>
                <w:rFonts w:ascii="Arial" w:cs="Arial" w:eastAsia="Arial" w:hAnsi="Arial"/>
                <w:sz w:val="18"/>
                <w:szCs w:val="18"/>
                <w:color w:val="auto"/>
              </w:rPr>
              <w:t>13.0</w:t>
            </w:r>
          </w:p>
        </w:tc>
        <w:tc>
          <w:tcPr>
            <w:tcW w:w="1600" w:type="dxa"/>
            <w:vAlign w:val="bottom"/>
          </w:tcPr>
          <w:p>
            <w:pPr>
              <w:jc w:val="right"/>
              <w:ind w:right="11"/>
              <w:spacing w:after="0"/>
              <w:rPr>
                <w:sz w:val="20"/>
                <w:szCs w:val="20"/>
                <w:color w:val="auto"/>
              </w:rPr>
            </w:pPr>
            <w:r>
              <w:rPr>
                <w:rFonts w:ascii="Arial" w:cs="Arial" w:eastAsia="Arial" w:hAnsi="Arial"/>
                <w:sz w:val="18"/>
                <w:szCs w:val="18"/>
                <w:color w:val="auto"/>
              </w:rPr>
              <w:t>2.4</w:t>
            </w:r>
          </w:p>
        </w:tc>
      </w:tr>
      <w:tr>
        <w:trPr>
          <w:trHeight w:val="27"/>
        </w:trPr>
        <w:tc>
          <w:tcPr>
            <w:tcW w:w="382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98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Expected return on plan assets</w:t>
            </w:r>
          </w:p>
        </w:tc>
        <w:tc>
          <w:tcPr>
            <w:tcW w:w="234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b w:val="1"/>
                <w:bCs w:val="1"/>
                <w:color w:val="auto"/>
              </w:rPr>
              <w:t>(18.2)</w:t>
            </w:r>
          </w:p>
        </w:tc>
        <w:tc>
          <w:tcPr>
            <w:tcW w:w="198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b w:val="1"/>
                <w:bCs w:val="1"/>
                <w:color w:val="auto"/>
              </w:rPr>
              <w:t>(1.7)</w:t>
            </w:r>
          </w:p>
        </w:tc>
        <w:tc>
          <w:tcPr>
            <w:tcW w:w="168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8"/>
                <w:szCs w:val="18"/>
                <w:color w:val="auto"/>
              </w:rPr>
              <w:t>(18.8)</w:t>
            </w: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w:t>
            </w:r>
          </w:p>
        </w:tc>
      </w:tr>
      <w:tr>
        <w:trPr>
          <w:trHeight w:val="243"/>
        </w:trPr>
        <w:tc>
          <w:tcPr>
            <w:tcW w:w="3820" w:type="dxa"/>
            <w:vAlign w:val="bottom"/>
          </w:tcPr>
          <w:p>
            <w:pPr>
              <w:ind w:left="40"/>
              <w:spacing w:after="0"/>
              <w:rPr>
                <w:sz w:val="20"/>
                <w:szCs w:val="20"/>
                <w:color w:val="auto"/>
              </w:rPr>
            </w:pPr>
            <w:r>
              <w:rPr>
                <w:rFonts w:ascii="Arial" w:cs="Arial" w:eastAsia="Arial" w:hAnsi="Arial"/>
                <w:sz w:val="18"/>
                <w:szCs w:val="18"/>
                <w:color w:val="auto"/>
              </w:rPr>
              <w:t>Amortization of prior service cost</w:t>
            </w:r>
          </w:p>
        </w:tc>
        <w:tc>
          <w:tcPr>
            <w:tcW w:w="2340" w:type="dxa"/>
            <w:vAlign w:val="bottom"/>
          </w:tcPr>
          <w:p>
            <w:pPr>
              <w:jc w:val="right"/>
              <w:ind w:right="233"/>
              <w:spacing w:after="0"/>
              <w:rPr>
                <w:sz w:val="20"/>
                <w:szCs w:val="20"/>
                <w:color w:val="auto"/>
              </w:rPr>
            </w:pPr>
            <w:r>
              <w:rPr>
                <w:rFonts w:ascii="Arial" w:cs="Arial" w:eastAsia="Arial" w:hAnsi="Arial"/>
                <w:sz w:val="18"/>
                <w:szCs w:val="18"/>
                <w:b w:val="1"/>
                <w:bCs w:val="1"/>
                <w:color w:val="auto"/>
              </w:rPr>
              <w:t>0.2</w:t>
            </w:r>
          </w:p>
        </w:tc>
        <w:tc>
          <w:tcPr>
            <w:tcW w:w="1980" w:type="dxa"/>
            <w:vAlign w:val="bottom"/>
          </w:tcPr>
          <w:p>
            <w:pPr>
              <w:jc w:val="right"/>
              <w:ind w:right="351"/>
              <w:spacing w:after="0"/>
              <w:rPr>
                <w:sz w:val="20"/>
                <w:szCs w:val="20"/>
                <w:color w:val="auto"/>
              </w:rPr>
            </w:pPr>
            <w:r>
              <w:rPr>
                <w:rFonts w:ascii="Arial" w:cs="Arial" w:eastAsia="Arial" w:hAnsi="Arial"/>
                <w:sz w:val="18"/>
                <w:szCs w:val="18"/>
                <w:b w:val="1"/>
                <w:bCs w:val="1"/>
                <w:color w:val="auto"/>
              </w:rPr>
              <w:t>0.3</w:t>
            </w:r>
          </w:p>
        </w:tc>
        <w:tc>
          <w:tcPr>
            <w:tcW w:w="1680" w:type="dxa"/>
            <w:vAlign w:val="bottom"/>
          </w:tcPr>
          <w:p>
            <w:pPr>
              <w:jc w:val="right"/>
              <w:ind w:right="213"/>
              <w:spacing w:after="0"/>
              <w:rPr>
                <w:sz w:val="20"/>
                <w:szCs w:val="20"/>
                <w:color w:val="auto"/>
              </w:rPr>
            </w:pPr>
            <w:r>
              <w:rPr>
                <w:rFonts w:ascii="Arial" w:cs="Arial" w:eastAsia="Arial" w:hAnsi="Arial"/>
                <w:sz w:val="18"/>
                <w:szCs w:val="18"/>
                <w:color w:val="auto"/>
              </w:rPr>
              <w:t>0.1</w:t>
            </w:r>
          </w:p>
        </w:tc>
        <w:tc>
          <w:tcPr>
            <w:tcW w:w="1600" w:type="dxa"/>
            <w:vAlign w:val="bottom"/>
          </w:tcPr>
          <w:p>
            <w:pPr>
              <w:jc w:val="right"/>
              <w:ind w:right="11"/>
              <w:spacing w:after="0"/>
              <w:rPr>
                <w:sz w:val="20"/>
                <w:szCs w:val="20"/>
                <w:color w:val="auto"/>
              </w:rPr>
            </w:pPr>
            <w:r>
              <w:rPr>
                <w:rFonts w:ascii="Arial" w:cs="Arial" w:eastAsia="Arial" w:hAnsi="Arial"/>
                <w:sz w:val="18"/>
                <w:szCs w:val="18"/>
                <w:color w:val="auto"/>
              </w:rPr>
              <w:t>0.3</w:t>
            </w:r>
          </w:p>
        </w:tc>
      </w:tr>
      <w:tr>
        <w:trPr>
          <w:trHeight w:val="27"/>
        </w:trPr>
        <w:tc>
          <w:tcPr>
            <w:tcW w:w="382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98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75"/>
        </w:trPr>
        <w:tc>
          <w:tcPr>
            <w:tcW w:w="3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Amortization of net actuarial loss</w:t>
            </w:r>
          </w:p>
        </w:tc>
        <w:tc>
          <w:tcPr>
            <w:tcW w:w="2340" w:type="dxa"/>
            <w:vAlign w:val="bottom"/>
            <w:tcBorders>
              <w:bottom w:val="single" w:sz="8" w:color="CCEEFF"/>
            </w:tcBorders>
            <w:shd w:val="clear" w:color="auto" w:fill="CCEEFF"/>
          </w:tcPr>
          <w:p>
            <w:pPr>
              <w:jc w:val="right"/>
              <w:ind w:right="233"/>
              <w:spacing w:after="0"/>
              <w:rPr>
                <w:sz w:val="20"/>
                <w:szCs w:val="20"/>
                <w:color w:val="auto"/>
              </w:rPr>
            </w:pPr>
            <w:r>
              <w:rPr>
                <w:rFonts w:ascii="Arial" w:cs="Arial" w:eastAsia="Arial" w:hAnsi="Arial"/>
                <w:sz w:val="18"/>
                <w:szCs w:val="18"/>
                <w:b w:val="1"/>
                <w:bCs w:val="1"/>
                <w:color w:val="auto"/>
              </w:rPr>
              <w:t>6.0</w:t>
            </w:r>
          </w:p>
        </w:tc>
        <w:tc>
          <w:tcPr>
            <w:tcW w:w="1980" w:type="dxa"/>
            <w:vAlign w:val="bottom"/>
            <w:tcBorders>
              <w:bottom w:val="single" w:sz="8" w:color="CCEEFF"/>
            </w:tcBorders>
            <w:shd w:val="clear" w:color="auto" w:fill="CCEEFF"/>
          </w:tcPr>
          <w:p>
            <w:pPr>
              <w:jc w:val="right"/>
              <w:ind w:right="351"/>
              <w:spacing w:after="0"/>
              <w:rPr>
                <w:sz w:val="20"/>
                <w:szCs w:val="20"/>
                <w:color w:val="auto"/>
              </w:rPr>
            </w:pPr>
            <w:r>
              <w:rPr>
                <w:rFonts w:ascii="Arial" w:cs="Arial" w:eastAsia="Arial" w:hAnsi="Arial"/>
                <w:sz w:val="18"/>
                <w:szCs w:val="18"/>
                <w:b w:val="1"/>
                <w:bCs w:val="1"/>
                <w:color w:val="auto"/>
              </w:rPr>
              <w:t>—</w:t>
            </w:r>
          </w:p>
        </w:tc>
        <w:tc>
          <w:tcPr>
            <w:tcW w:w="1680" w:type="dxa"/>
            <w:vAlign w:val="bottom"/>
            <w:tcBorders>
              <w:bottom w:val="single" w:sz="8" w:color="CCEEFF"/>
            </w:tcBorders>
            <w:shd w:val="clear" w:color="auto" w:fill="CCEEFF"/>
          </w:tcPr>
          <w:p>
            <w:pPr>
              <w:jc w:val="right"/>
              <w:ind w:right="213"/>
              <w:spacing w:after="0"/>
              <w:rPr>
                <w:sz w:val="20"/>
                <w:szCs w:val="20"/>
                <w:color w:val="auto"/>
              </w:rPr>
            </w:pPr>
            <w:r>
              <w:rPr>
                <w:rFonts w:ascii="Arial" w:cs="Arial" w:eastAsia="Arial" w:hAnsi="Arial"/>
                <w:sz w:val="18"/>
                <w:szCs w:val="18"/>
                <w:color w:val="auto"/>
              </w:rPr>
              <w:t>8.6</w:t>
            </w:r>
          </w:p>
        </w:tc>
        <w:tc>
          <w:tcPr>
            <w:tcW w:w="16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0.1</w:t>
            </w:r>
          </w:p>
        </w:tc>
      </w:tr>
      <w:tr>
        <w:trPr>
          <w:trHeight w:val="237"/>
        </w:trPr>
        <w:tc>
          <w:tcPr>
            <w:tcW w:w="3820" w:type="dxa"/>
            <w:vAlign w:val="bottom"/>
            <w:tcBorders>
              <w:top w:val="single" w:sz="8" w:color="auto"/>
            </w:tcBorders>
          </w:tcPr>
          <w:p>
            <w:pPr>
              <w:ind w:left="180"/>
              <w:spacing w:after="0"/>
              <w:rPr>
                <w:sz w:val="20"/>
                <w:szCs w:val="20"/>
                <w:color w:val="auto"/>
              </w:rPr>
            </w:pPr>
            <w:r>
              <w:rPr>
                <w:rFonts w:ascii="Arial" w:cs="Arial" w:eastAsia="Arial" w:hAnsi="Arial"/>
                <w:sz w:val="18"/>
                <w:szCs w:val="18"/>
                <w:b w:val="1"/>
                <w:bCs w:val="1"/>
                <w:color w:val="auto"/>
              </w:rPr>
              <w:t>Net Periodic Benefit Cost</w:t>
            </w:r>
          </w:p>
        </w:tc>
        <w:tc>
          <w:tcPr>
            <w:tcW w:w="2340" w:type="dxa"/>
            <w:vAlign w:val="bottom"/>
            <w:tcBorders>
              <w:top w:val="single" w:sz="8" w:color="auto"/>
            </w:tcBorders>
          </w:tcPr>
          <w:p>
            <w:pPr>
              <w:jc w:val="right"/>
              <w:ind w:right="233"/>
              <w:spacing w:after="0"/>
              <w:rPr>
                <w:sz w:val="20"/>
                <w:szCs w:val="20"/>
                <w:color w:val="auto"/>
              </w:rPr>
            </w:pPr>
            <w:r>
              <w:rPr>
                <w:rFonts w:ascii="Arial" w:cs="Arial" w:eastAsia="Arial" w:hAnsi="Arial"/>
                <w:sz w:val="18"/>
                <w:szCs w:val="18"/>
                <w:b w:val="1"/>
                <w:bCs w:val="1"/>
                <w:color w:val="auto"/>
              </w:rPr>
              <w:t>$5.3</w:t>
            </w:r>
          </w:p>
        </w:tc>
        <w:tc>
          <w:tcPr>
            <w:tcW w:w="1980" w:type="dxa"/>
            <w:vAlign w:val="bottom"/>
            <w:tcBorders>
              <w:top w:val="single" w:sz="8" w:color="auto"/>
            </w:tcBorders>
          </w:tcPr>
          <w:p>
            <w:pPr>
              <w:jc w:val="right"/>
              <w:ind w:right="351"/>
              <w:spacing w:after="0"/>
              <w:rPr>
                <w:sz w:val="20"/>
                <w:szCs w:val="20"/>
                <w:color w:val="auto"/>
              </w:rPr>
            </w:pPr>
            <w:r>
              <w:rPr>
                <w:rFonts w:ascii="Arial" w:cs="Arial" w:eastAsia="Arial" w:hAnsi="Arial"/>
                <w:sz w:val="18"/>
                <w:szCs w:val="18"/>
                <w:b w:val="1"/>
                <w:bCs w:val="1"/>
                <w:color w:val="auto"/>
              </w:rPr>
              <w:t>$1.3</w:t>
            </w:r>
          </w:p>
        </w:tc>
        <w:tc>
          <w:tcPr>
            <w:tcW w:w="1680" w:type="dxa"/>
            <w:vAlign w:val="bottom"/>
            <w:tcBorders>
              <w:top w:val="single" w:sz="8" w:color="auto"/>
            </w:tcBorders>
          </w:tcPr>
          <w:p>
            <w:pPr>
              <w:jc w:val="right"/>
              <w:ind w:right="213"/>
              <w:spacing w:after="0"/>
              <w:rPr>
                <w:sz w:val="20"/>
                <w:szCs w:val="20"/>
                <w:color w:val="auto"/>
              </w:rPr>
            </w:pPr>
            <w:r>
              <w:rPr>
                <w:rFonts w:ascii="Arial" w:cs="Arial" w:eastAsia="Arial" w:hAnsi="Arial"/>
                <w:sz w:val="18"/>
                <w:szCs w:val="18"/>
                <w:color w:val="auto"/>
              </w:rPr>
              <w:t>$7.1</w:t>
            </w:r>
          </w:p>
        </w:tc>
        <w:tc>
          <w:tcPr>
            <w:tcW w:w="16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$1.5</w:t>
            </w:r>
          </w:p>
        </w:tc>
      </w:tr>
      <w:tr>
        <w:trPr>
          <w:trHeight w:val="34"/>
        </w:trPr>
        <w:tc>
          <w:tcPr>
            <w:tcW w:w="382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19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Net periodic benefit costs are included in the Unaudited Consolidated Statements of Operations as a component of cost of products sold and selling, general and administrative expenses.</w:t>
      </w:r>
    </w:p>
    <w:p>
      <w:pPr>
        <w:spacing w:after="0" w:line="11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10 - Earnings Per Share</w:t>
      </w:r>
    </w:p>
    <w:p>
      <w:pPr>
        <w:spacing w:after="0" w:line="199"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On June 30, 2014, 45.4 million TimkenSteel common shares were distributed to Timken shareholders in conjunction with the spinoff. For the three months ended March 31, 2015, 2.4 million of equity-based awards were excluded from the computation of diluted earnings per share because their effect would have been anti-dilutive. In periods in which a net loss has occurred, as is the case for the three months ended March 31, 2016, the dilutive effect of stock-based awards is not recognized and thus is not utilized in the calculation of diluted earnings per share.</w:t>
      </w:r>
    </w:p>
    <w:p>
      <w:pPr>
        <w:spacing w:after="0" w:line="13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following table sets forth the reconciliation of the numerator and the denominator of basic earnings per share and diluted earnings per share for the three months ended March 31, 2016 and 2015:</w:t>
      </w:r>
    </w:p>
    <w:p>
      <w:pPr>
        <w:spacing w:after="0" w:line="117" w:lineRule="exact"/>
        <w:rPr>
          <w:sz w:val="20"/>
          <w:szCs w:val="20"/>
          <w:color w:val="auto"/>
        </w:rPr>
      </w:pPr>
    </w:p>
    <w:p>
      <w:pPr>
        <w:ind w:left="9000"/>
        <w:spacing w:after="0"/>
        <w:rPr>
          <w:sz w:val="20"/>
          <w:szCs w:val="20"/>
          <w:color w:val="auto"/>
        </w:rPr>
      </w:pPr>
      <w:r>
        <w:rPr>
          <w:rFonts w:ascii="Arial" w:cs="Arial" w:eastAsia="Arial" w:hAnsi="Arial"/>
          <w:sz w:val="16"/>
          <w:szCs w:val="16"/>
          <w:b w:val="1"/>
          <w:bCs w:val="1"/>
          <w:color w:val="auto"/>
        </w:rPr>
        <w:t>Three Months Ended</w:t>
      </w:r>
    </w:p>
    <w:p>
      <w:pPr>
        <w:spacing w:after="0" w:line="26" w:lineRule="exact"/>
        <w:rPr>
          <w:sz w:val="20"/>
          <w:szCs w:val="20"/>
          <w:color w:val="auto"/>
        </w:rPr>
      </w:pPr>
    </w:p>
    <w:p>
      <w:pPr>
        <w:ind w:left="9400"/>
        <w:spacing w:after="0"/>
        <w:rPr>
          <w:sz w:val="20"/>
          <w:szCs w:val="20"/>
          <w:color w:val="auto"/>
        </w:rPr>
      </w:pPr>
      <w:r>
        <w:rPr>
          <w:rFonts w:ascii="Arial" w:cs="Arial" w:eastAsia="Arial" w:hAnsi="Arial"/>
          <w:sz w:val="16"/>
          <w:szCs w:val="16"/>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33020</wp:posOffset>
            </wp:positionV>
            <wp:extent cx="714375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3750" cy="8890"/>
                    </a:xfrm>
                    <a:prstGeom prst="rect">
                      <a:avLst/>
                    </a:prstGeom>
                    <a:noFill/>
                  </pic:spPr>
                </pic:pic>
              </a:graphicData>
            </a:graphic>
          </wp:anchor>
        </w:drawing>
      </w:r>
    </w:p>
    <w:p>
      <w:pPr>
        <w:spacing w:after="0" w:line="72"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480" w:type="dxa"/>
            <w:vAlign w:val="bottom"/>
          </w:tcPr>
          <w:p>
            <w:pPr>
              <w:spacing w:after="0"/>
              <w:rPr>
                <w:sz w:val="18"/>
                <w:szCs w:val="18"/>
                <w:color w:val="auto"/>
              </w:rPr>
            </w:pPr>
          </w:p>
        </w:tc>
        <w:tc>
          <w:tcPr>
            <w:tcW w:w="3520" w:type="dxa"/>
            <w:vAlign w:val="bottom"/>
          </w:tcPr>
          <w:p>
            <w:pPr>
              <w:jc w:val="right"/>
              <w:ind w:right="771"/>
              <w:spacing w:after="0"/>
              <w:rPr>
                <w:sz w:val="20"/>
                <w:szCs w:val="20"/>
                <w:color w:val="auto"/>
              </w:rPr>
            </w:pPr>
            <w:r>
              <w:rPr>
                <w:rFonts w:ascii="Arial" w:cs="Arial" w:eastAsia="Arial" w:hAnsi="Arial"/>
                <w:sz w:val="16"/>
                <w:szCs w:val="16"/>
                <w:b w:val="1"/>
                <w:bCs w:val="1"/>
                <w:color w:val="auto"/>
              </w:rPr>
              <w:t>2016</w:t>
            </w:r>
          </w:p>
        </w:tc>
        <w:tc>
          <w:tcPr>
            <w:tcW w:w="1260" w:type="dxa"/>
            <w:vAlign w:val="bottom"/>
          </w:tcPr>
          <w:p>
            <w:pPr>
              <w:jc w:val="right"/>
              <w:ind w:right="471"/>
              <w:spacing w:after="0"/>
              <w:rPr>
                <w:sz w:val="20"/>
                <w:szCs w:val="20"/>
                <w:color w:val="auto"/>
              </w:rPr>
            </w:pPr>
            <w:r>
              <w:rPr>
                <w:rFonts w:ascii="Arial" w:cs="Arial" w:eastAsia="Arial" w:hAnsi="Arial"/>
                <w:sz w:val="16"/>
                <w:szCs w:val="16"/>
                <w:b w:val="1"/>
                <w:bCs w:val="1"/>
                <w:color w:val="auto"/>
              </w:rPr>
              <w:t>2015</w:t>
            </w:r>
          </w:p>
        </w:tc>
      </w:tr>
      <w:tr>
        <w:trPr>
          <w:trHeight w:val="33"/>
        </w:trPr>
        <w:tc>
          <w:tcPr>
            <w:tcW w:w="6480" w:type="dxa"/>
            <w:vAlign w:val="bottom"/>
            <w:tcBorders>
              <w:bottom w:val="single" w:sz="8" w:color="auto"/>
            </w:tcBorders>
          </w:tcPr>
          <w:p>
            <w:pPr>
              <w:spacing w:after="0"/>
              <w:rPr>
                <w:sz w:val="2"/>
                <w:szCs w:val="2"/>
                <w:color w:val="auto"/>
              </w:rPr>
            </w:pPr>
          </w:p>
        </w:tc>
        <w:tc>
          <w:tcPr>
            <w:tcW w:w="35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44"/>
        </w:trPr>
        <w:tc>
          <w:tcPr>
            <w:tcW w:w="6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Numerator:</w:t>
            </w:r>
          </w:p>
        </w:tc>
        <w:tc>
          <w:tcPr>
            <w:tcW w:w="35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6480" w:type="dxa"/>
            <w:vAlign w:val="bottom"/>
          </w:tcPr>
          <w:p>
            <w:pPr>
              <w:ind w:left="40"/>
              <w:spacing w:after="0"/>
              <w:rPr>
                <w:sz w:val="20"/>
                <w:szCs w:val="20"/>
                <w:color w:val="auto"/>
              </w:rPr>
            </w:pPr>
            <w:r>
              <w:rPr>
                <w:rFonts w:ascii="Arial" w:cs="Arial" w:eastAsia="Arial" w:hAnsi="Arial"/>
                <w:sz w:val="18"/>
                <w:szCs w:val="18"/>
                <w:color w:val="auto"/>
              </w:rPr>
              <w:t>Net (loss) income for basic and diluted earnings per share</w:t>
            </w:r>
          </w:p>
        </w:tc>
        <w:tc>
          <w:tcPr>
            <w:tcW w:w="3520" w:type="dxa"/>
            <w:vAlign w:val="bottom"/>
          </w:tcPr>
          <w:p>
            <w:pPr>
              <w:jc w:val="right"/>
              <w:ind w:right="251"/>
              <w:spacing w:after="0"/>
              <w:rPr>
                <w:sz w:val="20"/>
                <w:szCs w:val="20"/>
                <w:color w:val="auto"/>
              </w:rPr>
            </w:pPr>
            <w:r>
              <w:rPr>
                <w:rFonts w:ascii="Arial" w:cs="Arial" w:eastAsia="Arial" w:hAnsi="Arial"/>
                <w:sz w:val="18"/>
                <w:szCs w:val="18"/>
                <w:b w:val="1"/>
                <w:bCs w:val="1"/>
                <w:color w:val="auto"/>
              </w:rPr>
              <w:t>($13.6)</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$6.9</w:t>
            </w:r>
          </w:p>
        </w:tc>
      </w:tr>
      <w:tr>
        <w:trPr>
          <w:trHeight w:val="27"/>
        </w:trPr>
        <w:tc>
          <w:tcPr>
            <w:tcW w:w="648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324"/>
        </w:trPr>
        <w:tc>
          <w:tcPr>
            <w:tcW w:w="6480" w:type="dxa"/>
            <w:vAlign w:val="bottom"/>
            <w:shd w:val="clear" w:color="auto" w:fill="CCEEFF"/>
          </w:tcPr>
          <w:p>
            <w:pPr>
              <w:spacing w:after="0"/>
              <w:rPr>
                <w:sz w:val="24"/>
                <w:szCs w:val="24"/>
                <w:color w:val="auto"/>
              </w:rPr>
            </w:pPr>
          </w:p>
        </w:tc>
        <w:tc>
          <w:tcPr>
            <w:tcW w:w="35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r>
      <w:tr>
        <w:trPr>
          <w:trHeight w:val="243"/>
        </w:trPr>
        <w:tc>
          <w:tcPr>
            <w:tcW w:w="6480" w:type="dxa"/>
            <w:vAlign w:val="bottom"/>
          </w:tcPr>
          <w:p>
            <w:pPr>
              <w:ind w:left="40"/>
              <w:spacing w:after="0"/>
              <w:rPr>
                <w:sz w:val="20"/>
                <w:szCs w:val="20"/>
                <w:color w:val="auto"/>
              </w:rPr>
            </w:pPr>
            <w:r>
              <w:rPr>
                <w:rFonts w:ascii="Arial" w:cs="Arial" w:eastAsia="Arial" w:hAnsi="Arial"/>
                <w:sz w:val="18"/>
                <w:szCs w:val="18"/>
                <w:b w:val="1"/>
                <w:bCs w:val="1"/>
                <w:color w:val="auto"/>
              </w:rPr>
              <w:t>Denominator:</w:t>
            </w:r>
          </w:p>
        </w:tc>
        <w:tc>
          <w:tcPr>
            <w:tcW w:w="3520" w:type="dxa"/>
            <w:vAlign w:val="bottom"/>
          </w:tcPr>
          <w:p>
            <w:pPr>
              <w:spacing w:after="0"/>
              <w:rPr>
                <w:sz w:val="21"/>
                <w:szCs w:val="21"/>
                <w:color w:val="auto"/>
              </w:rPr>
            </w:pPr>
          </w:p>
        </w:tc>
        <w:tc>
          <w:tcPr>
            <w:tcW w:w="1260" w:type="dxa"/>
            <w:vAlign w:val="bottom"/>
          </w:tcPr>
          <w:p>
            <w:pPr>
              <w:spacing w:after="0"/>
              <w:rPr>
                <w:sz w:val="21"/>
                <w:szCs w:val="21"/>
                <w:color w:val="auto"/>
              </w:rPr>
            </w:pPr>
          </w:p>
        </w:tc>
      </w:tr>
      <w:tr>
        <w:trPr>
          <w:trHeight w:val="27"/>
        </w:trPr>
        <w:tc>
          <w:tcPr>
            <w:tcW w:w="648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shares outstanding, basic</w:t>
            </w:r>
          </w:p>
        </w:tc>
        <w:tc>
          <w:tcPr>
            <w:tcW w:w="352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b w:val="1"/>
                <w:bCs w:val="1"/>
                <w:color w:val="auto"/>
              </w:rPr>
              <w:t>44,206,837</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44,769,679</w:t>
            </w:r>
          </w:p>
        </w:tc>
      </w:tr>
      <w:tr>
        <w:trPr>
          <w:trHeight w:val="243"/>
        </w:trPr>
        <w:tc>
          <w:tcPr>
            <w:tcW w:w="6480" w:type="dxa"/>
            <w:vAlign w:val="bottom"/>
          </w:tcPr>
          <w:p>
            <w:pPr>
              <w:ind w:left="40"/>
              <w:spacing w:after="0"/>
              <w:rPr>
                <w:sz w:val="20"/>
                <w:szCs w:val="20"/>
                <w:color w:val="auto"/>
              </w:rPr>
            </w:pPr>
            <w:r>
              <w:rPr>
                <w:rFonts w:ascii="Arial" w:cs="Arial" w:eastAsia="Arial" w:hAnsi="Arial"/>
                <w:sz w:val="18"/>
                <w:szCs w:val="18"/>
                <w:color w:val="auto"/>
              </w:rPr>
              <w:t>Dilutive effect of stock-based awards</w:t>
            </w:r>
          </w:p>
        </w:tc>
        <w:tc>
          <w:tcPr>
            <w:tcW w:w="3520" w:type="dxa"/>
            <w:vAlign w:val="bottom"/>
          </w:tcPr>
          <w:p>
            <w:pPr>
              <w:jc w:val="right"/>
              <w:ind w:right="311"/>
              <w:spacing w:after="0"/>
              <w:rPr>
                <w:sz w:val="20"/>
                <w:szCs w:val="20"/>
                <w:color w:val="auto"/>
              </w:rPr>
            </w:pPr>
            <w:r>
              <w:rPr>
                <w:rFonts w:ascii="Arial" w:cs="Arial" w:eastAsia="Arial" w:hAnsi="Arial"/>
                <w:sz w:val="18"/>
                <w:szCs w:val="18"/>
                <w:b w:val="1"/>
                <w:bCs w:val="1"/>
                <w:color w:val="auto"/>
              </w:rPr>
              <w:t>—</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250,344</w:t>
            </w:r>
          </w:p>
        </w:tc>
      </w:tr>
      <w:tr>
        <w:trPr>
          <w:trHeight w:val="27"/>
        </w:trPr>
        <w:tc>
          <w:tcPr>
            <w:tcW w:w="6480" w:type="dxa"/>
            <w:vAlign w:val="bottom"/>
            <w:tcBorders>
              <w:bottom w:val="single" w:sz="8" w:color="auto"/>
            </w:tcBorders>
          </w:tcPr>
          <w:p>
            <w:pPr>
              <w:spacing w:after="0"/>
              <w:rPr>
                <w:sz w:val="2"/>
                <w:szCs w:val="2"/>
                <w:color w:val="auto"/>
              </w:rPr>
            </w:pPr>
          </w:p>
        </w:tc>
        <w:tc>
          <w:tcPr>
            <w:tcW w:w="35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44"/>
        </w:trPr>
        <w:tc>
          <w:tcPr>
            <w:tcW w:w="6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shares outstanding, diluted</w:t>
            </w:r>
          </w:p>
        </w:tc>
        <w:tc>
          <w:tcPr>
            <w:tcW w:w="352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b w:val="1"/>
                <w:bCs w:val="1"/>
                <w:color w:val="auto"/>
              </w:rPr>
              <w:t>44,206,837</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45,020,023</w:t>
            </w:r>
          </w:p>
        </w:tc>
      </w:tr>
      <w:tr>
        <w:trPr>
          <w:trHeight w:val="324"/>
        </w:trPr>
        <w:tc>
          <w:tcPr>
            <w:tcW w:w="6480" w:type="dxa"/>
            <w:vAlign w:val="bottom"/>
            <w:tcBorders>
              <w:bottom w:val="single" w:sz="8" w:color="auto"/>
            </w:tcBorders>
          </w:tcPr>
          <w:p>
            <w:pPr>
              <w:spacing w:after="0"/>
              <w:rPr>
                <w:sz w:val="24"/>
                <w:szCs w:val="24"/>
                <w:color w:val="auto"/>
              </w:rPr>
            </w:pPr>
          </w:p>
        </w:tc>
        <w:tc>
          <w:tcPr>
            <w:tcW w:w="35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69"/>
        </w:trPr>
        <w:tc>
          <w:tcPr>
            <w:tcW w:w="6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Basic (loss) earnings per share</w:t>
            </w:r>
          </w:p>
        </w:tc>
        <w:tc>
          <w:tcPr>
            <w:tcW w:w="352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b w:val="1"/>
                <w:bCs w:val="1"/>
                <w:color w:val="auto"/>
              </w:rPr>
              <w:t>($0.31)</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$0.15</w:t>
            </w:r>
          </w:p>
        </w:tc>
      </w:tr>
      <w:tr>
        <w:trPr>
          <w:trHeight w:val="237"/>
        </w:trPr>
        <w:tc>
          <w:tcPr>
            <w:tcW w:w="648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Diluted (loss) earnings per share</w:t>
            </w:r>
          </w:p>
        </w:tc>
        <w:tc>
          <w:tcPr>
            <w:tcW w:w="3520" w:type="dxa"/>
            <w:vAlign w:val="bottom"/>
            <w:tcBorders>
              <w:top w:val="single" w:sz="8" w:color="auto"/>
            </w:tcBorders>
          </w:tcPr>
          <w:p>
            <w:pPr>
              <w:jc w:val="right"/>
              <w:ind w:right="251"/>
              <w:spacing w:after="0"/>
              <w:rPr>
                <w:sz w:val="20"/>
                <w:szCs w:val="20"/>
                <w:color w:val="auto"/>
              </w:rPr>
            </w:pPr>
            <w:r>
              <w:rPr>
                <w:rFonts w:ascii="Arial" w:cs="Arial" w:eastAsia="Arial" w:hAnsi="Arial"/>
                <w:sz w:val="18"/>
                <w:szCs w:val="18"/>
                <w:b w:val="1"/>
                <w:bCs w:val="1"/>
                <w:color w:val="auto"/>
              </w:rPr>
              <w:t>($0.31)</w:t>
            </w:r>
          </w:p>
        </w:tc>
        <w:tc>
          <w:tcPr>
            <w:tcW w:w="12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$0.15</w:t>
            </w:r>
          </w:p>
        </w:tc>
      </w:tr>
      <w:tr>
        <w:trPr>
          <w:trHeight w:val="27"/>
        </w:trPr>
        <w:tc>
          <w:tcPr>
            <w:tcW w:w="6480" w:type="dxa"/>
            <w:vAlign w:val="bottom"/>
            <w:tcBorders>
              <w:bottom w:val="single" w:sz="8" w:color="auto"/>
            </w:tcBorders>
          </w:tcPr>
          <w:p>
            <w:pPr>
              <w:spacing w:after="0"/>
              <w:rPr>
                <w:sz w:val="2"/>
                <w:szCs w:val="2"/>
                <w:color w:val="auto"/>
              </w:rPr>
            </w:pPr>
          </w:p>
        </w:tc>
        <w:tc>
          <w:tcPr>
            <w:tcW w:w="35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11 - Income Tax (Benefit) Provision</w:t>
      </w:r>
    </w:p>
    <w:p>
      <w:pPr>
        <w:spacing w:after="0" w:line="19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TimkenSteel’s (benefit) provision for income taxes in interim periods is computed by applying the appropriate estimated annual effective tax rates to income or loss before income taxes for the period. In addition, non-recurring or discrete items, including interest on prior-year tax liabilities, are recorded during the periods in which they occur.</w:t>
      </w:r>
    </w:p>
    <w:p>
      <w:pPr>
        <w:spacing w:after="0" w:line="128" w:lineRule="exact"/>
        <w:rPr>
          <w:sz w:val="20"/>
          <w:szCs w:val="20"/>
          <w:color w:val="auto"/>
        </w:rPr>
      </w:pPr>
    </w:p>
    <w:p>
      <w:pPr>
        <w:ind w:left="9060"/>
        <w:spacing w:after="0"/>
        <w:rPr>
          <w:sz w:val="20"/>
          <w:szCs w:val="20"/>
          <w:color w:val="auto"/>
        </w:rPr>
      </w:pPr>
      <w:r>
        <w:rPr>
          <w:rFonts w:ascii="Arial" w:cs="Arial" w:eastAsia="Arial" w:hAnsi="Arial"/>
          <w:sz w:val="16"/>
          <w:szCs w:val="16"/>
          <w:b w:val="1"/>
          <w:bCs w:val="1"/>
          <w:color w:val="auto"/>
        </w:rPr>
        <w:t>Three Months Ended</w:t>
      </w:r>
    </w:p>
    <w:p>
      <w:pPr>
        <w:spacing w:after="0" w:line="26" w:lineRule="exact"/>
        <w:rPr>
          <w:sz w:val="20"/>
          <w:szCs w:val="20"/>
          <w:color w:val="auto"/>
        </w:rPr>
      </w:pPr>
    </w:p>
    <w:p>
      <w:pPr>
        <w:ind w:left="9480"/>
        <w:spacing w:after="0"/>
        <w:rPr>
          <w:sz w:val="20"/>
          <w:szCs w:val="20"/>
          <w:color w:val="auto"/>
        </w:rPr>
      </w:pPr>
      <w:r>
        <w:rPr>
          <w:rFonts w:ascii="Arial" w:cs="Arial" w:eastAsia="Arial" w:hAnsi="Arial"/>
          <w:sz w:val="16"/>
          <w:szCs w:val="16"/>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33020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72"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9160" w:type="dxa"/>
            <w:vAlign w:val="bottom"/>
          </w:tcPr>
          <w:p>
            <w:pPr>
              <w:jc w:val="right"/>
              <w:spacing w:after="0"/>
              <w:rPr>
                <w:sz w:val="20"/>
                <w:szCs w:val="20"/>
                <w:color w:val="auto"/>
              </w:rPr>
            </w:pPr>
            <w:r>
              <w:rPr>
                <w:rFonts w:ascii="Arial" w:cs="Arial" w:eastAsia="Arial" w:hAnsi="Arial"/>
                <w:sz w:val="16"/>
                <w:szCs w:val="16"/>
                <w:b w:val="1"/>
                <w:bCs w:val="1"/>
                <w:color w:val="auto"/>
              </w:rPr>
              <w:t>2016</w:t>
            </w:r>
          </w:p>
        </w:tc>
        <w:tc>
          <w:tcPr>
            <w:tcW w:w="960" w:type="dxa"/>
            <w:vAlign w:val="bottom"/>
          </w:tcPr>
          <w:p>
            <w:pPr>
              <w:spacing w:after="0"/>
              <w:rPr>
                <w:sz w:val="18"/>
                <w:szCs w:val="18"/>
                <w:color w:val="auto"/>
              </w:rPr>
            </w:pPr>
          </w:p>
        </w:tc>
        <w:tc>
          <w:tcPr>
            <w:tcW w:w="1300" w:type="dxa"/>
            <w:vAlign w:val="bottom"/>
          </w:tcPr>
          <w:p>
            <w:pPr>
              <w:jc w:val="right"/>
              <w:ind w:right="513"/>
              <w:spacing w:after="0"/>
              <w:rPr>
                <w:sz w:val="20"/>
                <w:szCs w:val="20"/>
                <w:color w:val="auto"/>
              </w:rPr>
            </w:pPr>
            <w:r>
              <w:rPr>
                <w:rFonts w:ascii="Arial" w:cs="Arial" w:eastAsia="Arial" w:hAnsi="Arial"/>
                <w:sz w:val="16"/>
                <w:szCs w:val="16"/>
                <w:b w:val="1"/>
                <w:bCs w:val="1"/>
                <w:color w:val="auto"/>
              </w:rPr>
              <w:t>2015</w:t>
            </w:r>
          </w:p>
        </w:tc>
      </w:tr>
      <w:tr>
        <w:trPr>
          <w:trHeight w:val="33"/>
        </w:trPr>
        <w:tc>
          <w:tcPr>
            <w:tcW w:w="9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9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(Benefit) provision for income taxes</w:t>
            </w:r>
          </w:p>
        </w:tc>
        <w:tc>
          <w:tcPr>
            <w:tcW w:w="9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w w:val="93"/>
              </w:rPr>
              <w:t>($8.7)</w:t>
            </w:r>
          </w:p>
        </w:tc>
        <w:tc>
          <w:tcPr>
            <w:tcW w:w="1300" w:type="dxa"/>
            <w:vAlign w:val="bottom"/>
            <w:tcBorders>
              <w:bottom w:val="single" w:sz="8" w:color="CCEEFF"/>
            </w:tcBorders>
            <w:shd w:val="clear" w:color="auto" w:fill="CCEEFF"/>
          </w:tcPr>
          <w:p>
            <w:pPr>
              <w:ind w:left="800"/>
              <w:spacing w:after="0"/>
              <w:rPr>
                <w:sz w:val="20"/>
                <w:szCs w:val="20"/>
                <w:color w:val="auto"/>
              </w:rPr>
            </w:pPr>
            <w:r>
              <w:rPr>
                <w:rFonts w:ascii="Arial" w:cs="Arial" w:eastAsia="Arial" w:hAnsi="Arial"/>
                <w:sz w:val="18"/>
                <w:szCs w:val="18"/>
                <w:color w:val="auto"/>
              </w:rPr>
              <w:t>$4.2</w:t>
            </w:r>
          </w:p>
        </w:tc>
      </w:tr>
      <w:tr>
        <w:trPr>
          <w:trHeight w:val="243"/>
        </w:trPr>
        <w:tc>
          <w:tcPr>
            <w:tcW w:w="9160" w:type="dxa"/>
            <w:vAlign w:val="bottom"/>
          </w:tcPr>
          <w:p>
            <w:pPr>
              <w:ind w:left="40"/>
              <w:spacing w:after="0"/>
              <w:rPr>
                <w:sz w:val="20"/>
                <w:szCs w:val="20"/>
                <w:color w:val="auto"/>
              </w:rPr>
            </w:pPr>
            <w:r>
              <w:rPr>
                <w:rFonts w:ascii="Arial" w:cs="Arial" w:eastAsia="Arial" w:hAnsi="Arial"/>
                <w:sz w:val="18"/>
                <w:szCs w:val="18"/>
                <w:color w:val="auto"/>
              </w:rPr>
              <w:t>Effective tax rate</w:t>
            </w:r>
          </w:p>
        </w:tc>
        <w:tc>
          <w:tcPr>
            <w:tcW w:w="960" w:type="dxa"/>
            <w:vAlign w:val="bottom"/>
          </w:tcPr>
          <w:p>
            <w:pPr>
              <w:jc w:val="right"/>
              <w:ind w:right="290"/>
              <w:spacing w:after="0"/>
              <w:rPr>
                <w:sz w:val="20"/>
                <w:szCs w:val="20"/>
                <w:color w:val="auto"/>
              </w:rPr>
            </w:pPr>
            <w:r>
              <w:rPr>
                <w:rFonts w:ascii="Arial" w:cs="Arial" w:eastAsia="Arial" w:hAnsi="Arial"/>
                <w:sz w:val="18"/>
                <w:szCs w:val="18"/>
                <w:b w:val="1"/>
                <w:bCs w:val="1"/>
                <w:color w:val="auto"/>
              </w:rPr>
              <w:t>39.0%</w:t>
            </w:r>
          </w:p>
        </w:tc>
        <w:tc>
          <w:tcPr>
            <w:tcW w:w="1300" w:type="dxa"/>
            <w:vAlign w:val="bottom"/>
          </w:tcPr>
          <w:p>
            <w:pPr>
              <w:ind w:left="800"/>
              <w:spacing w:after="0"/>
              <w:rPr>
                <w:sz w:val="20"/>
                <w:szCs w:val="20"/>
                <w:color w:val="auto"/>
              </w:rPr>
            </w:pPr>
            <w:r>
              <w:rPr>
                <w:rFonts w:ascii="Arial" w:cs="Arial" w:eastAsia="Arial" w:hAnsi="Arial"/>
                <w:sz w:val="18"/>
                <w:szCs w:val="18"/>
                <w:color w:val="auto"/>
                <w:w w:val="93"/>
              </w:rPr>
              <w:t>37.8%</w:t>
            </w:r>
          </w:p>
        </w:tc>
      </w:tr>
      <w:tr>
        <w:trPr>
          <w:trHeight w:val="27"/>
        </w:trPr>
        <w:tc>
          <w:tcPr>
            <w:tcW w:w="9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ectPr>
          <w:pgSz w:w="11900" w:h="16838" w:orient="portrait"/>
          <w:cols w:equalWidth="0" w:num="1">
            <w:col w:w="11420"/>
          </w:cols>
          <w:pgMar w:left="240" w:top="341" w:right="239" w:bottom="1440" w:gutter="0" w:footer="0" w:header="0"/>
        </w:sectPr>
      </w:pPr>
    </w:p>
    <w:p>
      <w:pPr>
        <w:spacing w:after="0" w:line="204" w:lineRule="exact"/>
        <w:rPr>
          <w:sz w:val="20"/>
          <w:szCs w:val="20"/>
          <w:color w:val="auto"/>
        </w:rPr>
      </w:pPr>
    </w:p>
    <w:p>
      <w:pPr>
        <w:ind w:left="5940"/>
        <w:spacing w:after="0"/>
        <w:rPr>
          <w:sz w:val="20"/>
          <w:szCs w:val="20"/>
          <w:color w:val="auto"/>
        </w:rPr>
      </w:pPr>
      <w:r>
        <w:rPr>
          <w:rFonts w:ascii="Arial" w:cs="Arial" w:eastAsia="Arial" w:hAnsi="Arial"/>
          <w:sz w:val="16"/>
          <w:szCs w:val="16"/>
          <w:color w:val="auto"/>
        </w:rPr>
        <w:t>13</w:t>
      </w:r>
    </w:p>
    <w:p>
      <w:pPr>
        <w:sectPr>
          <w:pgSz w:w="11900" w:h="16838" w:orient="portrait"/>
          <w:cols w:equalWidth="0" w:num="1">
            <w:col w:w="11420"/>
          </w:cols>
          <w:pgMar w:left="240" w:top="341" w:right="239" w:bottom="1440" w:gutter="0" w:footer="0" w:header="0"/>
          <w:type w:val="continuous"/>
        </w:sectPr>
      </w:pPr>
    </w:p>
    <w:bookmarkStart w:id="14" w:name="page15"/>
    <w:bookmarkEnd w:id="1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effective tax rate for the three months ended March 31, 2016 was higher than the U.S. federal statutory rate of 35% due primarily to U.S. state and local taxes and certain discrete tax items.</w:t>
      </w:r>
    </w:p>
    <w:p>
      <w:pPr>
        <w:spacing w:after="0" w:line="13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effective tax rate for the three months ended March 31, 2015 was higher than the U.S. federal statutory rate of 35% primarily due to U.S. state and local tax rate differences.</w:t>
      </w:r>
    </w:p>
    <w:p>
      <w:pPr>
        <w:spacing w:after="0" w:line="11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12 - Contingencies</w:t>
      </w:r>
    </w:p>
    <w:p>
      <w:pPr>
        <w:spacing w:after="0" w:line="19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TimkenSteel has a number of loss exposures that are incurred in the ordinary course of business such as environmental claims, product warranty claims, litigation and accounts receivable reserves. Establishing loss reserves for these matters requires management’s estimate and judgment regarding risk exposure and ultimate liability or realization. These loss reserves are reviewed periodically and adjustments are made to reflect the most recent facts and circumstances.</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Environmental Matters</w:t>
      </w:r>
    </w:p>
    <w:p>
      <w:pPr>
        <w:spacing w:after="0" w:line="11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From time to time, TimkenSteel may be a party to lawsuits, claims or other proceedings related to environmental matters and/or may receive notices of potential violations of environmental laws and regulations from the U.S. Environmental Protection Agency and similar state or local authorities. TimkenSteel recorded reserves for such environmental matters as other current liabilities on the Unaudited Consolidated Balance Sheets. Accruals related to such environmental matters represent management’s best estimate of the fees and costs associated with these matters. Although it is not possible to predict with certainty the outcome of such matters, management believes that their ultimate dispositions should not have a material adverse effect on TimkenSteel’s financial position, cash flows, or results of operations.</w:t>
      </w:r>
    </w:p>
    <w:p>
      <w:pPr>
        <w:spacing w:after="0" w:line="106" w:lineRule="exact"/>
        <w:rPr>
          <w:sz w:val="20"/>
          <w:szCs w:val="20"/>
          <w:color w:val="auto"/>
        </w:rPr>
      </w:pPr>
    </w:p>
    <w:tbl>
      <w:tblPr>
        <w:tblLayout w:type="fixed"/>
        <w:tblInd w:w="0" w:type="dxa"/>
        <w:tblCellMar>
          <w:top w:w="0" w:type="dxa"/>
          <w:left w:w="0" w:type="dxa"/>
          <w:bottom w:w="0" w:type="dxa"/>
          <w:right w:w="0" w:type="dxa"/>
        </w:tblCellMar>
      </w:tblPr>
      <w:tr>
        <w:trPr>
          <w:trHeight w:val="289"/>
        </w:trPr>
        <w:tc>
          <w:tcPr>
            <w:tcW w:w="9600" w:type="dxa"/>
            <w:vAlign w:val="bottom"/>
            <w:tcBorders>
              <w:top w:val="single" w:sz="8" w:color="auto"/>
              <w:bottom w:val="single" w:sz="8" w:color="CCEEFF"/>
            </w:tcBorders>
            <w:shd w:val="clear" w:color="auto" w:fill="CCEEFF"/>
          </w:tcPr>
          <w:p>
            <w:pPr>
              <w:ind w:left="9200"/>
              <w:spacing w:after="0"/>
              <w:rPr>
                <w:sz w:val="20"/>
                <w:szCs w:val="20"/>
                <w:color w:val="auto"/>
              </w:rPr>
            </w:pPr>
            <w:r>
              <w:rPr>
                <w:rFonts w:ascii="Arial" w:cs="Arial" w:eastAsia="Arial" w:hAnsi="Arial"/>
                <w:sz w:val="18"/>
                <w:szCs w:val="18"/>
                <w:b w:val="1"/>
                <w:bCs w:val="1"/>
                <w:color w:val="auto"/>
                <w:w w:val="94"/>
              </w:rPr>
              <w:t>2016</w:t>
            </w:r>
          </w:p>
        </w:tc>
        <w:tc>
          <w:tcPr>
            <w:tcW w:w="700" w:type="dxa"/>
            <w:vAlign w:val="bottom"/>
            <w:tcBorders>
              <w:top w:val="single" w:sz="8" w:color="auto"/>
              <w:bottom w:val="single" w:sz="8" w:color="CCEEFF"/>
            </w:tcBorders>
            <w:shd w:val="clear" w:color="auto" w:fill="CCEEFF"/>
          </w:tcPr>
          <w:p>
            <w:pPr>
              <w:spacing w:after="0"/>
              <w:rPr>
                <w:sz w:val="24"/>
                <w:szCs w:val="24"/>
                <w:color w:val="auto"/>
              </w:rPr>
            </w:pPr>
          </w:p>
        </w:tc>
        <w:tc>
          <w:tcPr>
            <w:tcW w:w="1120" w:type="dxa"/>
            <w:vAlign w:val="bottom"/>
            <w:tcBorders>
              <w:top w:val="single" w:sz="8" w:color="auto"/>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2015</w:t>
            </w:r>
          </w:p>
        </w:tc>
      </w:tr>
      <w:tr>
        <w:trPr>
          <w:trHeight w:val="237"/>
        </w:trPr>
        <w:tc>
          <w:tcPr>
            <w:tcW w:w="96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Beginning Balance, January 1</w:t>
            </w:r>
          </w:p>
        </w:tc>
        <w:tc>
          <w:tcPr>
            <w:tcW w:w="700" w:type="dxa"/>
            <w:vAlign w:val="bottom"/>
            <w:tcBorders>
              <w:top w:val="single" w:sz="8" w:color="auto"/>
            </w:tcBorders>
          </w:tcPr>
          <w:p>
            <w:pPr>
              <w:jc w:val="right"/>
              <w:ind w:right="250"/>
              <w:spacing w:after="0"/>
              <w:rPr>
                <w:sz w:val="20"/>
                <w:szCs w:val="20"/>
                <w:color w:val="auto"/>
              </w:rPr>
            </w:pPr>
            <w:r>
              <w:rPr>
                <w:rFonts w:ascii="Arial" w:cs="Arial" w:eastAsia="Arial" w:hAnsi="Arial"/>
                <w:sz w:val="18"/>
                <w:szCs w:val="18"/>
                <w:b w:val="1"/>
                <w:bCs w:val="1"/>
                <w:color w:val="auto"/>
                <w:w w:val="96"/>
              </w:rPr>
              <w:t>$1.3</w:t>
            </w:r>
          </w:p>
        </w:tc>
        <w:tc>
          <w:tcPr>
            <w:tcW w:w="11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$1.3</w:t>
            </w:r>
          </w:p>
        </w:tc>
      </w:tr>
      <w:tr>
        <w:trPr>
          <w:trHeight w:val="27"/>
        </w:trPr>
        <w:tc>
          <w:tcPr>
            <w:tcW w:w="96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96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Expenses</w:t>
            </w:r>
          </w:p>
        </w:tc>
        <w:tc>
          <w:tcPr>
            <w:tcW w:w="7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0.1</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r>
      <w:tr>
        <w:trPr>
          <w:trHeight w:val="243"/>
        </w:trPr>
        <w:tc>
          <w:tcPr>
            <w:tcW w:w="9600" w:type="dxa"/>
            <w:vAlign w:val="bottom"/>
          </w:tcPr>
          <w:p>
            <w:pPr>
              <w:ind w:left="180"/>
              <w:spacing w:after="0"/>
              <w:rPr>
                <w:sz w:val="20"/>
                <w:szCs w:val="20"/>
                <w:color w:val="auto"/>
              </w:rPr>
            </w:pPr>
            <w:r>
              <w:rPr>
                <w:rFonts w:ascii="Arial" w:cs="Arial" w:eastAsia="Arial" w:hAnsi="Arial"/>
                <w:sz w:val="18"/>
                <w:szCs w:val="18"/>
                <w:color w:val="auto"/>
              </w:rPr>
              <w:t>Payments</w:t>
            </w:r>
          </w:p>
        </w:tc>
        <w:tc>
          <w:tcPr>
            <w:tcW w:w="700" w:type="dxa"/>
            <w:vAlign w:val="bottom"/>
          </w:tcPr>
          <w:p>
            <w:pPr>
              <w:jc w:val="right"/>
              <w:ind w:right="190"/>
              <w:spacing w:after="0"/>
              <w:rPr>
                <w:sz w:val="20"/>
                <w:szCs w:val="20"/>
                <w:color w:val="auto"/>
              </w:rPr>
            </w:pPr>
            <w:r>
              <w:rPr>
                <w:rFonts w:ascii="Arial" w:cs="Arial" w:eastAsia="Arial" w:hAnsi="Arial"/>
                <w:sz w:val="18"/>
                <w:szCs w:val="18"/>
                <w:b w:val="1"/>
                <w:bCs w:val="1"/>
                <w:color w:val="auto"/>
              </w:rPr>
              <w:t>(0.1)</w:t>
            </w: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(0.1)</w:t>
            </w:r>
          </w:p>
        </w:tc>
      </w:tr>
      <w:tr>
        <w:trPr>
          <w:trHeight w:val="27"/>
        </w:trPr>
        <w:tc>
          <w:tcPr>
            <w:tcW w:w="96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9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Ending Balance, March 31</w:t>
            </w:r>
          </w:p>
        </w:tc>
        <w:tc>
          <w:tcPr>
            <w:tcW w:w="7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w w:val="96"/>
              </w:rPr>
              <w:t>$1.3</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$1.2</w:t>
            </w:r>
          </w:p>
        </w:tc>
      </w:tr>
      <w:tr>
        <w:trPr>
          <w:trHeight w:val="20"/>
        </w:trPr>
        <w:tc>
          <w:tcPr>
            <w:tcW w:w="96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13 - Restructuring Charges</w:t>
      </w:r>
    </w:p>
    <w:p>
      <w:pPr>
        <w:spacing w:after="0" w:line="19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During the second quarter of 2015, TimkenSteel approved and began implementing a cost reduction plan that resulted in the reduction of TimkenSteel’s salaried and hourly headcount. As of March 31, 2016 and December 31, 2015, TimkenSteel recorded a $0.3 million and $2.3 million reserve for such restructuring charges, respectively, classified as other current liabilities on the Consolidated Balance Sheets. The following is a rollforward of the consolidated restructuring accrual for the three months ended March 31, 2016:</w:t>
      </w:r>
    </w:p>
    <w:p>
      <w:pPr>
        <w:spacing w:after="0" w:line="100"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662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2015</w:t>
            </w:r>
          </w:p>
        </w:tc>
        <w:tc>
          <w:tcPr>
            <w:tcW w:w="480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$2.3</w:t>
            </w:r>
          </w:p>
        </w:tc>
      </w:tr>
      <w:tr>
        <w:trPr>
          <w:trHeight w:val="243"/>
        </w:trPr>
        <w:tc>
          <w:tcPr>
            <w:tcW w:w="6620" w:type="dxa"/>
            <w:vAlign w:val="bottom"/>
          </w:tcPr>
          <w:p>
            <w:pPr>
              <w:ind w:left="180"/>
              <w:spacing w:after="0"/>
              <w:rPr>
                <w:sz w:val="20"/>
                <w:szCs w:val="20"/>
                <w:color w:val="auto"/>
              </w:rPr>
            </w:pPr>
            <w:r>
              <w:rPr>
                <w:rFonts w:ascii="Arial" w:cs="Arial" w:eastAsia="Arial" w:hAnsi="Arial"/>
                <w:sz w:val="18"/>
                <w:szCs w:val="18"/>
                <w:color w:val="auto"/>
              </w:rPr>
              <w:t>Expenses</w:t>
            </w:r>
          </w:p>
        </w:tc>
        <w:tc>
          <w:tcPr>
            <w:tcW w:w="4800" w:type="dxa"/>
            <w:vAlign w:val="bottom"/>
          </w:tcPr>
          <w:p>
            <w:pPr>
              <w:jc w:val="right"/>
              <w:ind w:right="10"/>
              <w:spacing w:after="0"/>
              <w:rPr>
                <w:sz w:val="20"/>
                <w:szCs w:val="20"/>
                <w:color w:val="auto"/>
              </w:rPr>
            </w:pPr>
            <w:r>
              <w:rPr>
                <w:rFonts w:ascii="Arial" w:cs="Arial" w:eastAsia="Arial" w:hAnsi="Arial"/>
                <w:sz w:val="18"/>
                <w:szCs w:val="18"/>
                <w:b w:val="1"/>
                <w:bCs w:val="1"/>
                <w:color w:val="auto"/>
              </w:rPr>
              <w:t>—</w:t>
            </w:r>
          </w:p>
        </w:tc>
      </w:tr>
      <w:tr>
        <w:trPr>
          <w:trHeight w:val="27"/>
        </w:trPr>
        <w:tc>
          <w:tcPr>
            <w:tcW w:w="6620" w:type="dxa"/>
            <w:vAlign w:val="bottom"/>
          </w:tcPr>
          <w:p>
            <w:pPr>
              <w:spacing w:after="0"/>
              <w:rPr>
                <w:sz w:val="2"/>
                <w:szCs w:val="2"/>
                <w:color w:val="auto"/>
              </w:rPr>
            </w:pPr>
          </w:p>
        </w:tc>
        <w:tc>
          <w:tcPr>
            <w:tcW w:w="4800" w:type="dxa"/>
            <w:vAlign w:val="bottom"/>
          </w:tcPr>
          <w:p>
            <w:pPr>
              <w:spacing w:after="0"/>
              <w:rPr>
                <w:sz w:val="2"/>
                <w:szCs w:val="2"/>
                <w:color w:val="auto"/>
              </w:rPr>
            </w:pPr>
          </w:p>
        </w:tc>
      </w:tr>
      <w:tr>
        <w:trPr>
          <w:trHeight w:val="275"/>
        </w:trPr>
        <w:tc>
          <w:tcPr>
            <w:tcW w:w="6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Payments</w:t>
            </w:r>
          </w:p>
        </w:tc>
        <w:tc>
          <w:tcPr>
            <w:tcW w:w="4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w:t>
            </w:r>
          </w:p>
        </w:tc>
      </w:tr>
      <w:tr>
        <w:trPr>
          <w:trHeight w:val="237"/>
        </w:trPr>
        <w:tc>
          <w:tcPr>
            <w:tcW w:w="66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Balance at March 31, 2016</w:t>
            </w:r>
          </w:p>
        </w:tc>
        <w:tc>
          <w:tcPr>
            <w:tcW w:w="4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$0.3</w:t>
            </w:r>
          </w:p>
        </w:tc>
      </w:tr>
      <w:tr>
        <w:trPr>
          <w:trHeight w:val="27"/>
        </w:trPr>
        <w:tc>
          <w:tcPr>
            <w:tcW w:w="6620" w:type="dxa"/>
            <w:vAlign w:val="bottom"/>
            <w:tcBorders>
              <w:bottom w:val="single" w:sz="8" w:color="auto"/>
            </w:tcBorders>
          </w:tcPr>
          <w:p>
            <w:pPr>
              <w:spacing w:after="0"/>
              <w:rPr>
                <w:sz w:val="2"/>
                <w:szCs w:val="2"/>
                <w:color w:val="auto"/>
              </w:rPr>
            </w:pPr>
          </w:p>
        </w:tc>
        <w:tc>
          <w:tcPr>
            <w:tcW w:w="4800" w:type="dxa"/>
            <w:vAlign w:val="bottom"/>
            <w:tcBorders>
              <w:bottom w:val="single" w:sz="8" w:color="auto"/>
            </w:tcBorders>
          </w:tcPr>
          <w:p>
            <w:pPr>
              <w:spacing w:after="0"/>
              <w:rPr>
                <w:sz w:val="2"/>
                <w:szCs w:val="2"/>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14 - Segment Information</w:t>
      </w:r>
    </w:p>
    <w:p>
      <w:pPr>
        <w:spacing w:after="0" w:line="19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TimkenSteel manufactures alloy steel, as well as carbon and micro-alloy steel, with an annual melt capacity of approximately two million tons. TimkenSteel’s portfolio includes special bar quality steel (SBQ), seamless mechanical tubes (tubes) and value-add solutions, such as precision steel components. In addition, TimkenSteel supplies machining and thermal treatment services, as well as manages raw material recycling programs, which are used as a feeder system for the Company’s melt operations. The Company’s products and services are used in a diverse range of demanding applications in the following market sectors: oil &amp; gas; automotive; industrial equipment; mining; construction; rail; aerospace and defense; heavy truck; agriculture; and power generation.</w:t>
      </w:r>
    </w:p>
    <w:p>
      <w:pPr>
        <w:spacing w:after="0" w:line="153"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The SBQ bars and tube production process occurs out of the Company’s Canton, Ohio manufacturing location. This location accounts for all of the SBQ bars and seamless mechanical tubes the Company produces and includes three manufacturing facilities: the Faircrest, Harrison, and Gambrinus facilities. TimkenSteel’s value-add solutions production process occurs out of three downstream manufacturing facilities: the TimkenSteel Material Services, Tryon Peak, and St. Clair facilities. Many of the production processes are integrated, and the manufacturing facilities produce products that are sold in all of the Company’s market</w:t>
      </w:r>
    </w:p>
    <w:p>
      <w:pPr>
        <w:spacing w:after="0" w:line="391"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341" w:right="23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sectors. As a result, investments in the Company’s facilities and resource allocation decisions affecting the Company’s operations are designed to benefit the overall business of the Company, not any specific aspect of the business.</w:t>
      </w:r>
    </w:p>
    <w:p>
      <w:pPr>
        <w:spacing w:after="0" w:line="130"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Effective January 1, 2016, TimkenSteel eliminated its segment reporting as a result of organizational changes made in the fourth quarter of 2015, in addition to the integrated nature of the Company’s business as described above. These organizational changes were made to better align resources to support the business strategy of operating in a leaner, more efficient environment. Specifically, the Company has centralized its customer-facing activities under one leadership role and eliminated the two segment operating structure. The Company is now organized in a centralized manner based on functionality. As a result, TimkenSteel is conducting its business activities and reporting financial results in one business segment.</w:t>
      </w:r>
    </w:p>
    <w:p>
      <w:pPr>
        <w:spacing w:after="0" w:line="132"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The presentation of financial results as one reportable segment is consistent with the way the Company operates its business under the realigned organization and is consistent with the manner in which the Chief Operating Decision Maker (CODM) evaluates performance and makes resource and operating decisions for the business as described above. Furthermore the Company notes that monitoring financial results as one reportable segment will help the CODM manage costs on a consolidated basis, consistent with the integrated nature of the operations. The Company’s Consolidated Financial Statements will reflect the realignment of the reportable segments for periods beginning after January 1, 2016 and for all comparable periods presented.</w:t>
      </w:r>
    </w:p>
    <w:p>
      <w:pPr>
        <w:spacing w:after="0" w:line="361"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341" w:right="23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ind w:left="3520"/>
        <w:spacing w:after="0"/>
        <w:rPr>
          <w:sz w:val="20"/>
          <w:szCs w:val="20"/>
          <w:color w:val="auto"/>
        </w:rPr>
      </w:pPr>
      <w:r>
        <w:rPr>
          <w:rFonts w:ascii="Arial" w:cs="Arial" w:eastAsia="Arial" w:hAnsi="Arial"/>
          <w:sz w:val="18"/>
          <w:szCs w:val="18"/>
          <w:b w:val="1"/>
          <w:bCs w:val="1"/>
          <w:color w:val="auto"/>
        </w:rPr>
        <w:t>ITEM 2. MANAGEMENT’S DISCUSSION AND ANALYSIS OF</w:t>
      </w:r>
    </w:p>
    <w:p>
      <w:pPr>
        <w:spacing w:after="0" w:line="27" w:lineRule="exact"/>
        <w:rPr>
          <w:sz w:val="20"/>
          <w:szCs w:val="20"/>
          <w:color w:val="auto"/>
        </w:rPr>
      </w:pPr>
    </w:p>
    <w:p>
      <w:pPr>
        <w:ind w:left="3580"/>
        <w:spacing w:after="0"/>
        <w:rPr>
          <w:sz w:val="20"/>
          <w:szCs w:val="20"/>
          <w:color w:val="auto"/>
        </w:rPr>
      </w:pPr>
      <w:r>
        <w:rPr>
          <w:rFonts w:ascii="Arial" w:cs="Arial" w:eastAsia="Arial" w:hAnsi="Arial"/>
          <w:sz w:val="18"/>
          <w:szCs w:val="18"/>
          <w:b w:val="1"/>
          <w:bCs w:val="1"/>
          <w:color w:val="auto"/>
        </w:rPr>
        <w:t>FINANCIAL CONDITION AND RESULTS OF OPERATIONS</w:t>
      </w:r>
    </w:p>
    <w:p>
      <w:pPr>
        <w:spacing w:after="0" w:line="8" w:lineRule="exact"/>
        <w:rPr>
          <w:sz w:val="20"/>
          <w:szCs w:val="20"/>
          <w:color w:val="auto"/>
        </w:rPr>
      </w:pPr>
    </w:p>
    <w:p>
      <w:pPr>
        <w:ind w:left="4340"/>
        <w:spacing w:after="0"/>
        <w:rPr>
          <w:sz w:val="20"/>
          <w:szCs w:val="20"/>
          <w:color w:val="auto"/>
        </w:rPr>
      </w:pPr>
      <w:r>
        <w:rPr>
          <w:rFonts w:ascii="Arial" w:cs="Arial" w:eastAsia="Arial" w:hAnsi="Arial"/>
          <w:sz w:val="20"/>
          <w:szCs w:val="20"/>
          <w:i w:val="1"/>
          <w:iCs w:val="1"/>
          <w:color w:val="auto"/>
        </w:rPr>
        <w:t>(dollars in millions, except per share data)</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Overview</w:t>
      </w:r>
    </w:p>
    <w:p>
      <w:pPr>
        <w:spacing w:after="0" w:line="189"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TimkenSteel Corporation (we, us, our, the Company or TimkenSteel) was incorporated in Ohio on October 24, 2013, and became an independent, publicly traded company as the result of a spinoff (spinoff) from The Timken Company (Timken) on June 30, 2014.</w:t>
      </w:r>
    </w:p>
    <w:p>
      <w:pPr>
        <w:spacing w:after="0" w:line="130"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We manufacture alloy steel, as well as carbon and micro-alloy steel, with an annual melt capacity of approximately two million tons. Our portfolio includes special bar quality steel (SBQ), seamless mechanical tubes (tubes) and value-add solutions, such as precision steel components. In addition, we supply machining and thermal treatment services, as well as manage raw material recycling programs, which are used as a feeder system for our melt operations. Our products and services are used in a diverse range of demanding applications in the following market sectors: oil &amp; gas; automotive; industrial equipment; mining; construction; rail; aerospace and defense; heavy truck; agriculture; and power generation.</w:t>
      </w:r>
    </w:p>
    <w:p>
      <w:pPr>
        <w:spacing w:after="0" w:line="132"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Based on our knowledge of the steel industry, we believe we are the only focused SBQ steel producer in North America and have the largest SBQ steel large bar (6-inch diameter and greater) production capacity among the North American steel producers. In addition, we are the only steel manufacturer with capabilities of developing SBQ steel large bars up to 16-inches in diameter. SBQ steel is made to restrictive chemical compositions and high internal purity levels and is used in critical mechanical applications. We make these products from nearly 100% recycled steel, using our expertise in raw materials to create custom steel products with a competitive cost structure similar to that of a high-volume producer. We focus on creating tailored products and services for our customers’ most demanding applications. Our engineers are experts in both materials and applications, so we can work closely with each customer to deliver flexible solutions related to our products as well as to their applications and supply chains. We believe our unique operating model and production assets give us a competitive advantage in our industry.</w:t>
      </w:r>
    </w:p>
    <w:p>
      <w:pPr>
        <w:spacing w:after="0" w:line="138"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The SBQ bars and tube production process occurs out of our Canton, Ohio manufacturing location. This location accounts for all of the SBQ bars and seamless mechanical tubes we produce and includes three manufacturing facilities: the Faircrest, Harrison, and Gambrinus facilities. Our value-add solutions production process occurs out of three downstream manufacturing facilities: the TimkenSteel Material Services, Tryon Peak, and St. Clair facilities. Many of the production processes are integrated, and the manufacturing facilities produce products that are sold in all of our market sectors. As a result, investments in our facilities and resource allocation decisions affecting our operations are designed to benefit the overall business, not any specific aspect of the business.</w:t>
      </w:r>
    </w:p>
    <w:p>
      <w:pPr>
        <w:spacing w:after="0" w:line="153"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Effective January 1, 2016, we eliminated our segment reporting as a result of organizational changes made in the second half of 2015, in addition to the integrated nature of our business. These organizational change were made to better align resources to support the business strategy of operating in a leaner, more efficient environment. Specifically, we have centralized our customer-facing activities under one leadership role and eliminated the two segment operating structure. We are now organized in a centralized manner based on functionality. As a result, we are conducting its business activities and reporting financial results in one business segment.</w:t>
      </w:r>
    </w:p>
    <w:p>
      <w:pPr>
        <w:spacing w:after="0" w:line="148"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The presentation of financial results as one reportable segment is consistent with the way the Company operates its business under the realigned organization and is consistent with the manner in which the Chief Operating Decision Maker (CODM) evaluates performance and makes resource and operating decisions for the business as described above. Furthermore we note that monitoring financial results as one reportable segment will help the CODM manage costs on a consolidated basis, consistent with the integrated nature of the operations. We have conformed Management’s Discussion and Analysis of Financial Condition and Results of Operations to reflect this change in reportable segments.</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Investments</w:t>
      </w:r>
    </w:p>
    <w:p>
      <w:pPr>
        <w:spacing w:after="0" w:line="18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We investment in capital projects to strengthen our position of offering what we believe to be the broadest range of SBQ bars and seamless mechanical tubing steel capabilities, enhance our position as a leader in large bar capabilities in North America, provide differentiated solutions for the energy, industrial and automotive market sectors, and improve our operational performance and customer service capabilities.</w:t>
      </w:r>
    </w:p>
    <w:p>
      <w:pPr>
        <w:spacing w:after="0" w:line="14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On July 17, 2014, we announced plans to invest in additional advanced quench-and-temper heat-treat capacity. The $40 million facility will perform quench-and-temper heat-treat operations and, we believe, will have capacity for up to 50,000 process-tons annually of 4-inch to 13-inch bars and tubes. This facility will be located in Perry Township, Ohio on the site of our Gambrinus Steel Plant near three existing thermal treatment facilities. This facility will be larger than each of our three existing thermal</w:t>
      </w:r>
    </w:p>
    <w:p>
      <w:pPr>
        <w:spacing w:after="0" w:line="390"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341" w:right="23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treatment facilities in Canton, Ohio. In response to the continued weakness in energy and some industrial end markets, we have decided to defer the installation until market conditions provide us the opportunity to achieve the best return on this investment.</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 of Raw Material Prices and LIFO</w:t>
      </w:r>
    </w:p>
    <w:p>
      <w:pPr>
        <w:spacing w:after="0" w:line="185"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In the ordinary course of business, we are exposed to the volatility of the costs of our raw materials. Whenever possible, we manage our exposure to commodity risks primarily through the use of supplier pricing agreements that enable us to establish the purchase prices for certain inputs that are used in our manufacturing process. We utilize a raw material surcharge mechanism that is designed to mitigate the impact of increases or decreases in raw material costs, although generally with a lag effect. This timing effect can result in raw material spread whereby costs can be over- or under-recovered in certain periods. While the surcharge generally protects gross profit, under certain circumstances it may have the effect of diluting gross margin as a percentage of sales.</w:t>
      </w:r>
    </w:p>
    <w:p>
      <w:pPr>
        <w:spacing w:after="0" w:line="118"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We value certain of our inventory utilizing the LIFO inventory valuation method. Changes in the cost of raw materials and production activities are recognized in cost of products sold in the current period even though these materials and other costs may have been incurred in different periods at significantly different values due to the length of time of our production cycle. In a period of rising raw material prices, cost of products sold expense recognized under LIFO is generally higher than the cash costs incurred to acquire the inventory sold. Conversely, in a period of declining raw material prices, cost of products sold recognized under LIFO is generally lower than cash costs incurred to acquire the inventory sold. In periods of rising inventories and deflating raw material prices, the likely result will be a positive impact to net income. Conversely, in periods of rising inventories and increasing raw materials prices, the likely result will be a negative impact to net income.</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Results of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212090</wp:posOffset>
            </wp:positionV>
            <wp:extent cx="721233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12330" cy="8890"/>
                    </a:xfrm>
                    <a:prstGeom prst="rect">
                      <a:avLst/>
                    </a:prstGeom>
                    <a:noFill/>
                  </pic:spPr>
                </pic:pic>
              </a:graphicData>
            </a:graphic>
          </wp:anchor>
        </w:drawing>
      </w:r>
    </w:p>
    <w:p>
      <w:pPr>
        <w:spacing w:after="0" w:line="341"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860" w:type="dxa"/>
            <w:vAlign w:val="bottom"/>
          </w:tcPr>
          <w:p>
            <w:pPr>
              <w:spacing w:after="0"/>
              <w:rPr>
                <w:sz w:val="17"/>
                <w:szCs w:val="17"/>
                <w:color w:val="auto"/>
              </w:rPr>
            </w:pPr>
          </w:p>
        </w:tc>
        <w:tc>
          <w:tcPr>
            <w:tcW w:w="2360" w:type="dxa"/>
            <w:vAlign w:val="bottom"/>
          </w:tcPr>
          <w:p>
            <w:pPr>
              <w:spacing w:after="0"/>
              <w:rPr>
                <w:sz w:val="17"/>
                <w:szCs w:val="17"/>
                <w:color w:val="auto"/>
              </w:rPr>
            </w:pPr>
          </w:p>
        </w:tc>
        <w:tc>
          <w:tcPr>
            <w:tcW w:w="2880" w:type="dxa"/>
            <w:vAlign w:val="bottom"/>
            <w:gridSpan w:val="2"/>
          </w:tcPr>
          <w:p>
            <w:pPr>
              <w:jc w:val="right"/>
              <w:ind w:right="871"/>
              <w:spacing w:after="0"/>
              <w:rPr>
                <w:sz w:val="20"/>
                <w:szCs w:val="20"/>
                <w:color w:val="auto"/>
              </w:rPr>
            </w:pPr>
            <w:r>
              <w:rPr>
                <w:rFonts w:ascii="Arial" w:cs="Arial" w:eastAsia="Arial" w:hAnsi="Arial"/>
                <w:sz w:val="16"/>
                <w:szCs w:val="16"/>
                <w:b w:val="1"/>
                <w:bCs w:val="1"/>
                <w:color w:val="auto"/>
              </w:rPr>
              <w:t>Three Months Ended</w:t>
            </w:r>
          </w:p>
        </w:tc>
        <w:tc>
          <w:tcPr>
            <w:tcW w:w="1260" w:type="dxa"/>
            <w:vAlign w:val="bottom"/>
          </w:tcPr>
          <w:p>
            <w:pPr>
              <w:spacing w:after="0"/>
              <w:rPr>
                <w:sz w:val="17"/>
                <w:szCs w:val="17"/>
                <w:color w:val="auto"/>
              </w:rPr>
            </w:pPr>
          </w:p>
        </w:tc>
      </w:tr>
      <w:tr>
        <w:trPr>
          <w:trHeight w:val="210"/>
        </w:trPr>
        <w:tc>
          <w:tcPr>
            <w:tcW w:w="4860" w:type="dxa"/>
            <w:vAlign w:val="bottom"/>
          </w:tcPr>
          <w:p>
            <w:pPr>
              <w:spacing w:after="0"/>
              <w:rPr>
                <w:sz w:val="18"/>
                <w:szCs w:val="18"/>
                <w:color w:val="auto"/>
              </w:rPr>
            </w:pPr>
          </w:p>
        </w:tc>
        <w:tc>
          <w:tcPr>
            <w:tcW w:w="236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Arial" w:cs="Arial" w:eastAsia="Arial" w:hAnsi="Arial"/>
                <w:sz w:val="16"/>
                <w:szCs w:val="16"/>
                <w:b w:val="1"/>
                <w:bCs w:val="1"/>
                <w:color w:val="auto"/>
              </w:rPr>
              <w:t>March 31,</w:t>
            </w:r>
          </w:p>
        </w:tc>
        <w:tc>
          <w:tcPr>
            <w:tcW w:w="1260" w:type="dxa"/>
            <w:vAlign w:val="bottom"/>
          </w:tcPr>
          <w:p>
            <w:pPr>
              <w:spacing w:after="0"/>
              <w:rPr>
                <w:sz w:val="18"/>
                <w:szCs w:val="18"/>
                <w:color w:val="auto"/>
              </w:rPr>
            </w:pPr>
          </w:p>
        </w:tc>
        <w:tc>
          <w:tcPr>
            <w:tcW w:w="1260" w:type="dxa"/>
            <w:vAlign w:val="bottom"/>
          </w:tcPr>
          <w:p>
            <w:pPr>
              <w:spacing w:after="0"/>
              <w:rPr>
                <w:sz w:val="18"/>
                <w:szCs w:val="18"/>
                <w:color w:val="auto"/>
              </w:rPr>
            </w:pPr>
          </w:p>
        </w:tc>
      </w:tr>
      <w:tr>
        <w:trPr>
          <w:trHeight w:val="33"/>
        </w:trPr>
        <w:tc>
          <w:tcPr>
            <w:tcW w:w="4860" w:type="dxa"/>
            <w:vAlign w:val="bottom"/>
            <w:tcBorders>
              <w:bottom w:val="single" w:sz="8" w:color="auto"/>
            </w:tcBorders>
          </w:tcPr>
          <w:p>
            <w:pPr>
              <w:spacing w:after="0"/>
              <w:rPr>
                <w:sz w:val="2"/>
                <w:szCs w:val="2"/>
                <w:color w:val="auto"/>
              </w:rPr>
            </w:pPr>
          </w:p>
        </w:tc>
        <w:tc>
          <w:tcPr>
            <w:tcW w:w="236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1"/>
        </w:trPr>
        <w:tc>
          <w:tcPr>
            <w:tcW w:w="4860" w:type="dxa"/>
            <w:vAlign w:val="bottom"/>
          </w:tcPr>
          <w:p>
            <w:pPr>
              <w:spacing w:after="0"/>
              <w:rPr>
                <w:sz w:val="20"/>
                <w:szCs w:val="20"/>
                <w:color w:val="auto"/>
              </w:rPr>
            </w:pPr>
          </w:p>
        </w:tc>
        <w:tc>
          <w:tcPr>
            <w:tcW w:w="2360" w:type="dxa"/>
            <w:vAlign w:val="bottom"/>
          </w:tcPr>
          <w:p>
            <w:pPr>
              <w:jc w:val="right"/>
              <w:ind w:right="791"/>
              <w:spacing w:after="0"/>
              <w:rPr>
                <w:sz w:val="20"/>
                <w:szCs w:val="20"/>
                <w:color w:val="auto"/>
              </w:rPr>
            </w:pPr>
            <w:r>
              <w:rPr>
                <w:rFonts w:ascii="Arial" w:cs="Arial" w:eastAsia="Arial" w:hAnsi="Arial"/>
                <w:sz w:val="16"/>
                <w:szCs w:val="16"/>
                <w:b w:val="1"/>
                <w:bCs w:val="1"/>
                <w:color w:val="auto"/>
              </w:rPr>
              <w:t>2016</w:t>
            </w:r>
          </w:p>
        </w:tc>
        <w:tc>
          <w:tcPr>
            <w:tcW w:w="1620" w:type="dxa"/>
            <w:vAlign w:val="bottom"/>
          </w:tcPr>
          <w:p>
            <w:pPr>
              <w:jc w:val="right"/>
              <w:ind w:right="852"/>
              <w:spacing w:after="0"/>
              <w:rPr>
                <w:sz w:val="20"/>
                <w:szCs w:val="20"/>
                <w:color w:val="auto"/>
              </w:rPr>
            </w:pPr>
            <w:r>
              <w:rPr>
                <w:rFonts w:ascii="Arial" w:cs="Arial" w:eastAsia="Arial" w:hAnsi="Arial"/>
                <w:sz w:val="16"/>
                <w:szCs w:val="16"/>
                <w:b w:val="1"/>
                <w:bCs w:val="1"/>
                <w:color w:val="auto"/>
              </w:rPr>
              <w:t>2015</w:t>
            </w:r>
          </w:p>
        </w:tc>
        <w:tc>
          <w:tcPr>
            <w:tcW w:w="1260" w:type="dxa"/>
            <w:vAlign w:val="bottom"/>
          </w:tcPr>
          <w:p>
            <w:pPr>
              <w:jc w:val="right"/>
              <w:ind w:right="451"/>
              <w:spacing w:after="0"/>
              <w:rPr>
                <w:sz w:val="20"/>
                <w:szCs w:val="20"/>
                <w:color w:val="auto"/>
              </w:rPr>
            </w:pPr>
            <w:r>
              <w:rPr>
                <w:rFonts w:ascii="Arial" w:cs="Arial" w:eastAsia="Arial" w:hAnsi="Arial"/>
                <w:sz w:val="16"/>
                <w:szCs w:val="16"/>
                <w:b w:val="1"/>
                <w:bCs w:val="1"/>
                <w:color w:val="auto"/>
                <w:w w:val="97"/>
              </w:rPr>
              <w:t>$ Change</w:t>
            </w:r>
          </w:p>
        </w:tc>
        <w:tc>
          <w:tcPr>
            <w:tcW w:w="1260" w:type="dxa"/>
            <w:vAlign w:val="bottom"/>
          </w:tcPr>
          <w:p>
            <w:pPr>
              <w:jc w:val="right"/>
              <w:ind w:right="211"/>
              <w:spacing w:after="0"/>
              <w:rPr>
                <w:sz w:val="20"/>
                <w:szCs w:val="20"/>
                <w:color w:val="auto"/>
              </w:rPr>
            </w:pPr>
            <w:r>
              <w:rPr>
                <w:rFonts w:ascii="Arial" w:cs="Arial" w:eastAsia="Arial" w:hAnsi="Arial"/>
                <w:sz w:val="16"/>
                <w:szCs w:val="16"/>
                <w:b w:val="1"/>
                <w:bCs w:val="1"/>
                <w:color w:val="auto"/>
              </w:rPr>
              <w:t>% Change</w:t>
            </w:r>
          </w:p>
        </w:tc>
      </w:tr>
      <w:tr>
        <w:trPr>
          <w:trHeight w:val="33"/>
        </w:trPr>
        <w:tc>
          <w:tcPr>
            <w:tcW w:w="4860" w:type="dxa"/>
            <w:vAlign w:val="bottom"/>
            <w:tcBorders>
              <w:bottom w:val="single" w:sz="8" w:color="auto"/>
            </w:tcBorders>
          </w:tcPr>
          <w:p>
            <w:pPr>
              <w:spacing w:after="0"/>
              <w:rPr>
                <w:sz w:val="2"/>
                <w:szCs w:val="2"/>
                <w:color w:val="auto"/>
              </w:rPr>
            </w:pPr>
          </w:p>
        </w:tc>
        <w:tc>
          <w:tcPr>
            <w:tcW w:w="236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44"/>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3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$217.9</w:t>
            </w:r>
          </w:p>
        </w:tc>
        <w:tc>
          <w:tcPr>
            <w:tcW w:w="1620" w:type="dxa"/>
            <w:vAlign w:val="bottom"/>
            <w:tcBorders>
              <w:bottom w:val="single" w:sz="8" w:color="CCEEFF"/>
            </w:tcBorders>
            <w:shd w:val="clear" w:color="auto" w:fill="CCEEFF"/>
          </w:tcPr>
          <w:p>
            <w:pPr>
              <w:jc w:val="right"/>
              <w:ind w:right="492"/>
              <w:spacing w:after="0"/>
              <w:rPr>
                <w:sz w:val="20"/>
                <w:szCs w:val="20"/>
                <w:color w:val="auto"/>
              </w:rPr>
            </w:pPr>
            <w:r>
              <w:rPr>
                <w:rFonts w:ascii="Arial" w:cs="Arial" w:eastAsia="Arial" w:hAnsi="Arial"/>
                <w:sz w:val="18"/>
                <w:szCs w:val="18"/>
                <w:color w:val="auto"/>
              </w:rPr>
              <w:t>$388.7</w:t>
            </w:r>
          </w:p>
        </w:tc>
        <w:tc>
          <w:tcPr>
            <w:tcW w:w="126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($170.8)</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(43.9)%</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Net sales, excluding surcharges</w:t>
            </w:r>
          </w:p>
        </w:tc>
        <w:tc>
          <w:tcPr>
            <w:tcW w:w="2360" w:type="dxa"/>
            <w:vAlign w:val="bottom"/>
          </w:tcPr>
          <w:p>
            <w:pPr>
              <w:jc w:val="right"/>
              <w:ind w:right="431"/>
              <w:spacing w:after="0"/>
              <w:rPr>
                <w:sz w:val="20"/>
                <w:szCs w:val="20"/>
                <w:color w:val="auto"/>
              </w:rPr>
            </w:pPr>
            <w:r>
              <w:rPr>
                <w:rFonts w:ascii="Arial" w:cs="Arial" w:eastAsia="Arial" w:hAnsi="Arial"/>
                <w:sz w:val="18"/>
                <w:szCs w:val="18"/>
                <w:b w:val="1"/>
                <w:bCs w:val="1"/>
                <w:color w:val="auto"/>
              </w:rPr>
              <w:t>202.4</w:t>
            </w:r>
          </w:p>
        </w:tc>
        <w:tc>
          <w:tcPr>
            <w:tcW w:w="1620" w:type="dxa"/>
            <w:vAlign w:val="bottom"/>
          </w:tcPr>
          <w:p>
            <w:pPr>
              <w:jc w:val="right"/>
              <w:ind w:right="492"/>
              <w:spacing w:after="0"/>
              <w:rPr>
                <w:sz w:val="20"/>
                <w:szCs w:val="20"/>
                <w:color w:val="auto"/>
              </w:rPr>
            </w:pPr>
            <w:r>
              <w:rPr>
                <w:rFonts w:ascii="Arial" w:cs="Arial" w:eastAsia="Arial" w:hAnsi="Arial"/>
                <w:sz w:val="18"/>
                <w:szCs w:val="18"/>
                <w:color w:val="auto"/>
              </w:rPr>
              <w:t>313.6</w:t>
            </w:r>
          </w:p>
        </w:tc>
        <w:tc>
          <w:tcPr>
            <w:tcW w:w="1260" w:type="dxa"/>
            <w:vAlign w:val="bottom"/>
          </w:tcPr>
          <w:p>
            <w:pPr>
              <w:jc w:val="right"/>
              <w:ind w:right="151"/>
              <w:spacing w:after="0"/>
              <w:rPr>
                <w:sz w:val="20"/>
                <w:szCs w:val="20"/>
                <w:color w:val="auto"/>
              </w:rPr>
            </w:pPr>
            <w:r>
              <w:rPr>
                <w:rFonts w:ascii="Arial" w:cs="Arial" w:eastAsia="Arial" w:hAnsi="Arial"/>
                <w:sz w:val="18"/>
                <w:szCs w:val="18"/>
                <w:color w:val="auto"/>
              </w:rPr>
              <w:t>(111.2)</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(35.5)%</w:t>
            </w:r>
          </w:p>
        </w:tc>
      </w:tr>
      <w:tr>
        <w:trPr>
          <w:trHeight w:val="27"/>
        </w:trPr>
        <w:tc>
          <w:tcPr>
            <w:tcW w:w="486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23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3.4</w:t>
            </w:r>
          </w:p>
        </w:tc>
        <w:tc>
          <w:tcPr>
            <w:tcW w:w="1620" w:type="dxa"/>
            <w:vAlign w:val="bottom"/>
            <w:tcBorders>
              <w:bottom w:val="single" w:sz="8" w:color="CCEEFF"/>
            </w:tcBorders>
            <w:shd w:val="clear" w:color="auto" w:fill="CCEEFF"/>
          </w:tcPr>
          <w:p>
            <w:pPr>
              <w:jc w:val="right"/>
              <w:ind w:right="492"/>
              <w:spacing w:after="0"/>
              <w:rPr>
                <w:sz w:val="20"/>
                <w:szCs w:val="20"/>
                <w:color w:val="auto"/>
              </w:rPr>
            </w:pPr>
            <w:r>
              <w:rPr>
                <w:rFonts w:ascii="Arial" w:cs="Arial" w:eastAsia="Arial" w:hAnsi="Arial"/>
                <w:sz w:val="18"/>
                <w:szCs w:val="18"/>
                <w:color w:val="auto"/>
              </w:rPr>
              <w:t>41.6</w:t>
            </w:r>
          </w:p>
        </w:tc>
        <w:tc>
          <w:tcPr>
            <w:tcW w:w="126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(38.2)</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(91.8)%</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Gross margin</w:t>
            </w:r>
          </w:p>
        </w:tc>
        <w:tc>
          <w:tcPr>
            <w:tcW w:w="2360" w:type="dxa"/>
            <w:vAlign w:val="bottom"/>
          </w:tcPr>
          <w:p>
            <w:pPr>
              <w:jc w:val="right"/>
              <w:ind w:right="251"/>
              <w:spacing w:after="0"/>
              <w:rPr>
                <w:sz w:val="20"/>
                <w:szCs w:val="20"/>
                <w:color w:val="auto"/>
              </w:rPr>
            </w:pPr>
            <w:r>
              <w:rPr>
                <w:rFonts w:ascii="Arial" w:cs="Arial" w:eastAsia="Arial" w:hAnsi="Arial"/>
                <w:sz w:val="18"/>
                <w:szCs w:val="18"/>
                <w:b w:val="1"/>
                <w:bCs w:val="1"/>
                <w:color w:val="auto"/>
              </w:rPr>
              <w:t>1.6%</w:t>
            </w:r>
          </w:p>
        </w:tc>
        <w:tc>
          <w:tcPr>
            <w:tcW w:w="1620" w:type="dxa"/>
            <w:vAlign w:val="bottom"/>
          </w:tcPr>
          <w:p>
            <w:pPr>
              <w:jc w:val="right"/>
              <w:ind w:right="352"/>
              <w:spacing w:after="0"/>
              <w:rPr>
                <w:sz w:val="20"/>
                <w:szCs w:val="20"/>
                <w:color w:val="auto"/>
              </w:rPr>
            </w:pPr>
            <w:r>
              <w:rPr>
                <w:rFonts w:ascii="Arial" w:cs="Arial" w:eastAsia="Arial" w:hAnsi="Arial"/>
                <w:sz w:val="18"/>
                <w:szCs w:val="18"/>
                <w:color w:val="auto"/>
              </w:rPr>
              <w:t>10.7%</w:t>
            </w:r>
          </w:p>
        </w:tc>
        <w:tc>
          <w:tcPr>
            <w:tcW w:w="1260" w:type="dxa"/>
            <w:vAlign w:val="bottom"/>
          </w:tcPr>
          <w:p>
            <w:pPr>
              <w:jc w:val="right"/>
              <w:ind w:right="211"/>
              <w:spacing w:after="0"/>
              <w:rPr>
                <w:sz w:val="20"/>
                <w:szCs w:val="20"/>
                <w:color w:val="auto"/>
              </w:rPr>
            </w:pPr>
            <w:r>
              <w:rPr>
                <w:rFonts w:ascii="Arial" w:cs="Arial" w:eastAsia="Arial" w:hAnsi="Arial"/>
                <w:sz w:val="18"/>
                <w:szCs w:val="18"/>
                <w:color w:val="auto"/>
              </w:rPr>
              <w:t>NM</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(910) bps</w:t>
            </w:r>
          </w:p>
        </w:tc>
      </w:tr>
      <w:tr>
        <w:trPr>
          <w:trHeight w:val="27"/>
        </w:trPr>
        <w:tc>
          <w:tcPr>
            <w:tcW w:w="486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Selling, general and administrative expenses</w:t>
            </w:r>
          </w:p>
        </w:tc>
        <w:tc>
          <w:tcPr>
            <w:tcW w:w="23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22.9</w:t>
            </w:r>
          </w:p>
        </w:tc>
        <w:tc>
          <w:tcPr>
            <w:tcW w:w="1620" w:type="dxa"/>
            <w:vAlign w:val="bottom"/>
            <w:tcBorders>
              <w:bottom w:val="single" w:sz="8" w:color="CCEEFF"/>
            </w:tcBorders>
            <w:shd w:val="clear" w:color="auto" w:fill="CCEEFF"/>
          </w:tcPr>
          <w:p>
            <w:pPr>
              <w:jc w:val="right"/>
              <w:ind w:right="492"/>
              <w:spacing w:after="0"/>
              <w:rPr>
                <w:sz w:val="20"/>
                <w:szCs w:val="20"/>
                <w:color w:val="auto"/>
              </w:rPr>
            </w:pPr>
            <w:r>
              <w:rPr>
                <w:rFonts w:ascii="Arial" w:cs="Arial" w:eastAsia="Arial" w:hAnsi="Arial"/>
                <w:sz w:val="18"/>
                <w:szCs w:val="18"/>
                <w:color w:val="auto"/>
              </w:rPr>
              <w:t>29.1</w:t>
            </w:r>
          </w:p>
        </w:tc>
        <w:tc>
          <w:tcPr>
            <w:tcW w:w="126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(6.2)</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(21.3)%</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Net (loss) income</w:t>
            </w:r>
          </w:p>
        </w:tc>
        <w:tc>
          <w:tcPr>
            <w:tcW w:w="2360" w:type="dxa"/>
            <w:vAlign w:val="bottom"/>
          </w:tcPr>
          <w:p>
            <w:pPr>
              <w:jc w:val="right"/>
              <w:ind w:right="371"/>
              <w:spacing w:after="0"/>
              <w:rPr>
                <w:sz w:val="20"/>
                <w:szCs w:val="20"/>
                <w:color w:val="auto"/>
              </w:rPr>
            </w:pPr>
            <w:r>
              <w:rPr>
                <w:rFonts w:ascii="Arial" w:cs="Arial" w:eastAsia="Arial" w:hAnsi="Arial"/>
                <w:sz w:val="18"/>
                <w:szCs w:val="18"/>
                <w:b w:val="1"/>
                <w:bCs w:val="1"/>
                <w:color w:val="auto"/>
              </w:rPr>
              <w:t>(13.6)</w:t>
            </w:r>
          </w:p>
        </w:tc>
        <w:tc>
          <w:tcPr>
            <w:tcW w:w="1620" w:type="dxa"/>
            <w:vAlign w:val="bottom"/>
          </w:tcPr>
          <w:p>
            <w:pPr>
              <w:jc w:val="right"/>
              <w:ind w:right="492"/>
              <w:spacing w:after="0"/>
              <w:rPr>
                <w:sz w:val="20"/>
                <w:szCs w:val="20"/>
                <w:color w:val="auto"/>
              </w:rPr>
            </w:pPr>
            <w:r>
              <w:rPr>
                <w:rFonts w:ascii="Arial" w:cs="Arial" w:eastAsia="Arial" w:hAnsi="Arial"/>
                <w:sz w:val="18"/>
                <w:szCs w:val="18"/>
                <w:color w:val="auto"/>
              </w:rPr>
              <w:t>6.9</w:t>
            </w:r>
          </w:p>
        </w:tc>
        <w:tc>
          <w:tcPr>
            <w:tcW w:w="1260" w:type="dxa"/>
            <w:vAlign w:val="bottom"/>
          </w:tcPr>
          <w:p>
            <w:pPr>
              <w:jc w:val="right"/>
              <w:ind w:right="151"/>
              <w:spacing w:after="0"/>
              <w:rPr>
                <w:sz w:val="20"/>
                <w:szCs w:val="20"/>
                <w:color w:val="auto"/>
              </w:rPr>
            </w:pPr>
            <w:r>
              <w:rPr>
                <w:rFonts w:ascii="Arial" w:cs="Arial" w:eastAsia="Arial" w:hAnsi="Arial"/>
                <w:sz w:val="18"/>
                <w:szCs w:val="18"/>
                <w:color w:val="auto"/>
              </w:rPr>
              <w:t>(20.5)</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(297.1)%</w:t>
            </w:r>
          </w:p>
        </w:tc>
      </w:tr>
      <w:tr>
        <w:trPr>
          <w:trHeight w:val="27"/>
        </w:trPr>
        <w:tc>
          <w:tcPr>
            <w:tcW w:w="486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Scrap index per ton</w:t>
            </w:r>
          </w:p>
        </w:tc>
        <w:tc>
          <w:tcPr>
            <w:tcW w:w="23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177</w:t>
            </w:r>
          </w:p>
        </w:tc>
        <w:tc>
          <w:tcPr>
            <w:tcW w:w="1620" w:type="dxa"/>
            <w:vAlign w:val="bottom"/>
            <w:tcBorders>
              <w:bottom w:val="single" w:sz="8" w:color="CCEEFF"/>
            </w:tcBorders>
            <w:shd w:val="clear" w:color="auto" w:fill="CCEEFF"/>
          </w:tcPr>
          <w:p>
            <w:pPr>
              <w:jc w:val="right"/>
              <w:ind w:right="492"/>
              <w:spacing w:after="0"/>
              <w:rPr>
                <w:sz w:val="20"/>
                <w:szCs w:val="20"/>
                <w:color w:val="auto"/>
              </w:rPr>
            </w:pPr>
            <w:r>
              <w:rPr>
                <w:rFonts w:ascii="Arial" w:cs="Arial" w:eastAsia="Arial" w:hAnsi="Arial"/>
                <w:sz w:val="18"/>
                <w:szCs w:val="18"/>
                <w:color w:val="auto"/>
              </w:rPr>
              <w:t>335</w:t>
            </w:r>
          </w:p>
        </w:tc>
        <w:tc>
          <w:tcPr>
            <w:tcW w:w="126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(158)</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(47.2)%</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Shipments (in tons)</w:t>
            </w:r>
          </w:p>
        </w:tc>
        <w:tc>
          <w:tcPr>
            <w:tcW w:w="2360" w:type="dxa"/>
            <w:vAlign w:val="bottom"/>
          </w:tcPr>
          <w:p>
            <w:pPr>
              <w:jc w:val="right"/>
              <w:ind w:right="431"/>
              <w:spacing w:after="0"/>
              <w:rPr>
                <w:sz w:val="20"/>
                <w:szCs w:val="20"/>
                <w:color w:val="auto"/>
              </w:rPr>
            </w:pPr>
            <w:r>
              <w:rPr>
                <w:rFonts w:ascii="Arial" w:cs="Arial" w:eastAsia="Arial" w:hAnsi="Arial"/>
                <w:sz w:val="18"/>
                <w:szCs w:val="18"/>
                <w:b w:val="1"/>
                <w:bCs w:val="1"/>
                <w:color w:val="auto"/>
              </w:rPr>
              <w:t>186,152</w:t>
            </w:r>
          </w:p>
        </w:tc>
        <w:tc>
          <w:tcPr>
            <w:tcW w:w="1620" w:type="dxa"/>
            <w:vAlign w:val="bottom"/>
          </w:tcPr>
          <w:p>
            <w:pPr>
              <w:jc w:val="right"/>
              <w:ind w:right="492"/>
              <w:spacing w:after="0"/>
              <w:rPr>
                <w:sz w:val="20"/>
                <w:szCs w:val="20"/>
                <w:color w:val="auto"/>
              </w:rPr>
            </w:pPr>
            <w:r>
              <w:rPr>
                <w:rFonts w:ascii="Arial" w:cs="Arial" w:eastAsia="Arial" w:hAnsi="Arial"/>
                <w:sz w:val="18"/>
                <w:szCs w:val="18"/>
                <w:color w:val="auto"/>
              </w:rPr>
              <w:t>271,102</w:t>
            </w:r>
          </w:p>
        </w:tc>
        <w:tc>
          <w:tcPr>
            <w:tcW w:w="1260" w:type="dxa"/>
            <w:vAlign w:val="bottom"/>
          </w:tcPr>
          <w:p>
            <w:pPr>
              <w:jc w:val="right"/>
              <w:ind w:right="151"/>
              <w:spacing w:after="0"/>
              <w:rPr>
                <w:sz w:val="20"/>
                <w:szCs w:val="20"/>
                <w:color w:val="auto"/>
              </w:rPr>
            </w:pPr>
            <w:r>
              <w:rPr>
                <w:rFonts w:ascii="Arial" w:cs="Arial" w:eastAsia="Arial" w:hAnsi="Arial"/>
                <w:sz w:val="18"/>
                <w:szCs w:val="18"/>
                <w:color w:val="auto"/>
              </w:rPr>
              <w:t>(84,950)</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(31.3)%</w:t>
            </w:r>
          </w:p>
        </w:tc>
      </w:tr>
      <w:tr>
        <w:trPr>
          <w:trHeight w:val="27"/>
        </w:trPr>
        <w:tc>
          <w:tcPr>
            <w:tcW w:w="486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Average selling price per ton, including surcharges</w:t>
            </w:r>
          </w:p>
        </w:tc>
        <w:tc>
          <w:tcPr>
            <w:tcW w:w="23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$1,171</w:t>
            </w:r>
          </w:p>
        </w:tc>
        <w:tc>
          <w:tcPr>
            <w:tcW w:w="1620" w:type="dxa"/>
            <w:vAlign w:val="bottom"/>
            <w:tcBorders>
              <w:bottom w:val="single" w:sz="8" w:color="CCEEFF"/>
            </w:tcBorders>
            <w:shd w:val="clear" w:color="auto" w:fill="CCEEFF"/>
          </w:tcPr>
          <w:p>
            <w:pPr>
              <w:jc w:val="right"/>
              <w:ind w:right="492"/>
              <w:spacing w:after="0"/>
              <w:rPr>
                <w:sz w:val="20"/>
                <w:szCs w:val="20"/>
                <w:color w:val="auto"/>
              </w:rPr>
            </w:pPr>
            <w:r>
              <w:rPr>
                <w:rFonts w:ascii="Arial" w:cs="Arial" w:eastAsia="Arial" w:hAnsi="Arial"/>
                <w:sz w:val="18"/>
                <w:szCs w:val="18"/>
                <w:color w:val="auto"/>
              </w:rPr>
              <w:t>$1,434</w:t>
            </w:r>
          </w:p>
        </w:tc>
        <w:tc>
          <w:tcPr>
            <w:tcW w:w="126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($263)</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(18.3)%</w:t>
            </w: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Capacity utilization</w:t>
            </w:r>
          </w:p>
        </w:tc>
        <w:tc>
          <w:tcPr>
            <w:tcW w:w="2360" w:type="dxa"/>
            <w:vAlign w:val="bottom"/>
          </w:tcPr>
          <w:p>
            <w:pPr>
              <w:jc w:val="right"/>
              <w:ind w:right="251"/>
              <w:spacing w:after="0"/>
              <w:rPr>
                <w:sz w:val="20"/>
                <w:szCs w:val="20"/>
                <w:color w:val="auto"/>
              </w:rPr>
            </w:pPr>
            <w:r>
              <w:rPr>
                <w:rFonts w:ascii="Arial" w:cs="Arial" w:eastAsia="Arial" w:hAnsi="Arial"/>
                <w:sz w:val="18"/>
                <w:szCs w:val="18"/>
                <w:b w:val="1"/>
                <w:bCs w:val="1"/>
                <w:color w:val="auto"/>
              </w:rPr>
              <w:t>47%</w:t>
            </w:r>
          </w:p>
        </w:tc>
        <w:tc>
          <w:tcPr>
            <w:tcW w:w="1620" w:type="dxa"/>
            <w:vAlign w:val="bottom"/>
          </w:tcPr>
          <w:p>
            <w:pPr>
              <w:jc w:val="right"/>
              <w:ind w:right="352"/>
              <w:spacing w:after="0"/>
              <w:rPr>
                <w:sz w:val="20"/>
                <w:szCs w:val="20"/>
                <w:color w:val="auto"/>
              </w:rPr>
            </w:pPr>
            <w:r>
              <w:rPr>
                <w:rFonts w:ascii="Arial" w:cs="Arial" w:eastAsia="Arial" w:hAnsi="Arial"/>
                <w:sz w:val="18"/>
                <w:szCs w:val="18"/>
                <w:color w:val="auto"/>
              </w:rPr>
              <w:t>66%</w:t>
            </w:r>
          </w:p>
        </w:tc>
        <w:tc>
          <w:tcPr>
            <w:tcW w:w="1260" w:type="dxa"/>
            <w:vAlign w:val="bottom"/>
          </w:tcPr>
          <w:p>
            <w:pPr>
              <w:jc w:val="right"/>
              <w:ind w:right="211"/>
              <w:spacing w:after="0"/>
              <w:rPr>
                <w:sz w:val="20"/>
                <w:szCs w:val="20"/>
                <w:color w:val="auto"/>
              </w:rPr>
            </w:pPr>
            <w:r>
              <w:rPr>
                <w:rFonts w:ascii="Arial" w:cs="Arial" w:eastAsia="Arial" w:hAnsi="Arial"/>
                <w:sz w:val="18"/>
                <w:szCs w:val="18"/>
                <w:color w:val="auto"/>
              </w:rPr>
              <w:t>NM</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(1,900) bps</w:t>
            </w:r>
          </w:p>
        </w:tc>
      </w:tr>
      <w:tr>
        <w:trPr>
          <w:trHeight w:val="34"/>
        </w:trPr>
        <w:tc>
          <w:tcPr>
            <w:tcW w:w="4860" w:type="dxa"/>
            <w:vAlign w:val="bottom"/>
            <w:tcBorders>
              <w:bottom w:val="single" w:sz="8" w:color="auto"/>
            </w:tcBorders>
          </w:tcPr>
          <w:p>
            <w:pPr>
              <w:spacing w:after="0"/>
              <w:rPr>
                <w:sz w:val="2"/>
                <w:szCs w:val="2"/>
                <w:color w:val="auto"/>
              </w:rPr>
            </w:pPr>
          </w:p>
        </w:tc>
        <w:tc>
          <w:tcPr>
            <w:tcW w:w="236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bl>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Sales</w:t>
      </w:r>
    </w:p>
    <w:p>
      <w:pPr>
        <w:spacing w:after="0" w:line="189"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Net sales for the first quarter of 2016 were $217.9 million, a decrease of $170.8 million compared to the first quarter of 2015. Excluding surcharges, net sales decreased $111.2 million, or 35.5%. The decrease was driven primarily by lower volume of approximately $102 million due to lower ship tons of approximately 86.9% in the energy end market and 38.1% in the industrial end market. Lower shipments for the first quarter of 2016 in the energy end market were driven primarily by a decrease in the U.S. rig count of over 65% compared to the first quarter of 2015. Lower shipments for the first quarter of 2016 in the industrial end market as compared to the first quarter of 2015 were due primarily to the ancillary impact of the decline in oil and gas markets.</w:t>
      </w:r>
    </w:p>
    <w:p>
      <w:pPr>
        <w:spacing w:after="0" w:line="1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Gross (Loss) Profit</w:t>
      </w:r>
    </w:p>
    <w:p>
      <w:pPr>
        <w:spacing w:after="0" w:line="189"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Gross profit for the first quarter of 2016 was $3.4 million, a decrease of $38.2 million, or 91.8%, compared to gross profit of $41.6 million for the first quarter of 2015. The decrease was driven primarily by lower volume of approximately $27 million, higher manufacturing costs of approximately $10 million, price/mix of approximately $7 million and lower LIFO income of approximately $4 million, partially offset by favorable raw material spread of approximately $10 million. Raw material spread is a results of the timing difference between the cost of scrap and the surcharge recovery, as discussed above.</w:t>
      </w:r>
    </w:p>
    <w:p>
      <w:pPr>
        <w:spacing w:after="0" w:line="114"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We have 2 million tons of annual melt capacity. The amount of actual melt produced as a percentage of the capacity defines our melt utilization. Melt utilization is a key performance indicator for our business and is influenced by customer demand and inventory levels. We believe that production levels of approximately 50% melt utilization will generate breakeven Earnings</w:t>
      </w:r>
    </w:p>
    <w:p>
      <w:pPr>
        <w:spacing w:after="0" w:line="384"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341" w:right="23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Before Interest Taxes Depreciation and Amortization (EBITDA) results in normalized scrap markets. Many factors can influence the level at which melt utilization will generate breakeven results. The primary factors are product volume and mix, product price and cost structure.</w:t>
      </w:r>
    </w:p>
    <w:p>
      <w:pPr>
        <w:spacing w:after="0" w:line="130"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Melt utilization for the first quarter of 2016 was 47% compared to melt utilization of 66% for the first quarter of 2015. Weakness in commodity markets, declining rig counts and high inventory levels in the distribution supply chain, resulted in lower customer demand and therefore lower production volumes. In order to align our cost structure with market demand and continue to manage our breakeven levels to offset potential headwinds from product mix and price, in the second half of 2015 we implemented a $75 million cost reduction initiative. These actions, which included reducing headcount, lowering operating costs and minimizing capital expenditures, were necessary to support our ability to generate EBITDA breakeven financial performance at 50% melt utilization.</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Selling, General and Administrative Expenses</w:t>
      </w:r>
    </w:p>
    <w:p>
      <w:pPr>
        <w:spacing w:after="0" w:line="18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Selling, general and administrative (SG&amp;A) expenses for the first quarter of 2016 decreased $6.2 million, or 21.3%, compared to the first quarter of 2015 due primarily to realized cost reduction actions.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(Benefit) Provision for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214630</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360" w:type="dxa"/>
            <w:vAlign w:val="bottom"/>
          </w:tcPr>
          <w:p>
            <w:pPr>
              <w:spacing w:after="0"/>
              <w:rPr>
                <w:sz w:val="17"/>
                <w:szCs w:val="17"/>
                <w:color w:val="auto"/>
              </w:rPr>
            </w:pPr>
          </w:p>
        </w:tc>
        <w:tc>
          <w:tcPr>
            <w:tcW w:w="2920" w:type="dxa"/>
            <w:vAlign w:val="bottom"/>
          </w:tcPr>
          <w:p>
            <w:pPr>
              <w:spacing w:after="0"/>
              <w:rPr>
                <w:sz w:val="17"/>
                <w:szCs w:val="17"/>
                <w:color w:val="auto"/>
              </w:rPr>
            </w:pPr>
          </w:p>
        </w:tc>
        <w:tc>
          <w:tcPr>
            <w:tcW w:w="2860" w:type="dxa"/>
            <w:vAlign w:val="bottom"/>
            <w:gridSpan w:val="2"/>
          </w:tcPr>
          <w:p>
            <w:pPr>
              <w:jc w:val="center"/>
              <w:ind w:right="413"/>
              <w:spacing w:after="0"/>
              <w:rPr>
                <w:sz w:val="20"/>
                <w:szCs w:val="20"/>
                <w:color w:val="auto"/>
              </w:rPr>
            </w:pPr>
            <w:r>
              <w:rPr>
                <w:rFonts w:ascii="Arial" w:cs="Arial" w:eastAsia="Arial" w:hAnsi="Arial"/>
                <w:sz w:val="16"/>
                <w:szCs w:val="16"/>
                <w:b w:val="1"/>
                <w:bCs w:val="1"/>
                <w:color w:val="auto"/>
                <w:w w:val="93"/>
              </w:rPr>
              <w:t>Three Months Ended</w:t>
            </w:r>
          </w:p>
        </w:tc>
        <w:tc>
          <w:tcPr>
            <w:tcW w:w="1280" w:type="dxa"/>
            <w:vAlign w:val="bottom"/>
          </w:tcPr>
          <w:p>
            <w:pPr>
              <w:spacing w:after="0"/>
              <w:rPr>
                <w:sz w:val="17"/>
                <w:szCs w:val="17"/>
                <w:color w:val="auto"/>
              </w:rPr>
            </w:pPr>
          </w:p>
        </w:tc>
      </w:tr>
      <w:tr>
        <w:trPr>
          <w:trHeight w:val="210"/>
        </w:trPr>
        <w:tc>
          <w:tcPr>
            <w:tcW w:w="4360" w:type="dxa"/>
            <w:vAlign w:val="bottom"/>
          </w:tcPr>
          <w:p>
            <w:pPr>
              <w:spacing w:after="0"/>
              <w:rPr>
                <w:sz w:val="18"/>
                <w:szCs w:val="18"/>
                <w:color w:val="auto"/>
              </w:rPr>
            </w:pPr>
          </w:p>
        </w:tc>
        <w:tc>
          <w:tcPr>
            <w:tcW w:w="2920" w:type="dxa"/>
            <w:vAlign w:val="bottom"/>
          </w:tcPr>
          <w:p>
            <w:pPr>
              <w:spacing w:after="0"/>
              <w:rPr>
                <w:sz w:val="18"/>
                <w:szCs w:val="18"/>
                <w:color w:val="auto"/>
              </w:rPr>
            </w:pPr>
          </w:p>
        </w:tc>
        <w:tc>
          <w:tcPr>
            <w:tcW w:w="1620" w:type="dxa"/>
            <w:vAlign w:val="bottom"/>
          </w:tcPr>
          <w:p>
            <w:pPr>
              <w:jc w:val="center"/>
              <w:ind w:left="675"/>
              <w:spacing w:after="0"/>
              <w:rPr>
                <w:sz w:val="20"/>
                <w:szCs w:val="20"/>
                <w:color w:val="auto"/>
              </w:rPr>
            </w:pPr>
            <w:r>
              <w:rPr>
                <w:rFonts w:ascii="Arial" w:cs="Arial" w:eastAsia="Arial" w:hAnsi="Arial"/>
                <w:sz w:val="16"/>
                <w:szCs w:val="16"/>
                <w:b w:val="1"/>
                <w:bCs w:val="1"/>
                <w:color w:val="auto"/>
                <w:w w:val="94"/>
              </w:rPr>
              <w:t>March 31,</w:t>
            </w:r>
          </w:p>
        </w:tc>
        <w:tc>
          <w:tcPr>
            <w:tcW w:w="1240" w:type="dxa"/>
            <w:vAlign w:val="bottom"/>
          </w:tcPr>
          <w:p>
            <w:pPr>
              <w:spacing w:after="0"/>
              <w:rPr>
                <w:sz w:val="18"/>
                <w:szCs w:val="18"/>
                <w:color w:val="auto"/>
              </w:rPr>
            </w:pPr>
          </w:p>
        </w:tc>
        <w:tc>
          <w:tcPr>
            <w:tcW w:w="1280" w:type="dxa"/>
            <w:vAlign w:val="bottom"/>
          </w:tcPr>
          <w:p>
            <w:pPr>
              <w:spacing w:after="0"/>
              <w:rPr>
                <w:sz w:val="18"/>
                <w:szCs w:val="18"/>
                <w:color w:val="auto"/>
              </w:rPr>
            </w:pPr>
          </w:p>
        </w:tc>
      </w:tr>
      <w:tr>
        <w:trPr>
          <w:trHeight w:val="33"/>
        </w:trPr>
        <w:tc>
          <w:tcPr>
            <w:tcW w:w="4360" w:type="dxa"/>
            <w:vAlign w:val="bottom"/>
            <w:tcBorders>
              <w:bottom w:val="single" w:sz="8" w:color="auto"/>
            </w:tcBorders>
          </w:tcPr>
          <w:p>
            <w:pPr>
              <w:spacing w:after="0"/>
              <w:rPr>
                <w:sz w:val="2"/>
                <w:szCs w:val="2"/>
                <w:color w:val="auto"/>
              </w:rPr>
            </w:pPr>
          </w:p>
        </w:tc>
        <w:tc>
          <w:tcPr>
            <w:tcW w:w="29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31"/>
        </w:trPr>
        <w:tc>
          <w:tcPr>
            <w:tcW w:w="4360" w:type="dxa"/>
            <w:vAlign w:val="bottom"/>
          </w:tcPr>
          <w:p>
            <w:pPr>
              <w:spacing w:after="0"/>
              <w:rPr>
                <w:sz w:val="20"/>
                <w:szCs w:val="20"/>
                <w:color w:val="auto"/>
              </w:rPr>
            </w:pPr>
          </w:p>
        </w:tc>
        <w:tc>
          <w:tcPr>
            <w:tcW w:w="2920" w:type="dxa"/>
            <w:vAlign w:val="bottom"/>
          </w:tcPr>
          <w:p>
            <w:pPr>
              <w:jc w:val="right"/>
              <w:ind w:right="793"/>
              <w:spacing w:after="0"/>
              <w:rPr>
                <w:sz w:val="20"/>
                <w:szCs w:val="20"/>
                <w:color w:val="auto"/>
              </w:rPr>
            </w:pPr>
            <w:r>
              <w:rPr>
                <w:rFonts w:ascii="Arial" w:cs="Arial" w:eastAsia="Arial" w:hAnsi="Arial"/>
                <w:sz w:val="16"/>
                <w:szCs w:val="16"/>
                <w:b w:val="1"/>
                <w:bCs w:val="1"/>
                <w:color w:val="auto"/>
              </w:rPr>
              <w:t>2016</w:t>
            </w:r>
          </w:p>
        </w:tc>
        <w:tc>
          <w:tcPr>
            <w:tcW w:w="1620" w:type="dxa"/>
            <w:vAlign w:val="bottom"/>
          </w:tcPr>
          <w:p>
            <w:pPr>
              <w:jc w:val="right"/>
              <w:ind w:right="875"/>
              <w:spacing w:after="0"/>
              <w:rPr>
                <w:sz w:val="20"/>
                <w:szCs w:val="20"/>
                <w:color w:val="auto"/>
              </w:rPr>
            </w:pPr>
            <w:r>
              <w:rPr>
                <w:rFonts w:ascii="Arial" w:cs="Arial" w:eastAsia="Arial" w:hAnsi="Arial"/>
                <w:sz w:val="16"/>
                <w:szCs w:val="16"/>
                <w:b w:val="1"/>
                <w:bCs w:val="1"/>
                <w:color w:val="auto"/>
              </w:rPr>
              <w:t>2015</w:t>
            </w:r>
          </w:p>
        </w:tc>
        <w:tc>
          <w:tcPr>
            <w:tcW w:w="1240" w:type="dxa"/>
            <w:vAlign w:val="bottom"/>
          </w:tcPr>
          <w:p>
            <w:pPr>
              <w:jc w:val="right"/>
              <w:ind w:right="433"/>
              <w:spacing w:after="0"/>
              <w:rPr>
                <w:sz w:val="20"/>
                <w:szCs w:val="20"/>
                <w:color w:val="auto"/>
              </w:rPr>
            </w:pPr>
            <w:r>
              <w:rPr>
                <w:rFonts w:ascii="Arial" w:cs="Arial" w:eastAsia="Arial" w:hAnsi="Arial"/>
                <w:sz w:val="16"/>
                <w:szCs w:val="16"/>
                <w:b w:val="1"/>
                <w:bCs w:val="1"/>
                <w:color w:val="auto"/>
                <w:w w:val="97"/>
              </w:rPr>
              <w:t>$ Change</w:t>
            </w:r>
          </w:p>
        </w:tc>
        <w:tc>
          <w:tcPr>
            <w:tcW w:w="1280" w:type="dxa"/>
            <w:vAlign w:val="bottom"/>
          </w:tcPr>
          <w:p>
            <w:pPr>
              <w:jc w:val="right"/>
              <w:ind w:right="213"/>
              <w:spacing w:after="0"/>
              <w:rPr>
                <w:sz w:val="20"/>
                <w:szCs w:val="20"/>
                <w:color w:val="auto"/>
              </w:rPr>
            </w:pPr>
            <w:r>
              <w:rPr>
                <w:rFonts w:ascii="Arial" w:cs="Arial" w:eastAsia="Arial" w:hAnsi="Arial"/>
                <w:sz w:val="16"/>
                <w:szCs w:val="16"/>
                <w:b w:val="1"/>
                <w:bCs w:val="1"/>
                <w:color w:val="auto"/>
              </w:rPr>
              <w:t>% Change</w:t>
            </w:r>
          </w:p>
        </w:tc>
      </w:tr>
      <w:tr>
        <w:trPr>
          <w:trHeight w:val="33"/>
        </w:trPr>
        <w:tc>
          <w:tcPr>
            <w:tcW w:w="4360" w:type="dxa"/>
            <w:vAlign w:val="bottom"/>
            <w:tcBorders>
              <w:bottom w:val="single" w:sz="8" w:color="auto"/>
            </w:tcBorders>
          </w:tcPr>
          <w:p>
            <w:pPr>
              <w:spacing w:after="0"/>
              <w:rPr>
                <w:sz w:val="2"/>
                <w:szCs w:val="2"/>
                <w:color w:val="auto"/>
              </w:rPr>
            </w:pPr>
          </w:p>
        </w:tc>
        <w:tc>
          <w:tcPr>
            <w:tcW w:w="29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44"/>
        </w:trPr>
        <w:tc>
          <w:tcPr>
            <w:tcW w:w="4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(Benefit) provision for income taxes</w:t>
            </w:r>
          </w:p>
        </w:tc>
        <w:tc>
          <w:tcPr>
            <w:tcW w:w="2920" w:type="dxa"/>
            <w:vAlign w:val="bottom"/>
            <w:tcBorders>
              <w:bottom w:val="single" w:sz="8" w:color="CCEEFF"/>
            </w:tcBorders>
            <w:shd w:val="clear" w:color="auto" w:fill="CCEEFF"/>
          </w:tcPr>
          <w:p>
            <w:pPr>
              <w:jc w:val="right"/>
              <w:ind w:right="393"/>
              <w:spacing w:after="0"/>
              <w:rPr>
                <w:sz w:val="20"/>
                <w:szCs w:val="20"/>
                <w:color w:val="auto"/>
              </w:rPr>
            </w:pPr>
            <w:r>
              <w:rPr>
                <w:rFonts w:ascii="Arial" w:cs="Arial" w:eastAsia="Arial" w:hAnsi="Arial"/>
                <w:sz w:val="18"/>
                <w:szCs w:val="18"/>
                <w:b w:val="1"/>
                <w:bCs w:val="1"/>
                <w:color w:val="auto"/>
              </w:rPr>
              <w:t>($8.7)</w:t>
            </w:r>
          </w:p>
        </w:tc>
        <w:tc>
          <w:tcPr>
            <w:tcW w:w="162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$4.2</w:t>
            </w:r>
          </w:p>
        </w:tc>
        <w:tc>
          <w:tcPr>
            <w:tcW w:w="1240" w:type="dxa"/>
            <w:vAlign w:val="bottom"/>
            <w:tcBorders>
              <w:bottom w:val="single" w:sz="8" w:color="CCEEFF"/>
            </w:tcBorders>
            <w:shd w:val="clear" w:color="auto" w:fill="CCEEFF"/>
          </w:tcPr>
          <w:p>
            <w:pPr>
              <w:jc w:val="right"/>
              <w:ind w:right="133"/>
              <w:spacing w:after="0"/>
              <w:rPr>
                <w:sz w:val="20"/>
                <w:szCs w:val="20"/>
                <w:color w:val="auto"/>
              </w:rPr>
            </w:pPr>
            <w:r>
              <w:rPr>
                <w:rFonts w:ascii="Arial" w:cs="Arial" w:eastAsia="Arial" w:hAnsi="Arial"/>
                <w:sz w:val="18"/>
                <w:szCs w:val="18"/>
                <w:color w:val="auto"/>
              </w:rPr>
              <w:t>($12.9)</w:t>
            </w:r>
          </w:p>
        </w:tc>
        <w:tc>
          <w:tcPr>
            <w:tcW w:w="12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(307.1)%</w:t>
            </w:r>
          </w:p>
        </w:tc>
      </w:tr>
      <w:tr>
        <w:trPr>
          <w:trHeight w:val="243"/>
        </w:trPr>
        <w:tc>
          <w:tcPr>
            <w:tcW w:w="4360" w:type="dxa"/>
            <w:vAlign w:val="bottom"/>
          </w:tcPr>
          <w:p>
            <w:pPr>
              <w:ind w:left="40"/>
              <w:spacing w:after="0"/>
              <w:rPr>
                <w:sz w:val="20"/>
                <w:szCs w:val="20"/>
                <w:color w:val="auto"/>
              </w:rPr>
            </w:pPr>
            <w:r>
              <w:rPr>
                <w:rFonts w:ascii="Arial" w:cs="Arial" w:eastAsia="Arial" w:hAnsi="Arial"/>
                <w:sz w:val="18"/>
                <w:szCs w:val="18"/>
                <w:color w:val="auto"/>
              </w:rPr>
              <w:t>Effective tax rate</w:t>
            </w:r>
          </w:p>
        </w:tc>
        <w:tc>
          <w:tcPr>
            <w:tcW w:w="2920" w:type="dxa"/>
            <w:vAlign w:val="bottom"/>
          </w:tcPr>
          <w:p>
            <w:pPr>
              <w:jc w:val="right"/>
              <w:ind w:right="273"/>
              <w:spacing w:after="0"/>
              <w:rPr>
                <w:sz w:val="20"/>
                <w:szCs w:val="20"/>
                <w:color w:val="auto"/>
              </w:rPr>
            </w:pPr>
            <w:r>
              <w:rPr>
                <w:rFonts w:ascii="Arial" w:cs="Arial" w:eastAsia="Arial" w:hAnsi="Arial"/>
                <w:sz w:val="18"/>
                <w:szCs w:val="18"/>
                <w:b w:val="1"/>
                <w:bCs w:val="1"/>
                <w:color w:val="auto"/>
              </w:rPr>
              <w:t>39.0%</w:t>
            </w:r>
          </w:p>
        </w:tc>
        <w:tc>
          <w:tcPr>
            <w:tcW w:w="1620" w:type="dxa"/>
            <w:vAlign w:val="bottom"/>
          </w:tcPr>
          <w:p>
            <w:pPr>
              <w:ind w:left="720"/>
              <w:spacing w:after="0"/>
              <w:rPr>
                <w:sz w:val="20"/>
                <w:szCs w:val="20"/>
                <w:color w:val="auto"/>
              </w:rPr>
            </w:pPr>
            <w:r>
              <w:rPr>
                <w:rFonts w:ascii="Arial" w:cs="Arial" w:eastAsia="Arial" w:hAnsi="Arial"/>
                <w:sz w:val="18"/>
                <w:szCs w:val="18"/>
                <w:color w:val="auto"/>
              </w:rPr>
              <w:t>37.8%</w:t>
            </w:r>
          </w:p>
        </w:tc>
        <w:tc>
          <w:tcPr>
            <w:tcW w:w="1240" w:type="dxa"/>
            <w:vAlign w:val="bottom"/>
          </w:tcPr>
          <w:p>
            <w:pPr>
              <w:jc w:val="right"/>
              <w:ind w:right="193"/>
              <w:spacing w:after="0"/>
              <w:rPr>
                <w:sz w:val="20"/>
                <w:szCs w:val="20"/>
                <w:color w:val="auto"/>
              </w:rPr>
            </w:pPr>
            <w:r>
              <w:rPr>
                <w:rFonts w:ascii="Arial" w:cs="Arial" w:eastAsia="Arial" w:hAnsi="Arial"/>
                <w:sz w:val="18"/>
                <w:szCs w:val="18"/>
                <w:color w:val="auto"/>
              </w:rPr>
              <w:t>NM</w:t>
            </w:r>
          </w:p>
        </w:tc>
        <w:tc>
          <w:tcPr>
            <w:tcW w:w="1280" w:type="dxa"/>
            <w:vAlign w:val="bottom"/>
          </w:tcPr>
          <w:p>
            <w:pPr>
              <w:jc w:val="right"/>
              <w:ind w:right="13"/>
              <w:spacing w:after="0"/>
              <w:rPr>
                <w:sz w:val="20"/>
                <w:szCs w:val="20"/>
                <w:color w:val="auto"/>
              </w:rPr>
            </w:pPr>
            <w:r>
              <w:rPr>
                <w:rFonts w:ascii="Arial" w:cs="Arial" w:eastAsia="Arial" w:hAnsi="Arial"/>
                <w:sz w:val="18"/>
                <w:szCs w:val="18"/>
                <w:color w:val="auto"/>
              </w:rPr>
              <w:t>120 bps</w:t>
            </w:r>
          </w:p>
        </w:tc>
      </w:tr>
      <w:tr>
        <w:trPr>
          <w:trHeight w:val="34"/>
        </w:trPr>
        <w:tc>
          <w:tcPr>
            <w:tcW w:w="4360" w:type="dxa"/>
            <w:vAlign w:val="bottom"/>
            <w:tcBorders>
              <w:bottom w:val="single" w:sz="8" w:color="auto"/>
            </w:tcBorders>
          </w:tcPr>
          <w:p>
            <w:pPr>
              <w:spacing w:after="0"/>
              <w:rPr>
                <w:sz w:val="2"/>
                <w:szCs w:val="2"/>
                <w:color w:val="auto"/>
              </w:rPr>
            </w:pPr>
          </w:p>
        </w:tc>
        <w:tc>
          <w:tcPr>
            <w:tcW w:w="29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The decrease in the effective tax rate for the first quarter of 2016 compared to the first quarter of 2015 was due primarily to discrete items recognized during the first quarter of 2016.</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Sales, Excluding Surcharges</w:t>
      </w:r>
    </w:p>
    <w:p>
      <w:pPr>
        <w:spacing w:after="0" w:line="18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table below presents net sales by end market sector, adjusted to exclude raw material surcharges which represents a financial measure that has not been determined in accordance with U.S. GAAP. We believe presenting net sales by end market sector to exclude raw material surcharges provides additional insight into key drivers of net sales such as base price and product mix.</w:t>
      </w:r>
    </w:p>
    <w:p>
      <w:pPr>
        <w:spacing w:after="0" w:line="384"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341" w:right="23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Net Sales adjusted to exclude surcharges</w:t>
      </w:r>
    </w:p>
    <w:p>
      <w:pPr>
        <w:spacing w:after="0" w:line="6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(Tons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31750</wp:posOffset>
            </wp:positionV>
            <wp:extent cx="721233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12330" cy="8890"/>
                    </a:xfrm>
                    <a:prstGeom prst="rect">
                      <a:avLst/>
                    </a:prstGeom>
                    <a:noFill/>
                  </pic:spPr>
                </pic:pic>
              </a:graphicData>
            </a:graphic>
          </wp:anchor>
        </w:drawing>
      </w:r>
    </w:p>
    <w:p>
      <w:pPr>
        <w:spacing w:after="0" w:line="57" w:lineRule="exact"/>
        <w:rPr>
          <w:sz w:val="20"/>
          <w:szCs w:val="20"/>
          <w:color w:val="auto"/>
        </w:rPr>
      </w:pPr>
    </w:p>
    <w:tbl>
      <w:tblPr>
        <w:tblLayout w:type="fixed"/>
        <w:tblInd w:w="40" w:type="dxa"/>
        <w:tblCellMar>
          <w:top w:w="0" w:type="dxa"/>
          <w:left w:w="0" w:type="dxa"/>
          <w:bottom w:w="0" w:type="dxa"/>
          <w:right w:w="0" w:type="dxa"/>
        </w:tblCellMar>
      </w:tblPr>
      <w:tr>
        <w:trPr>
          <w:trHeight w:val="203"/>
        </w:trPr>
        <w:tc>
          <w:tcPr>
            <w:tcW w:w="3760" w:type="dxa"/>
            <w:vAlign w:val="bottom"/>
          </w:tcPr>
          <w:p>
            <w:pPr>
              <w:spacing w:after="0"/>
              <w:rPr>
                <w:sz w:val="17"/>
                <w:szCs w:val="17"/>
                <w:color w:val="auto"/>
              </w:rPr>
            </w:pPr>
          </w:p>
        </w:tc>
        <w:tc>
          <w:tcPr>
            <w:tcW w:w="32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360" w:type="dxa"/>
            <w:vAlign w:val="bottom"/>
            <w:gridSpan w:val="3"/>
          </w:tcPr>
          <w:p>
            <w:pPr>
              <w:jc w:val="center"/>
              <w:ind w:right="880"/>
              <w:spacing w:after="0"/>
              <w:rPr>
                <w:sz w:val="20"/>
                <w:szCs w:val="20"/>
                <w:color w:val="auto"/>
              </w:rPr>
            </w:pPr>
            <w:r>
              <w:rPr>
                <w:rFonts w:ascii="Arial" w:cs="Arial" w:eastAsia="Arial" w:hAnsi="Arial"/>
                <w:sz w:val="16"/>
                <w:szCs w:val="16"/>
                <w:b w:val="1"/>
                <w:bCs w:val="1"/>
                <w:color w:val="auto"/>
                <w:w w:val="93"/>
              </w:rPr>
              <w:t>Three Months Ended</w:t>
            </w:r>
          </w:p>
        </w:tc>
        <w:tc>
          <w:tcPr>
            <w:tcW w:w="1120" w:type="dxa"/>
            <w:vAlign w:val="bottom"/>
          </w:tcPr>
          <w:p>
            <w:pPr>
              <w:spacing w:after="0"/>
              <w:rPr>
                <w:sz w:val="17"/>
                <w:szCs w:val="17"/>
                <w:color w:val="auto"/>
              </w:rPr>
            </w:pPr>
          </w:p>
        </w:tc>
      </w:tr>
      <w:tr>
        <w:trPr>
          <w:trHeight w:val="210"/>
        </w:trPr>
        <w:tc>
          <w:tcPr>
            <w:tcW w:w="3760" w:type="dxa"/>
            <w:vAlign w:val="bottom"/>
          </w:tcPr>
          <w:p>
            <w:pPr>
              <w:spacing w:after="0"/>
              <w:rPr>
                <w:sz w:val="18"/>
                <w:szCs w:val="18"/>
                <w:color w:val="auto"/>
              </w:rPr>
            </w:pPr>
          </w:p>
        </w:tc>
        <w:tc>
          <w:tcPr>
            <w:tcW w:w="3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80" w:type="dxa"/>
            <w:vAlign w:val="bottom"/>
          </w:tcPr>
          <w:p>
            <w:pPr>
              <w:jc w:val="center"/>
              <w:ind w:left="53"/>
              <w:spacing w:after="0"/>
              <w:rPr>
                <w:sz w:val="20"/>
                <w:szCs w:val="20"/>
                <w:color w:val="auto"/>
              </w:rPr>
            </w:pPr>
            <w:r>
              <w:rPr>
                <w:rFonts w:ascii="Arial" w:cs="Arial" w:eastAsia="Arial" w:hAnsi="Arial"/>
                <w:sz w:val="16"/>
                <w:szCs w:val="16"/>
                <w:b w:val="1"/>
                <w:bCs w:val="1"/>
                <w:color w:val="auto"/>
                <w:w w:val="94"/>
              </w:rPr>
              <w:t>March 31, 2016</w:t>
            </w: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r>
      <w:tr>
        <w:trPr>
          <w:trHeight w:val="33"/>
        </w:trPr>
        <w:tc>
          <w:tcPr>
            <w:tcW w:w="3760" w:type="dxa"/>
            <w:vAlign w:val="bottom"/>
            <w:tcBorders>
              <w:bottom w:val="single" w:sz="8" w:color="auto"/>
            </w:tcBorders>
          </w:tcPr>
          <w:p>
            <w:pPr>
              <w:spacing w:after="0"/>
              <w:rPr>
                <w:sz w:val="2"/>
                <w:szCs w:val="2"/>
                <w:color w:val="auto"/>
              </w:rPr>
            </w:pPr>
          </w:p>
        </w:tc>
        <w:tc>
          <w:tcPr>
            <w:tcW w:w="3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gridSpan w:val="2"/>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1"/>
        </w:trPr>
        <w:tc>
          <w:tcPr>
            <w:tcW w:w="3760" w:type="dxa"/>
            <w:vAlign w:val="bottom"/>
          </w:tcPr>
          <w:p>
            <w:pPr>
              <w:spacing w:after="0"/>
              <w:rPr>
                <w:sz w:val="20"/>
                <w:szCs w:val="20"/>
                <w:color w:val="auto"/>
              </w:rPr>
            </w:pPr>
          </w:p>
        </w:tc>
        <w:tc>
          <w:tcPr>
            <w:tcW w:w="3220" w:type="dxa"/>
            <w:vAlign w:val="bottom"/>
          </w:tcPr>
          <w:p>
            <w:pPr>
              <w:jc w:val="right"/>
              <w:ind w:right="211"/>
              <w:spacing w:after="0"/>
              <w:rPr>
                <w:sz w:val="20"/>
                <w:szCs w:val="20"/>
                <w:color w:val="auto"/>
              </w:rPr>
            </w:pPr>
            <w:r>
              <w:rPr>
                <w:rFonts w:ascii="Arial" w:cs="Arial" w:eastAsia="Arial" w:hAnsi="Arial"/>
                <w:sz w:val="16"/>
                <w:szCs w:val="16"/>
                <w:b w:val="1"/>
                <w:bCs w:val="1"/>
                <w:color w:val="auto"/>
              </w:rPr>
              <w:t>Mobile</w:t>
            </w:r>
          </w:p>
        </w:tc>
        <w:tc>
          <w:tcPr>
            <w:tcW w:w="900" w:type="dxa"/>
            <w:vAlign w:val="bottom"/>
          </w:tcPr>
          <w:p>
            <w:pPr>
              <w:jc w:val="right"/>
              <w:spacing w:after="0"/>
              <w:rPr>
                <w:sz w:val="20"/>
                <w:szCs w:val="20"/>
                <w:color w:val="auto"/>
              </w:rPr>
            </w:pPr>
            <w:r>
              <w:rPr>
                <w:rFonts w:ascii="Arial" w:cs="Arial" w:eastAsia="Arial" w:hAnsi="Arial"/>
                <w:sz w:val="16"/>
                <w:szCs w:val="16"/>
                <w:b w:val="1"/>
                <w:bCs w:val="1"/>
                <w:color w:val="auto"/>
              </w:rPr>
              <w:t>Industrial</w:t>
            </w:r>
          </w:p>
        </w:tc>
        <w:tc>
          <w:tcPr>
            <w:tcW w:w="1380" w:type="dxa"/>
            <w:vAlign w:val="bottom"/>
          </w:tcPr>
          <w:p>
            <w:pPr>
              <w:jc w:val="right"/>
              <w:ind w:right="433"/>
              <w:spacing w:after="0"/>
              <w:rPr>
                <w:sz w:val="20"/>
                <w:szCs w:val="20"/>
                <w:color w:val="auto"/>
              </w:rPr>
            </w:pPr>
            <w:r>
              <w:rPr>
                <w:rFonts w:ascii="Arial" w:cs="Arial" w:eastAsia="Arial" w:hAnsi="Arial"/>
                <w:sz w:val="16"/>
                <w:szCs w:val="16"/>
                <w:b w:val="1"/>
                <w:bCs w:val="1"/>
                <w:color w:val="auto"/>
              </w:rPr>
              <w:t>Energy</w:t>
            </w:r>
          </w:p>
        </w:tc>
        <w:tc>
          <w:tcPr>
            <w:tcW w:w="980" w:type="dxa"/>
            <w:vAlign w:val="bottom"/>
            <w:gridSpan w:val="2"/>
          </w:tcPr>
          <w:p>
            <w:pPr>
              <w:ind w:left="100"/>
              <w:spacing w:after="0"/>
              <w:rPr>
                <w:sz w:val="20"/>
                <w:szCs w:val="20"/>
                <w:color w:val="auto"/>
              </w:rPr>
            </w:pPr>
            <w:r>
              <w:rPr>
                <w:rFonts w:ascii="Arial" w:cs="Arial" w:eastAsia="Arial" w:hAnsi="Arial"/>
                <w:sz w:val="16"/>
                <w:szCs w:val="16"/>
                <w:b w:val="1"/>
                <w:bCs w:val="1"/>
                <w:color w:val="auto"/>
              </w:rPr>
              <w:t>Other</w:t>
            </w:r>
          </w:p>
        </w:tc>
        <w:tc>
          <w:tcPr>
            <w:tcW w:w="1120" w:type="dxa"/>
            <w:vAlign w:val="bottom"/>
          </w:tcPr>
          <w:p>
            <w:pPr>
              <w:jc w:val="right"/>
              <w:ind w:right="311"/>
              <w:spacing w:after="0"/>
              <w:rPr>
                <w:sz w:val="20"/>
                <w:szCs w:val="20"/>
                <w:color w:val="auto"/>
              </w:rPr>
            </w:pPr>
            <w:r>
              <w:rPr>
                <w:rFonts w:ascii="Arial" w:cs="Arial" w:eastAsia="Arial" w:hAnsi="Arial"/>
                <w:sz w:val="16"/>
                <w:szCs w:val="16"/>
                <w:b w:val="1"/>
                <w:bCs w:val="1"/>
                <w:color w:val="auto"/>
              </w:rPr>
              <w:t>Total</w:t>
            </w:r>
          </w:p>
        </w:tc>
      </w:tr>
      <w:tr>
        <w:trPr>
          <w:trHeight w:val="33"/>
        </w:trPr>
        <w:tc>
          <w:tcPr>
            <w:tcW w:w="3760" w:type="dxa"/>
            <w:vAlign w:val="bottom"/>
            <w:tcBorders>
              <w:bottom w:val="single" w:sz="8" w:color="auto"/>
            </w:tcBorders>
          </w:tcPr>
          <w:p>
            <w:pPr>
              <w:spacing w:after="0"/>
              <w:rPr>
                <w:sz w:val="2"/>
                <w:szCs w:val="2"/>
                <w:color w:val="auto"/>
              </w:rPr>
            </w:pPr>
          </w:p>
        </w:tc>
        <w:tc>
          <w:tcPr>
            <w:tcW w:w="3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3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Tons</w:t>
            </w:r>
          </w:p>
        </w:tc>
        <w:tc>
          <w:tcPr>
            <w:tcW w:w="32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b w:val="1"/>
                <w:bCs w:val="1"/>
                <w:color w:val="auto"/>
              </w:rPr>
              <w:t>107.2</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72.1</w:t>
            </w:r>
          </w:p>
        </w:tc>
        <w:tc>
          <w:tcPr>
            <w:tcW w:w="1380" w:type="dxa"/>
            <w:vAlign w:val="bottom"/>
            <w:tcBorders>
              <w:bottom w:val="single" w:sz="8" w:color="CCEEFF"/>
            </w:tcBorders>
            <w:shd w:val="clear" w:color="auto" w:fill="CCEEFF"/>
          </w:tcPr>
          <w:p>
            <w:pPr>
              <w:jc w:val="right"/>
              <w:ind w:right="273"/>
              <w:spacing w:after="0"/>
              <w:rPr>
                <w:sz w:val="20"/>
                <w:szCs w:val="20"/>
                <w:color w:val="auto"/>
              </w:rPr>
            </w:pPr>
            <w:r>
              <w:rPr>
                <w:rFonts w:ascii="Arial" w:cs="Arial" w:eastAsia="Arial" w:hAnsi="Arial"/>
                <w:sz w:val="18"/>
                <w:szCs w:val="18"/>
                <w:b w:val="1"/>
                <w:bCs w:val="1"/>
                <w:color w:val="auto"/>
              </w:rPr>
              <w:t>6.9</w:t>
            </w:r>
          </w:p>
        </w:tc>
        <w:tc>
          <w:tcPr>
            <w:tcW w:w="9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186.2</w:t>
            </w:r>
          </w:p>
        </w:tc>
      </w:tr>
      <w:tr>
        <w:trPr>
          <w:trHeight w:val="324"/>
        </w:trPr>
        <w:tc>
          <w:tcPr>
            <w:tcW w:w="3760" w:type="dxa"/>
            <w:vAlign w:val="bottom"/>
          </w:tcPr>
          <w:p>
            <w:pPr>
              <w:spacing w:after="0"/>
              <w:rPr>
                <w:sz w:val="24"/>
                <w:szCs w:val="24"/>
                <w:color w:val="auto"/>
              </w:rPr>
            </w:pPr>
          </w:p>
        </w:tc>
        <w:tc>
          <w:tcPr>
            <w:tcW w:w="3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250"/>
        </w:trPr>
        <w:tc>
          <w:tcPr>
            <w:tcW w:w="3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Sales</w:t>
            </w:r>
          </w:p>
        </w:tc>
        <w:tc>
          <w:tcPr>
            <w:tcW w:w="32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b w:val="1"/>
                <w:bCs w:val="1"/>
                <w:color w:val="auto"/>
              </w:rPr>
              <w:t>$121.3</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$82.3</w:t>
            </w:r>
          </w:p>
        </w:tc>
        <w:tc>
          <w:tcPr>
            <w:tcW w:w="1380" w:type="dxa"/>
            <w:vAlign w:val="bottom"/>
            <w:tcBorders>
              <w:bottom w:val="single" w:sz="8" w:color="CCEEFF"/>
            </w:tcBorders>
            <w:shd w:val="clear" w:color="auto" w:fill="CCEEFF"/>
          </w:tcPr>
          <w:p>
            <w:pPr>
              <w:jc w:val="right"/>
              <w:ind w:right="273"/>
              <w:spacing w:after="0"/>
              <w:rPr>
                <w:sz w:val="20"/>
                <w:szCs w:val="20"/>
                <w:color w:val="auto"/>
              </w:rPr>
            </w:pPr>
            <w:r>
              <w:rPr>
                <w:rFonts w:ascii="Arial" w:cs="Arial" w:eastAsia="Arial" w:hAnsi="Arial"/>
                <w:sz w:val="18"/>
                <w:szCs w:val="18"/>
                <w:b w:val="1"/>
                <w:bCs w:val="1"/>
                <w:color w:val="auto"/>
              </w:rPr>
              <w:t>$10.0</w:t>
            </w:r>
          </w:p>
        </w:tc>
        <w:tc>
          <w:tcPr>
            <w:tcW w:w="8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$4.3</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$217.9</w:t>
            </w:r>
          </w:p>
        </w:tc>
      </w:tr>
      <w:tr>
        <w:trPr>
          <w:trHeight w:val="243"/>
        </w:trPr>
        <w:tc>
          <w:tcPr>
            <w:tcW w:w="3760" w:type="dxa"/>
            <w:vAlign w:val="bottom"/>
          </w:tcPr>
          <w:p>
            <w:pPr>
              <w:ind w:left="20"/>
              <w:spacing w:after="0"/>
              <w:rPr>
                <w:sz w:val="20"/>
                <w:szCs w:val="20"/>
                <w:color w:val="auto"/>
              </w:rPr>
            </w:pPr>
            <w:r>
              <w:rPr>
                <w:rFonts w:ascii="Arial" w:cs="Arial" w:eastAsia="Arial" w:hAnsi="Arial"/>
                <w:sz w:val="18"/>
                <w:szCs w:val="18"/>
                <w:b w:val="1"/>
                <w:bCs w:val="1"/>
                <w:color w:val="auto"/>
              </w:rPr>
              <w:t>Less: Surcharges</w:t>
            </w:r>
          </w:p>
        </w:tc>
        <w:tc>
          <w:tcPr>
            <w:tcW w:w="3220" w:type="dxa"/>
            <w:vAlign w:val="bottom"/>
          </w:tcPr>
          <w:p>
            <w:pPr>
              <w:jc w:val="right"/>
              <w:ind w:right="71"/>
              <w:spacing w:after="0"/>
              <w:rPr>
                <w:sz w:val="20"/>
                <w:szCs w:val="20"/>
                <w:color w:val="auto"/>
              </w:rPr>
            </w:pPr>
            <w:r>
              <w:rPr>
                <w:rFonts w:ascii="Arial" w:cs="Arial" w:eastAsia="Arial" w:hAnsi="Arial"/>
                <w:sz w:val="18"/>
                <w:szCs w:val="18"/>
                <w:b w:val="1"/>
                <w:bCs w:val="1"/>
                <w:color w:val="auto"/>
              </w:rPr>
              <w:t>8.8</w:t>
            </w: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6.1</w:t>
            </w:r>
          </w:p>
        </w:tc>
        <w:tc>
          <w:tcPr>
            <w:tcW w:w="1380" w:type="dxa"/>
            <w:vAlign w:val="bottom"/>
          </w:tcPr>
          <w:p>
            <w:pPr>
              <w:jc w:val="right"/>
              <w:ind w:right="273"/>
              <w:spacing w:after="0"/>
              <w:rPr>
                <w:sz w:val="20"/>
                <w:szCs w:val="20"/>
                <w:color w:val="auto"/>
              </w:rPr>
            </w:pPr>
            <w:r>
              <w:rPr>
                <w:rFonts w:ascii="Arial" w:cs="Arial" w:eastAsia="Arial" w:hAnsi="Arial"/>
                <w:sz w:val="18"/>
                <w:szCs w:val="18"/>
                <w:b w:val="1"/>
                <w:bCs w:val="1"/>
                <w:color w:val="auto"/>
              </w:rPr>
              <w:t>0.6</w:t>
            </w:r>
          </w:p>
        </w:tc>
        <w:tc>
          <w:tcPr>
            <w:tcW w:w="9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120" w:type="dxa"/>
            <w:vAlign w:val="bottom"/>
          </w:tcPr>
          <w:p>
            <w:pPr>
              <w:jc w:val="right"/>
              <w:ind w:right="31"/>
              <w:spacing w:after="0"/>
              <w:rPr>
                <w:sz w:val="20"/>
                <w:szCs w:val="20"/>
                <w:color w:val="auto"/>
              </w:rPr>
            </w:pPr>
            <w:r>
              <w:rPr>
                <w:rFonts w:ascii="Arial" w:cs="Arial" w:eastAsia="Arial" w:hAnsi="Arial"/>
                <w:sz w:val="18"/>
                <w:szCs w:val="18"/>
                <w:b w:val="1"/>
                <w:bCs w:val="1"/>
                <w:color w:val="auto"/>
              </w:rPr>
              <w:t>15.5</w:t>
            </w:r>
          </w:p>
        </w:tc>
      </w:tr>
      <w:tr>
        <w:trPr>
          <w:trHeight w:val="27"/>
        </w:trPr>
        <w:tc>
          <w:tcPr>
            <w:tcW w:w="3760" w:type="dxa"/>
            <w:vAlign w:val="bottom"/>
            <w:tcBorders>
              <w:bottom w:val="single" w:sz="8" w:color="auto"/>
            </w:tcBorders>
          </w:tcPr>
          <w:p>
            <w:pPr>
              <w:spacing w:after="0"/>
              <w:rPr>
                <w:sz w:val="2"/>
                <w:szCs w:val="2"/>
                <w:color w:val="auto"/>
              </w:rPr>
            </w:pPr>
          </w:p>
        </w:tc>
        <w:tc>
          <w:tcPr>
            <w:tcW w:w="3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3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Base Sales</w:t>
            </w:r>
          </w:p>
        </w:tc>
        <w:tc>
          <w:tcPr>
            <w:tcW w:w="32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b w:val="1"/>
                <w:bCs w:val="1"/>
                <w:color w:val="auto"/>
              </w:rPr>
              <w:t>$112.5</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$76.2</w:t>
            </w:r>
          </w:p>
        </w:tc>
        <w:tc>
          <w:tcPr>
            <w:tcW w:w="1380" w:type="dxa"/>
            <w:vAlign w:val="bottom"/>
            <w:tcBorders>
              <w:bottom w:val="single" w:sz="8" w:color="CCEEFF"/>
            </w:tcBorders>
            <w:shd w:val="clear" w:color="auto" w:fill="CCEEFF"/>
          </w:tcPr>
          <w:p>
            <w:pPr>
              <w:jc w:val="right"/>
              <w:ind w:right="273"/>
              <w:spacing w:after="0"/>
              <w:rPr>
                <w:sz w:val="20"/>
                <w:szCs w:val="20"/>
                <w:color w:val="auto"/>
              </w:rPr>
            </w:pPr>
            <w:r>
              <w:rPr>
                <w:rFonts w:ascii="Arial" w:cs="Arial" w:eastAsia="Arial" w:hAnsi="Arial"/>
                <w:sz w:val="18"/>
                <w:szCs w:val="18"/>
                <w:b w:val="1"/>
                <w:bCs w:val="1"/>
                <w:color w:val="auto"/>
              </w:rPr>
              <w:t>$9.4</w:t>
            </w:r>
          </w:p>
        </w:tc>
        <w:tc>
          <w:tcPr>
            <w:tcW w:w="8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$4.3</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$202.4</w:t>
            </w:r>
          </w:p>
        </w:tc>
      </w:tr>
      <w:tr>
        <w:trPr>
          <w:trHeight w:val="324"/>
        </w:trPr>
        <w:tc>
          <w:tcPr>
            <w:tcW w:w="3760" w:type="dxa"/>
            <w:vAlign w:val="bottom"/>
          </w:tcPr>
          <w:p>
            <w:pPr>
              <w:spacing w:after="0"/>
              <w:rPr>
                <w:sz w:val="24"/>
                <w:szCs w:val="24"/>
                <w:color w:val="auto"/>
              </w:rPr>
            </w:pPr>
          </w:p>
        </w:tc>
        <w:tc>
          <w:tcPr>
            <w:tcW w:w="3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250"/>
        </w:trPr>
        <w:tc>
          <w:tcPr>
            <w:tcW w:w="3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Sales / Ton</w:t>
            </w:r>
          </w:p>
        </w:tc>
        <w:tc>
          <w:tcPr>
            <w:tcW w:w="32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b w:val="1"/>
                <w:bCs w:val="1"/>
                <w:color w:val="auto"/>
              </w:rPr>
              <w:t>$1,132</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$1,141</w:t>
            </w:r>
          </w:p>
        </w:tc>
        <w:tc>
          <w:tcPr>
            <w:tcW w:w="1380" w:type="dxa"/>
            <w:vAlign w:val="bottom"/>
            <w:tcBorders>
              <w:bottom w:val="single" w:sz="8" w:color="CCEEFF"/>
            </w:tcBorders>
            <w:shd w:val="clear" w:color="auto" w:fill="CCEEFF"/>
          </w:tcPr>
          <w:p>
            <w:pPr>
              <w:jc w:val="right"/>
              <w:ind w:right="273"/>
              <w:spacing w:after="0"/>
              <w:rPr>
                <w:sz w:val="20"/>
                <w:szCs w:val="20"/>
                <w:color w:val="auto"/>
              </w:rPr>
            </w:pPr>
            <w:r>
              <w:rPr>
                <w:rFonts w:ascii="Arial" w:cs="Arial" w:eastAsia="Arial" w:hAnsi="Arial"/>
                <w:sz w:val="18"/>
                <w:szCs w:val="18"/>
                <w:b w:val="1"/>
                <w:bCs w:val="1"/>
                <w:color w:val="auto"/>
              </w:rPr>
              <w:t>$1,449</w:t>
            </w:r>
          </w:p>
        </w:tc>
        <w:tc>
          <w:tcPr>
            <w:tcW w:w="980" w:type="dxa"/>
            <w:vAlign w:val="bottom"/>
            <w:tcBorders>
              <w:bottom w:val="single" w:sz="8" w:color="CCEEFF"/>
            </w:tcBorders>
            <w:gridSpan w:val="2"/>
            <w:shd w:val="clear" w:color="auto" w:fill="CCEEFF"/>
          </w:tcPr>
          <w:p>
            <w:pPr>
              <w:ind w:left="440"/>
              <w:spacing w:after="0"/>
              <w:rPr>
                <w:sz w:val="20"/>
                <w:szCs w:val="20"/>
                <w:color w:val="auto"/>
              </w:rPr>
            </w:pPr>
            <w:r>
              <w:rPr>
                <w:rFonts w:ascii="Arial" w:cs="Arial" w:eastAsia="Arial" w:hAnsi="Arial"/>
                <w:sz w:val="18"/>
                <w:szCs w:val="18"/>
                <w:b w:val="1"/>
                <w:bCs w:val="1"/>
                <w:color w:val="auto"/>
              </w:rPr>
              <w:t>N/A</w:t>
            </w: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$1,171</w:t>
            </w:r>
          </w:p>
        </w:tc>
      </w:tr>
      <w:tr>
        <w:trPr>
          <w:trHeight w:val="243"/>
        </w:trPr>
        <w:tc>
          <w:tcPr>
            <w:tcW w:w="3760" w:type="dxa"/>
            <w:vAlign w:val="bottom"/>
          </w:tcPr>
          <w:p>
            <w:pPr>
              <w:ind w:left="20"/>
              <w:spacing w:after="0"/>
              <w:rPr>
                <w:sz w:val="20"/>
                <w:szCs w:val="20"/>
                <w:color w:val="auto"/>
              </w:rPr>
            </w:pPr>
            <w:r>
              <w:rPr>
                <w:rFonts w:ascii="Arial" w:cs="Arial" w:eastAsia="Arial" w:hAnsi="Arial"/>
                <w:sz w:val="18"/>
                <w:szCs w:val="18"/>
                <w:b w:val="1"/>
                <w:bCs w:val="1"/>
                <w:color w:val="auto"/>
              </w:rPr>
              <w:t>Base Sales / Ton</w:t>
            </w:r>
          </w:p>
        </w:tc>
        <w:tc>
          <w:tcPr>
            <w:tcW w:w="3220" w:type="dxa"/>
            <w:vAlign w:val="bottom"/>
          </w:tcPr>
          <w:p>
            <w:pPr>
              <w:jc w:val="right"/>
              <w:ind w:right="71"/>
              <w:spacing w:after="0"/>
              <w:rPr>
                <w:sz w:val="20"/>
                <w:szCs w:val="20"/>
                <w:color w:val="auto"/>
              </w:rPr>
            </w:pPr>
            <w:r>
              <w:rPr>
                <w:rFonts w:ascii="Arial" w:cs="Arial" w:eastAsia="Arial" w:hAnsi="Arial"/>
                <w:sz w:val="18"/>
                <w:szCs w:val="18"/>
                <w:b w:val="1"/>
                <w:bCs w:val="1"/>
                <w:color w:val="auto"/>
              </w:rPr>
              <w:t>$1,049</w:t>
            </w: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$1,057</w:t>
            </w:r>
          </w:p>
        </w:tc>
        <w:tc>
          <w:tcPr>
            <w:tcW w:w="1380" w:type="dxa"/>
            <w:vAlign w:val="bottom"/>
          </w:tcPr>
          <w:p>
            <w:pPr>
              <w:jc w:val="right"/>
              <w:ind w:right="273"/>
              <w:spacing w:after="0"/>
              <w:rPr>
                <w:sz w:val="20"/>
                <w:szCs w:val="20"/>
                <w:color w:val="auto"/>
              </w:rPr>
            </w:pPr>
            <w:r>
              <w:rPr>
                <w:rFonts w:ascii="Arial" w:cs="Arial" w:eastAsia="Arial" w:hAnsi="Arial"/>
                <w:sz w:val="18"/>
                <w:szCs w:val="18"/>
                <w:b w:val="1"/>
                <w:bCs w:val="1"/>
                <w:color w:val="auto"/>
              </w:rPr>
              <w:t>$1,362</w:t>
            </w:r>
          </w:p>
        </w:tc>
        <w:tc>
          <w:tcPr>
            <w:tcW w:w="980" w:type="dxa"/>
            <w:vAlign w:val="bottom"/>
            <w:gridSpan w:val="2"/>
          </w:tcPr>
          <w:p>
            <w:pPr>
              <w:ind w:left="440"/>
              <w:spacing w:after="0"/>
              <w:rPr>
                <w:sz w:val="20"/>
                <w:szCs w:val="20"/>
                <w:color w:val="auto"/>
              </w:rPr>
            </w:pPr>
            <w:r>
              <w:rPr>
                <w:rFonts w:ascii="Arial" w:cs="Arial" w:eastAsia="Arial" w:hAnsi="Arial"/>
                <w:sz w:val="18"/>
                <w:szCs w:val="18"/>
                <w:b w:val="1"/>
                <w:bCs w:val="1"/>
                <w:color w:val="auto"/>
              </w:rPr>
              <w:t>N/A</w:t>
            </w:r>
          </w:p>
        </w:tc>
        <w:tc>
          <w:tcPr>
            <w:tcW w:w="1120" w:type="dxa"/>
            <w:vAlign w:val="bottom"/>
          </w:tcPr>
          <w:p>
            <w:pPr>
              <w:jc w:val="right"/>
              <w:ind w:right="31"/>
              <w:spacing w:after="0"/>
              <w:rPr>
                <w:sz w:val="20"/>
                <w:szCs w:val="20"/>
                <w:color w:val="auto"/>
              </w:rPr>
            </w:pPr>
            <w:r>
              <w:rPr>
                <w:rFonts w:ascii="Arial" w:cs="Arial" w:eastAsia="Arial" w:hAnsi="Arial"/>
                <w:sz w:val="18"/>
                <w:szCs w:val="18"/>
                <w:b w:val="1"/>
                <w:bCs w:val="1"/>
                <w:color w:val="auto"/>
              </w:rPr>
              <w:t>$1,087</w:t>
            </w:r>
          </w:p>
        </w:tc>
      </w:tr>
      <w:tr>
        <w:trPr>
          <w:trHeight w:val="351"/>
        </w:trPr>
        <w:tc>
          <w:tcPr>
            <w:tcW w:w="3760" w:type="dxa"/>
            <w:vAlign w:val="bottom"/>
            <w:tcBorders>
              <w:bottom w:val="single" w:sz="8" w:color="auto"/>
            </w:tcBorders>
          </w:tcPr>
          <w:p>
            <w:pPr>
              <w:spacing w:after="0"/>
              <w:rPr>
                <w:sz w:val="24"/>
                <w:szCs w:val="24"/>
                <w:color w:val="auto"/>
              </w:rPr>
            </w:pPr>
          </w:p>
        </w:tc>
        <w:tc>
          <w:tcPr>
            <w:tcW w:w="32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gridSpan w:val="3"/>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r>
      <w:tr>
        <w:trPr>
          <w:trHeight w:val="209"/>
        </w:trPr>
        <w:tc>
          <w:tcPr>
            <w:tcW w:w="3760" w:type="dxa"/>
            <w:vAlign w:val="bottom"/>
          </w:tcPr>
          <w:p>
            <w:pPr>
              <w:spacing w:after="0"/>
              <w:rPr>
                <w:sz w:val="18"/>
                <w:szCs w:val="18"/>
                <w:color w:val="auto"/>
              </w:rPr>
            </w:pPr>
          </w:p>
        </w:tc>
        <w:tc>
          <w:tcPr>
            <w:tcW w:w="3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360" w:type="dxa"/>
            <w:vAlign w:val="bottom"/>
            <w:gridSpan w:val="3"/>
          </w:tcPr>
          <w:p>
            <w:pPr>
              <w:jc w:val="center"/>
              <w:ind w:right="880"/>
              <w:spacing w:after="0"/>
              <w:rPr>
                <w:sz w:val="20"/>
                <w:szCs w:val="20"/>
                <w:color w:val="auto"/>
              </w:rPr>
            </w:pPr>
            <w:r>
              <w:rPr>
                <w:rFonts w:ascii="Arial" w:cs="Arial" w:eastAsia="Arial" w:hAnsi="Arial"/>
                <w:sz w:val="16"/>
                <w:szCs w:val="16"/>
                <w:b w:val="1"/>
                <w:bCs w:val="1"/>
                <w:color w:val="auto"/>
                <w:w w:val="93"/>
              </w:rPr>
              <w:t>Three Months Ended</w:t>
            </w:r>
          </w:p>
        </w:tc>
        <w:tc>
          <w:tcPr>
            <w:tcW w:w="1120" w:type="dxa"/>
            <w:vAlign w:val="bottom"/>
          </w:tcPr>
          <w:p>
            <w:pPr>
              <w:spacing w:after="0"/>
              <w:rPr>
                <w:sz w:val="18"/>
                <w:szCs w:val="18"/>
                <w:color w:val="auto"/>
              </w:rPr>
            </w:pPr>
          </w:p>
        </w:tc>
      </w:tr>
      <w:tr>
        <w:trPr>
          <w:trHeight w:val="210"/>
        </w:trPr>
        <w:tc>
          <w:tcPr>
            <w:tcW w:w="3760" w:type="dxa"/>
            <w:vAlign w:val="bottom"/>
          </w:tcPr>
          <w:p>
            <w:pPr>
              <w:spacing w:after="0"/>
              <w:rPr>
                <w:sz w:val="18"/>
                <w:szCs w:val="18"/>
                <w:color w:val="auto"/>
              </w:rPr>
            </w:pPr>
          </w:p>
        </w:tc>
        <w:tc>
          <w:tcPr>
            <w:tcW w:w="3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80" w:type="dxa"/>
            <w:vAlign w:val="bottom"/>
          </w:tcPr>
          <w:p>
            <w:pPr>
              <w:jc w:val="center"/>
              <w:ind w:left="53"/>
              <w:spacing w:after="0"/>
              <w:rPr>
                <w:sz w:val="20"/>
                <w:szCs w:val="20"/>
                <w:color w:val="auto"/>
              </w:rPr>
            </w:pPr>
            <w:r>
              <w:rPr>
                <w:rFonts w:ascii="Arial" w:cs="Arial" w:eastAsia="Arial" w:hAnsi="Arial"/>
                <w:sz w:val="16"/>
                <w:szCs w:val="16"/>
                <w:b w:val="1"/>
                <w:bCs w:val="1"/>
                <w:color w:val="auto"/>
                <w:w w:val="94"/>
              </w:rPr>
              <w:t>March 31, 2015</w:t>
            </w: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r>
      <w:tr>
        <w:trPr>
          <w:trHeight w:val="33"/>
        </w:trPr>
        <w:tc>
          <w:tcPr>
            <w:tcW w:w="3760" w:type="dxa"/>
            <w:vAlign w:val="bottom"/>
            <w:tcBorders>
              <w:bottom w:val="single" w:sz="8" w:color="auto"/>
            </w:tcBorders>
          </w:tcPr>
          <w:p>
            <w:pPr>
              <w:spacing w:after="0"/>
              <w:rPr>
                <w:sz w:val="2"/>
                <w:szCs w:val="2"/>
                <w:color w:val="auto"/>
              </w:rPr>
            </w:pPr>
          </w:p>
        </w:tc>
        <w:tc>
          <w:tcPr>
            <w:tcW w:w="3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gridSpan w:val="2"/>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1"/>
        </w:trPr>
        <w:tc>
          <w:tcPr>
            <w:tcW w:w="3760" w:type="dxa"/>
            <w:vAlign w:val="bottom"/>
          </w:tcPr>
          <w:p>
            <w:pPr>
              <w:spacing w:after="0"/>
              <w:rPr>
                <w:sz w:val="20"/>
                <w:szCs w:val="20"/>
                <w:color w:val="auto"/>
              </w:rPr>
            </w:pPr>
          </w:p>
        </w:tc>
        <w:tc>
          <w:tcPr>
            <w:tcW w:w="3220" w:type="dxa"/>
            <w:vAlign w:val="bottom"/>
          </w:tcPr>
          <w:p>
            <w:pPr>
              <w:jc w:val="right"/>
              <w:ind w:right="211"/>
              <w:spacing w:after="0"/>
              <w:rPr>
                <w:sz w:val="20"/>
                <w:szCs w:val="20"/>
                <w:color w:val="auto"/>
              </w:rPr>
            </w:pPr>
            <w:r>
              <w:rPr>
                <w:rFonts w:ascii="Arial" w:cs="Arial" w:eastAsia="Arial" w:hAnsi="Arial"/>
                <w:sz w:val="16"/>
                <w:szCs w:val="16"/>
                <w:b w:val="1"/>
                <w:bCs w:val="1"/>
                <w:color w:val="auto"/>
              </w:rPr>
              <w:t>Mobile</w:t>
            </w:r>
          </w:p>
        </w:tc>
        <w:tc>
          <w:tcPr>
            <w:tcW w:w="900" w:type="dxa"/>
            <w:vAlign w:val="bottom"/>
          </w:tcPr>
          <w:p>
            <w:pPr>
              <w:jc w:val="right"/>
              <w:spacing w:after="0"/>
              <w:rPr>
                <w:sz w:val="20"/>
                <w:szCs w:val="20"/>
                <w:color w:val="auto"/>
              </w:rPr>
            </w:pPr>
            <w:r>
              <w:rPr>
                <w:rFonts w:ascii="Arial" w:cs="Arial" w:eastAsia="Arial" w:hAnsi="Arial"/>
                <w:sz w:val="16"/>
                <w:szCs w:val="16"/>
                <w:b w:val="1"/>
                <w:bCs w:val="1"/>
                <w:color w:val="auto"/>
              </w:rPr>
              <w:t>Industrial</w:t>
            </w:r>
          </w:p>
        </w:tc>
        <w:tc>
          <w:tcPr>
            <w:tcW w:w="1380" w:type="dxa"/>
            <w:vAlign w:val="bottom"/>
          </w:tcPr>
          <w:p>
            <w:pPr>
              <w:jc w:val="right"/>
              <w:ind w:right="433"/>
              <w:spacing w:after="0"/>
              <w:rPr>
                <w:sz w:val="20"/>
                <w:szCs w:val="20"/>
                <w:color w:val="auto"/>
              </w:rPr>
            </w:pPr>
            <w:r>
              <w:rPr>
                <w:rFonts w:ascii="Arial" w:cs="Arial" w:eastAsia="Arial" w:hAnsi="Arial"/>
                <w:sz w:val="16"/>
                <w:szCs w:val="16"/>
                <w:b w:val="1"/>
                <w:bCs w:val="1"/>
                <w:color w:val="auto"/>
              </w:rPr>
              <w:t>Energy</w:t>
            </w:r>
          </w:p>
        </w:tc>
        <w:tc>
          <w:tcPr>
            <w:tcW w:w="980" w:type="dxa"/>
            <w:vAlign w:val="bottom"/>
            <w:gridSpan w:val="2"/>
          </w:tcPr>
          <w:p>
            <w:pPr>
              <w:ind w:left="100"/>
              <w:spacing w:after="0"/>
              <w:rPr>
                <w:sz w:val="20"/>
                <w:szCs w:val="20"/>
                <w:color w:val="auto"/>
              </w:rPr>
            </w:pPr>
            <w:r>
              <w:rPr>
                <w:rFonts w:ascii="Arial" w:cs="Arial" w:eastAsia="Arial" w:hAnsi="Arial"/>
                <w:sz w:val="16"/>
                <w:szCs w:val="16"/>
                <w:b w:val="1"/>
                <w:bCs w:val="1"/>
                <w:color w:val="auto"/>
              </w:rPr>
              <w:t>Other</w:t>
            </w:r>
          </w:p>
        </w:tc>
        <w:tc>
          <w:tcPr>
            <w:tcW w:w="1120" w:type="dxa"/>
            <w:vAlign w:val="bottom"/>
          </w:tcPr>
          <w:p>
            <w:pPr>
              <w:jc w:val="right"/>
              <w:ind w:right="311"/>
              <w:spacing w:after="0"/>
              <w:rPr>
                <w:sz w:val="20"/>
                <w:szCs w:val="20"/>
                <w:color w:val="auto"/>
              </w:rPr>
            </w:pPr>
            <w:r>
              <w:rPr>
                <w:rFonts w:ascii="Arial" w:cs="Arial" w:eastAsia="Arial" w:hAnsi="Arial"/>
                <w:sz w:val="16"/>
                <w:szCs w:val="16"/>
                <w:b w:val="1"/>
                <w:bCs w:val="1"/>
                <w:color w:val="auto"/>
              </w:rPr>
              <w:t>Total</w:t>
            </w:r>
          </w:p>
        </w:tc>
      </w:tr>
      <w:tr>
        <w:trPr>
          <w:trHeight w:val="33"/>
        </w:trPr>
        <w:tc>
          <w:tcPr>
            <w:tcW w:w="3760" w:type="dxa"/>
            <w:vAlign w:val="bottom"/>
            <w:tcBorders>
              <w:bottom w:val="single" w:sz="8" w:color="auto"/>
            </w:tcBorders>
          </w:tcPr>
          <w:p>
            <w:pPr>
              <w:spacing w:after="0"/>
              <w:rPr>
                <w:sz w:val="2"/>
                <w:szCs w:val="2"/>
                <w:color w:val="auto"/>
              </w:rPr>
            </w:pPr>
          </w:p>
        </w:tc>
        <w:tc>
          <w:tcPr>
            <w:tcW w:w="3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3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Tons</w:t>
            </w:r>
          </w:p>
        </w:tc>
        <w:tc>
          <w:tcPr>
            <w:tcW w:w="32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102.0</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116.5</w:t>
            </w:r>
          </w:p>
        </w:tc>
        <w:tc>
          <w:tcPr>
            <w:tcW w:w="1380" w:type="dxa"/>
            <w:vAlign w:val="bottom"/>
            <w:tcBorders>
              <w:bottom w:val="single" w:sz="8" w:color="CCEEFF"/>
            </w:tcBorders>
            <w:shd w:val="clear" w:color="auto" w:fill="CCEEFF"/>
          </w:tcPr>
          <w:p>
            <w:pPr>
              <w:jc w:val="right"/>
              <w:ind w:right="273"/>
              <w:spacing w:after="0"/>
              <w:rPr>
                <w:sz w:val="20"/>
                <w:szCs w:val="20"/>
                <w:color w:val="auto"/>
              </w:rPr>
            </w:pPr>
            <w:r>
              <w:rPr>
                <w:rFonts w:ascii="Arial" w:cs="Arial" w:eastAsia="Arial" w:hAnsi="Arial"/>
                <w:sz w:val="18"/>
                <w:szCs w:val="18"/>
                <w:color w:val="auto"/>
              </w:rPr>
              <w:t>52.6</w:t>
            </w:r>
          </w:p>
        </w:tc>
        <w:tc>
          <w:tcPr>
            <w:tcW w:w="9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271.1</w:t>
            </w:r>
          </w:p>
        </w:tc>
      </w:tr>
      <w:tr>
        <w:trPr>
          <w:trHeight w:val="324"/>
        </w:trPr>
        <w:tc>
          <w:tcPr>
            <w:tcW w:w="3760" w:type="dxa"/>
            <w:vAlign w:val="bottom"/>
          </w:tcPr>
          <w:p>
            <w:pPr>
              <w:spacing w:after="0"/>
              <w:rPr>
                <w:sz w:val="24"/>
                <w:szCs w:val="24"/>
                <w:color w:val="auto"/>
              </w:rPr>
            </w:pPr>
          </w:p>
        </w:tc>
        <w:tc>
          <w:tcPr>
            <w:tcW w:w="3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250"/>
        </w:trPr>
        <w:tc>
          <w:tcPr>
            <w:tcW w:w="3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Sales</w:t>
            </w:r>
          </w:p>
        </w:tc>
        <w:tc>
          <w:tcPr>
            <w:tcW w:w="32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$131.3</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$164.9</w:t>
            </w:r>
          </w:p>
        </w:tc>
        <w:tc>
          <w:tcPr>
            <w:tcW w:w="1380" w:type="dxa"/>
            <w:vAlign w:val="bottom"/>
            <w:tcBorders>
              <w:bottom w:val="single" w:sz="8" w:color="CCEEFF"/>
            </w:tcBorders>
            <w:shd w:val="clear" w:color="auto" w:fill="CCEEFF"/>
          </w:tcPr>
          <w:p>
            <w:pPr>
              <w:jc w:val="right"/>
              <w:ind w:right="273"/>
              <w:spacing w:after="0"/>
              <w:rPr>
                <w:sz w:val="20"/>
                <w:szCs w:val="20"/>
                <w:color w:val="auto"/>
              </w:rPr>
            </w:pPr>
            <w:r>
              <w:rPr>
                <w:rFonts w:ascii="Arial" w:cs="Arial" w:eastAsia="Arial" w:hAnsi="Arial"/>
                <w:sz w:val="18"/>
                <w:szCs w:val="18"/>
                <w:color w:val="auto"/>
              </w:rPr>
              <w:t>$87.7</w:t>
            </w:r>
          </w:p>
        </w:tc>
        <w:tc>
          <w:tcPr>
            <w:tcW w:w="8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$4.8</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$388.7</w:t>
            </w:r>
          </w:p>
        </w:tc>
      </w:tr>
      <w:tr>
        <w:trPr>
          <w:trHeight w:val="243"/>
        </w:trPr>
        <w:tc>
          <w:tcPr>
            <w:tcW w:w="3760" w:type="dxa"/>
            <w:vAlign w:val="bottom"/>
          </w:tcPr>
          <w:p>
            <w:pPr>
              <w:ind w:left="20"/>
              <w:spacing w:after="0"/>
              <w:rPr>
                <w:sz w:val="20"/>
                <w:szCs w:val="20"/>
                <w:color w:val="auto"/>
              </w:rPr>
            </w:pPr>
            <w:r>
              <w:rPr>
                <w:rFonts w:ascii="Arial" w:cs="Arial" w:eastAsia="Arial" w:hAnsi="Arial"/>
                <w:sz w:val="18"/>
                <w:szCs w:val="18"/>
                <w:color w:val="auto"/>
              </w:rPr>
              <w:t>Less: Surcharges</w:t>
            </w:r>
          </w:p>
        </w:tc>
        <w:tc>
          <w:tcPr>
            <w:tcW w:w="3220" w:type="dxa"/>
            <w:vAlign w:val="bottom"/>
          </w:tcPr>
          <w:p>
            <w:pPr>
              <w:jc w:val="right"/>
              <w:ind w:right="71"/>
              <w:spacing w:after="0"/>
              <w:rPr>
                <w:sz w:val="20"/>
                <w:szCs w:val="20"/>
                <w:color w:val="auto"/>
              </w:rPr>
            </w:pPr>
            <w:r>
              <w:rPr>
                <w:rFonts w:ascii="Arial" w:cs="Arial" w:eastAsia="Arial" w:hAnsi="Arial"/>
                <w:sz w:val="18"/>
                <w:szCs w:val="18"/>
                <w:color w:val="auto"/>
              </w:rPr>
              <w:t>24.2</w:t>
            </w:r>
          </w:p>
        </w:tc>
        <w:tc>
          <w:tcPr>
            <w:tcW w:w="900" w:type="dxa"/>
            <w:vAlign w:val="bottom"/>
          </w:tcPr>
          <w:p>
            <w:pPr>
              <w:jc w:val="right"/>
              <w:spacing w:after="0"/>
              <w:rPr>
                <w:sz w:val="20"/>
                <w:szCs w:val="20"/>
                <w:color w:val="auto"/>
              </w:rPr>
            </w:pPr>
            <w:r>
              <w:rPr>
                <w:rFonts w:ascii="Arial" w:cs="Arial" w:eastAsia="Arial" w:hAnsi="Arial"/>
                <w:sz w:val="18"/>
                <w:szCs w:val="18"/>
                <w:color w:val="auto"/>
              </w:rPr>
              <w:t>34.2</w:t>
            </w:r>
          </w:p>
        </w:tc>
        <w:tc>
          <w:tcPr>
            <w:tcW w:w="1380" w:type="dxa"/>
            <w:vAlign w:val="bottom"/>
          </w:tcPr>
          <w:p>
            <w:pPr>
              <w:jc w:val="right"/>
              <w:ind w:right="273"/>
              <w:spacing w:after="0"/>
              <w:rPr>
                <w:sz w:val="20"/>
                <w:szCs w:val="20"/>
                <w:color w:val="auto"/>
              </w:rPr>
            </w:pPr>
            <w:r>
              <w:rPr>
                <w:rFonts w:ascii="Arial" w:cs="Arial" w:eastAsia="Arial" w:hAnsi="Arial"/>
                <w:sz w:val="18"/>
                <w:szCs w:val="18"/>
                <w:color w:val="auto"/>
              </w:rPr>
              <w:t>16.7</w:t>
            </w: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75.1</w:t>
            </w:r>
          </w:p>
        </w:tc>
      </w:tr>
      <w:tr>
        <w:trPr>
          <w:trHeight w:val="27"/>
        </w:trPr>
        <w:tc>
          <w:tcPr>
            <w:tcW w:w="3760" w:type="dxa"/>
            <w:vAlign w:val="bottom"/>
            <w:tcBorders>
              <w:bottom w:val="single" w:sz="8" w:color="auto"/>
            </w:tcBorders>
          </w:tcPr>
          <w:p>
            <w:pPr>
              <w:spacing w:after="0"/>
              <w:rPr>
                <w:sz w:val="2"/>
                <w:szCs w:val="2"/>
                <w:color w:val="auto"/>
              </w:rPr>
            </w:pPr>
          </w:p>
        </w:tc>
        <w:tc>
          <w:tcPr>
            <w:tcW w:w="3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3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Base Sales</w:t>
            </w:r>
          </w:p>
        </w:tc>
        <w:tc>
          <w:tcPr>
            <w:tcW w:w="32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$107.1</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$130.7</w:t>
            </w:r>
          </w:p>
        </w:tc>
        <w:tc>
          <w:tcPr>
            <w:tcW w:w="1380" w:type="dxa"/>
            <w:vAlign w:val="bottom"/>
            <w:tcBorders>
              <w:bottom w:val="single" w:sz="8" w:color="CCEEFF"/>
            </w:tcBorders>
            <w:shd w:val="clear" w:color="auto" w:fill="CCEEFF"/>
          </w:tcPr>
          <w:p>
            <w:pPr>
              <w:jc w:val="right"/>
              <w:ind w:right="273"/>
              <w:spacing w:after="0"/>
              <w:rPr>
                <w:sz w:val="20"/>
                <w:szCs w:val="20"/>
                <w:color w:val="auto"/>
              </w:rPr>
            </w:pPr>
            <w:r>
              <w:rPr>
                <w:rFonts w:ascii="Arial" w:cs="Arial" w:eastAsia="Arial" w:hAnsi="Arial"/>
                <w:sz w:val="18"/>
                <w:szCs w:val="18"/>
                <w:color w:val="auto"/>
              </w:rPr>
              <w:t>$71.0</w:t>
            </w:r>
          </w:p>
        </w:tc>
        <w:tc>
          <w:tcPr>
            <w:tcW w:w="8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$4.8</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$313.6</w:t>
            </w:r>
          </w:p>
        </w:tc>
      </w:tr>
      <w:tr>
        <w:trPr>
          <w:trHeight w:val="324"/>
        </w:trPr>
        <w:tc>
          <w:tcPr>
            <w:tcW w:w="3760" w:type="dxa"/>
            <w:vAlign w:val="bottom"/>
          </w:tcPr>
          <w:p>
            <w:pPr>
              <w:spacing w:after="0"/>
              <w:rPr>
                <w:sz w:val="24"/>
                <w:szCs w:val="24"/>
                <w:color w:val="auto"/>
              </w:rPr>
            </w:pPr>
          </w:p>
        </w:tc>
        <w:tc>
          <w:tcPr>
            <w:tcW w:w="3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250"/>
        </w:trPr>
        <w:tc>
          <w:tcPr>
            <w:tcW w:w="3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Sales / Ton</w:t>
            </w:r>
          </w:p>
        </w:tc>
        <w:tc>
          <w:tcPr>
            <w:tcW w:w="32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$1,287</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$1,415</w:t>
            </w:r>
          </w:p>
        </w:tc>
        <w:tc>
          <w:tcPr>
            <w:tcW w:w="1380" w:type="dxa"/>
            <w:vAlign w:val="bottom"/>
            <w:tcBorders>
              <w:bottom w:val="single" w:sz="8" w:color="CCEEFF"/>
            </w:tcBorders>
            <w:shd w:val="clear" w:color="auto" w:fill="CCEEFF"/>
          </w:tcPr>
          <w:p>
            <w:pPr>
              <w:jc w:val="right"/>
              <w:ind w:right="273"/>
              <w:spacing w:after="0"/>
              <w:rPr>
                <w:sz w:val="20"/>
                <w:szCs w:val="20"/>
                <w:color w:val="auto"/>
              </w:rPr>
            </w:pPr>
            <w:r>
              <w:rPr>
                <w:rFonts w:ascii="Arial" w:cs="Arial" w:eastAsia="Arial" w:hAnsi="Arial"/>
                <w:sz w:val="18"/>
                <w:szCs w:val="18"/>
                <w:color w:val="auto"/>
              </w:rPr>
              <w:t>$1,667</w:t>
            </w:r>
          </w:p>
        </w:tc>
        <w:tc>
          <w:tcPr>
            <w:tcW w:w="980" w:type="dxa"/>
            <w:vAlign w:val="bottom"/>
            <w:tcBorders>
              <w:bottom w:val="single" w:sz="8" w:color="CCEEFF"/>
            </w:tcBorders>
            <w:gridSpan w:val="2"/>
            <w:shd w:val="clear" w:color="auto" w:fill="CCEEFF"/>
          </w:tcPr>
          <w:p>
            <w:pPr>
              <w:ind w:left="440"/>
              <w:spacing w:after="0"/>
              <w:rPr>
                <w:sz w:val="20"/>
                <w:szCs w:val="20"/>
                <w:color w:val="auto"/>
              </w:rPr>
            </w:pPr>
            <w:r>
              <w:rPr>
                <w:rFonts w:ascii="Arial" w:cs="Arial" w:eastAsia="Arial" w:hAnsi="Arial"/>
                <w:sz w:val="18"/>
                <w:szCs w:val="18"/>
                <w:color w:val="auto"/>
              </w:rPr>
              <w:t>N/A</w:t>
            </w: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$1,434</w:t>
            </w:r>
          </w:p>
        </w:tc>
      </w:tr>
      <w:tr>
        <w:trPr>
          <w:trHeight w:val="243"/>
        </w:trPr>
        <w:tc>
          <w:tcPr>
            <w:tcW w:w="3760" w:type="dxa"/>
            <w:vAlign w:val="bottom"/>
          </w:tcPr>
          <w:p>
            <w:pPr>
              <w:ind w:left="20"/>
              <w:spacing w:after="0"/>
              <w:rPr>
                <w:sz w:val="20"/>
                <w:szCs w:val="20"/>
                <w:color w:val="auto"/>
              </w:rPr>
            </w:pPr>
            <w:r>
              <w:rPr>
                <w:rFonts w:ascii="Arial" w:cs="Arial" w:eastAsia="Arial" w:hAnsi="Arial"/>
                <w:sz w:val="18"/>
                <w:szCs w:val="18"/>
                <w:color w:val="auto"/>
              </w:rPr>
              <w:t>Base Sales / Ton</w:t>
            </w:r>
          </w:p>
        </w:tc>
        <w:tc>
          <w:tcPr>
            <w:tcW w:w="3220" w:type="dxa"/>
            <w:vAlign w:val="bottom"/>
          </w:tcPr>
          <w:p>
            <w:pPr>
              <w:jc w:val="right"/>
              <w:ind w:right="71"/>
              <w:spacing w:after="0"/>
              <w:rPr>
                <w:sz w:val="20"/>
                <w:szCs w:val="20"/>
                <w:color w:val="auto"/>
              </w:rPr>
            </w:pPr>
            <w:r>
              <w:rPr>
                <w:rFonts w:ascii="Arial" w:cs="Arial" w:eastAsia="Arial" w:hAnsi="Arial"/>
                <w:sz w:val="18"/>
                <w:szCs w:val="18"/>
                <w:color w:val="auto"/>
              </w:rPr>
              <w:t>$1,050</w:t>
            </w:r>
          </w:p>
        </w:tc>
        <w:tc>
          <w:tcPr>
            <w:tcW w:w="900" w:type="dxa"/>
            <w:vAlign w:val="bottom"/>
          </w:tcPr>
          <w:p>
            <w:pPr>
              <w:jc w:val="right"/>
              <w:spacing w:after="0"/>
              <w:rPr>
                <w:sz w:val="20"/>
                <w:szCs w:val="20"/>
                <w:color w:val="auto"/>
              </w:rPr>
            </w:pPr>
            <w:r>
              <w:rPr>
                <w:rFonts w:ascii="Arial" w:cs="Arial" w:eastAsia="Arial" w:hAnsi="Arial"/>
                <w:sz w:val="18"/>
                <w:szCs w:val="18"/>
                <w:color w:val="auto"/>
              </w:rPr>
              <w:t>$1,122</w:t>
            </w:r>
          </w:p>
        </w:tc>
        <w:tc>
          <w:tcPr>
            <w:tcW w:w="1380" w:type="dxa"/>
            <w:vAlign w:val="bottom"/>
          </w:tcPr>
          <w:p>
            <w:pPr>
              <w:jc w:val="right"/>
              <w:ind w:right="273"/>
              <w:spacing w:after="0"/>
              <w:rPr>
                <w:sz w:val="20"/>
                <w:szCs w:val="20"/>
                <w:color w:val="auto"/>
              </w:rPr>
            </w:pPr>
            <w:r>
              <w:rPr>
                <w:rFonts w:ascii="Arial" w:cs="Arial" w:eastAsia="Arial" w:hAnsi="Arial"/>
                <w:sz w:val="18"/>
                <w:szCs w:val="18"/>
                <w:color w:val="auto"/>
              </w:rPr>
              <w:t>$1,350</w:t>
            </w:r>
          </w:p>
        </w:tc>
        <w:tc>
          <w:tcPr>
            <w:tcW w:w="980" w:type="dxa"/>
            <w:vAlign w:val="bottom"/>
            <w:gridSpan w:val="2"/>
          </w:tcPr>
          <w:p>
            <w:pPr>
              <w:ind w:left="440"/>
              <w:spacing w:after="0"/>
              <w:rPr>
                <w:sz w:val="20"/>
                <w:szCs w:val="20"/>
                <w:color w:val="auto"/>
              </w:rPr>
            </w:pPr>
            <w:r>
              <w:rPr>
                <w:rFonts w:ascii="Arial" w:cs="Arial" w:eastAsia="Arial" w:hAnsi="Arial"/>
                <w:sz w:val="18"/>
                <w:szCs w:val="18"/>
                <w:color w:val="auto"/>
              </w:rPr>
              <w:t>N/A</w:t>
            </w: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$1,157</w:t>
            </w:r>
          </w:p>
        </w:tc>
      </w:tr>
    </w:tbl>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Balance Sheet</w:t>
      </w:r>
    </w:p>
    <w:p>
      <w:pPr>
        <w:spacing w:after="0" w:line="189" w:lineRule="exact"/>
        <w:rPr>
          <w:sz w:val="20"/>
          <w:szCs w:val="20"/>
          <w:color w:val="auto"/>
        </w:rPr>
      </w:pPr>
    </w:p>
    <w:p>
      <w:pPr>
        <w:ind w:left="740"/>
        <w:spacing w:after="0"/>
        <w:rPr>
          <w:sz w:val="20"/>
          <w:szCs w:val="20"/>
          <w:color w:val="auto"/>
        </w:rPr>
      </w:pPr>
      <w:r>
        <w:rPr>
          <w:rFonts w:ascii="Arial" w:cs="Arial" w:eastAsia="Arial" w:hAnsi="Arial"/>
          <w:sz w:val="17"/>
          <w:szCs w:val="17"/>
          <w:color w:val="auto"/>
        </w:rPr>
        <w:t>The following discussion is a comparison of the Unaudited Consolidated Balance Sheets as of March 31, 2016 and December 31, 2015:</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40" w:type="dxa"/>
            <w:vAlign w:val="bottom"/>
          </w:tcPr>
          <w:p>
            <w:pPr>
              <w:spacing w:after="0"/>
              <w:rPr>
                <w:sz w:val="18"/>
                <w:szCs w:val="18"/>
                <w:color w:val="auto"/>
              </w:rPr>
            </w:pPr>
          </w:p>
        </w:tc>
        <w:tc>
          <w:tcPr>
            <w:tcW w:w="4640" w:type="dxa"/>
            <w:vAlign w:val="bottom"/>
          </w:tcPr>
          <w:p>
            <w:pPr>
              <w:jc w:val="right"/>
              <w:ind w:right="630"/>
              <w:spacing w:after="0"/>
              <w:rPr>
                <w:sz w:val="20"/>
                <w:szCs w:val="20"/>
                <w:color w:val="auto"/>
              </w:rPr>
            </w:pPr>
            <w:r>
              <w:rPr>
                <w:rFonts w:ascii="Arial" w:cs="Arial" w:eastAsia="Arial" w:hAnsi="Arial"/>
                <w:sz w:val="18"/>
                <w:szCs w:val="18"/>
                <w:b w:val="1"/>
                <w:bCs w:val="1"/>
                <w:color w:val="auto"/>
              </w:rPr>
              <w:t>March 31,</w:t>
            </w:r>
          </w:p>
        </w:tc>
        <w:tc>
          <w:tcPr>
            <w:tcW w:w="1740" w:type="dxa"/>
            <w:vAlign w:val="bottom"/>
          </w:tcPr>
          <w:p>
            <w:pPr>
              <w:jc w:val="right"/>
              <w:ind w:right="31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5040" w:type="dxa"/>
            <w:vAlign w:val="bottom"/>
          </w:tcPr>
          <w:p>
            <w:pPr>
              <w:ind w:left="40"/>
              <w:spacing w:after="0"/>
              <w:rPr>
                <w:sz w:val="20"/>
                <w:szCs w:val="20"/>
                <w:color w:val="auto"/>
              </w:rPr>
            </w:pPr>
            <w:r>
              <w:rPr>
                <w:rFonts w:ascii="Arial" w:cs="Arial" w:eastAsia="Arial" w:hAnsi="Arial"/>
                <w:sz w:val="18"/>
                <w:szCs w:val="18"/>
                <w:b w:val="1"/>
                <w:bCs w:val="1"/>
                <w:color w:val="auto"/>
              </w:rPr>
              <w:t>Current Assets</w:t>
            </w:r>
          </w:p>
        </w:tc>
        <w:tc>
          <w:tcPr>
            <w:tcW w:w="4640" w:type="dxa"/>
            <w:vAlign w:val="bottom"/>
          </w:tcPr>
          <w:p>
            <w:pPr>
              <w:jc w:val="right"/>
              <w:ind w:right="830"/>
              <w:spacing w:after="0"/>
              <w:rPr>
                <w:sz w:val="20"/>
                <w:szCs w:val="20"/>
                <w:color w:val="auto"/>
              </w:rPr>
            </w:pPr>
            <w:r>
              <w:rPr>
                <w:rFonts w:ascii="Arial" w:cs="Arial" w:eastAsia="Arial" w:hAnsi="Arial"/>
                <w:sz w:val="18"/>
                <w:szCs w:val="18"/>
                <w:b w:val="1"/>
                <w:bCs w:val="1"/>
                <w:color w:val="auto"/>
              </w:rPr>
              <w:t>2016</w:t>
            </w:r>
          </w:p>
        </w:tc>
        <w:tc>
          <w:tcPr>
            <w:tcW w:w="1740" w:type="dxa"/>
            <w:vAlign w:val="bottom"/>
          </w:tcPr>
          <w:p>
            <w:pPr>
              <w:jc w:val="right"/>
              <w:ind w:right="630"/>
              <w:spacing w:after="0"/>
              <w:rPr>
                <w:sz w:val="20"/>
                <w:szCs w:val="20"/>
                <w:color w:val="auto"/>
              </w:rPr>
            </w:pPr>
            <w:r>
              <w:rPr>
                <w:rFonts w:ascii="Arial" w:cs="Arial" w:eastAsia="Arial" w:hAnsi="Arial"/>
                <w:sz w:val="18"/>
                <w:szCs w:val="18"/>
                <w:b w:val="1"/>
                <w:bCs w:val="1"/>
                <w:color w:val="auto"/>
              </w:rPr>
              <w:t>2015</w:t>
            </w:r>
          </w:p>
        </w:tc>
      </w:tr>
      <w:tr>
        <w:trPr>
          <w:trHeight w:val="27"/>
        </w:trPr>
        <w:tc>
          <w:tcPr>
            <w:tcW w:w="5040" w:type="dxa"/>
            <w:vAlign w:val="bottom"/>
            <w:tcBorders>
              <w:bottom w:val="single" w:sz="8" w:color="auto"/>
            </w:tcBorders>
          </w:tcPr>
          <w:p>
            <w:pPr>
              <w:spacing w:after="0"/>
              <w:rPr>
                <w:sz w:val="2"/>
                <w:szCs w:val="2"/>
                <w:color w:val="auto"/>
              </w:rPr>
            </w:pPr>
          </w:p>
        </w:tc>
        <w:tc>
          <w:tcPr>
            <w:tcW w:w="46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w:t>
            </w:r>
          </w:p>
        </w:tc>
        <w:tc>
          <w:tcPr>
            <w:tcW w:w="46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$37.5</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$42.4</w:t>
            </w: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Accounts receivable, net</w:t>
            </w:r>
          </w:p>
        </w:tc>
        <w:tc>
          <w:tcPr>
            <w:tcW w:w="4640" w:type="dxa"/>
            <w:vAlign w:val="bottom"/>
          </w:tcPr>
          <w:p>
            <w:pPr>
              <w:jc w:val="right"/>
              <w:ind w:right="190"/>
              <w:spacing w:after="0"/>
              <w:rPr>
                <w:sz w:val="20"/>
                <w:szCs w:val="20"/>
                <w:color w:val="auto"/>
              </w:rPr>
            </w:pPr>
            <w:r>
              <w:rPr>
                <w:rFonts w:ascii="Arial" w:cs="Arial" w:eastAsia="Arial" w:hAnsi="Arial"/>
                <w:sz w:val="18"/>
                <w:szCs w:val="18"/>
                <w:b w:val="1"/>
                <w:bCs w:val="1"/>
                <w:color w:val="auto"/>
              </w:rPr>
              <w:t>95.0</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80.9</w:t>
            </w:r>
          </w:p>
        </w:tc>
      </w:tr>
      <w:tr>
        <w:trPr>
          <w:trHeight w:val="27"/>
        </w:trPr>
        <w:tc>
          <w:tcPr>
            <w:tcW w:w="5040" w:type="dxa"/>
            <w:vAlign w:val="bottom"/>
          </w:tcPr>
          <w:p>
            <w:pPr>
              <w:spacing w:after="0"/>
              <w:rPr>
                <w:sz w:val="2"/>
                <w:szCs w:val="2"/>
                <w:color w:val="auto"/>
              </w:rPr>
            </w:pPr>
          </w:p>
        </w:tc>
        <w:tc>
          <w:tcPr>
            <w:tcW w:w="464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Inventories, net</w:t>
            </w:r>
          </w:p>
        </w:tc>
        <w:tc>
          <w:tcPr>
            <w:tcW w:w="46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160.9</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173.9</w:t>
            </w: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Prepaid expenses</w:t>
            </w:r>
          </w:p>
        </w:tc>
        <w:tc>
          <w:tcPr>
            <w:tcW w:w="4640" w:type="dxa"/>
            <w:vAlign w:val="bottom"/>
          </w:tcPr>
          <w:p>
            <w:pPr>
              <w:jc w:val="right"/>
              <w:ind w:right="190"/>
              <w:spacing w:after="0"/>
              <w:rPr>
                <w:sz w:val="20"/>
                <w:szCs w:val="20"/>
                <w:color w:val="auto"/>
              </w:rPr>
            </w:pPr>
            <w:r>
              <w:rPr>
                <w:rFonts w:ascii="Arial" w:cs="Arial" w:eastAsia="Arial" w:hAnsi="Arial"/>
                <w:sz w:val="18"/>
                <w:szCs w:val="18"/>
                <w:b w:val="1"/>
                <w:bCs w:val="1"/>
                <w:color w:val="auto"/>
              </w:rPr>
              <w:t>4.4</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11.4</w:t>
            </w:r>
          </w:p>
        </w:tc>
      </w:tr>
      <w:tr>
        <w:trPr>
          <w:trHeight w:val="27"/>
        </w:trPr>
        <w:tc>
          <w:tcPr>
            <w:tcW w:w="5040" w:type="dxa"/>
            <w:vAlign w:val="bottom"/>
          </w:tcPr>
          <w:p>
            <w:pPr>
              <w:spacing w:after="0"/>
              <w:rPr>
                <w:sz w:val="2"/>
                <w:szCs w:val="2"/>
                <w:color w:val="auto"/>
              </w:rPr>
            </w:pPr>
          </w:p>
        </w:tc>
        <w:tc>
          <w:tcPr>
            <w:tcW w:w="464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75"/>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current assets</w:t>
            </w:r>
          </w:p>
        </w:tc>
        <w:tc>
          <w:tcPr>
            <w:tcW w:w="46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7.9</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w:t>
            </w:r>
          </w:p>
        </w:tc>
      </w:tr>
      <w:tr>
        <w:trPr>
          <w:trHeight w:val="237"/>
        </w:trPr>
        <w:tc>
          <w:tcPr>
            <w:tcW w:w="504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Total Current Assets</w:t>
            </w:r>
          </w:p>
        </w:tc>
        <w:tc>
          <w:tcPr>
            <w:tcW w:w="464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$305.7</w:t>
            </w:r>
          </w:p>
        </w:tc>
        <w:tc>
          <w:tcPr>
            <w:tcW w:w="17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$317.8</w:t>
            </w:r>
          </w:p>
        </w:tc>
      </w:tr>
      <w:tr>
        <w:trPr>
          <w:trHeight w:val="27"/>
        </w:trPr>
        <w:tc>
          <w:tcPr>
            <w:tcW w:w="5040" w:type="dxa"/>
            <w:vAlign w:val="bottom"/>
            <w:tcBorders>
              <w:bottom w:val="single" w:sz="8" w:color="auto"/>
            </w:tcBorders>
          </w:tcPr>
          <w:p>
            <w:pPr>
              <w:spacing w:after="0"/>
              <w:rPr>
                <w:sz w:val="2"/>
                <w:szCs w:val="2"/>
                <w:color w:val="auto"/>
              </w:rPr>
            </w:pPr>
          </w:p>
        </w:tc>
        <w:tc>
          <w:tcPr>
            <w:tcW w:w="46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Refer to the “Liquidity and Capital Resources” section in this Management’s Discussion and Analysis of Financial Condition and Results of Operations for a discussion of the change in cash and cash equivalents. Accounts receivables increased $14.1 million and inventories decreased by $13.0 million due to higher sales in the first quarter of 2016 compared to the fourth quarter of 2015. Inventories also decreased due to continued efforts to reduce inventory to align with anticipated sales volumes. Prepaid expenses decreased by $7.0 million due primarily to the receipt of a tax refund.</w:t>
      </w:r>
    </w:p>
    <w:p>
      <w:pPr>
        <w:spacing w:after="0" w:line="374"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341" w:right="239" w:bottom="1440" w:gutter="0" w:footer="0" w:header="0"/>
        </w:sectPr>
      </w:pPr>
    </w:p>
    <w:bookmarkStart w:id="20" w:name="page21"/>
    <w:bookmarkEnd w:id="20"/>
    <w:tbl>
      <w:tblPr>
        <w:tblLayout w:type="fixed"/>
        <w:tblInd w:w="0" w:type="dxa"/>
        <w:tblCellMar>
          <w:top w:w="0" w:type="dxa"/>
          <w:left w:w="0" w:type="dxa"/>
          <w:bottom w:w="0" w:type="dxa"/>
          <w:right w:w="0" w:type="dxa"/>
        </w:tblCellMar>
      </w:tblPr>
      <w:tr>
        <w:trPr>
          <w:trHeight w:val="207"/>
        </w:trPr>
        <w:tc>
          <w:tcPr>
            <w:tcW w:w="5340" w:type="dxa"/>
            <w:vAlign w:val="bottom"/>
            <w:gridSpan w:val="2"/>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Table of Contents</w:t>
              </w:r>
            </w:hyperlink>
          </w:p>
        </w:tc>
        <w:tc>
          <w:tcPr>
            <w:tcW w:w="4340" w:type="dxa"/>
            <w:vAlign w:val="bottom"/>
          </w:tcPr>
          <w:p>
            <w:pPr>
              <w:spacing w:after="0"/>
              <w:rPr>
                <w:sz w:val="17"/>
                <w:szCs w:val="17"/>
                <w:color w:val="auto"/>
              </w:rPr>
            </w:pPr>
          </w:p>
        </w:tc>
        <w:tc>
          <w:tcPr>
            <w:tcW w:w="1740" w:type="dxa"/>
            <w:vAlign w:val="bottom"/>
          </w:tcPr>
          <w:p>
            <w:pPr>
              <w:spacing w:after="0"/>
              <w:rPr>
                <w:sz w:val="17"/>
                <w:szCs w:val="17"/>
                <w:color w:val="auto"/>
              </w:rPr>
            </w:pPr>
          </w:p>
        </w:tc>
      </w:tr>
      <w:tr>
        <w:trPr>
          <w:trHeight w:val="623"/>
        </w:trPr>
        <w:tc>
          <w:tcPr>
            <w:tcW w:w="1280" w:type="dxa"/>
            <w:vAlign w:val="bottom"/>
            <w:tcBorders>
              <w:top w:val="single" w:sz="8" w:color="0000EE"/>
            </w:tcBorders>
          </w:tcPr>
          <w:p>
            <w:pPr>
              <w:spacing w:after="0"/>
              <w:rPr>
                <w:sz w:val="24"/>
                <w:szCs w:val="24"/>
                <w:color w:val="auto"/>
              </w:rPr>
            </w:pPr>
          </w:p>
        </w:tc>
        <w:tc>
          <w:tcPr>
            <w:tcW w:w="4060" w:type="dxa"/>
            <w:vAlign w:val="bottom"/>
          </w:tcPr>
          <w:p>
            <w:pPr>
              <w:spacing w:after="0"/>
              <w:rPr>
                <w:sz w:val="24"/>
                <w:szCs w:val="24"/>
                <w:color w:val="auto"/>
              </w:rPr>
            </w:pPr>
          </w:p>
        </w:tc>
        <w:tc>
          <w:tcPr>
            <w:tcW w:w="4340" w:type="dxa"/>
            <w:vAlign w:val="bottom"/>
          </w:tcPr>
          <w:p>
            <w:pPr>
              <w:jc w:val="center"/>
              <w:ind w:left="2010"/>
              <w:spacing w:after="0"/>
              <w:rPr>
                <w:sz w:val="20"/>
                <w:szCs w:val="20"/>
                <w:color w:val="auto"/>
              </w:rPr>
            </w:pPr>
            <w:r>
              <w:rPr>
                <w:rFonts w:ascii="Arial" w:cs="Arial" w:eastAsia="Arial" w:hAnsi="Arial"/>
                <w:sz w:val="18"/>
                <w:szCs w:val="18"/>
                <w:b w:val="1"/>
                <w:bCs w:val="1"/>
                <w:color w:val="auto"/>
                <w:w w:val="96"/>
              </w:rPr>
              <w:t>March 31,</w:t>
            </w:r>
          </w:p>
        </w:tc>
        <w:tc>
          <w:tcPr>
            <w:tcW w:w="1740" w:type="dxa"/>
            <w:vAlign w:val="bottom"/>
          </w:tcPr>
          <w:p>
            <w:pPr>
              <w:jc w:val="center"/>
              <w:ind w:right="30"/>
              <w:spacing w:after="0"/>
              <w:rPr>
                <w:sz w:val="20"/>
                <w:szCs w:val="20"/>
                <w:color w:val="auto"/>
              </w:rPr>
            </w:pPr>
            <w:r>
              <w:rPr>
                <w:rFonts w:ascii="Arial" w:cs="Arial" w:eastAsia="Arial" w:hAnsi="Arial"/>
                <w:sz w:val="18"/>
                <w:szCs w:val="18"/>
                <w:b w:val="1"/>
                <w:bCs w:val="1"/>
                <w:color w:val="auto"/>
                <w:w w:val="90"/>
              </w:rPr>
              <w:t>December 31,</w:t>
            </w:r>
          </w:p>
        </w:tc>
      </w:tr>
      <w:tr>
        <w:trPr>
          <w:trHeight w:val="234"/>
        </w:trPr>
        <w:tc>
          <w:tcPr>
            <w:tcW w:w="5340" w:type="dxa"/>
            <w:vAlign w:val="bottom"/>
            <w:gridSpan w:val="2"/>
          </w:tcPr>
          <w:p>
            <w:pPr>
              <w:ind w:left="40"/>
              <w:spacing w:after="0"/>
              <w:rPr>
                <w:sz w:val="20"/>
                <w:szCs w:val="20"/>
                <w:color w:val="auto"/>
              </w:rPr>
            </w:pPr>
            <w:r>
              <w:rPr>
                <w:rFonts w:ascii="Arial" w:cs="Arial" w:eastAsia="Arial" w:hAnsi="Arial"/>
                <w:sz w:val="18"/>
                <w:szCs w:val="18"/>
                <w:b w:val="1"/>
                <w:bCs w:val="1"/>
                <w:color w:val="auto"/>
              </w:rPr>
              <w:t>Property, Plant and Equipment</w:t>
            </w:r>
          </w:p>
        </w:tc>
        <w:tc>
          <w:tcPr>
            <w:tcW w:w="4340" w:type="dxa"/>
            <w:vAlign w:val="bottom"/>
          </w:tcPr>
          <w:p>
            <w:pPr>
              <w:jc w:val="right"/>
              <w:ind w:right="830"/>
              <w:spacing w:after="0"/>
              <w:rPr>
                <w:sz w:val="20"/>
                <w:szCs w:val="20"/>
                <w:color w:val="auto"/>
              </w:rPr>
            </w:pPr>
            <w:r>
              <w:rPr>
                <w:rFonts w:ascii="Arial" w:cs="Arial" w:eastAsia="Arial" w:hAnsi="Arial"/>
                <w:sz w:val="18"/>
                <w:szCs w:val="18"/>
                <w:b w:val="1"/>
                <w:bCs w:val="1"/>
                <w:color w:val="auto"/>
              </w:rPr>
              <w:t>2016</w:t>
            </w:r>
          </w:p>
        </w:tc>
        <w:tc>
          <w:tcPr>
            <w:tcW w:w="1740" w:type="dxa"/>
            <w:vAlign w:val="bottom"/>
          </w:tcPr>
          <w:p>
            <w:pPr>
              <w:jc w:val="right"/>
              <w:ind w:right="630"/>
              <w:spacing w:after="0"/>
              <w:rPr>
                <w:sz w:val="20"/>
                <w:szCs w:val="20"/>
                <w:color w:val="auto"/>
              </w:rPr>
            </w:pPr>
            <w:r>
              <w:rPr>
                <w:rFonts w:ascii="Arial" w:cs="Arial" w:eastAsia="Arial" w:hAnsi="Arial"/>
                <w:sz w:val="18"/>
                <w:szCs w:val="18"/>
                <w:b w:val="1"/>
                <w:bCs w:val="1"/>
                <w:color w:val="auto"/>
              </w:rPr>
              <w:t>2015</w:t>
            </w:r>
          </w:p>
        </w:tc>
      </w:tr>
      <w:tr>
        <w:trPr>
          <w:trHeight w:val="27"/>
        </w:trPr>
        <w:tc>
          <w:tcPr>
            <w:tcW w:w="1280" w:type="dxa"/>
            <w:vAlign w:val="bottom"/>
            <w:tcBorders>
              <w:bottom w:val="single" w:sz="8" w:color="auto"/>
            </w:tcBorders>
          </w:tcPr>
          <w:p>
            <w:pPr>
              <w:spacing w:after="0"/>
              <w:rPr>
                <w:sz w:val="2"/>
                <w:szCs w:val="2"/>
                <w:color w:val="auto"/>
              </w:rPr>
            </w:pPr>
          </w:p>
        </w:tc>
        <w:tc>
          <w:tcPr>
            <w:tcW w:w="4060" w:type="dxa"/>
            <w:vAlign w:val="bottom"/>
            <w:tcBorders>
              <w:bottom w:val="single" w:sz="8" w:color="auto"/>
            </w:tcBorders>
          </w:tcPr>
          <w:p>
            <w:pPr>
              <w:spacing w:after="0"/>
              <w:rPr>
                <w:sz w:val="2"/>
                <w:szCs w:val="2"/>
                <w:color w:val="auto"/>
              </w:rPr>
            </w:pPr>
          </w:p>
        </w:tc>
        <w:tc>
          <w:tcPr>
            <w:tcW w:w="43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5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Property, plant and equipment, net</w:t>
            </w:r>
          </w:p>
        </w:tc>
        <w:tc>
          <w:tcPr>
            <w:tcW w:w="43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$760.5</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$769.3</w:t>
            </w:r>
          </w:p>
        </w:tc>
      </w:tr>
      <w:tr>
        <w:trPr>
          <w:trHeight w:val="27"/>
        </w:trPr>
        <w:tc>
          <w:tcPr>
            <w:tcW w:w="1280" w:type="dxa"/>
            <w:vAlign w:val="bottom"/>
            <w:shd w:val="clear" w:color="auto" w:fill="000000"/>
          </w:tcPr>
          <w:p>
            <w:pPr>
              <w:spacing w:after="0"/>
              <w:rPr>
                <w:sz w:val="2"/>
                <w:szCs w:val="2"/>
                <w:color w:val="auto"/>
              </w:rPr>
            </w:pPr>
          </w:p>
        </w:tc>
        <w:tc>
          <w:tcPr>
            <w:tcW w:w="4060" w:type="dxa"/>
            <w:vAlign w:val="bottom"/>
            <w:shd w:val="clear" w:color="auto" w:fill="000000"/>
          </w:tcPr>
          <w:p>
            <w:pPr>
              <w:spacing w:after="0"/>
              <w:rPr>
                <w:sz w:val="2"/>
                <w:szCs w:val="2"/>
                <w:color w:val="auto"/>
              </w:rPr>
            </w:pPr>
          </w:p>
        </w:tc>
        <w:tc>
          <w:tcPr>
            <w:tcW w:w="4340" w:type="dxa"/>
            <w:vAlign w:val="bottom"/>
            <w:shd w:val="clear" w:color="auto" w:fill="000000"/>
          </w:tcPr>
          <w:p>
            <w:pPr>
              <w:spacing w:after="0"/>
              <w:rPr>
                <w:sz w:val="2"/>
                <w:szCs w:val="2"/>
                <w:color w:val="auto"/>
              </w:rPr>
            </w:pPr>
          </w:p>
        </w:tc>
        <w:tc>
          <w:tcPr>
            <w:tcW w:w="174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Property, plant and equipment, net decreased $8.8 million as of March 31, 2016 from the balance as of December 31, 2015. The decrease in property, plant and equipment, net was due to depreciation expense of approximately $17 million partially offset by capital expenditures, excluding accruals of approximately $1 million, during the three months ended March 31, 2016.</w:t>
      </w: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80" w:type="dxa"/>
            <w:vAlign w:val="bottom"/>
          </w:tcPr>
          <w:p>
            <w:pPr>
              <w:spacing w:after="0"/>
              <w:rPr>
                <w:sz w:val="18"/>
                <w:szCs w:val="18"/>
                <w:color w:val="auto"/>
              </w:rPr>
            </w:pPr>
          </w:p>
        </w:tc>
        <w:tc>
          <w:tcPr>
            <w:tcW w:w="4000" w:type="dxa"/>
            <w:vAlign w:val="bottom"/>
          </w:tcPr>
          <w:p>
            <w:pPr>
              <w:jc w:val="center"/>
              <w:ind w:left="3070"/>
              <w:spacing w:after="0"/>
              <w:rPr>
                <w:sz w:val="20"/>
                <w:szCs w:val="20"/>
                <w:color w:val="auto"/>
              </w:rPr>
            </w:pPr>
            <w:r>
              <w:rPr>
                <w:rFonts w:ascii="Arial" w:cs="Arial" w:eastAsia="Arial" w:hAnsi="Arial"/>
                <w:sz w:val="18"/>
                <w:szCs w:val="18"/>
                <w:b w:val="1"/>
                <w:bCs w:val="1"/>
                <w:color w:val="auto"/>
                <w:w w:val="96"/>
              </w:rPr>
              <w:t>March 31,</w:t>
            </w:r>
          </w:p>
        </w:tc>
        <w:tc>
          <w:tcPr>
            <w:tcW w:w="700" w:type="dxa"/>
            <w:vAlign w:val="bottom"/>
          </w:tcPr>
          <w:p>
            <w:pPr>
              <w:spacing w:after="0"/>
              <w:rPr>
                <w:sz w:val="18"/>
                <w:szCs w:val="18"/>
                <w:color w:val="auto"/>
              </w:rPr>
            </w:pPr>
          </w:p>
        </w:tc>
        <w:tc>
          <w:tcPr>
            <w:tcW w:w="1740" w:type="dxa"/>
            <w:vAlign w:val="bottom"/>
          </w:tcPr>
          <w:p>
            <w:pPr>
              <w:jc w:val="right"/>
              <w:ind w:right="31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4980" w:type="dxa"/>
            <w:vAlign w:val="bottom"/>
          </w:tcPr>
          <w:p>
            <w:pPr>
              <w:ind w:left="40"/>
              <w:spacing w:after="0"/>
              <w:rPr>
                <w:sz w:val="20"/>
                <w:szCs w:val="20"/>
                <w:color w:val="auto"/>
              </w:rPr>
            </w:pPr>
            <w:r>
              <w:rPr>
                <w:rFonts w:ascii="Arial" w:cs="Arial" w:eastAsia="Arial" w:hAnsi="Arial"/>
                <w:sz w:val="18"/>
                <w:szCs w:val="18"/>
                <w:b w:val="1"/>
                <w:bCs w:val="1"/>
                <w:color w:val="auto"/>
              </w:rPr>
              <w:t>Other Assets</w:t>
            </w:r>
          </w:p>
        </w:tc>
        <w:tc>
          <w:tcPr>
            <w:tcW w:w="4000" w:type="dxa"/>
            <w:vAlign w:val="bottom"/>
          </w:tcPr>
          <w:p>
            <w:pPr>
              <w:jc w:val="right"/>
              <w:ind w:right="130"/>
              <w:spacing w:after="0"/>
              <w:rPr>
                <w:sz w:val="20"/>
                <w:szCs w:val="20"/>
                <w:color w:val="auto"/>
              </w:rPr>
            </w:pPr>
            <w:r>
              <w:rPr>
                <w:rFonts w:ascii="Arial" w:cs="Arial" w:eastAsia="Arial" w:hAnsi="Arial"/>
                <w:sz w:val="18"/>
                <w:szCs w:val="18"/>
                <w:b w:val="1"/>
                <w:bCs w:val="1"/>
                <w:color w:val="auto"/>
              </w:rPr>
              <w:t>2016</w:t>
            </w:r>
          </w:p>
        </w:tc>
        <w:tc>
          <w:tcPr>
            <w:tcW w:w="700" w:type="dxa"/>
            <w:vAlign w:val="bottom"/>
          </w:tcPr>
          <w:p>
            <w:pPr>
              <w:spacing w:after="0"/>
              <w:rPr>
                <w:sz w:val="20"/>
                <w:szCs w:val="20"/>
                <w:color w:val="auto"/>
              </w:rPr>
            </w:pPr>
          </w:p>
        </w:tc>
        <w:tc>
          <w:tcPr>
            <w:tcW w:w="1740" w:type="dxa"/>
            <w:vAlign w:val="bottom"/>
          </w:tcPr>
          <w:p>
            <w:pPr>
              <w:jc w:val="right"/>
              <w:ind w:right="630"/>
              <w:spacing w:after="0"/>
              <w:rPr>
                <w:sz w:val="20"/>
                <w:szCs w:val="20"/>
                <w:color w:val="auto"/>
              </w:rPr>
            </w:pPr>
            <w:r>
              <w:rPr>
                <w:rFonts w:ascii="Arial" w:cs="Arial" w:eastAsia="Arial" w:hAnsi="Arial"/>
                <w:sz w:val="18"/>
                <w:szCs w:val="18"/>
                <w:b w:val="1"/>
                <w:bCs w:val="1"/>
                <w:color w:val="auto"/>
              </w:rPr>
              <w:t>2015</w:t>
            </w:r>
          </w:p>
        </w:tc>
      </w:tr>
      <w:tr>
        <w:trPr>
          <w:trHeight w:val="27"/>
        </w:trPr>
        <w:tc>
          <w:tcPr>
            <w:tcW w:w="4980" w:type="dxa"/>
            <w:vAlign w:val="bottom"/>
            <w:tcBorders>
              <w:bottom w:val="single" w:sz="8" w:color="auto"/>
            </w:tcBorders>
          </w:tcPr>
          <w:p>
            <w:pPr>
              <w:spacing w:after="0"/>
              <w:rPr>
                <w:sz w:val="2"/>
                <w:szCs w:val="2"/>
                <w:color w:val="auto"/>
              </w:rPr>
            </w:pPr>
          </w:p>
        </w:tc>
        <w:tc>
          <w:tcPr>
            <w:tcW w:w="40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Pension assets</w:t>
            </w:r>
          </w:p>
        </w:tc>
        <w:tc>
          <w:tcPr>
            <w:tcW w:w="40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88"/>
              </w:rPr>
              <w:t>$23.4</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$20.0</w:t>
            </w:r>
          </w:p>
        </w:tc>
      </w:tr>
      <w:tr>
        <w:trPr>
          <w:trHeight w:val="243"/>
        </w:trPr>
        <w:tc>
          <w:tcPr>
            <w:tcW w:w="4980" w:type="dxa"/>
            <w:vAlign w:val="bottom"/>
          </w:tcPr>
          <w:p>
            <w:pPr>
              <w:ind w:left="40"/>
              <w:spacing w:after="0"/>
              <w:rPr>
                <w:sz w:val="20"/>
                <w:szCs w:val="20"/>
                <w:color w:val="auto"/>
              </w:rPr>
            </w:pPr>
            <w:r>
              <w:rPr>
                <w:rFonts w:ascii="Arial" w:cs="Arial" w:eastAsia="Arial" w:hAnsi="Arial"/>
                <w:sz w:val="18"/>
                <w:szCs w:val="18"/>
                <w:color w:val="auto"/>
              </w:rPr>
              <w:t>Intangible assets, net</w:t>
            </w:r>
          </w:p>
        </w:tc>
        <w:tc>
          <w:tcPr>
            <w:tcW w:w="4000" w:type="dxa"/>
            <w:vAlign w:val="bottom"/>
          </w:tcPr>
          <w:p>
            <w:pPr>
              <w:spacing w:after="0"/>
              <w:rPr>
                <w:sz w:val="21"/>
                <w:szCs w:val="21"/>
                <w:color w:val="auto"/>
              </w:rPr>
            </w:pPr>
          </w:p>
        </w:tc>
        <w:tc>
          <w:tcPr>
            <w:tcW w:w="700" w:type="dxa"/>
            <w:vAlign w:val="bottom"/>
          </w:tcPr>
          <w:p>
            <w:pPr>
              <w:jc w:val="right"/>
              <w:ind w:right="190"/>
              <w:spacing w:after="0"/>
              <w:rPr>
                <w:sz w:val="20"/>
                <w:szCs w:val="20"/>
                <w:color w:val="auto"/>
              </w:rPr>
            </w:pPr>
            <w:r>
              <w:rPr>
                <w:rFonts w:ascii="Arial" w:cs="Arial" w:eastAsia="Arial" w:hAnsi="Arial"/>
                <w:sz w:val="18"/>
                <w:szCs w:val="18"/>
                <w:color w:val="auto"/>
              </w:rPr>
              <w:t>29.1</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30.6</w:t>
            </w:r>
          </w:p>
        </w:tc>
      </w:tr>
      <w:tr>
        <w:trPr>
          <w:trHeight w:val="27"/>
        </w:trPr>
        <w:tc>
          <w:tcPr>
            <w:tcW w:w="4980" w:type="dxa"/>
            <w:vAlign w:val="bottom"/>
          </w:tcPr>
          <w:p>
            <w:pPr>
              <w:spacing w:after="0"/>
              <w:rPr>
                <w:sz w:val="2"/>
                <w:szCs w:val="2"/>
                <w:color w:val="auto"/>
              </w:rPr>
            </w:pPr>
          </w:p>
        </w:tc>
        <w:tc>
          <w:tcPr>
            <w:tcW w:w="40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75"/>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non-current assets</w:t>
            </w:r>
          </w:p>
        </w:tc>
        <w:tc>
          <w:tcPr>
            <w:tcW w:w="40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5.4</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w:t>
            </w:r>
          </w:p>
        </w:tc>
      </w:tr>
      <w:tr>
        <w:trPr>
          <w:trHeight w:val="237"/>
        </w:trPr>
        <w:tc>
          <w:tcPr>
            <w:tcW w:w="498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 Other Assets</w:t>
            </w:r>
          </w:p>
        </w:tc>
        <w:tc>
          <w:tcPr>
            <w:tcW w:w="40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88"/>
              </w:rPr>
              <w:t>$57.9</w:t>
            </w:r>
          </w:p>
        </w:tc>
        <w:tc>
          <w:tcPr>
            <w:tcW w:w="17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$54.7</w:t>
            </w:r>
          </w:p>
        </w:tc>
      </w:tr>
      <w:tr>
        <w:trPr>
          <w:trHeight w:val="27"/>
        </w:trPr>
        <w:tc>
          <w:tcPr>
            <w:tcW w:w="4980" w:type="dxa"/>
            <w:vAlign w:val="bottom"/>
            <w:tcBorders>
              <w:bottom w:val="single" w:sz="8" w:color="auto"/>
            </w:tcBorders>
          </w:tcPr>
          <w:p>
            <w:pPr>
              <w:spacing w:after="0"/>
              <w:rPr>
                <w:sz w:val="2"/>
                <w:szCs w:val="2"/>
                <w:color w:val="auto"/>
              </w:rPr>
            </w:pPr>
          </w:p>
        </w:tc>
        <w:tc>
          <w:tcPr>
            <w:tcW w:w="40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Pension assets increased $3.4 million as of March 31, 2016 from the balance as of December 31, 2015. This increase in the funded status of certain retirement plans was primarily driven by the expected return on plan assets exceeding service and interest costs and changes in the exchange rate. Intangible assets, net decreased $1.5 million from the balance as of December 31, 2015 primarily driven by approximately $2 million of amortization in the three months ended March 31, 2016.</w:t>
      </w:r>
    </w:p>
    <w:p>
      <w:pPr>
        <w:spacing w:after="0" w:line="30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720" w:type="dxa"/>
            <w:vAlign w:val="bottom"/>
          </w:tcPr>
          <w:p>
            <w:pPr>
              <w:spacing w:after="0"/>
              <w:rPr>
                <w:sz w:val="18"/>
                <w:szCs w:val="18"/>
                <w:color w:val="auto"/>
              </w:rPr>
            </w:pPr>
          </w:p>
        </w:tc>
        <w:tc>
          <w:tcPr>
            <w:tcW w:w="3960" w:type="dxa"/>
            <w:vAlign w:val="bottom"/>
          </w:tcPr>
          <w:p>
            <w:pPr>
              <w:jc w:val="right"/>
              <w:ind w:right="630"/>
              <w:spacing w:after="0"/>
              <w:rPr>
                <w:sz w:val="20"/>
                <w:szCs w:val="20"/>
                <w:color w:val="auto"/>
              </w:rPr>
            </w:pPr>
            <w:r>
              <w:rPr>
                <w:rFonts w:ascii="Arial" w:cs="Arial" w:eastAsia="Arial" w:hAnsi="Arial"/>
                <w:sz w:val="18"/>
                <w:szCs w:val="18"/>
                <w:b w:val="1"/>
                <w:bCs w:val="1"/>
                <w:color w:val="auto"/>
              </w:rPr>
              <w:t>March 31,</w:t>
            </w:r>
          </w:p>
        </w:tc>
        <w:tc>
          <w:tcPr>
            <w:tcW w:w="1740" w:type="dxa"/>
            <w:vAlign w:val="bottom"/>
          </w:tcPr>
          <w:p>
            <w:pPr>
              <w:jc w:val="right"/>
              <w:ind w:right="31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5720" w:type="dxa"/>
            <w:vAlign w:val="bottom"/>
          </w:tcPr>
          <w:p>
            <w:pPr>
              <w:ind w:left="40"/>
              <w:spacing w:after="0"/>
              <w:rPr>
                <w:sz w:val="20"/>
                <w:szCs w:val="20"/>
                <w:color w:val="auto"/>
              </w:rPr>
            </w:pPr>
            <w:r>
              <w:rPr>
                <w:rFonts w:ascii="Arial" w:cs="Arial" w:eastAsia="Arial" w:hAnsi="Arial"/>
                <w:sz w:val="18"/>
                <w:szCs w:val="18"/>
                <w:b w:val="1"/>
                <w:bCs w:val="1"/>
                <w:color w:val="auto"/>
              </w:rPr>
              <w:t>Liabilities and Shareholders’ Equity</w:t>
            </w:r>
          </w:p>
        </w:tc>
        <w:tc>
          <w:tcPr>
            <w:tcW w:w="3960" w:type="dxa"/>
            <w:vAlign w:val="bottom"/>
          </w:tcPr>
          <w:p>
            <w:pPr>
              <w:jc w:val="right"/>
              <w:ind w:right="830"/>
              <w:spacing w:after="0"/>
              <w:rPr>
                <w:sz w:val="20"/>
                <w:szCs w:val="20"/>
                <w:color w:val="auto"/>
              </w:rPr>
            </w:pPr>
            <w:r>
              <w:rPr>
                <w:rFonts w:ascii="Arial" w:cs="Arial" w:eastAsia="Arial" w:hAnsi="Arial"/>
                <w:sz w:val="18"/>
                <w:szCs w:val="18"/>
                <w:b w:val="1"/>
                <w:bCs w:val="1"/>
                <w:color w:val="auto"/>
              </w:rPr>
              <w:t>2016</w:t>
            </w:r>
          </w:p>
        </w:tc>
        <w:tc>
          <w:tcPr>
            <w:tcW w:w="1740" w:type="dxa"/>
            <w:vAlign w:val="bottom"/>
          </w:tcPr>
          <w:p>
            <w:pPr>
              <w:jc w:val="right"/>
              <w:ind w:right="630"/>
              <w:spacing w:after="0"/>
              <w:rPr>
                <w:sz w:val="20"/>
                <w:szCs w:val="20"/>
                <w:color w:val="auto"/>
              </w:rPr>
            </w:pPr>
            <w:r>
              <w:rPr>
                <w:rFonts w:ascii="Arial" w:cs="Arial" w:eastAsia="Arial" w:hAnsi="Arial"/>
                <w:sz w:val="18"/>
                <w:szCs w:val="18"/>
                <w:b w:val="1"/>
                <w:bCs w:val="1"/>
                <w:color w:val="auto"/>
              </w:rPr>
              <w:t>2015</w:t>
            </w:r>
          </w:p>
        </w:tc>
      </w:tr>
      <w:tr>
        <w:trPr>
          <w:trHeight w:val="27"/>
        </w:trPr>
        <w:tc>
          <w:tcPr>
            <w:tcW w:w="5720" w:type="dxa"/>
            <w:vAlign w:val="bottom"/>
            <w:tcBorders>
              <w:bottom w:val="single" w:sz="8" w:color="auto"/>
            </w:tcBorders>
          </w:tcPr>
          <w:p>
            <w:pPr>
              <w:spacing w:after="0"/>
              <w:rPr>
                <w:sz w:val="2"/>
                <w:szCs w:val="2"/>
                <w:color w:val="auto"/>
              </w:rPr>
            </w:pPr>
          </w:p>
        </w:tc>
        <w:tc>
          <w:tcPr>
            <w:tcW w:w="396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liabilities</w:t>
            </w:r>
          </w:p>
        </w:tc>
        <w:tc>
          <w:tcPr>
            <w:tcW w:w="396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$98.3</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$104.2</w:t>
            </w: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Long-term debt</w:t>
            </w:r>
          </w:p>
        </w:tc>
        <w:tc>
          <w:tcPr>
            <w:tcW w:w="3960" w:type="dxa"/>
            <w:vAlign w:val="bottom"/>
          </w:tcPr>
          <w:p>
            <w:pPr>
              <w:jc w:val="right"/>
              <w:ind w:right="190"/>
              <w:spacing w:after="0"/>
              <w:rPr>
                <w:sz w:val="20"/>
                <w:szCs w:val="20"/>
                <w:color w:val="auto"/>
              </w:rPr>
            </w:pPr>
            <w:r>
              <w:rPr>
                <w:rFonts w:ascii="Arial" w:cs="Arial" w:eastAsia="Arial" w:hAnsi="Arial"/>
                <w:sz w:val="18"/>
                <w:szCs w:val="18"/>
                <w:b w:val="1"/>
                <w:bCs w:val="1"/>
                <w:color w:val="auto"/>
              </w:rPr>
              <w:t>185.2</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200.2</w:t>
            </w:r>
          </w:p>
        </w:tc>
      </w:tr>
      <w:tr>
        <w:trPr>
          <w:trHeight w:val="27"/>
        </w:trPr>
        <w:tc>
          <w:tcPr>
            <w:tcW w:w="5720" w:type="dxa"/>
            <w:vAlign w:val="bottom"/>
          </w:tcPr>
          <w:p>
            <w:pPr>
              <w:spacing w:after="0"/>
              <w:rPr>
                <w:sz w:val="2"/>
                <w:szCs w:val="2"/>
                <w:color w:val="auto"/>
              </w:rPr>
            </w:pPr>
          </w:p>
        </w:tc>
        <w:tc>
          <w:tcPr>
            <w:tcW w:w="396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pension and postretirement cost</w:t>
            </w:r>
          </w:p>
        </w:tc>
        <w:tc>
          <w:tcPr>
            <w:tcW w:w="396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129.5</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114.1</w:t>
            </w: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Deferred income taxes</w:t>
            </w:r>
          </w:p>
        </w:tc>
        <w:tc>
          <w:tcPr>
            <w:tcW w:w="3960" w:type="dxa"/>
            <w:vAlign w:val="bottom"/>
          </w:tcPr>
          <w:p>
            <w:pPr>
              <w:jc w:val="right"/>
              <w:ind w:right="190"/>
              <w:spacing w:after="0"/>
              <w:rPr>
                <w:sz w:val="20"/>
                <w:szCs w:val="20"/>
                <w:color w:val="auto"/>
              </w:rPr>
            </w:pPr>
            <w:r>
              <w:rPr>
                <w:rFonts w:ascii="Arial" w:cs="Arial" w:eastAsia="Arial" w:hAnsi="Arial"/>
                <w:sz w:val="18"/>
                <w:szCs w:val="18"/>
                <w:b w:val="1"/>
                <w:bCs w:val="1"/>
                <w:color w:val="auto"/>
              </w:rPr>
              <w:t>21.5</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26.9</w:t>
            </w:r>
          </w:p>
        </w:tc>
      </w:tr>
      <w:tr>
        <w:trPr>
          <w:trHeight w:val="27"/>
        </w:trPr>
        <w:tc>
          <w:tcPr>
            <w:tcW w:w="5720" w:type="dxa"/>
            <w:vAlign w:val="bottom"/>
          </w:tcPr>
          <w:p>
            <w:pPr>
              <w:spacing w:after="0"/>
              <w:rPr>
                <w:sz w:val="2"/>
                <w:szCs w:val="2"/>
                <w:color w:val="auto"/>
              </w:rPr>
            </w:pPr>
          </w:p>
        </w:tc>
        <w:tc>
          <w:tcPr>
            <w:tcW w:w="396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non-current liabilities</w:t>
            </w:r>
          </w:p>
        </w:tc>
        <w:tc>
          <w:tcPr>
            <w:tcW w:w="396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11.6</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10.0</w:t>
            </w: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Total shareholders’ equity</w:t>
            </w:r>
          </w:p>
        </w:tc>
        <w:tc>
          <w:tcPr>
            <w:tcW w:w="3960" w:type="dxa"/>
            <w:vAlign w:val="bottom"/>
          </w:tcPr>
          <w:p>
            <w:pPr>
              <w:jc w:val="right"/>
              <w:ind w:right="190"/>
              <w:spacing w:after="0"/>
              <w:rPr>
                <w:sz w:val="20"/>
                <w:szCs w:val="20"/>
                <w:color w:val="auto"/>
              </w:rPr>
            </w:pPr>
            <w:r>
              <w:rPr>
                <w:rFonts w:ascii="Arial" w:cs="Arial" w:eastAsia="Arial" w:hAnsi="Arial"/>
                <w:sz w:val="18"/>
                <w:szCs w:val="18"/>
                <w:b w:val="1"/>
                <w:bCs w:val="1"/>
                <w:color w:val="auto"/>
              </w:rPr>
              <w:t>678.0</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686.4</w:t>
            </w:r>
          </w:p>
        </w:tc>
      </w:tr>
      <w:tr>
        <w:trPr>
          <w:trHeight w:val="27"/>
        </w:trPr>
        <w:tc>
          <w:tcPr>
            <w:tcW w:w="5720" w:type="dxa"/>
            <w:vAlign w:val="bottom"/>
            <w:tcBorders>
              <w:bottom w:val="single" w:sz="8" w:color="auto"/>
            </w:tcBorders>
          </w:tcPr>
          <w:p>
            <w:pPr>
              <w:spacing w:after="0"/>
              <w:rPr>
                <w:sz w:val="2"/>
                <w:szCs w:val="2"/>
                <w:color w:val="auto"/>
              </w:rPr>
            </w:pPr>
          </w:p>
        </w:tc>
        <w:tc>
          <w:tcPr>
            <w:tcW w:w="396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Liabilities and Shareholders’ Equity</w:t>
            </w:r>
          </w:p>
        </w:tc>
        <w:tc>
          <w:tcPr>
            <w:tcW w:w="396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$1,124.1</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$1,141.8</w:t>
            </w:r>
          </w:p>
        </w:tc>
      </w:tr>
      <w:tr>
        <w:trPr>
          <w:trHeight w:val="20"/>
        </w:trPr>
        <w:tc>
          <w:tcPr>
            <w:tcW w:w="5720" w:type="dxa"/>
            <w:vAlign w:val="bottom"/>
            <w:shd w:val="clear" w:color="auto" w:fill="000000"/>
          </w:tcPr>
          <w:p>
            <w:pPr>
              <w:spacing w:after="0" w:line="20" w:lineRule="exact"/>
              <w:rPr>
                <w:sz w:val="1"/>
                <w:szCs w:val="1"/>
                <w:color w:val="auto"/>
              </w:rPr>
            </w:pPr>
          </w:p>
        </w:tc>
        <w:tc>
          <w:tcPr>
            <w:tcW w:w="3960" w:type="dxa"/>
            <w:vAlign w:val="bottom"/>
            <w:shd w:val="clear" w:color="auto" w:fill="000000"/>
          </w:tcPr>
          <w:p>
            <w:pPr>
              <w:spacing w:after="0" w:line="20" w:lineRule="exact"/>
              <w:rPr>
                <w:sz w:val="1"/>
                <w:szCs w:val="1"/>
                <w:color w:val="auto"/>
              </w:rPr>
            </w:pPr>
          </w:p>
        </w:tc>
        <w:tc>
          <w:tcPr>
            <w:tcW w:w="1740" w:type="dxa"/>
            <w:vAlign w:val="bottom"/>
            <w:shd w:val="clear" w:color="auto" w:fill="000000"/>
          </w:tcPr>
          <w:p>
            <w:pPr>
              <w:spacing w:after="0" w:line="20" w:lineRule="exact"/>
              <w:rPr>
                <w:sz w:val="1"/>
                <w:szCs w:val="1"/>
                <w:color w:val="auto"/>
              </w:rPr>
            </w:pPr>
          </w:p>
        </w:tc>
      </w:tr>
    </w:tbl>
    <w:p>
      <w:pPr>
        <w:spacing w:after="0" w:line="161"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Current liabilities decreased to $98.3 million as of March 31, 2016 as compared to $104.2 million as of December 31, 2015. The decrease was due primarily to lower capital spending, lower benefit accruals and lower restructuring accruals, offset by an increase in accounts payable of approximately $7 million primarily due to changes in payment terms. Long-term debt decreased for the period due to payments of $15.0 million made on the Amended Credit Agreement in the first quarter 2016. Non-current accrued pension and postretirement cost increased as a result of the recognition of the three months ended March 31, 2016 expense, partially offset by payments made on the post retirement plans. The decrease in our non-current deferred income taxes related primarily to the non-current deferred tax assets generated by net operating losses, partially offset by the recognition of the non-current deferred tax liability for pension and postretirement expense during the three months ended March 31, 2016. Refer to Note 8 - “Changes in Shareholders' Equity” in the Notes to our Unaudited Consolidated Financial Statements for details of the decrease in shareholders’ equity.</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89"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During the third quarter of 2015, we projected that at December 31, 2015, we would not be in compliance with the interest coverage ratio covenant contained in our then-existing revolving credit facility, due to a steeper-than-expected drop in industrial demand driven by depressed commodity prices. Accordingly, on December 21, 2015, we amended and restated our existing revolving credit facility, effectively converting the revolving credit facility from a cash flow-based facility to an asset-based facility in order to eliminate various financial covenants that are customary in cash-flow based facilities, including the interest coverage ratio covenant. As amended in December 2015, the revolving credit facility required us to maintain (i) certain minimum availability under the revolving credit facility, including a requirement to have availability of not less than $100 million for at least one day prior to July 1, 2016, and (ii) a minimum fixed charge coverage ratio of no less than 1.0 to 1.0 for the twelve-month periods ending July 31, 2017, August 31, 2017 and September 30, 2017, and thereafter on a springing basis if minimum availability requirements were not maintained.</w:t>
      </w:r>
    </w:p>
    <w:p>
      <w:pPr>
        <w:spacing w:after="0" w:line="382"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324"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On February 26, 2016, we entered into Amendment No. 1 (the “Amendment”) to the Amended and Restated Credit Agreement dated as of December 21, 2015 (as amended by the Amendment, the “Amended Credit Agreement”) in order to provide more flexibility with respect to the amount and form of financing we could obtain to enhance our liquidity. The Amendment made several changes to the then-current revolving credit facility including, among other things: eliminating the one-time $100 million liquidity requirement; revising the timing of the applicability of, and eliminating the springing component related to, the fixed charge coverage ratio; permitting certain sale and leaseback transactions; and expanding the types of additional indebtedness that we are permitted to incur.</w:t>
      </w:r>
    </w:p>
    <w:p>
      <w:pPr>
        <w:spacing w:after="0" w:line="153"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Also, on February 26, 2016, we entered into an agreement for a sale and leaseback transaction regarding our Canton, Ohio office facilities for a purchase price of $20 million. We anticipate closing the transaction late in the second quarter of 2016.</w:t>
      </w:r>
    </w:p>
    <w:p>
      <w:pPr>
        <w:spacing w:after="0" w:line="130"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Pursuant to the Amendment, we also reduced the size of the revolving credit facility from $300 million to $265 million given that, in the near-term, it was unlikely that we would have a borrowing base sufficient to support such availability. The Amended Credit Agreement also includes a block on availability equal to the greater of $28.9 million or 12.5% of the aggregate commitments (except that in the event of a mandatory reduction in the commitments the block on availability will be equal to the greater of $20.0 million or 12.5% of the aggregate commitments), effectively reducing our borrowing base by the availability block.</w:t>
      </w:r>
    </w:p>
    <w:p>
      <w:pPr>
        <w:spacing w:after="0" w:line="14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Amended Credit Agreement has a term of five years through June 30, 2019. The following represents a summary of key liquidity measures as of</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March 31,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91440</wp:posOffset>
            </wp:positionV>
            <wp:extent cx="721233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12330" cy="8890"/>
                    </a:xfrm>
                    <a:prstGeom prst="rect">
                      <a:avLst/>
                    </a:prstGeom>
                    <a:noFill/>
                  </pic:spPr>
                </pic:pic>
              </a:graphicData>
            </a:graphic>
          </wp:anchor>
        </w:drawing>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180" w:type="dxa"/>
            <w:vAlign w:val="bottom"/>
          </w:tcPr>
          <w:p>
            <w:pPr>
              <w:spacing w:after="0"/>
              <w:rPr>
                <w:sz w:val="18"/>
                <w:szCs w:val="18"/>
                <w:color w:val="auto"/>
              </w:rPr>
            </w:pPr>
          </w:p>
        </w:tc>
        <w:tc>
          <w:tcPr>
            <w:tcW w:w="5180" w:type="dxa"/>
            <w:vAlign w:val="bottom"/>
          </w:tcPr>
          <w:p>
            <w:pPr>
              <w:jc w:val="right"/>
              <w:ind w:right="111"/>
              <w:spacing w:after="0"/>
              <w:rPr>
                <w:sz w:val="20"/>
                <w:szCs w:val="20"/>
                <w:color w:val="auto"/>
              </w:rPr>
            </w:pPr>
            <w:r>
              <w:rPr>
                <w:rFonts w:ascii="Arial" w:cs="Arial" w:eastAsia="Arial" w:hAnsi="Arial"/>
                <w:sz w:val="16"/>
                <w:szCs w:val="16"/>
                <w:b w:val="1"/>
                <w:bCs w:val="1"/>
                <w:color w:val="auto"/>
              </w:rPr>
              <w:t>March 31, 2016</w:t>
            </w:r>
          </w:p>
        </w:tc>
      </w:tr>
      <w:tr>
        <w:trPr>
          <w:trHeight w:val="33"/>
        </w:trPr>
        <w:tc>
          <w:tcPr>
            <w:tcW w:w="6180" w:type="dxa"/>
            <w:vAlign w:val="bottom"/>
            <w:tcBorders>
              <w:bottom w:val="single" w:sz="8" w:color="auto"/>
            </w:tcBorders>
          </w:tcPr>
          <w:p>
            <w:pPr>
              <w:spacing w:after="0"/>
              <w:rPr>
                <w:sz w:val="2"/>
                <w:szCs w:val="2"/>
                <w:color w:val="auto"/>
              </w:rPr>
            </w:pPr>
          </w:p>
        </w:tc>
        <w:tc>
          <w:tcPr>
            <w:tcW w:w="5180" w:type="dxa"/>
            <w:vAlign w:val="bottom"/>
            <w:tcBorders>
              <w:bottom w:val="single" w:sz="8" w:color="auto"/>
            </w:tcBorders>
          </w:tcPr>
          <w:p>
            <w:pPr>
              <w:spacing w:after="0"/>
              <w:rPr>
                <w:sz w:val="2"/>
                <w:szCs w:val="2"/>
                <w:color w:val="auto"/>
              </w:rPr>
            </w:pPr>
          </w:p>
        </w:tc>
      </w:tr>
      <w:tr>
        <w:trPr>
          <w:trHeight w:val="244"/>
        </w:trPr>
        <w:tc>
          <w:tcPr>
            <w:tcW w:w="6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w:t>
            </w:r>
          </w:p>
        </w:tc>
        <w:tc>
          <w:tcPr>
            <w:tcW w:w="5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$37.5</w:t>
            </w:r>
          </w:p>
        </w:tc>
      </w:tr>
      <w:tr>
        <w:trPr>
          <w:trHeight w:val="324"/>
        </w:trPr>
        <w:tc>
          <w:tcPr>
            <w:tcW w:w="6180" w:type="dxa"/>
            <w:vAlign w:val="bottom"/>
          </w:tcPr>
          <w:p>
            <w:pPr>
              <w:spacing w:after="0"/>
              <w:rPr>
                <w:sz w:val="24"/>
                <w:szCs w:val="24"/>
                <w:color w:val="auto"/>
              </w:rPr>
            </w:pPr>
          </w:p>
        </w:tc>
        <w:tc>
          <w:tcPr>
            <w:tcW w:w="5180" w:type="dxa"/>
            <w:vAlign w:val="bottom"/>
          </w:tcPr>
          <w:p>
            <w:pPr>
              <w:spacing w:after="0"/>
              <w:rPr>
                <w:sz w:val="24"/>
                <w:szCs w:val="24"/>
                <w:color w:val="auto"/>
              </w:rPr>
            </w:pPr>
          </w:p>
        </w:tc>
      </w:tr>
      <w:tr>
        <w:trPr>
          <w:trHeight w:val="250"/>
        </w:trPr>
        <w:tc>
          <w:tcPr>
            <w:tcW w:w="6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Amended Credit Agreement:</w:t>
            </w:r>
          </w:p>
        </w:tc>
        <w:tc>
          <w:tcPr>
            <w:tcW w:w="5180" w:type="dxa"/>
            <w:vAlign w:val="bottom"/>
            <w:tcBorders>
              <w:bottom w:val="single" w:sz="8" w:color="CCEEFF"/>
            </w:tcBorders>
            <w:shd w:val="clear" w:color="auto" w:fill="CCEEFF"/>
          </w:tcPr>
          <w:p>
            <w:pPr>
              <w:spacing w:after="0"/>
              <w:rPr>
                <w:sz w:val="21"/>
                <w:szCs w:val="21"/>
                <w:color w:val="auto"/>
              </w:rPr>
            </w:pPr>
          </w:p>
        </w:tc>
      </w:tr>
      <w:tr>
        <w:trPr>
          <w:trHeight w:val="243"/>
        </w:trPr>
        <w:tc>
          <w:tcPr>
            <w:tcW w:w="6180" w:type="dxa"/>
            <w:vAlign w:val="bottom"/>
          </w:tcPr>
          <w:p>
            <w:pPr>
              <w:ind w:left="40"/>
              <w:spacing w:after="0"/>
              <w:rPr>
                <w:sz w:val="20"/>
                <w:szCs w:val="20"/>
                <w:color w:val="auto"/>
              </w:rPr>
            </w:pPr>
            <w:r>
              <w:rPr>
                <w:rFonts w:ascii="Arial" w:cs="Arial" w:eastAsia="Arial" w:hAnsi="Arial"/>
                <w:sz w:val="18"/>
                <w:szCs w:val="18"/>
                <w:color w:val="auto"/>
              </w:rPr>
              <w:t>Maximum availability</w:t>
            </w:r>
          </w:p>
        </w:tc>
        <w:tc>
          <w:tcPr>
            <w:tcW w:w="5180" w:type="dxa"/>
            <w:vAlign w:val="bottom"/>
          </w:tcPr>
          <w:p>
            <w:pPr>
              <w:jc w:val="right"/>
              <w:ind w:right="11"/>
              <w:spacing w:after="0"/>
              <w:rPr>
                <w:sz w:val="20"/>
                <w:szCs w:val="20"/>
                <w:color w:val="auto"/>
              </w:rPr>
            </w:pPr>
            <w:r>
              <w:rPr>
                <w:rFonts w:ascii="Arial" w:cs="Arial" w:eastAsia="Arial" w:hAnsi="Arial"/>
                <w:sz w:val="18"/>
                <w:szCs w:val="18"/>
                <w:b w:val="1"/>
                <w:bCs w:val="1"/>
                <w:color w:val="auto"/>
              </w:rPr>
              <w:t>$205.9</w:t>
            </w:r>
          </w:p>
        </w:tc>
      </w:tr>
      <w:tr>
        <w:trPr>
          <w:trHeight w:val="27"/>
        </w:trPr>
        <w:tc>
          <w:tcPr>
            <w:tcW w:w="6180" w:type="dxa"/>
            <w:vAlign w:val="bottom"/>
          </w:tcPr>
          <w:p>
            <w:pPr>
              <w:spacing w:after="0"/>
              <w:rPr>
                <w:sz w:val="2"/>
                <w:szCs w:val="2"/>
                <w:color w:val="auto"/>
              </w:rPr>
            </w:pPr>
          </w:p>
        </w:tc>
        <w:tc>
          <w:tcPr>
            <w:tcW w:w="5180" w:type="dxa"/>
            <w:vAlign w:val="bottom"/>
          </w:tcPr>
          <w:p>
            <w:pPr>
              <w:spacing w:after="0"/>
              <w:rPr>
                <w:sz w:val="2"/>
                <w:szCs w:val="2"/>
                <w:color w:val="auto"/>
              </w:rPr>
            </w:pPr>
          </w:p>
        </w:tc>
      </w:tr>
      <w:tr>
        <w:trPr>
          <w:trHeight w:val="250"/>
        </w:trPr>
        <w:tc>
          <w:tcPr>
            <w:tcW w:w="6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Amount borrowed</w:t>
            </w:r>
          </w:p>
        </w:tc>
        <w:tc>
          <w:tcPr>
            <w:tcW w:w="5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155.0</w:t>
            </w:r>
          </w:p>
        </w:tc>
      </w:tr>
      <w:tr>
        <w:trPr>
          <w:trHeight w:val="243"/>
        </w:trPr>
        <w:tc>
          <w:tcPr>
            <w:tcW w:w="6180" w:type="dxa"/>
            <w:vAlign w:val="bottom"/>
          </w:tcPr>
          <w:p>
            <w:pPr>
              <w:ind w:left="40"/>
              <w:spacing w:after="0"/>
              <w:rPr>
                <w:sz w:val="20"/>
                <w:szCs w:val="20"/>
                <w:color w:val="auto"/>
              </w:rPr>
            </w:pPr>
            <w:r>
              <w:rPr>
                <w:rFonts w:ascii="Arial" w:cs="Arial" w:eastAsia="Arial" w:hAnsi="Arial"/>
                <w:sz w:val="18"/>
                <w:szCs w:val="18"/>
                <w:color w:val="auto"/>
              </w:rPr>
              <w:t>Letter of credit obligations</w:t>
            </w:r>
          </w:p>
        </w:tc>
        <w:tc>
          <w:tcPr>
            <w:tcW w:w="5180" w:type="dxa"/>
            <w:vAlign w:val="bottom"/>
          </w:tcPr>
          <w:p>
            <w:pPr>
              <w:jc w:val="right"/>
              <w:ind w:right="11"/>
              <w:spacing w:after="0"/>
              <w:rPr>
                <w:sz w:val="20"/>
                <w:szCs w:val="20"/>
                <w:color w:val="auto"/>
              </w:rPr>
            </w:pPr>
            <w:r>
              <w:rPr>
                <w:rFonts w:ascii="Arial" w:cs="Arial" w:eastAsia="Arial" w:hAnsi="Arial"/>
                <w:sz w:val="18"/>
                <w:szCs w:val="18"/>
                <w:b w:val="1"/>
                <w:bCs w:val="1"/>
                <w:color w:val="auto"/>
              </w:rPr>
              <w:t>0.7</w:t>
            </w:r>
          </w:p>
        </w:tc>
      </w:tr>
      <w:tr>
        <w:trPr>
          <w:trHeight w:val="27"/>
        </w:trPr>
        <w:tc>
          <w:tcPr>
            <w:tcW w:w="6180" w:type="dxa"/>
            <w:vAlign w:val="bottom"/>
            <w:tcBorders>
              <w:bottom w:val="single" w:sz="8" w:color="auto"/>
            </w:tcBorders>
          </w:tcPr>
          <w:p>
            <w:pPr>
              <w:spacing w:after="0"/>
              <w:rPr>
                <w:sz w:val="2"/>
                <w:szCs w:val="2"/>
                <w:color w:val="auto"/>
              </w:rPr>
            </w:pPr>
          </w:p>
        </w:tc>
        <w:tc>
          <w:tcPr>
            <w:tcW w:w="5180" w:type="dxa"/>
            <w:vAlign w:val="bottom"/>
            <w:tcBorders>
              <w:bottom w:val="single" w:sz="8" w:color="auto"/>
            </w:tcBorders>
          </w:tcPr>
          <w:p>
            <w:pPr>
              <w:spacing w:after="0"/>
              <w:rPr>
                <w:sz w:val="2"/>
                <w:szCs w:val="2"/>
                <w:color w:val="auto"/>
              </w:rPr>
            </w:pPr>
          </w:p>
        </w:tc>
      </w:tr>
      <w:tr>
        <w:trPr>
          <w:trHeight w:val="244"/>
        </w:trPr>
        <w:tc>
          <w:tcPr>
            <w:tcW w:w="6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Availability not borrowed</w:t>
            </w:r>
          </w:p>
        </w:tc>
        <w:tc>
          <w:tcPr>
            <w:tcW w:w="5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50.2</w:t>
            </w:r>
          </w:p>
        </w:tc>
      </w:tr>
      <w:tr>
        <w:trPr>
          <w:trHeight w:val="243"/>
        </w:trPr>
        <w:tc>
          <w:tcPr>
            <w:tcW w:w="6180" w:type="dxa"/>
            <w:vAlign w:val="bottom"/>
          </w:tcPr>
          <w:p>
            <w:pPr>
              <w:ind w:left="40"/>
              <w:spacing w:after="0"/>
              <w:rPr>
                <w:sz w:val="20"/>
                <w:szCs w:val="20"/>
                <w:color w:val="auto"/>
              </w:rPr>
            </w:pPr>
            <w:r>
              <w:rPr>
                <w:rFonts w:ascii="Arial" w:cs="Arial" w:eastAsia="Arial" w:hAnsi="Arial"/>
                <w:sz w:val="18"/>
                <w:szCs w:val="18"/>
                <w:color w:val="auto"/>
              </w:rPr>
              <w:t>Availability block</w:t>
            </w:r>
          </w:p>
        </w:tc>
        <w:tc>
          <w:tcPr>
            <w:tcW w:w="5180" w:type="dxa"/>
            <w:vAlign w:val="bottom"/>
          </w:tcPr>
          <w:p>
            <w:pPr>
              <w:jc w:val="right"/>
              <w:ind w:right="11"/>
              <w:spacing w:after="0"/>
              <w:rPr>
                <w:sz w:val="20"/>
                <w:szCs w:val="20"/>
                <w:color w:val="auto"/>
              </w:rPr>
            </w:pPr>
            <w:r>
              <w:rPr>
                <w:rFonts w:ascii="Arial" w:cs="Arial" w:eastAsia="Arial" w:hAnsi="Arial"/>
                <w:sz w:val="18"/>
                <w:szCs w:val="18"/>
                <w:b w:val="1"/>
                <w:bCs w:val="1"/>
                <w:color w:val="auto"/>
              </w:rPr>
              <w:t>33.1</w:t>
            </w:r>
          </w:p>
        </w:tc>
      </w:tr>
      <w:tr>
        <w:trPr>
          <w:trHeight w:val="27"/>
        </w:trPr>
        <w:tc>
          <w:tcPr>
            <w:tcW w:w="6180" w:type="dxa"/>
            <w:vAlign w:val="bottom"/>
            <w:tcBorders>
              <w:bottom w:val="single" w:sz="8" w:color="auto"/>
            </w:tcBorders>
          </w:tcPr>
          <w:p>
            <w:pPr>
              <w:spacing w:after="0"/>
              <w:rPr>
                <w:sz w:val="2"/>
                <w:szCs w:val="2"/>
                <w:color w:val="auto"/>
              </w:rPr>
            </w:pPr>
          </w:p>
        </w:tc>
        <w:tc>
          <w:tcPr>
            <w:tcW w:w="5180" w:type="dxa"/>
            <w:vAlign w:val="bottom"/>
            <w:tcBorders>
              <w:bottom w:val="single" w:sz="8" w:color="auto"/>
            </w:tcBorders>
          </w:tcPr>
          <w:p>
            <w:pPr>
              <w:spacing w:after="0"/>
              <w:rPr>
                <w:sz w:val="2"/>
                <w:szCs w:val="2"/>
                <w:color w:val="auto"/>
              </w:rPr>
            </w:pPr>
          </w:p>
        </w:tc>
      </w:tr>
      <w:tr>
        <w:trPr>
          <w:trHeight w:val="244"/>
        </w:trPr>
        <w:tc>
          <w:tcPr>
            <w:tcW w:w="6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availability</w:t>
            </w:r>
          </w:p>
        </w:tc>
        <w:tc>
          <w:tcPr>
            <w:tcW w:w="5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$17.1</w:t>
            </w:r>
          </w:p>
        </w:tc>
      </w:tr>
      <w:tr>
        <w:trPr>
          <w:trHeight w:val="324"/>
        </w:trPr>
        <w:tc>
          <w:tcPr>
            <w:tcW w:w="6180" w:type="dxa"/>
            <w:vAlign w:val="bottom"/>
            <w:tcBorders>
              <w:bottom w:val="single" w:sz="8" w:color="auto"/>
            </w:tcBorders>
          </w:tcPr>
          <w:p>
            <w:pPr>
              <w:spacing w:after="0"/>
              <w:rPr>
                <w:sz w:val="24"/>
                <w:szCs w:val="24"/>
                <w:color w:val="auto"/>
              </w:rPr>
            </w:pPr>
          </w:p>
        </w:tc>
        <w:tc>
          <w:tcPr>
            <w:tcW w:w="5180" w:type="dxa"/>
            <w:vAlign w:val="bottom"/>
            <w:tcBorders>
              <w:bottom w:val="single" w:sz="8" w:color="auto"/>
            </w:tcBorders>
          </w:tcPr>
          <w:p>
            <w:pPr>
              <w:spacing w:after="0"/>
              <w:rPr>
                <w:sz w:val="24"/>
                <w:szCs w:val="24"/>
                <w:color w:val="auto"/>
              </w:rPr>
            </w:pPr>
          </w:p>
        </w:tc>
      </w:tr>
      <w:tr>
        <w:trPr>
          <w:trHeight w:val="244"/>
        </w:trPr>
        <w:tc>
          <w:tcPr>
            <w:tcW w:w="6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liquidity</w:t>
            </w:r>
          </w:p>
        </w:tc>
        <w:tc>
          <w:tcPr>
            <w:tcW w:w="5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$54.6</w:t>
            </w:r>
          </w:p>
        </w:tc>
      </w:tr>
      <w:tr>
        <w:trPr>
          <w:trHeight w:val="20"/>
        </w:trPr>
        <w:tc>
          <w:tcPr>
            <w:tcW w:w="6180" w:type="dxa"/>
            <w:vAlign w:val="bottom"/>
            <w:shd w:val="clear" w:color="auto" w:fill="000000"/>
          </w:tcPr>
          <w:p>
            <w:pPr>
              <w:spacing w:after="0" w:line="20" w:lineRule="exact"/>
              <w:rPr>
                <w:sz w:val="1"/>
                <w:szCs w:val="1"/>
                <w:color w:val="auto"/>
              </w:rPr>
            </w:pPr>
          </w:p>
        </w:tc>
        <w:tc>
          <w:tcPr>
            <w:tcW w:w="5180" w:type="dxa"/>
            <w:vAlign w:val="bottom"/>
            <w:shd w:val="clear" w:color="auto" w:fill="000000"/>
          </w:tcPr>
          <w:p>
            <w:pPr>
              <w:spacing w:after="0" w:line="20" w:lineRule="exact"/>
              <w:rPr>
                <w:sz w:val="1"/>
                <w:szCs w:val="1"/>
                <w:color w:val="auto"/>
              </w:rPr>
            </w:pPr>
          </w:p>
        </w:tc>
      </w:tr>
    </w:tbl>
    <w:p>
      <w:pPr>
        <w:spacing w:after="0" w:line="161"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Our principal sources of liquidity are cash and cash equivalents, cash flows from operations and available borrowing capacity under our Amended Credit Agreement. We currently expect that our cash and cash equivalents on hand, expected cash flows from operations and funding from the sale and leaseback transaction will be sufficient to meet our liquidity needs; however, these plans rely on certain underlying assumptions and estimates that may differ from actual results. Such assumptions include improvements in operating results and cash flows driven by the restructuring and cost reduction activities taken during 2015 that streamlined our organizational structure, lowered operating costs and increased liquidity. As we continue through these challenging market conditions, prudent capital allocation tactics have also been deployed. In the fourth quarter of 2015, the Board of Directors suspended the Company’s cash dividend. Additionally, we have reduced the cash being spent on capital expenditures by 40% over 2015 levels to $45 million, in accordance with the restrictions in our Amended Credit Agreement, including the deferral of certain elements of the previously announced advanced quench-and-temper facility.</w:t>
      </w:r>
    </w:p>
    <w:p>
      <w:pPr>
        <w:spacing w:after="0" w:line="126"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As of March 31, 2016, taking into account the foregoing, as well as our view of industrial, energy, and automotive market demands for our products, our 2016 operating plan and our long-range plan, we believe that our cash balance as of March 31, 2016 of $37.5 million, projected cash generated from operations and the sale and leaseback transaction, and borrowings available under the Amended Credit Agreement will be sufficient to satisfy our working capital needs, capital expenditures and other liquidity requirements associated with our operations, including servicing our debt obligations, for at least the next twelve months and through June 30, 2019, the maturity date of our Amended Credit Agreement.</w:t>
      </w:r>
    </w:p>
    <w:p>
      <w:pPr>
        <w:spacing w:after="0" w:line="132"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To the extent our liquidity needs prove to be greater than expected or cash generated from operations are less than anticipated, and cash on hand or credit availability is insufficient, we would seek additional financing to provide additional liquidity. We regularly evaluate our potential access to the equity and debt capital markets as sources of liquidity and we believe that additional financing would likely be available if necessary, although we can make no assurance as to the form or terms of any</w:t>
      </w:r>
    </w:p>
    <w:p>
      <w:pPr>
        <w:spacing w:after="0" w:line="390"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341" w:right="23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such financing. We would also consider additional cost reductions and further reductions of capital expenditures. Regardless, we will continue to evaluate additional financing or may seek to refinance outstanding borrowings under the Amended Credit Agreement to provide us with additional flexibility and liquidity. Any additional financing beyond that incurred to refinance existing debt would increase our overall debt and could increase interest expense. For additional discussion regarding risk factors related to our business and our debt, see “Risk Factors” in our Annual Report on Form 10-K for the year ended December 31, 2015, filed with the SEC.</w:t>
      </w:r>
    </w:p>
    <w:p>
      <w:pPr>
        <w:spacing w:after="0" w:line="14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For more details on the Amended Credit Agreement, please refer to Note 6 - “Financing Arrangements” in the Notes to the Unaudited Consolidated Financial Statements.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189"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The following table reflects the major categories of cash flows for the three months ended March 31, 2016 and 2015. For additional details, please see the Unaudited Consolidated Statements of Cash Flows contained elsewhere in this quarterly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177165</wp:posOffset>
            </wp:positionV>
            <wp:extent cx="72466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0800" w:type="dxa"/>
            <w:vAlign w:val="bottom"/>
            <w:gridSpan w:val="2"/>
          </w:tcPr>
          <w:p>
            <w:pPr>
              <w:jc w:val="right"/>
              <w:ind w:right="350"/>
              <w:spacing w:after="0"/>
              <w:rPr>
                <w:sz w:val="20"/>
                <w:szCs w:val="20"/>
                <w:color w:val="auto"/>
              </w:rPr>
            </w:pPr>
            <w:r>
              <w:rPr>
                <w:rFonts w:ascii="Arial" w:cs="Arial" w:eastAsia="Arial" w:hAnsi="Arial"/>
                <w:sz w:val="18"/>
                <w:szCs w:val="18"/>
                <w:b w:val="1"/>
                <w:bCs w:val="1"/>
                <w:color w:val="auto"/>
              </w:rPr>
              <w:t>Three Months Ended</w:t>
            </w:r>
          </w:p>
        </w:tc>
        <w:tc>
          <w:tcPr>
            <w:tcW w:w="620" w:type="dxa"/>
            <w:vAlign w:val="bottom"/>
          </w:tcPr>
          <w:p>
            <w:pPr>
              <w:spacing w:after="0"/>
              <w:rPr>
                <w:sz w:val="18"/>
                <w:szCs w:val="18"/>
                <w:color w:val="auto"/>
              </w:rPr>
            </w:pPr>
          </w:p>
        </w:tc>
      </w:tr>
      <w:tr>
        <w:trPr>
          <w:trHeight w:val="234"/>
        </w:trPr>
        <w:tc>
          <w:tcPr>
            <w:tcW w:w="8880" w:type="dxa"/>
            <w:vAlign w:val="bottom"/>
          </w:tcPr>
          <w:p>
            <w:pPr>
              <w:ind w:left="40"/>
              <w:spacing w:after="0"/>
              <w:rPr>
                <w:sz w:val="20"/>
                <w:szCs w:val="20"/>
                <w:color w:val="auto"/>
              </w:rPr>
            </w:pPr>
            <w:r>
              <w:rPr>
                <w:rFonts w:ascii="Arial" w:cs="Arial" w:eastAsia="Arial" w:hAnsi="Arial"/>
                <w:sz w:val="18"/>
                <w:szCs w:val="18"/>
                <w:b w:val="1"/>
                <w:bCs w:val="1"/>
                <w:color w:val="auto"/>
              </w:rPr>
              <w:t>Cash Flows</w:t>
            </w:r>
          </w:p>
        </w:tc>
        <w:tc>
          <w:tcPr>
            <w:tcW w:w="1920" w:type="dxa"/>
            <w:vAlign w:val="bottom"/>
          </w:tcPr>
          <w:p>
            <w:pPr>
              <w:jc w:val="right"/>
              <w:ind w:right="770"/>
              <w:spacing w:after="0"/>
              <w:rPr>
                <w:sz w:val="20"/>
                <w:szCs w:val="20"/>
                <w:color w:val="auto"/>
              </w:rPr>
            </w:pPr>
            <w:r>
              <w:rPr>
                <w:rFonts w:ascii="Arial" w:cs="Arial" w:eastAsia="Arial" w:hAnsi="Arial"/>
                <w:sz w:val="18"/>
                <w:szCs w:val="18"/>
                <w:b w:val="1"/>
                <w:bCs w:val="1"/>
                <w:color w:val="auto"/>
              </w:rPr>
              <w:t>March 31,</w:t>
            </w:r>
          </w:p>
        </w:tc>
        <w:tc>
          <w:tcPr>
            <w:tcW w:w="620" w:type="dxa"/>
            <w:vAlign w:val="bottom"/>
          </w:tcPr>
          <w:p>
            <w:pPr>
              <w:spacing w:after="0"/>
              <w:rPr>
                <w:sz w:val="20"/>
                <w:szCs w:val="20"/>
                <w:color w:val="auto"/>
              </w:rPr>
            </w:pPr>
          </w:p>
        </w:tc>
      </w:tr>
      <w:tr>
        <w:trPr>
          <w:trHeight w:val="27"/>
        </w:trPr>
        <w:tc>
          <w:tcPr>
            <w:tcW w:w="888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r>
      <w:tr>
        <w:trPr>
          <w:trHeight w:val="237"/>
        </w:trPr>
        <w:tc>
          <w:tcPr>
            <w:tcW w:w="8880" w:type="dxa"/>
            <w:vAlign w:val="bottom"/>
          </w:tcPr>
          <w:p>
            <w:pPr>
              <w:ind w:left="8400"/>
              <w:spacing w:after="0"/>
              <w:rPr>
                <w:sz w:val="20"/>
                <w:szCs w:val="20"/>
                <w:color w:val="auto"/>
              </w:rPr>
            </w:pPr>
            <w:r>
              <w:rPr>
                <w:rFonts w:ascii="Arial" w:cs="Arial" w:eastAsia="Arial" w:hAnsi="Arial"/>
                <w:sz w:val="18"/>
                <w:szCs w:val="18"/>
                <w:b w:val="1"/>
                <w:bCs w:val="1"/>
                <w:color w:val="auto"/>
              </w:rPr>
              <w:t>2016</w:t>
            </w:r>
          </w:p>
        </w:tc>
        <w:tc>
          <w:tcPr>
            <w:tcW w:w="192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c>
          <w:tcPr>
            <w:tcW w:w="620" w:type="dxa"/>
            <w:vAlign w:val="bottom"/>
          </w:tcPr>
          <w:p>
            <w:pPr>
              <w:spacing w:after="0"/>
              <w:rPr>
                <w:sz w:val="20"/>
                <w:szCs w:val="20"/>
                <w:color w:val="auto"/>
              </w:rPr>
            </w:pPr>
          </w:p>
        </w:tc>
      </w:tr>
      <w:tr>
        <w:trPr>
          <w:trHeight w:val="27"/>
        </w:trPr>
        <w:tc>
          <w:tcPr>
            <w:tcW w:w="888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r>
      <w:tr>
        <w:trPr>
          <w:trHeight w:val="244"/>
        </w:trPr>
        <w:tc>
          <w:tcPr>
            <w:tcW w:w="8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operating activities</w:t>
            </w:r>
          </w:p>
        </w:tc>
        <w:tc>
          <w:tcPr>
            <w:tcW w:w="1920" w:type="dxa"/>
            <w:vAlign w:val="bottom"/>
            <w:tcBorders>
              <w:bottom w:val="single" w:sz="8" w:color="CCEEFF"/>
            </w:tcBorders>
            <w:shd w:val="clear" w:color="auto" w:fill="CCEEFF"/>
          </w:tcPr>
          <w:p>
            <w:pPr>
              <w:jc w:val="right"/>
              <w:ind w:right="1310"/>
              <w:spacing w:after="0"/>
              <w:rPr>
                <w:sz w:val="20"/>
                <w:szCs w:val="20"/>
                <w:color w:val="auto"/>
              </w:rPr>
            </w:pPr>
            <w:r>
              <w:rPr>
                <w:rFonts w:ascii="Arial" w:cs="Arial" w:eastAsia="Arial" w:hAnsi="Arial"/>
                <w:sz w:val="18"/>
                <w:szCs w:val="18"/>
                <w:b w:val="1"/>
                <w:bCs w:val="1"/>
                <w:color w:val="auto"/>
              </w:rPr>
              <w:t>$20.1</w:t>
            </w:r>
          </w:p>
        </w:tc>
        <w:tc>
          <w:tcPr>
            <w:tcW w:w="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$14.6</w:t>
            </w:r>
          </w:p>
        </w:tc>
      </w:tr>
      <w:tr>
        <w:trPr>
          <w:trHeight w:val="257"/>
        </w:trPr>
        <w:tc>
          <w:tcPr>
            <w:tcW w:w="8880" w:type="dxa"/>
            <w:vAlign w:val="bottom"/>
          </w:tcPr>
          <w:p>
            <w:pPr>
              <w:ind w:left="40"/>
              <w:spacing w:after="0"/>
              <w:rPr>
                <w:sz w:val="20"/>
                <w:szCs w:val="20"/>
                <w:color w:val="auto"/>
              </w:rPr>
            </w:pPr>
            <w:r>
              <w:rPr>
                <w:rFonts w:ascii="Arial" w:cs="Arial" w:eastAsia="Arial" w:hAnsi="Arial"/>
                <w:sz w:val="18"/>
                <w:szCs w:val="18"/>
                <w:color w:val="auto"/>
              </w:rPr>
              <w:t>Net cash used by investing activities</w:t>
            </w:r>
          </w:p>
        </w:tc>
        <w:tc>
          <w:tcPr>
            <w:tcW w:w="1920" w:type="dxa"/>
            <w:vAlign w:val="bottom"/>
          </w:tcPr>
          <w:p>
            <w:pPr>
              <w:jc w:val="right"/>
              <w:ind w:right="1250"/>
              <w:spacing w:after="0"/>
              <w:rPr>
                <w:sz w:val="20"/>
                <w:szCs w:val="20"/>
                <w:color w:val="auto"/>
              </w:rPr>
            </w:pPr>
            <w:r>
              <w:rPr>
                <w:rFonts w:ascii="Arial" w:cs="Arial" w:eastAsia="Arial" w:hAnsi="Arial"/>
                <w:sz w:val="18"/>
                <w:szCs w:val="18"/>
                <w:b w:val="1"/>
                <w:bCs w:val="1"/>
                <w:color w:val="auto"/>
              </w:rPr>
              <w:t>(8.5)</w:t>
            </w:r>
          </w:p>
        </w:tc>
        <w:tc>
          <w:tcPr>
            <w:tcW w:w="620" w:type="dxa"/>
            <w:vAlign w:val="bottom"/>
          </w:tcPr>
          <w:p>
            <w:pPr>
              <w:jc w:val="right"/>
              <w:spacing w:after="0"/>
              <w:rPr>
                <w:sz w:val="20"/>
                <w:szCs w:val="20"/>
                <w:color w:val="auto"/>
              </w:rPr>
            </w:pPr>
            <w:r>
              <w:rPr>
                <w:rFonts w:ascii="Arial" w:cs="Arial" w:eastAsia="Arial" w:hAnsi="Arial"/>
                <w:sz w:val="18"/>
                <w:szCs w:val="18"/>
                <w:color w:val="auto"/>
              </w:rPr>
              <w:t>(17.7)</w:t>
            </w:r>
          </w:p>
        </w:tc>
      </w:tr>
      <w:tr>
        <w:trPr>
          <w:trHeight w:val="27"/>
        </w:trPr>
        <w:tc>
          <w:tcPr>
            <w:tcW w:w="8880" w:type="dxa"/>
            <w:vAlign w:val="bottom"/>
          </w:tcPr>
          <w:p>
            <w:pPr>
              <w:spacing w:after="0"/>
              <w:rPr>
                <w:sz w:val="2"/>
                <w:szCs w:val="2"/>
                <w:color w:val="auto"/>
              </w:rPr>
            </w:pPr>
          </w:p>
        </w:tc>
        <w:tc>
          <w:tcPr>
            <w:tcW w:w="1920" w:type="dxa"/>
            <w:vAlign w:val="bottom"/>
          </w:tcPr>
          <w:p>
            <w:pPr>
              <w:spacing w:after="0"/>
              <w:rPr>
                <w:sz w:val="2"/>
                <w:szCs w:val="2"/>
                <w:color w:val="auto"/>
              </w:rPr>
            </w:pPr>
          </w:p>
        </w:tc>
        <w:tc>
          <w:tcPr>
            <w:tcW w:w="620" w:type="dxa"/>
            <w:vAlign w:val="bottom"/>
          </w:tcPr>
          <w:p>
            <w:pPr>
              <w:spacing w:after="0"/>
              <w:rPr>
                <w:sz w:val="2"/>
                <w:szCs w:val="2"/>
                <w:color w:val="auto"/>
              </w:rPr>
            </w:pPr>
          </w:p>
        </w:tc>
      </w:tr>
      <w:tr>
        <w:trPr>
          <w:trHeight w:val="275"/>
        </w:trPr>
        <w:tc>
          <w:tcPr>
            <w:tcW w:w="8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used by financing activities</w:t>
            </w:r>
          </w:p>
        </w:tc>
        <w:tc>
          <w:tcPr>
            <w:tcW w:w="1920" w:type="dxa"/>
            <w:vAlign w:val="bottom"/>
            <w:tcBorders>
              <w:bottom w:val="single" w:sz="8" w:color="CCEEFF"/>
            </w:tcBorders>
            <w:shd w:val="clear" w:color="auto" w:fill="CCEEFF"/>
          </w:tcPr>
          <w:p>
            <w:pPr>
              <w:jc w:val="right"/>
              <w:ind w:right="1250"/>
              <w:spacing w:after="0"/>
              <w:rPr>
                <w:sz w:val="20"/>
                <w:szCs w:val="20"/>
                <w:color w:val="auto"/>
              </w:rPr>
            </w:pPr>
            <w:r>
              <w:rPr>
                <w:rFonts w:ascii="Arial" w:cs="Arial" w:eastAsia="Arial" w:hAnsi="Arial"/>
                <w:sz w:val="18"/>
                <w:szCs w:val="18"/>
                <w:b w:val="1"/>
                <w:bCs w:val="1"/>
                <w:color w:val="auto"/>
              </w:rPr>
              <w:t>(16.5)</w:t>
            </w:r>
          </w:p>
        </w:tc>
        <w:tc>
          <w:tcPr>
            <w:tcW w:w="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w:t>
            </w:r>
          </w:p>
        </w:tc>
      </w:tr>
      <w:tr>
        <w:trPr>
          <w:trHeight w:val="237"/>
        </w:trPr>
        <w:tc>
          <w:tcPr>
            <w:tcW w:w="8880" w:type="dxa"/>
            <w:vAlign w:val="bottom"/>
            <w:tcBorders>
              <w:top w:val="single" w:sz="8" w:color="auto"/>
            </w:tcBorders>
          </w:tcPr>
          <w:p>
            <w:pPr>
              <w:ind w:left="180"/>
              <w:spacing w:after="0"/>
              <w:rPr>
                <w:sz w:val="20"/>
                <w:szCs w:val="20"/>
                <w:color w:val="auto"/>
              </w:rPr>
            </w:pPr>
            <w:r>
              <w:rPr>
                <w:rFonts w:ascii="Arial" w:cs="Arial" w:eastAsia="Arial" w:hAnsi="Arial"/>
                <w:sz w:val="18"/>
                <w:szCs w:val="18"/>
                <w:b w:val="1"/>
                <w:bCs w:val="1"/>
                <w:color w:val="auto"/>
              </w:rPr>
              <w:t>Decrease in Cash and Cash Equivalents</w:t>
            </w:r>
          </w:p>
        </w:tc>
        <w:tc>
          <w:tcPr>
            <w:tcW w:w="1920" w:type="dxa"/>
            <w:vAlign w:val="bottom"/>
            <w:tcBorders>
              <w:top w:val="single" w:sz="8" w:color="auto"/>
            </w:tcBorders>
          </w:tcPr>
          <w:p>
            <w:pPr>
              <w:jc w:val="right"/>
              <w:ind w:right="1250"/>
              <w:spacing w:after="0"/>
              <w:rPr>
                <w:sz w:val="20"/>
                <w:szCs w:val="20"/>
                <w:color w:val="auto"/>
              </w:rPr>
            </w:pPr>
            <w:r>
              <w:rPr>
                <w:rFonts w:ascii="Arial" w:cs="Arial" w:eastAsia="Arial" w:hAnsi="Arial"/>
                <w:sz w:val="18"/>
                <w:szCs w:val="18"/>
                <w:b w:val="1"/>
                <w:bCs w:val="1"/>
                <w:color w:val="auto"/>
              </w:rPr>
              <w:t>($4.9)</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w:t>
            </w:r>
          </w:p>
        </w:tc>
      </w:tr>
      <w:tr>
        <w:trPr>
          <w:trHeight w:val="27"/>
        </w:trPr>
        <w:tc>
          <w:tcPr>
            <w:tcW w:w="888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activities</w:t>
      </w:r>
    </w:p>
    <w:p>
      <w:pPr>
        <w:spacing w:after="0" w:line="185"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Net cash provided by operating activities for the three months ended March 31, 2016 and 2015 was $20.1 million and $14.6 million, respectively. The $5.5 million increase was primarily the result of approximately $13 million of cash provided by a reimbursement from the postretirement plan assets for benefits previously paid by us, the receipt of a $6 million tax refund during the first quarter of 2016, and decreased cash used for accounts payable as a result of cost control initiatives, partially offset by a $21 million decrease in net income during the first quarter of 2016 as compared to the first quarter of 2015.</w:t>
      </w:r>
    </w:p>
    <w:p>
      <w:pPr>
        <w:spacing w:after="0" w:line="11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Investing activities</w:t>
      </w:r>
    </w:p>
    <w:p>
      <w:pPr>
        <w:spacing w:after="0" w:line="18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Net cash used by investing activities for the three months ended March 31, 2016 and 2015 was $8.5 million and $17.7 million, respectively. Cash used for investing activities primarily relates to capital investments in our production processes. Capital spending decreased $9.4 million due to lower spending compared to the three months ended March 31, 2015.</w:t>
      </w:r>
    </w:p>
    <w:p>
      <w:pPr>
        <w:spacing w:after="0" w:line="141"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Our business sometimes requires capital investments to remain competitive and to ensure we can implement strategic initiatives. Our $62 million construction in progress balance as of March 31, 2016 includes: (a) $43 million relating to growth initiatives (i.e., new product offerings, additional capacity and new capabilities) and continuous improvement projects; and (b) $19 million relating primarily to routine capital costs to maintain the reliability, integrity and safety of our manufacturing equipment and facilities. We expect to incur approximately $31 million of additional costs including approximately $18 million relating to additional growth initiatives and continuous improvement and approximately $13 million of additional costs to complete other remaining projects. These additional costs are expected to be incurred during the next one to three years.</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Financing activities</w:t>
      </w:r>
    </w:p>
    <w:p>
      <w:pPr>
        <w:spacing w:after="0" w:line="18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Net cash used by financing activities for the three months ended March 31, 2016 was $16.5 million compared to net cash used by financing activities of $0.4 million for the three months ended March 31, 2015. The change was due to a $15 million payment made during the three months ended March 31, 2016 on the Amended Credit Agreement.</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Covenant Compliance</w:t>
      </w:r>
    </w:p>
    <w:p>
      <w:pPr>
        <w:spacing w:after="0" w:line="189"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Under the Amended Credit Agreement, we are required to comply with certain customary covenants, including covenants that limit our ability to, among other things, (i) incur or suffer to exist certain liens, (ii) make investments, (iii) incur or guaranty additional indebtedness (iv) enter into consolidations, mergers, acquisitions and sales of assets, (v) make distributions and other restricted payments, (vi) change the nature of our business, (vii) engage in transactions with affiliates and (viii) enter into restrictive agreements, including agreements that restrict the ability to incur liens or make distributions. Further, the Amended Credit Agreement contains financial covenants that (i) limit the amount of capital expenditures we may make to $45 million in fiscal</w:t>
      </w:r>
    </w:p>
    <w:p>
      <w:pPr>
        <w:spacing w:after="0" w:line="361"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341" w:right="23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year 2016 and $50 million in fiscal years thereafter and (ii) require the Company to maintain a minimum specified fixed charge coverage ratio for the year-to-date periods ending June 30, 2017, July 31, 2017 and August 31, 2017. The fixed charge coverage ratio is the ratio of EBITDA to fixed charges. Fixed charges include, among other things, cash interest, scheduled principal payments, cash taxes, dividends and capital lease obligation payments. As of March 31, 2016, we anticipate that EBITDA will need to be approximately $10 million in the first half of 2017 in order to comply with the fixed charge coverage ratio covenant as of June 30, 2017, and we believe that our earnings will be sufficient to meet this covenant throughout the term of the Amended Credit Agreement.</w:t>
      </w:r>
    </w:p>
    <w:p>
      <w:pPr>
        <w:spacing w:after="0" w:line="15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We expect to remain in compliance with our debt covenants for at least the next twelve months. If at any time we expect that we will be unable to meet the covenants under the Amended Credit Agreement, we would seek to further amend the Amended Credit Agreement to be in compliance and avoid a default or pursue other alternatives, such as additional financing. If, contrary to our expectations, we were unable to amend the terms of our Amended Credit Agreement to remain in compliance or refinance the debt under the Amended Credit Agreement, we would experience an event of default and all outstanding debt under the revolving credit facility would be subject to acceleration and may become immediately due and payable.</w:t>
      </w:r>
    </w:p>
    <w:p>
      <w:pPr>
        <w:spacing w:after="0" w:line="132"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For additional discussion regarding risk factors related to our business and our debt, see “Risk Factors” in our Annual Report on Form 10-K for the year ended December 31, 2015, filed with the SEC.</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 and Share Repurchases</w:t>
      </w:r>
    </w:p>
    <w:p>
      <w:pPr>
        <w:spacing w:after="0" w:line="18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On November 13, 2015, our Board of Directors decided to suspend the cash dividend as we continue to manage through a challenging market environment. Our Board of Directors will review the dividend as business conditions improve.</w:t>
      </w:r>
    </w:p>
    <w:p>
      <w:pPr>
        <w:spacing w:after="0" w:line="130"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On August 6, 2014, our Board of Directors approved a share repurchase plan pursuant to which we may repurchase up to three million of our outstanding common shares in the aggregate. This share repurchase plan expires on December 31, 2016. We may repurchase such shares from time to time in open market purchases or privately negotiated transactions. We are not obligated to acquire any particular amount of common shares and may commence, suspend or discontinue purchases at any time or from time to time without prior notice. We may make all or part of these purchases pursuant to accelerated share repurchases or Rule 10b5-1 plans.</w:t>
      </w:r>
    </w:p>
    <w:p>
      <w:pPr>
        <w:spacing w:after="0" w:line="148"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Our Amended Credit Agreement places certain limitations on our ability to repurchase our outstanding common shares. Accordingly, we did not repurchase any of our shares under this program during the first quarter of 2016. From inception through March 31, 2016, $45.8 million was used to repurchase 1,540,093 shares under the share repurchase plan. Common shares repurchased are held as treasury shares.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89"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Our financial statements are prepared in accordance with U.S. GAAP. The preparation of these financial statements requires management to make estimates and assumptions that affect the reported amounts of assets and liabilities at the date of the financial statements and the reported amounts of revenues and expenses during the periods presented. We review our critical accounting policies throughout the year.</w:t>
      </w:r>
    </w:p>
    <w:p>
      <w:pPr>
        <w:spacing w:after="0" w:line="1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There have been no material changes to these policies during the three months ended March 31, 2016. For a summary of the critical accounting policies and estimates that we used in the preparation of our Unaudited Consolidated Financial Statements, see our Annual Report on Form 10-K for the year ended December 31, 2015 filed with the SEC on February 29, 2016.</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Accounting Guidance</w:t>
      </w:r>
    </w:p>
    <w:p>
      <w:pPr>
        <w:spacing w:after="0" w:line="18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See Note 2 to our Unaudited Consolidated Financial Statements entitled “Recent Accounting Pronouncements” for a discussion of recently issued accounting pronouncements.</w:t>
      </w:r>
    </w:p>
    <w:p>
      <w:pPr>
        <w:spacing w:after="0" w:line="37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341" w:right="2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Forward-Looking Statements</w:t>
      </w:r>
    </w:p>
    <w:p>
      <w:pPr>
        <w:spacing w:after="0" w:line="18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Certain statements set forth in this Form 10-Q (including our forecasts, beliefs and expectations) that are not historical in nature are “forward-looking” statements within the meaning of the Private Securities Litigation Reform Act of 1995. In particular, Management’s Discussion and Analysis of Financial Condition and Results of Operations contains numerous forward-looking statements. Forward-looking statements generally will be accompanied by words such as “anticipate,” “believe,” “could,” “estimate,” “expect,” “forecast,” “outlook,” “intend,” “may,” “plan,” “possible,” “potential,” “predict,” “project,” “seek,” “should,” “target,” “would,” or other similar words, phrases or expressions that convey the uncertainty of future events or outcomes. You are cautioned not to place undue reliance on forward-looking statements, which speak only as of the date of this Form 10-Q. We caution readers that actual results may differ materially from those expressed or implied in forward-looking statements made by or on behalf of us due to a variety of factors, such as:</w:t>
      </w:r>
    </w:p>
    <w:p>
      <w:pPr>
        <w:spacing w:after="0" w:line="127" w:lineRule="exact"/>
        <w:rPr>
          <w:sz w:val="20"/>
          <w:szCs w:val="20"/>
          <w:color w:val="auto"/>
        </w:rPr>
      </w:pPr>
    </w:p>
    <w:p>
      <w:pPr>
        <w:jc w:val="both"/>
        <w:ind w:left="660" w:hanging="328"/>
        <w:spacing w:after="0" w:line="286" w:lineRule="auto"/>
        <w:tabs>
          <w:tab w:leader="none" w:pos="660" w:val="left"/>
        </w:tabs>
        <w:numPr>
          <w:ilvl w:val="0"/>
          <w:numId w:val="4"/>
        </w:numPr>
        <w:rPr>
          <w:rFonts w:ascii="Arial" w:cs="Arial" w:eastAsia="Arial" w:hAnsi="Arial"/>
          <w:sz w:val="17"/>
          <w:szCs w:val="17"/>
          <w:color w:val="auto"/>
        </w:rPr>
      </w:pPr>
      <w:r>
        <w:rPr>
          <w:rFonts w:ascii="Arial" w:cs="Arial" w:eastAsia="Arial" w:hAnsi="Arial"/>
          <w:sz w:val="17"/>
          <w:szCs w:val="17"/>
          <w:color w:val="auto"/>
        </w:rPr>
        <w:t>deterioration in world economic conditions, or in economic conditions in any of the geographic regions in which we conduct business, including additional adverse effects from global economic slowdown, terrorism or hostilities. This includes: political risks associated with the potential instability of governments and legal systems in countries in which we or our customers conduct business, and changes in currency valuations;</w:t>
      </w:r>
    </w:p>
    <w:p>
      <w:pPr>
        <w:spacing w:after="0" w:line="125" w:lineRule="exact"/>
        <w:rPr>
          <w:rFonts w:ascii="Arial" w:cs="Arial" w:eastAsia="Arial" w:hAnsi="Arial"/>
          <w:sz w:val="17"/>
          <w:szCs w:val="17"/>
          <w:color w:val="auto"/>
        </w:rPr>
      </w:pPr>
    </w:p>
    <w:p>
      <w:pPr>
        <w:jc w:val="both"/>
        <w:ind w:left="660" w:hanging="328"/>
        <w:spacing w:after="0" w:line="264"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effects of fluctuations in customer demand on sales, product mix and prices in the industries in which we operate. This includes: our ability to respond to rapid changes in customer demand; the effects of customer bankruptcies or liquidations; the impact of changes in industrial business cycles; and whether conditions of fair trade continue in the U.S. markets;</w:t>
      </w:r>
    </w:p>
    <w:p>
      <w:pPr>
        <w:spacing w:after="0" w:line="140" w:lineRule="exact"/>
        <w:rPr>
          <w:rFonts w:ascii="Arial" w:cs="Arial" w:eastAsia="Arial" w:hAnsi="Arial"/>
          <w:sz w:val="18"/>
          <w:szCs w:val="18"/>
          <w:color w:val="auto"/>
        </w:rPr>
      </w:pPr>
    </w:p>
    <w:p>
      <w:pPr>
        <w:ind w:left="660" w:hanging="328"/>
        <w:spacing w:after="0" w:line="342" w:lineRule="auto"/>
        <w:tabs>
          <w:tab w:leader="none" w:pos="660" w:val="left"/>
        </w:tabs>
        <w:numPr>
          <w:ilvl w:val="0"/>
          <w:numId w:val="4"/>
        </w:numPr>
        <w:rPr>
          <w:rFonts w:ascii="Arial" w:cs="Arial" w:eastAsia="Arial" w:hAnsi="Arial"/>
          <w:sz w:val="16"/>
          <w:szCs w:val="16"/>
          <w:color w:val="auto"/>
        </w:rPr>
      </w:pPr>
      <w:r>
        <w:rPr>
          <w:rFonts w:ascii="Arial" w:cs="Arial" w:eastAsia="Arial" w:hAnsi="Arial"/>
          <w:sz w:val="16"/>
          <w:szCs w:val="16"/>
          <w:color w:val="auto"/>
        </w:rPr>
        <w:t>competitive factors, including changes in market penetration; increasing price competition by existing or new foreign and domestic competitors; the introduction of new products by existing and new competitors; and new technology that may impact the way our products are sold or distributed;</w:t>
      </w:r>
    </w:p>
    <w:p>
      <w:pPr>
        <w:spacing w:after="0" w:line="83" w:lineRule="exact"/>
        <w:rPr>
          <w:rFonts w:ascii="Arial" w:cs="Arial" w:eastAsia="Arial" w:hAnsi="Arial"/>
          <w:sz w:val="16"/>
          <w:szCs w:val="16"/>
          <w:color w:val="auto"/>
        </w:rPr>
      </w:pPr>
    </w:p>
    <w:p>
      <w:pPr>
        <w:jc w:val="both"/>
        <w:ind w:left="660" w:hanging="328"/>
        <w:spacing w:after="0" w:line="25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changes in operating costs, including the effect of changes in our manufacturing processes; changes in costs associated with varying levels of operations and manufacturing capacity; availability of raw materials and energy; our ability to mitigate the impact of fluctuations in raw materials and energy costs and the effectiveness of our surcharge mechanism; changes in the expected costs associated with product warranty claims; changes resulting from inventory management, cost reduction initiatives and different levels of customer demands; the effects of unplanned work stoppages; and changes in the cost of labor and benefits;</w:t>
      </w:r>
    </w:p>
    <w:p>
      <w:pPr>
        <w:spacing w:after="0" w:line="147" w:lineRule="exact"/>
        <w:rPr>
          <w:rFonts w:ascii="Arial" w:cs="Arial" w:eastAsia="Arial" w:hAnsi="Arial"/>
          <w:sz w:val="18"/>
          <w:szCs w:val="18"/>
          <w:color w:val="auto"/>
        </w:rPr>
      </w:pPr>
    </w:p>
    <w:p>
      <w:pPr>
        <w:jc w:val="both"/>
        <w:ind w:left="660" w:hanging="328"/>
        <w:spacing w:after="0" w:line="259"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success of our operating plans, announced programs, initiatives and capital investments (including the jumbo bloom vertical caster and advanced quench-and-temper facility); the ability to integrate acquired companies; the ability of acquired companies to achieve satisfactory operating results, including results being accretive to earnings; and our ability to maintain appropriate relations with unions that represent our associates in certain locations in order to avoid disruptions of business;</w:t>
      </w:r>
    </w:p>
    <w:p>
      <w:pPr>
        <w:spacing w:after="0" w:line="146"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unanticipated litigation, claims or assessments, including claims or problems related to intellectual property, product liability or warranty, environmental issues and taxes, among other matters;</w:t>
      </w:r>
    </w:p>
    <w:p>
      <w:pPr>
        <w:spacing w:after="0" w:line="129" w:lineRule="exact"/>
        <w:rPr>
          <w:rFonts w:ascii="Arial" w:cs="Arial" w:eastAsia="Arial" w:hAnsi="Arial"/>
          <w:sz w:val="18"/>
          <w:szCs w:val="18"/>
          <w:color w:val="auto"/>
        </w:rPr>
      </w:pPr>
    </w:p>
    <w:p>
      <w:pPr>
        <w:jc w:val="both"/>
        <w:ind w:left="660" w:hanging="328"/>
        <w:spacing w:after="0" w:line="259"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availability of financing and interest rates, which affect: our cost of funds and/or ability to raise capital; our pension obligations and investment performance; and/or customer demand and the ability of customers to obtain financing to purchase our products or equipment that contain our products; and the amount of any dividend declared by our Board of Directors on our common shares and the amount and timing of any repurchases of our common shares; and</w:t>
      </w:r>
    </w:p>
    <w:p>
      <w:pPr>
        <w:spacing w:after="0" w:line="146"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7"/>
          <w:szCs w:val="17"/>
          <w:color w:val="auto"/>
        </w:rPr>
      </w:pPr>
      <w:r>
        <w:rPr>
          <w:rFonts w:ascii="Arial" w:cs="Arial" w:eastAsia="Arial" w:hAnsi="Arial"/>
          <w:sz w:val="17"/>
          <w:szCs w:val="17"/>
          <w:color w:val="auto"/>
        </w:rPr>
        <w:t>those items identified under “Risk Factors” in our Annual Report on Form 10-K for the year ended December 31, 2015 filed with the SEC.</w:t>
      </w:r>
    </w:p>
    <w:p>
      <w:pPr>
        <w:spacing w:after="0" w:line="196"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You are cautioned that it is not possible to predict or identify all of the risks, uncertainties and other factors that may affect future results and that the above list should not be considered to be a complete list. Except as required by the federal securities laws, we undertake no obligation to publicly update or revise any forward-looking statement, whether as a result of new information, future events or otherwise.</w:t>
      </w:r>
    </w:p>
    <w:p>
      <w:pPr>
        <w:spacing w:after="0" w:line="384"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341" w:right="23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ind w:right="4240"/>
        <w:spacing w:after="0" w:line="456" w:lineRule="auto"/>
        <w:rPr>
          <w:sz w:val="20"/>
          <w:szCs w:val="20"/>
          <w:color w:val="auto"/>
        </w:rPr>
      </w:pPr>
      <w:r>
        <w:rPr>
          <w:rFonts w:ascii="Arial" w:cs="Arial" w:eastAsia="Arial" w:hAnsi="Arial"/>
          <w:sz w:val="18"/>
          <w:szCs w:val="18"/>
          <w:b w:val="1"/>
          <w:bCs w:val="1"/>
          <w:color w:val="auto"/>
        </w:rPr>
        <w:t>ITEM 3. QUANTITATIVE AND QUALITATIVE DISCLOSURES ABOUT MARKET RISK Interest Rate Risk</w:t>
      </w:r>
    </w:p>
    <w:p>
      <w:pPr>
        <w:spacing w:after="0" w:line="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Our borrowings consist entirely of variable-rate debt, principally borrowings under our Amended Credit Agreement. We are exposed to the risk of rising interest rates to the extent we fund our operations with these variable-rate borrowings. As of March 31, 2016, we have $185.2 million of aggregate debt outstanding, all of which consists of debt with variable interest rates. Based on the amount of debt with variable-rate interest outstanding, a 1% rise in interest rates would result in an increase in interest expense of approximately $1.9 million annually, with a corresponding decrease in income from operations before income taxes of the same amount.</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Exchange Rate Risk</w:t>
      </w:r>
    </w:p>
    <w:p>
      <w:pPr>
        <w:spacing w:after="0" w:line="18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Fluctuations in the value of the U.S. dollar compared to foreign currencies may impact our earnings. Geographically, our sales are primarily made to customers in the United States. Currency fluctuations could impact us to the extent they impact the currency or the price of raw materials in foreign countries in which our competitors operate or have significant sales.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Commodity Price Risk</w:t>
      </w:r>
    </w:p>
    <w:p>
      <w:pPr>
        <w:spacing w:after="0" w:line="189"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In the ordinary course of business, we are exposed to market risk with respect to commodity price fluctuations, primarily related to our purchases of raw materials and energy, principally scrap steel, other ferrous and non-ferrous metals, alloys, natural gas and electricity. Whenever possible, we manage our exposure to commodity risks primarily through the use of supplier pricing agreements that enable us to establish the purchase prices for certain inputs that are used in our manufacturing business. We utilize a raw material surcharge as a component of pricing steel to pass through the cost increases of scrap, alloys and other raw materials, as well as natural gas. From time to time, we may use derivative financial instruments to hedge a portion of our exposure to price risk related to natural gas and electricity purchases. In periods of stable demand for our products, the surcharge mechanism has worked effectively to reduce the normal time lag in passing through higher raw material costs so that we can maintain our gross margins. When demand and cost of raw materials is lower, however, the surcharge impacts sales prices to a lesser extent.</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89"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Disclosure Controls and Procedures</w:t>
      </w:r>
    </w:p>
    <w:p>
      <w:pPr>
        <w:spacing w:after="0" w:line="184" w:lineRule="exact"/>
        <w:rPr>
          <w:rFonts w:ascii="Arial" w:cs="Arial" w:eastAsia="Arial" w:hAnsi="Arial"/>
          <w:sz w:val="18"/>
          <w:szCs w:val="18"/>
          <w:color w:val="auto"/>
        </w:rPr>
      </w:pPr>
    </w:p>
    <w:p>
      <w:pPr>
        <w:jc w:val="both"/>
        <w:ind w:left="660"/>
        <w:spacing w:after="0" w:line="257" w:lineRule="auto"/>
        <w:rPr>
          <w:rFonts w:ascii="Arial" w:cs="Arial" w:eastAsia="Arial" w:hAnsi="Arial"/>
          <w:sz w:val="18"/>
          <w:szCs w:val="18"/>
          <w:color w:val="auto"/>
        </w:rPr>
      </w:pPr>
      <w:r>
        <w:rPr>
          <w:rFonts w:ascii="Arial" w:cs="Arial" w:eastAsia="Arial" w:hAnsi="Arial"/>
          <w:sz w:val="18"/>
          <w:szCs w:val="18"/>
          <w:color w:val="auto"/>
        </w:rPr>
        <w:t>As of the end of the period covered by this quarterly report, we carried out an evaluation, under the supervision and with the participation of our management, including our principal executive officer and principal financial officer, of the effectiveness of the design and operation of our disclosure controls and procedures (as defined in Exchange Act Rule 13a-15(e)). Based upon that evaluation, the principal executive officer and principal financial officer concluded that our disclosure controls and procedures were effective as of the end of the period covered by this quarterly report.</w:t>
      </w:r>
    </w:p>
    <w:p>
      <w:pPr>
        <w:spacing w:after="0" w:line="147"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Changes in Internal Control Over Financial Reporting</w:t>
      </w:r>
    </w:p>
    <w:p>
      <w:pPr>
        <w:spacing w:after="0" w:line="185" w:lineRule="exact"/>
        <w:rPr>
          <w:sz w:val="20"/>
          <w:szCs w:val="20"/>
          <w:color w:val="auto"/>
        </w:rPr>
      </w:pPr>
    </w:p>
    <w:p>
      <w:pPr>
        <w:ind w:left="660"/>
        <w:spacing w:after="0" w:line="308" w:lineRule="auto"/>
        <w:rPr>
          <w:sz w:val="20"/>
          <w:szCs w:val="20"/>
          <w:color w:val="auto"/>
        </w:rPr>
      </w:pPr>
      <w:r>
        <w:rPr>
          <w:rFonts w:ascii="Arial" w:cs="Arial" w:eastAsia="Arial" w:hAnsi="Arial"/>
          <w:sz w:val="17"/>
          <w:szCs w:val="17"/>
          <w:color w:val="auto"/>
        </w:rPr>
        <w:t>During the Company’s most recent fiscal quarter, there have been no changes in the Company’s internal control over financial reporting that have materially affected, or are reasonably likely to materially affect, the Company’s internal control over financial reporting.</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OTHER INFORMATION</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89" w:lineRule="exact"/>
        <w:rPr>
          <w:sz w:val="20"/>
          <w:szCs w:val="20"/>
          <w:color w:val="auto"/>
        </w:rPr>
      </w:pPr>
    </w:p>
    <w:p>
      <w:pPr>
        <w:ind w:right="20" w:firstLine="648"/>
        <w:spacing w:after="0" w:line="308" w:lineRule="auto"/>
        <w:rPr>
          <w:sz w:val="20"/>
          <w:szCs w:val="20"/>
          <w:color w:val="auto"/>
        </w:rPr>
      </w:pPr>
      <w:r>
        <w:rPr>
          <w:rFonts w:ascii="Arial" w:cs="Arial" w:eastAsia="Arial" w:hAnsi="Arial"/>
          <w:sz w:val="17"/>
          <w:szCs w:val="17"/>
          <w:color w:val="auto"/>
        </w:rPr>
        <w:t>We are involved in various claims and legal actions arising in the ordinary course of business. In the opinion of our management, the ultimate disposition of these matters will not have a material adverse effect on our consolidated financial position, results of operations or cash flows.</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8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We are subject to various risks and uncertainties in the course of our business. The discussion of such risks and uncertainties may be found under “Risk Factors” in our Annual Report on Form 10-K filed with the SEC. There have been no material changes to such risk factors.</w:t>
      </w:r>
    </w:p>
    <w:p>
      <w:pPr>
        <w:spacing w:after="0" w:line="37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341" w:right="23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following table provides information about purchases by the Company of its common shares during the quarter ended March 31, 2016.</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80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88"/>
              </w:rPr>
              <w:t>Total number of shares</w:t>
            </w:r>
          </w:p>
        </w:tc>
        <w:tc>
          <w:tcPr>
            <w:tcW w:w="2000" w:type="dxa"/>
            <w:vAlign w:val="bottom"/>
          </w:tcPr>
          <w:p>
            <w:pPr>
              <w:jc w:val="center"/>
              <w:spacing w:after="0"/>
              <w:rPr>
                <w:sz w:val="20"/>
                <w:szCs w:val="20"/>
                <w:color w:val="auto"/>
              </w:rPr>
            </w:pPr>
            <w:r>
              <w:rPr>
                <w:rFonts w:ascii="Arial" w:cs="Arial" w:eastAsia="Arial" w:hAnsi="Arial"/>
                <w:sz w:val="18"/>
                <w:szCs w:val="18"/>
                <w:b w:val="1"/>
                <w:bCs w:val="1"/>
                <w:color w:val="auto"/>
                <w:w w:val="93"/>
              </w:rPr>
              <w:t>Maximum number of</w:t>
            </w:r>
          </w:p>
        </w:tc>
      </w:tr>
      <w:tr>
        <w:trPr>
          <w:trHeight w:val="216"/>
        </w:trPr>
        <w:tc>
          <w:tcPr>
            <w:tcW w:w="280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86"/>
              </w:rPr>
              <w:t>purchased as</w:t>
            </w:r>
          </w:p>
        </w:tc>
        <w:tc>
          <w:tcPr>
            <w:tcW w:w="2000" w:type="dxa"/>
            <w:vAlign w:val="bottom"/>
          </w:tcPr>
          <w:p>
            <w:pPr>
              <w:jc w:val="center"/>
              <w:spacing w:after="0"/>
              <w:rPr>
                <w:sz w:val="20"/>
                <w:szCs w:val="20"/>
                <w:color w:val="auto"/>
              </w:rPr>
            </w:pPr>
            <w:r>
              <w:rPr>
                <w:rFonts w:ascii="Arial" w:cs="Arial" w:eastAsia="Arial" w:hAnsi="Arial"/>
                <w:sz w:val="18"/>
                <w:szCs w:val="18"/>
                <w:b w:val="1"/>
                <w:bCs w:val="1"/>
                <w:color w:val="auto"/>
                <w:w w:val="88"/>
              </w:rPr>
              <w:t>shares that may yet</w:t>
            </w:r>
          </w:p>
        </w:tc>
      </w:tr>
      <w:tr>
        <w:trPr>
          <w:trHeight w:val="216"/>
        </w:trPr>
        <w:tc>
          <w:tcPr>
            <w:tcW w:w="2800" w:type="dxa"/>
            <w:vAlign w:val="bottom"/>
          </w:tcPr>
          <w:p>
            <w:pPr>
              <w:spacing w:after="0"/>
              <w:rPr>
                <w:sz w:val="18"/>
                <w:szCs w:val="18"/>
                <w:color w:val="auto"/>
              </w:rPr>
            </w:pPr>
          </w:p>
        </w:tc>
        <w:tc>
          <w:tcPr>
            <w:tcW w:w="2080" w:type="dxa"/>
            <w:vAlign w:val="bottom"/>
          </w:tcPr>
          <w:p>
            <w:pPr>
              <w:jc w:val="center"/>
              <w:ind w:left="710"/>
              <w:spacing w:after="0"/>
              <w:rPr>
                <w:sz w:val="20"/>
                <w:szCs w:val="20"/>
                <w:color w:val="auto"/>
              </w:rPr>
            </w:pPr>
            <w:r>
              <w:rPr>
                <w:rFonts w:ascii="Arial" w:cs="Arial" w:eastAsia="Arial" w:hAnsi="Arial"/>
                <w:sz w:val="18"/>
                <w:szCs w:val="18"/>
                <w:b w:val="1"/>
                <w:bCs w:val="1"/>
                <w:color w:val="auto"/>
                <w:w w:val="91"/>
              </w:rPr>
              <w:t>Total number</w:t>
            </w:r>
          </w:p>
        </w:tc>
        <w:tc>
          <w:tcPr>
            <w:tcW w:w="660" w:type="dxa"/>
            <w:vAlign w:val="bottom"/>
          </w:tcPr>
          <w:p>
            <w:pPr>
              <w:spacing w:after="0"/>
              <w:rPr>
                <w:sz w:val="18"/>
                <w:szCs w:val="18"/>
                <w:color w:val="auto"/>
              </w:rPr>
            </w:pPr>
          </w:p>
        </w:tc>
        <w:tc>
          <w:tcPr>
            <w:tcW w:w="1820" w:type="dxa"/>
            <w:vAlign w:val="bottom"/>
          </w:tcPr>
          <w:p>
            <w:pPr>
              <w:jc w:val="center"/>
              <w:ind w:right="190"/>
              <w:spacing w:after="0"/>
              <w:rPr>
                <w:sz w:val="20"/>
                <w:szCs w:val="20"/>
                <w:color w:val="auto"/>
              </w:rPr>
            </w:pPr>
            <w:r>
              <w:rPr>
                <w:rFonts w:ascii="Arial" w:cs="Arial" w:eastAsia="Arial" w:hAnsi="Arial"/>
                <w:sz w:val="18"/>
                <w:szCs w:val="18"/>
                <w:b w:val="1"/>
                <w:bCs w:val="1"/>
                <w:color w:val="auto"/>
                <w:w w:val="87"/>
              </w:rPr>
              <w:t>Average</w:t>
            </w: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92"/>
              </w:rPr>
              <w:t>part of publicly</w:t>
            </w:r>
          </w:p>
        </w:tc>
        <w:tc>
          <w:tcPr>
            <w:tcW w:w="2000" w:type="dxa"/>
            <w:vAlign w:val="bottom"/>
          </w:tcPr>
          <w:p>
            <w:pPr>
              <w:jc w:val="center"/>
              <w:spacing w:after="0"/>
              <w:rPr>
                <w:sz w:val="20"/>
                <w:szCs w:val="20"/>
                <w:color w:val="auto"/>
              </w:rPr>
            </w:pPr>
            <w:r>
              <w:rPr>
                <w:rFonts w:ascii="Arial" w:cs="Arial" w:eastAsia="Arial" w:hAnsi="Arial"/>
                <w:sz w:val="18"/>
                <w:szCs w:val="18"/>
                <w:b w:val="1"/>
                <w:bCs w:val="1"/>
                <w:color w:val="auto"/>
                <w:w w:val="88"/>
              </w:rPr>
              <w:t>be purchased</w:t>
            </w:r>
          </w:p>
        </w:tc>
      </w:tr>
      <w:tr>
        <w:trPr>
          <w:trHeight w:val="216"/>
        </w:trPr>
        <w:tc>
          <w:tcPr>
            <w:tcW w:w="2800" w:type="dxa"/>
            <w:vAlign w:val="bottom"/>
          </w:tcPr>
          <w:p>
            <w:pPr>
              <w:spacing w:after="0"/>
              <w:rPr>
                <w:sz w:val="18"/>
                <w:szCs w:val="18"/>
                <w:color w:val="auto"/>
              </w:rPr>
            </w:pPr>
          </w:p>
        </w:tc>
        <w:tc>
          <w:tcPr>
            <w:tcW w:w="2080" w:type="dxa"/>
            <w:vAlign w:val="bottom"/>
          </w:tcPr>
          <w:p>
            <w:pPr>
              <w:jc w:val="center"/>
              <w:ind w:left="710"/>
              <w:spacing w:after="0"/>
              <w:rPr>
                <w:sz w:val="20"/>
                <w:szCs w:val="20"/>
                <w:color w:val="auto"/>
              </w:rPr>
            </w:pPr>
            <w:r>
              <w:rPr>
                <w:rFonts w:ascii="Arial" w:cs="Arial" w:eastAsia="Arial" w:hAnsi="Arial"/>
                <w:sz w:val="18"/>
                <w:szCs w:val="18"/>
                <w:b w:val="1"/>
                <w:bCs w:val="1"/>
                <w:color w:val="auto"/>
                <w:w w:val="84"/>
              </w:rPr>
              <w:t>of shares</w:t>
            </w:r>
          </w:p>
        </w:tc>
        <w:tc>
          <w:tcPr>
            <w:tcW w:w="660" w:type="dxa"/>
            <w:vAlign w:val="bottom"/>
          </w:tcPr>
          <w:p>
            <w:pPr>
              <w:spacing w:after="0"/>
              <w:rPr>
                <w:sz w:val="18"/>
                <w:szCs w:val="18"/>
                <w:color w:val="auto"/>
              </w:rPr>
            </w:pPr>
          </w:p>
        </w:tc>
        <w:tc>
          <w:tcPr>
            <w:tcW w:w="1820" w:type="dxa"/>
            <w:vAlign w:val="bottom"/>
          </w:tcPr>
          <w:p>
            <w:pPr>
              <w:jc w:val="center"/>
              <w:ind w:right="190"/>
              <w:spacing w:after="0"/>
              <w:rPr>
                <w:sz w:val="20"/>
                <w:szCs w:val="20"/>
                <w:color w:val="auto"/>
              </w:rPr>
            </w:pPr>
            <w:r>
              <w:rPr>
                <w:rFonts w:ascii="Arial" w:cs="Arial" w:eastAsia="Arial" w:hAnsi="Arial"/>
                <w:sz w:val="18"/>
                <w:szCs w:val="18"/>
                <w:b w:val="1"/>
                <w:bCs w:val="1"/>
                <w:color w:val="auto"/>
                <w:w w:val="91"/>
              </w:rPr>
              <w:t>price paid</w:t>
            </w: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88"/>
              </w:rPr>
              <w:t>announced plans or</w:t>
            </w:r>
          </w:p>
        </w:tc>
        <w:tc>
          <w:tcPr>
            <w:tcW w:w="2000" w:type="dxa"/>
            <w:vAlign w:val="bottom"/>
          </w:tcPr>
          <w:p>
            <w:pPr>
              <w:jc w:val="center"/>
              <w:spacing w:after="0"/>
              <w:rPr>
                <w:sz w:val="20"/>
                <w:szCs w:val="20"/>
                <w:color w:val="auto"/>
              </w:rPr>
            </w:pPr>
            <w:r>
              <w:rPr>
                <w:rFonts w:ascii="Arial" w:cs="Arial" w:eastAsia="Arial" w:hAnsi="Arial"/>
                <w:sz w:val="18"/>
                <w:szCs w:val="18"/>
                <w:b w:val="1"/>
                <w:bCs w:val="1"/>
                <w:color w:val="auto"/>
                <w:w w:val="89"/>
              </w:rPr>
              <w:t>under the plans or</w:t>
            </w:r>
          </w:p>
        </w:tc>
      </w:tr>
      <w:tr>
        <w:trPr>
          <w:trHeight w:val="261"/>
        </w:trPr>
        <w:tc>
          <w:tcPr>
            <w:tcW w:w="2800" w:type="dxa"/>
            <w:vAlign w:val="bottom"/>
            <w:tcBorders>
              <w:bottom w:val="single" w:sz="8" w:color="auto"/>
            </w:tcBorders>
          </w:tcPr>
          <w:p>
            <w:pPr>
              <w:ind w:left="1360"/>
              <w:spacing w:after="0"/>
              <w:rPr>
                <w:sz w:val="20"/>
                <w:szCs w:val="20"/>
                <w:color w:val="auto"/>
              </w:rPr>
            </w:pPr>
            <w:r>
              <w:rPr>
                <w:rFonts w:ascii="Arial" w:cs="Arial" w:eastAsia="Arial" w:hAnsi="Arial"/>
                <w:sz w:val="18"/>
                <w:szCs w:val="18"/>
                <w:b w:val="1"/>
                <w:bCs w:val="1"/>
                <w:color w:val="auto"/>
              </w:rPr>
              <w:t>Period</w:t>
            </w:r>
          </w:p>
        </w:tc>
        <w:tc>
          <w:tcPr>
            <w:tcW w:w="2080" w:type="dxa"/>
            <w:vAlign w:val="bottom"/>
            <w:tcBorders>
              <w:bottom w:val="single" w:sz="8" w:color="auto"/>
            </w:tcBorders>
          </w:tcPr>
          <w:p>
            <w:pPr>
              <w:jc w:val="center"/>
              <w:ind w:left="710"/>
              <w:spacing w:after="0" w:line="262" w:lineRule="exact"/>
              <w:rPr>
                <w:sz w:val="20"/>
                <w:szCs w:val="20"/>
                <w:color w:val="auto"/>
              </w:rPr>
            </w:pPr>
            <w:r>
              <w:rPr>
                <w:rFonts w:ascii="Arial" w:cs="Arial" w:eastAsia="Arial" w:hAnsi="Arial"/>
                <w:sz w:val="18"/>
                <w:szCs w:val="18"/>
                <w:b w:val="1"/>
                <w:bCs w:val="1"/>
                <w:color w:val="auto"/>
                <w:w w:val="85"/>
              </w:rPr>
              <w:t xml:space="preserve">purchased </w:t>
            </w:r>
            <w:r>
              <w:rPr>
                <w:rFonts w:ascii="Arial" w:cs="Arial" w:eastAsia="Arial" w:hAnsi="Arial"/>
                <w:sz w:val="25"/>
                <w:szCs w:val="25"/>
                <w:b w:val="1"/>
                <w:bCs w:val="1"/>
                <w:color w:val="auto"/>
                <w:w w:val="85"/>
                <w:vertAlign w:val="superscript"/>
              </w:rPr>
              <w:t>(1)</w:t>
            </w:r>
          </w:p>
        </w:tc>
        <w:tc>
          <w:tcPr>
            <w:tcW w:w="660" w:type="dxa"/>
            <w:vAlign w:val="bottom"/>
            <w:tcBorders>
              <w:bottom w:val="single" w:sz="8" w:color="auto"/>
            </w:tcBorders>
          </w:tcPr>
          <w:p>
            <w:pPr>
              <w:spacing w:after="0"/>
              <w:rPr>
                <w:sz w:val="22"/>
                <w:szCs w:val="22"/>
                <w:color w:val="auto"/>
              </w:rPr>
            </w:pPr>
          </w:p>
        </w:tc>
        <w:tc>
          <w:tcPr>
            <w:tcW w:w="1820" w:type="dxa"/>
            <w:vAlign w:val="bottom"/>
            <w:tcBorders>
              <w:bottom w:val="single" w:sz="8" w:color="auto"/>
            </w:tcBorders>
          </w:tcPr>
          <w:p>
            <w:pPr>
              <w:jc w:val="center"/>
              <w:ind w:right="210"/>
              <w:spacing w:after="0"/>
              <w:rPr>
                <w:sz w:val="20"/>
                <w:szCs w:val="20"/>
                <w:color w:val="auto"/>
              </w:rPr>
            </w:pPr>
            <w:r>
              <w:rPr>
                <w:rFonts w:ascii="Arial" w:cs="Arial" w:eastAsia="Arial" w:hAnsi="Arial"/>
                <w:sz w:val="18"/>
                <w:szCs w:val="18"/>
                <w:b w:val="1"/>
                <w:bCs w:val="1"/>
                <w:color w:val="auto"/>
                <w:w w:val="88"/>
              </w:rPr>
              <w:t>per share</w:t>
            </w:r>
          </w:p>
        </w:tc>
        <w:tc>
          <w:tcPr>
            <w:tcW w:w="20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programs</w:t>
            </w:r>
          </w:p>
        </w:tc>
        <w:tc>
          <w:tcPr>
            <w:tcW w:w="2000" w:type="dxa"/>
            <w:vAlign w:val="bottom"/>
            <w:tcBorders>
              <w:bottom w:val="single" w:sz="8" w:color="auto"/>
            </w:tcBorders>
          </w:tcPr>
          <w:p>
            <w:pPr>
              <w:jc w:val="center"/>
              <w:spacing w:after="0" w:line="262" w:lineRule="exact"/>
              <w:rPr>
                <w:sz w:val="20"/>
                <w:szCs w:val="20"/>
                <w:color w:val="auto"/>
              </w:rPr>
            </w:pPr>
            <w:r>
              <w:rPr>
                <w:rFonts w:ascii="Arial" w:cs="Arial" w:eastAsia="Arial" w:hAnsi="Arial"/>
                <w:sz w:val="18"/>
                <w:szCs w:val="18"/>
                <w:b w:val="1"/>
                <w:bCs w:val="1"/>
                <w:color w:val="auto"/>
                <w:w w:val="84"/>
              </w:rPr>
              <w:t xml:space="preserve">programs </w:t>
            </w:r>
            <w:r>
              <w:rPr>
                <w:rFonts w:ascii="Arial" w:cs="Arial" w:eastAsia="Arial" w:hAnsi="Arial"/>
                <w:sz w:val="25"/>
                <w:szCs w:val="25"/>
                <w:b w:val="1"/>
                <w:bCs w:val="1"/>
                <w:color w:val="auto"/>
                <w:w w:val="84"/>
                <w:vertAlign w:val="superscript"/>
              </w:rPr>
              <w:t>(2)</w:t>
            </w:r>
          </w:p>
        </w:tc>
      </w:tr>
      <w:tr>
        <w:trPr>
          <w:trHeight w:val="244"/>
        </w:trPr>
        <w:tc>
          <w:tcPr>
            <w:tcW w:w="2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January 1 - 31, 2016</w:t>
            </w:r>
          </w:p>
        </w:tc>
        <w:tc>
          <w:tcPr>
            <w:tcW w:w="20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820" w:type="dxa"/>
            <w:vAlign w:val="bottom"/>
            <w:tcBorders>
              <w:bottom w:val="single" w:sz="8" w:color="CCEEFF"/>
            </w:tcBorders>
            <w:shd w:val="clear" w:color="auto" w:fill="CCEEFF"/>
          </w:tcPr>
          <w:p>
            <w:pPr>
              <w:ind w:left="1420"/>
              <w:spacing w:after="0"/>
              <w:rPr>
                <w:sz w:val="20"/>
                <w:szCs w:val="20"/>
                <w:color w:val="auto"/>
              </w:rPr>
            </w:pPr>
            <w:r>
              <w:rPr>
                <w:rFonts w:ascii="Arial" w:cs="Arial" w:eastAsia="Arial" w:hAnsi="Arial"/>
                <w:sz w:val="18"/>
                <w:szCs w:val="18"/>
                <w:color w:val="auto"/>
              </w:rPr>
              <w:t>$—</w:t>
            </w:r>
          </w:p>
        </w:tc>
        <w:tc>
          <w:tcPr>
            <w:tcW w:w="2060" w:type="dxa"/>
            <w:vAlign w:val="bottom"/>
            <w:tcBorders>
              <w:bottom w:val="single" w:sz="8" w:color="CCEEFF"/>
            </w:tcBorders>
            <w:shd w:val="clear" w:color="auto" w:fill="CCEEFF"/>
          </w:tcPr>
          <w:p>
            <w:pPr>
              <w:ind w:left="1740"/>
              <w:spacing w:after="0"/>
              <w:rPr>
                <w:sz w:val="20"/>
                <w:szCs w:val="20"/>
                <w:color w:val="auto"/>
              </w:rPr>
            </w:pPr>
            <w:r>
              <w:rPr>
                <w:rFonts w:ascii="Arial" w:cs="Arial" w:eastAsia="Arial" w:hAnsi="Arial"/>
                <w:sz w:val="18"/>
                <w:szCs w:val="18"/>
                <w:color w:val="auto"/>
              </w:rPr>
              <w:t>—</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1,459,907</w:t>
            </w:r>
          </w:p>
        </w:tc>
      </w:tr>
      <w:tr>
        <w:trPr>
          <w:trHeight w:val="243"/>
        </w:trPr>
        <w:tc>
          <w:tcPr>
            <w:tcW w:w="2800" w:type="dxa"/>
            <w:vAlign w:val="bottom"/>
          </w:tcPr>
          <w:p>
            <w:pPr>
              <w:ind w:left="40"/>
              <w:spacing w:after="0"/>
              <w:rPr>
                <w:sz w:val="20"/>
                <w:szCs w:val="20"/>
                <w:color w:val="auto"/>
              </w:rPr>
            </w:pPr>
            <w:r>
              <w:rPr>
                <w:rFonts w:ascii="Arial" w:cs="Arial" w:eastAsia="Arial" w:hAnsi="Arial"/>
                <w:sz w:val="18"/>
                <w:szCs w:val="18"/>
                <w:color w:val="auto"/>
              </w:rPr>
              <w:t>February 1 - 29, 2016</w:t>
            </w:r>
          </w:p>
        </w:tc>
        <w:tc>
          <w:tcPr>
            <w:tcW w:w="2080" w:type="dxa"/>
            <w:vAlign w:val="bottom"/>
          </w:tcPr>
          <w:p>
            <w:pPr>
              <w:spacing w:after="0"/>
              <w:rPr>
                <w:sz w:val="21"/>
                <w:szCs w:val="21"/>
                <w:color w:val="auto"/>
              </w:rPr>
            </w:pPr>
          </w:p>
        </w:tc>
        <w:tc>
          <w:tcPr>
            <w:tcW w:w="660" w:type="dxa"/>
            <w:vAlign w:val="bottom"/>
          </w:tcPr>
          <w:p>
            <w:pPr>
              <w:ind w:left="100"/>
              <w:spacing w:after="0"/>
              <w:rPr>
                <w:sz w:val="20"/>
                <w:szCs w:val="20"/>
                <w:color w:val="auto"/>
              </w:rPr>
            </w:pPr>
            <w:r>
              <w:rPr>
                <w:rFonts w:ascii="Arial" w:cs="Arial" w:eastAsia="Arial" w:hAnsi="Arial"/>
                <w:sz w:val="18"/>
                <w:szCs w:val="18"/>
                <w:color w:val="auto"/>
              </w:rPr>
              <w:t>—</w:t>
            </w:r>
          </w:p>
        </w:tc>
        <w:tc>
          <w:tcPr>
            <w:tcW w:w="1820" w:type="dxa"/>
            <w:vAlign w:val="bottom"/>
          </w:tcPr>
          <w:p>
            <w:pPr>
              <w:ind w:left="1420"/>
              <w:spacing w:after="0"/>
              <w:rPr>
                <w:sz w:val="20"/>
                <w:szCs w:val="20"/>
                <w:color w:val="auto"/>
              </w:rPr>
            </w:pPr>
            <w:r>
              <w:rPr>
                <w:rFonts w:ascii="Arial" w:cs="Arial" w:eastAsia="Arial" w:hAnsi="Arial"/>
                <w:sz w:val="18"/>
                <w:szCs w:val="18"/>
                <w:color w:val="auto"/>
              </w:rPr>
              <w:t>$—</w:t>
            </w:r>
          </w:p>
        </w:tc>
        <w:tc>
          <w:tcPr>
            <w:tcW w:w="2060" w:type="dxa"/>
            <w:vAlign w:val="bottom"/>
          </w:tcPr>
          <w:p>
            <w:pPr>
              <w:ind w:left="1740"/>
              <w:spacing w:after="0"/>
              <w:rPr>
                <w:sz w:val="20"/>
                <w:szCs w:val="20"/>
                <w:color w:val="auto"/>
              </w:rPr>
            </w:pPr>
            <w:r>
              <w:rPr>
                <w:rFonts w:ascii="Arial" w:cs="Arial" w:eastAsia="Arial" w:hAnsi="Arial"/>
                <w:sz w:val="18"/>
                <w:szCs w:val="18"/>
                <w:color w:val="auto"/>
              </w:rPr>
              <w:t>—</w:t>
            </w: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1,459,907</w:t>
            </w:r>
          </w:p>
        </w:tc>
      </w:tr>
      <w:tr>
        <w:trPr>
          <w:trHeight w:val="27"/>
        </w:trPr>
        <w:tc>
          <w:tcPr>
            <w:tcW w:w="2800" w:type="dxa"/>
            <w:vAlign w:val="bottom"/>
          </w:tcPr>
          <w:p>
            <w:pPr>
              <w:spacing w:after="0"/>
              <w:rPr>
                <w:sz w:val="2"/>
                <w:szCs w:val="2"/>
                <w:color w:val="auto"/>
              </w:rPr>
            </w:pPr>
          </w:p>
        </w:tc>
        <w:tc>
          <w:tcPr>
            <w:tcW w:w="20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06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75"/>
        </w:trPr>
        <w:tc>
          <w:tcPr>
            <w:tcW w:w="2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March 1 - 31, 2016</w:t>
            </w:r>
          </w:p>
        </w:tc>
        <w:tc>
          <w:tcPr>
            <w:tcW w:w="208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820" w:type="dxa"/>
            <w:vAlign w:val="bottom"/>
            <w:tcBorders>
              <w:bottom w:val="single" w:sz="8" w:color="CCEEFF"/>
            </w:tcBorders>
            <w:shd w:val="clear" w:color="auto" w:fill="CCEEFF"/>
          </w:tcPr>
          <w:p>
            <w:pPr>
              <w:ind w:left="1420"/>
              <w:spacing w:after="0"/>
              <w:rPr>
                <w:sz w:val="20"/>
                <w:szCs w:val="20"/>
                <w:color w:val="auto"/>
              </w:rPr>
            </w:pPr>
            <w:r>
              <w:rPr>
                <w:rFonts w:ascii="Arial" w:cs="Arial" w:eastAsia="Arial" w:hAnsi="Arial"/>
                <w:sz w:val="18"/>
                <w:szCs w:val="18"/>
                <w:color w:val="auto"/>
              </w:rPr>
              <w:t>$—</w:t>
            </w:r>
          </w:p>
        </w:tc>
        <w:tc>
          <w:tcPr>
            <w:tcW w:w="2060" w:type="dxa"/>
            <w:vAlign w:val="bottom"/>
            <w:tcBorders>
              <w:bottom w:val="single" w:sz="8" w:color="CCEEFF"/>
            </w:tcBorders>
            <w:shd w:val="clear" w:color="auto" w:fill="CCEEFF"/>
          </w:tcPr>
          <w:p>
            <w:pPr>
              <w:ind w:left="1740"/>
              <w:spacing w:after="0"/>
              <w:rPr>
                <w:sz w:val="20"/>
                <w:szCs w:val="20"/>
                <w:color w:val="auto"/>
              </w:rPr>
            </w:pPr>
            <w:r>
              <w:rPr>
                <w:rFonts w:ascii="Arial" w:cs="Arial" w:eastAsia="Arial" w:hAnsi="Arial"/>
                <w:sz w:val="18"/>
                <w:szCs w:val="18"/>
                <w:color w:val="auto"/>
              </w:rPr>
              <w:t>—</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1,459,907</w:t>
            </w:r>
          </w:p>
        </w:tc>
      </w:tr>
      <w:tr>
        <w:trPr>
          <w:trHeight w:val="237"/>
        </w:trPr>
        <w:tc>
          <w:tcPr>
            <w:tcW w:w="28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w:t>
            </w:r>
          </w:p>
        </w:tc>
        <w:tc>
          <w:tcPr>
            <w:tcW w:w="2080" w:type="dxa"/>
            <w:vAlign w:val="bottom"/>
            <w:tcBorders>
              <w:top w:val="single" w:sz="8" w:color="auto"/>
            </w:tcBorders>
          </w:tcPr>
          <w:p>
            <w:pPr>
              <w:spacing w:after="0"/>
              <w:rPr>
                <w:sz w:val="20"/>
                <w:szCs w:val="20"/>
                <w:color w:val="auto"/>
              </w:rPr>
            </w:pPr>
          </w:p>
        </w:tc>
        <w:tc>
          <w:tcPr>
            <w:tcW w:w="660" w:type="dxa"/>
            <w:vAlign w:val="bottom"/>
            <w:tcBorders>
              <w:top w:val="single" w:sz="8" w:color="auto"/>
            </w:tcBorders>
          </w:tcPr>
          <w:p>
            <w:pPr>
              <w:ind w:left="100"/>
              <w:spacing w:after="0"/>
              <w:rPr>
                <w:sz w:val="20"/>
                <w:szCs w:val="20"/>
                <w:color w:val="auto"/>
              </w:rPr>
            </w:pPr>
            <w:r>
              <w:rPr>
                <w:rFonts w:ascii="Arial" w:cs="Arial" w:eastAsia="Arial" w:hAnsi="Arial"/>
                <w:sz w:val="18"/>
                <w:szCs w:val="18"/>
                <w:color w:val="auto"/>
              </w:rPr>
              <w:t>—</w:t>
            </w:r>
          </w:p>
        </w:tc>
        <w:tc>
          <w:tcPr>
            <w:tcW w:w="1820" w:type="dxa"/>
            <w:vAlign w:val="bottom"/>
            <w:tcBorders>
              <w:top w:val="single" w:sz="8" w:color="auto"/>
            </w:tcBorders>
          </w:tcPr>
          <w:p>
            <w:pPr>
              <w:ind w:left="1420"/>
              <w:spacing w:after="0"/>
              <w:rPr>
                <w:sz w:val="20"/>
                <w:szCs w:val="20"/>
                <w:color w:val="auto"/>
              </w:rPr>
            </w:pPr>
            <w:r>
              <w:rPr>
                <w:rFonts w:ascii="Arial" w:cs="Arial" w:eastAsia="Arial" w:hAnsi="Arial"/>
                <w:sz w:val="18"/>
                <w:szCs w:val="18"/>
                <w:color w:val="auto"/>
              </w:rPr>
              <w:t>$—</w:t>
            </w:r>
          </w:p>
        </w:tc>
        <w:tc>
          <w:tcPr>
            <w:tcW w:w="2060" w:type="dxa"/>
            <w:vAlign w:val="bottom"/>
            <w:tcBorders>
              <w:top w:val="single" w:sz="8" w:color="auto"/>
            </w:tcBorders>
          </w:tcPr>
          <w:p>
            <w:pPr>
              <w:ind w:left="1740"/>
              <w:spacing w:after="0"/>
              <w:rPr>
                <w:sz w:val="20"/>
                <w:szCs w:val="20"/>
                <w:color w:val="auto"/>
              </w:rPr>
            </w:pPr>
            <w:r>
              <w:rPr>
                <w:rFonts w:ascii="Arial" w:cs="Arial" w:eastAsia="Arial" w:hAnsi="Arial"/>
                <w:sz w:val="18"/>
                <w:szCs w:val="18"/>
                <w:color w:val="auto"/>
              </w:rPr>
              <w:t>—</w:t>
            </w:r>
          </w:p>
        </w:tc>
        <w:tc>
          <w:tcPr>
            <w:tcW w:w="20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1,459,907</w:t>
            </w:r>
          </w:p>
        </w:tc>
      </w:tr>
      <w:tr>
        <w:trPr>
          <w:trHeight w:val="34"/>
        </w:trPr>
        <w:tc>
          <w:tcPr>
            <w:tcW w:w="2800" w:type="dxa"/>
            <w:vAlign w:val="bottom"/>
            <w:tcBorders>
              <w:bottom w:val="single" w:sz="8" w:color="auto"/>
            </w:tcBorders>
          </w:tcPr>
          <w:p>
            <w:pPr>
              <w:spacing w:after="0"/>
              <w:rPr>
                <w:sz w:val="2"/>
                <w:szCs w:val="2"/>
                <w:color w:val="auto"/>
              </w:rPr>
            </w:pPr>
          </w:p>
        </w:tc>
        <w:tc>
          <w:tcPr>
            <w:tcW w:w="20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ind w:left="660" w:hanging="328"/>
        <w:spacing w:after="0" w:line="277"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All shares not included in the number of shares purchased as part of publicly announced plans or programs were surrendered or deemed surrendered to the Company in connection with the Company’s stock-based compensation plans.</w:t>
      </w:r>
    </w:p>
    <w:p>
      <w:pPr>
        <w:spacing w:after="0" w:line="129" w:lineRule="exact"/>
        <w:rPr>
          <w:rFonts w:ascii="Arial" w:cs="Arial" w:eastAsia="Arial" w:hAnsi="Arial"/>
          <w:sz w:val="18"/>
          <w:szCs w:val="18"/>
          <w:color w:val="auto"/>
        </w:rPr>
      </w:pPr>
    </w:p>
    <w:p>
      <w:pPr>
        <w:jc w:val="both"/>
        <w:ind w:left="660" w:hanging="328"/>
        <w:spacing w:after="0" w:line="259"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On August 6, 2014, the Company announced that its Board of Directors approved a share repurchase plan pursuant to which the Company may repurchase up to 3 million of its common shares in the aggregate. This share repurchase plan expires on December 31, 2016. The Company may repurchase such shares from time to time in open market purchases or privately negotiated transactions. The Company may make all or part of these repurchases pursuant to accelerated share repurchases or Rule 10b5-1 plans.</w:t>
      </w:r>
    </w:p>
    <w:p>
      <w:pPr>
        <w:spacing w:after="0" w:line="390"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125" w:right="239" w:bottom="1440" w:gutter="0" w:footer="0" w:header="0"/>
        </w:sectPr>
      </w:pPr>
    </w:p>
    <w:bookmarkStart w:id="27" w:name="page28"/>
    <w:bookmarkEnd w:id="27"/>
    <w:tbl>
      <w:tblPr>
        <w:tblLayout w:type="fixed"/>
        <w:tblInd w:w="0" w:type="dxa"/>
        <w:tblCellMar>
          <w:top w:w="0" w:type="dxa"/>
          <w:left w:w="0" w:type="dxa"/>
          <w:bottom w:w="0" w:type="dxa"/>
          <w:right w:w="0" w:type="dxa"/>
        </w:tblCellMar>
      </w:tblPr>
      <w:tr>
        <w:trPr>
          <w:trHeight w:val="207"/>
        </w:trPr>
        <w:tc>
          <w:tcPr>
            <w:tcW w:w="1740" w:type="dxa"/>
            <w:vAlign w:val="bottom"/>
            <w:gridSpan w:val="4"/>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Table of Contents</w:t>
              </w:r>
            </w:hyperlink>
          </w:p>
        </w:tc>
        <w:tc>
          <w:tcPr>
            <w:tcW w:w="9680" w:type="dxa"/>
            <w:vAlign w:val="bottom"/>
          </w:tcPr>
          <w:p>
            <w:pPr>
              <w:spacing w:after="0"/>
              <w:rPr>
                <w:sz w:val="17"/>
                <w:szCs w:val="17"/>
                <w:color w:val="auto"/>
              </w:rPr>
            </w:pPr>
          </w:p>
        </w:tc>
      </w:tr>
      <w:tr>
        <w:trPr>
          <w:trHeight w:val="480"/>
        </w:trPr>
        <w:tc>
          <w:tcPr>
            <w:tcW w:w="1280" w:type="dxa"/>
            <w:vAlign w:val="bottom"/>
            <w:tcBorders>
              <w:top w:val="single" w:sz="8" w:color="0000EE"/>
            </w:tcBorders>
            <w:gridSpan w:val="2"/>
          </w:tcPr>
          <w:p>
            <w:pPr>
              <w:spacing w:after="0"/>
              <w:rPr>
                <w:sz w:val="20"/>
                <w:szCs w:val="20"/>
                <w:color w:val="auto"/>
              </w:rPr>
            </w:pPr>
            <w:r>
              <w:rPr>
                <w:rFonts w:ascii="Arial" w:cs="Arial" w:eastAsia="Arial" w:hAnsi="Arial"/>
                <w:sz w:val="18"/>
                <w:szCs w:val="18"/>
                <w:b w:val="1"/>
                <w:bCs w:val="1"/>
                <w:color w:val="auto"/>
                <w:w w:val="95"/>
              </w:rPr>
              <w:t>Item 6. Exhibits</w:t>
            </w:r>
          </w:p>
        </w:tc>
        <w:tc>
          <w:tcPr>
            <w:tcW w:w="460" w:type="dxa"/>
            <w:vAlign w:val="bottom"/>
            <w:gridSpan w:val="2"/>
          </w:tcPr>
          <w:p>
            <w:pPr>
              <w:spacing w:after="0"/>
              <w:rPr>
                <w:sz w:val="24"/>
                <w:szCs w:val="24"/>
                <w:color w:val="auto"/>
              </w:rPr>
            </w:pPr>
          </w:p>
        </w:tc>
        <w:tc>
          <w:tcPr>
            <w:tcW w:w="9680" w:type="dxa"/>
            <w:vAlign w:val="bottom"/>
          </w:tcPr>
          <w:p>
            <w:pPr>
              <w:spacing w:after="0"/>
              <w:rPr>
                <w:sz w:val="24"/>
                <w:szCs w:val="24"/>
                <w:color w:val="auto"/>
              </w:rPr>
            </w:pPr>
          </w:p>
        </w:tc>
      </w:tr>
      <w:tr>
        <w:trPr>
          <w:trHeight w:val="554"/>
        </w:trPr>
        <w:tc>
          <w:tcPr>
            <w:tcW w:w="20" w:type="dxa"/>
            <w:vAlign w:val="bottom"/>
          </w:tcPr>
          <w:p>
            <w:pPr>
              <w:spacing w:after="0"/>
              <w:rPr>
                <w:sz w:val="24"/>
                <w:szCs w:val="24"/>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3"/>
              </w:rPr>
              <w:t>Exhibit Number</w:t>
            </w:r>
          </w:p>
        </w:tc>
        <w:tc>
          <w:tcPr>
            <w:tcW w:w="9680" w:type="dxa"/>
            <w:vAlign w:val="bottom"/>
          </w:tcPr>
          <w:p>
            <w:pPr>
              <w:ind w:left="20"/>
              <w:spacing w:after="0"/>
              <w:rPr>
                <w:sz w:val="20"/>
                <w:szCs w:val="20"/>
                <w:color w:val="auto"/>
              </w:rPr>
            </w:pPr>
            <w:r>
              <w:rPr>
                <w:rFonts w:ascii="Arial" w:cs="Arial" w:eastAsia="Arial" w:hAnsi="Arial"/>
                <w:sz w:val="18"/>
                <w:szCs w:val="18"/>
                <w:b w:val="1"/>
                <w:bCs w:val="1"/>
                <w:color w:val="auto"/>
              </w:rPr>
              <w:t>Exhibit Description</w:t>
            </w:r>
          </w:p>
        </w:tc>
      </w:tr>
      <w:tr>
        <w:trPr>
          <w:trHeight w:val="27"/>
        </w:trPr>
        <w:tc>
          <w:tcPr>
            <w:tcW w:w="20" w:type="dxa"/>
            <w:vAlign w:val="bottom"/>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680" w:type="dxa"/>
            <w:vAlign w:val="bottom"/>
            <w:tcBorders>
              <w:bottom w:val="single" w:sz="8" w:color="auto"/>
            </w:tcBorders>
          </w:tcPr>
          <w:p>
            <w:pPr>
              <w:spacing w:after="0"/>
              <w:rPr>
                <w:sz w:val="2"/>
                <w:szCs w:val="2"/>
                <w:color w:val="auto"/>
              </w:rPr>
            </w:pPr>
          </w:p>
        </w:tc>
      </w:tr>
      <w:tr>
        <w:trPr>
          <w:trHeight w:val="237"/>
        </w:trPr>
        <w:tc>
          <w:tcPr>
            <w:tcW w:w="1280" w:type="dxa"/>
            <w:vAlign w:val="bottom"/>
            <w:gridSpan w:val="2"/>
          </w:tcPr>
          <w:p>
            <w:pPr>
              <w:jc w:val="center"/>
              <w:ind w:left="270"/>
              <w:spacing w:after="0"/>
              <w:rPr>
                <w:sz w:val="20"/>
                <w:szCs w:val="20"/>
                <w:color w:val="auto"/>
              </w:rPr>
            </w:pPr>
            <w:r>
              <w:rPr>
                <w:rFonts w:ascii="Arial" w:cs="Arial" w:eastAsia="Arial" w:hAnsi="Arial"/>
                <w:sz w:val="18"/>
                <w:szCs w:val="18"/>
                <w:color w:val="auto"/>
                <w:w w:val="95"/>
              </w:rPr>
              <w:t>12.1*</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rPr>
              <w:t>Computation of Ratio of Earnings to Fixed Charges.</w:t>
            </w:r>
          </w:p>
        </w:tc>
      </w:tr>
      <w:tr>
        <w:trPr>
          <w:trHeight w:val="472"/>
        </w:trPr>
        <w:tc>
          <w:tcPr>
            <w:tcW w:w="1280" w:type="dxa"/>
            <w:vAlign w:val="bottom"/>
            <w:gridSpan w:val="2"/>
          </w:tcPr>
          <w:p>
            <w:pPr>
              <w:jc w:val="center"/>
              <w:ind w:left="270"/>
              <w:spacing w:after="0"/>
              <w:rPr>
                <w:sz w:val="20"/>
                <w:szCs w:val="20"/>
                <w:color w:val="auto"/>
              </w:rPr>
            </w:pPr>
            <w:r>
              <w:rPr>
                <w:rFonts w:ascii="Arial" w:cs="Arial" w:eastAsia="Arial" w:hAnsi="Arial"/>
                <w:sz w:val="18"/>
                <w:szCs w:val="18"/>
                <w:color w:val="auto"/>
                <w:w w:val="95"/>
              </w:rPr>
              <w:t>31.1*</w:t>
            </w: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w w:val="92"/>
              </w:rPr>
              <w:t>Certification of the Chief Executive Officer pursuant to Rule 13a-14 of the Exchange Act, as adopted, pursuant to Section 302 of the</w:t>
            </w:r>
          </w:p>
        </w:tc>
      </w:tr>
      <w:tr>
        <w:trPr>
          <w:trHeight w:val="230"/>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rPr>
              <w:t>Sarbanes-Oxley Act of 2002.</w:t>
            </w:r>
          </w:p>
        </w:tc>
      </w:tr>
      <w:tr>
        <w:trPr>
          <w:trHeight w:val="256"/>
        </w:trPr>
        <w:tc>
          <w:tcPr>
            <w:tcW w:w="1280" w:type="dxa"/>
            <w:vAlign w:val="bottom"/>
            <w:gridSpan w:val="2"/>
          </w:tcPr>
          <w:p>
            <w:pPr>
              <w:jc w:val="center"/>
              <w:ind w:left="270"/>
              <w:spacing w:after="0"/>
              <w:rPr>
                <w:sz w:val="20"/>
                <w:szCs w:val="20"/>
                <w:color w:val="auto"/>
              </w:rPr>
            </w:pPr>
            <w:r>
              <w:rPr>
                <w:rFonts w:ascii="Arial" w:cs="Arial" w:eastAsia="Arial" w:hAnsi="Arial"/>
                <w:sz w:val="18"/>
                <w:szCs w:val="18"/>
                <w:color w:val="auto"/>
                <w:w w:val="95"/>
              </w:rPr>
              <w:t>31.2*</w:t>
            </w:r>
          </w:p>
        </w:tc>
        <w:tc>
          <w:tcPr>
            <w:tcW w:w="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w w:val="92"/>
              </w:rPr>
              <w:t>Certification of the Chief Financial Officer pursuant to Rule 13a-14 of the Exchange Act, as adopted, pursuant to Section 302 of the</w:t>
            </w:r>
          </w:p>
        </w:tc>
      </w:tr>
      <w:tr>
        <w:trPr>
          <w:trHeight w:val="230"/>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rPr>
              <w:t>Sarbanes-Oxley Act of 2002.</w:t>
            </w:r>
          </w:p>
        </w:tc>
      </w:tr>
      <w:tr>
        <w:trPr>
          <w:trHeight w:val="256"/>
        </w:trPr>
        <w:tc>
          <w:tcPr>
            <w:tcW w:w="1280" w:type="dxa"/>
            <w:vAlign w:val="bottom"/>
            <w:gridSpan w:val="2"/>
          </w:tcPr>
          <w:p>
            <w:pPr>
              <w:jc w:val="center"/>
              <w:ind w:left="270"/>
              <w:spacing w:after="0"/>
              <w:rPr>
                <w:sz w:val="20"/>
                <w:szCs w:val="20"/>
                <w:color w:val="auto"/>
              </w:rPr>
            </w:pPr>
            <w:r>
              <w:rPr>
                <w:rFonts w:ascii="Arial" w:cs="Arial" w:eastAsia="Arial" w:hAnsi="Arial"/>
                <w:sz w:val="18"/>
                <w:szCs w:val="18"/>
                <w:color w:val="auto"/>
                <w:w w:val="97"/>
              </w:rPr>
              <w:t>32.1**</w:t>
            </w:r>
          </w:p>
        </w:tc>
        <w:tc>
          <w:tcPr>
            <w:tcW w:w="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w w:val="92"/>
              </w:rPr>
              <w:t>Certifications of Chief Executive Officer and Chief Financial Officer pursuant to 18 U.S.C. 1350, as adopted pursuant to Section 906</w:t>
            </w:r>
          </w:p>
        </w:tc>
      </w:tr>
      <w:tr>
        <w:trPr>
          <w:trHeight w:val="230"/>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rPr>
              <w:t>of the Sarbanes-Oxley Act of 2002.</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4"/>
              </w:rPr>
              <w:t>101.INS*</w:t>
            </w:r>
          </w:p>
        </w:tc>
        <w:tc>
          <w:tcPr>
            <w:tcW w:w="9680" w:type="dxa"/>
            <w:vAlign w:val="bottom"/>
          </w:tcPr>
          <w:p>
            <w:pPr>
              <w:ind w:left="20"/>
              <w:spacing w:after="0"/>
              <w:rPr>
                <w:sz w:val="20"/>
                <w:szCs w:val="20"/>
                <w:color w:val="auto"/>
              </w:rPr>
            </w:pPr>
            <w:r>
              <w:rPr>
                <w:rFonts w:ascii="Arial" w:cs="Arial" w:eastAsia="Arial" w:hAnsi="Arial"/>
                <w:sz w:val="18"/>
                <w:szCs w:val="18"/>
                <w:color w:val="auto"/>
              </w:rPr>
              <w:t>XBRL Instance Document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4"/>
              </w:rPr>
              <w:t>101.SCH*</w:t>
            </w:r>
          </w:p>
        </w:tc>
        <w:tc>
          <w:tcPr>
            <w:tcW w:w="9680" w:type="dxa"/>
            <w:vAlign w:val="bottom"/>
          </w:tcPr>
          <w:p>
            <w:pPr>
              <w:ind w:left="20"/>
              <w:spacing w:after="0"/>
              <w:rPr>
                <w:sz w:val="20"/>
                <w:szCs w:val="20"/>
                <w:color w:val="auto"/>
              </w:rPr>
            </w:pPr>
            <w:r>
              <w:rPr>
                <w:rFonts w:ascii="Arial" w:cs="Arial" w:eastAsia="Arial" w:hAnsi="Arial"/>
                <w:sz w:val="18"/>
                <w:szCs w:val="18"/>
                <w:color w:val="auto"/>
              </w:rPr>
              <w:t>XBRL Taxonomy Extension Schema Document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1"/>
              </w:rPr>
              <w:t>101.PRE*</w:t>
            </w:r>
          </w:p>
        </w:tc>
        <w:tc>
          <w:tcPr>
            <w:tcW w:w="9680" w:type="dxa"/>
            <w:vAlign w:val="bottom"/>
          </w:tcPr>
          <w:p>
            <w:pPr>
              <w:ind w:left="20"/>
              <w:spacing w:after="0"/>
              <w:rPr>
                <w:sz w:val="20"/>
                <w:szCs w:val="20"/>
                <w:color w:val="auto"/>
              </w:rPr>
            </w:pPr>
            <w:r>
              <w:rPr>
                <w:rFonts w:ascii="Arial" w:cs="Arial" w:eastAsia="Arial" w:hAnsi="Arial"/>
                <w:sz w:val="18"/>
                <w:szCs w:val="18"/>
                <w:color w:val="auto"/>
              </w:rPr>
              <w:t>XBRL Taxonomy Extension Presentation Linkbase Document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8"/>
              </w:rPr>
              <w:t>101.CAL*</w:t>
            </w:r>
          </w:p>
        </w:tc>
        <w:tc>
          <w:tcPr>
            <w:tcW w:w="9680" w:type="dxa"/>
            <w:vAlign w:val="bottom"/>
          </w:tcPr>
          <w:p>
            <w:pPr>
              <w:ind w:left="20"/>
              <w:spacing w:after="0"/>
              <w:rPr>
                <w:sz w:val="20"/>
                <w:szCs w:val="20"/>
                <w:color w:val="auto"/>
              </w:rPr>
            </w:pPr>
            <w:r>
              <w:rPr>
                <w:rFonts w:ascii="Arial" w:cs="Arial" w:eastAsia="Arial" w:hAnsi="Arial"/>
                <w:sz w:val="18"/>
                <w:szCs w:val="18"/>
                <w:color w:val="auto"/>
              </w:rPr>
              <w:t>XBRL Taxonomy Extension Calculation Linkbase Document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9"/>
              </w:rPr>
              <w:t>101.LAB*</w:t>
            </w:r>
          </w:p>
        </w:tc>
        <w:tc>
          <w:tcPr>
            <w:tcW w:w="9680" w:type="dxa"/>
            <w:vAlign w:val="bottom"/>
          </w:tcPr>
          <w:p>
            <w:pPr>
              <w:ind w:left="20"/>
              <w:spacing w:after="0"/>
              <w:rPr>
                <w:sz w:val="20"/>
                <w:szCs w:val="20"/>
                <w:color w:val="auto"/>
              </w:rPr>
            </w:pPr>
            <w:r>
              <w:rPr>
                <w:rFonts w:ascii="Arial" w:cs="Arial" w:eastAsia="Arial" w:hAnsi="Arial"/>
                <w:sz w:val="18"/>
                <w:szCs w:val="18"/>
                <w:color w:val="auto"/>
              </w:rPr>
              <w:t>XBRL Taxonomy Extension Label Linkbase Document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7"/>
              </w:rPr>
              <w:t>101.DEF*</w:t>
            </w:r>
          </w:p>
        </w:tc>
        <w:tc>
          <w:tcPr>
            <w:tcW w:w="9680" w:type="dxa"/>
            <w:vAlign w:val="bottom"/>
          </w:tcPr>
          <w:p>
            <w:pPr>
              <w:ind w:left="20"/>
              <w:spacing w:after="0"/>
              <w:rPr>
                <w:sz w:val="20"/>
                <w:szCs w:val="20"/>
                <w:color w:val="auto"/>
              </w:rPr>
            </w:pPr>
            <w:r>
              <w:rPr>
                <w:rFonts w:ascii="Arial" w:cs="Arial" w:eastAsia="Arial" w:hAnsi="Arial"/>
                <w:sz w:val="18"/>
                <w:szCs w:val="18"/>
                <w:color w:val="auto"/>
              </w:rPr>
              <w:t>XBRL Taxonomy Extension Definition Linkbase Document</w:t>
            </w:r>
          </w:p>
        </w:tc>
      </w:tr>
    </w:tbl>
    <w:p>
      <w:pPr>
        <w:spacing w:after="0" w:line="350" w:lineRule="exact"/>
        <w:rPr>
          <w:sz w:val="20"/>
          <w:szCs w:val="20"/>
          <w:color w:val="auto"/>
        </w:rPr>
      </w:pPr>
    </w:p>
    <w:p>
      <w:pPr>
        <w:ind w:left="840" w:hanging="805"/>
        <w:spacing w:after="0"/>
        <w:tabs>
          <w:tab w:leader="none" w:pos="840" w:val="left"/>
        </w:tabs>
        <w:numPr>
          <w:ilvl w:val="0"/>
          <w:numId w:val="7"/>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63" w:lineRule="exact"/>
        <w:rPr>
          <w:sz w:val="20"/>
          <w:szCs w:val="20"/>
          <w:color w:val="auto"/>
        </w:rPr>
      </w:pPr>
    </w:p>
    <w:p>
      <w:pPr>
        <w:ind w:left="840" w:hanging="805"/>
        <w:spacing w:after="0"/>
        <w:tabs>
          <w:tab w:leader="none" w:pos="840" w:val="left"/>
        </w:tabs>
        <w:numPr>
          <w:ilvl w:val="0"/>
          <w:numId w:val="8"/>
        </w:numPr>
        <w:rPr>
          <w:rFonts w:ascii="Arial" w:cs="Arial" w:eastAsia="Arial" w:hAnsi="Arial"/>
          <w:sz w:val="18"/>
          <w:szCs w:val="18"/>
          <w:color w:val="auto"/>
        </w:rPr>
      </w:pPr>
      <w:r>
        <w:rPr>
          <w:rFonts w:ascii="Arial" w:cs="Arial" w:eastAsia="Arial" w:hAnsi="Arial"/>
          <w:sz w:val="18"/>
          <w:szCs w:val="18"/>
          <w:color w:val="auto"/>
        </w:rPr>
        <w:t>Furnished herewith.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324" w:right="23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SIGNATURES</w:t>
      </w:r>
    </w:p>
    <w:p>
      <w:pPr>
        <w:spacing w:after="0" w:line="18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TIMKENSTEEL CORPORATION</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40"/>
        <w:spacing w:after="0"/>
        <w:tabs>
          <w:tab w:leader="none" w:pos="700" w:val="left"/>
          <w:tab w:leader="none" w:pos="584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May 4, 2016</w:t>
      </w:r>
      <w:r>
        <w:rPr>
          <w:sz w:val="20"/>
          <w:szCs w:val="20"/>
          <w:color w:val="auto"/>
        </w:rPr>
        <w:tab/>
      </w:r>
      <w:r>
        <w:rPr>
          <w:rFonts w:ascii="Arial" w:cs="Arial" w:eastAsia="Arial" w:hAnsi="Arial"/>
          <w:sz w:val="16"/>
          <w:szCs w:val="16"/>
          <w:color w:val="auto"/>
        </w:rPr>
        <w:t>/s/ Christopher J. Holding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31750</wp:posOffset>
            </wp:positionV>
            <wp:extent cx="355028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57"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Christopher J. Holding</w:t>
      </w:r>
    </w:p>
    <w:p>
      <w:pPr>
        <w:spacing w:after="0" w:line="23"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Executive Vice President and Chief Financial Officer</w:t>
      </w:r>
    </w:p>
    <w:p>
      <w:pPr>
        <w:spacing w:after="0" w:line="9"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0940"/>
          </w:cols>
          <w:pgMar w:left="240" w:top="341" w:right="719" w:bottom="1440" w:gutter="0" w:footer="0" w:header="0"/>
        </w:sectPr>
      </w:pPr>
    </w:p>
    <w:bookmarkStart w:id="29" w:name="page30"/>
    <w:bookmarkEnd w:id="29"/>
    <w:tbl>
      <w:tblPr>
        <w:tblLayout w:type="fixed"/>
        <w:tblInd w:w="0" w:type="dxa"/>
        <w:tblCellMar>
          <w:top w:w="0" w:type="dxa"/>
          <w:left w:w="0" w:type="dxa"/>
          <w:bottom w:w="0" w:type="dxa"/>
          <w:right w:w="0" w:type="dxa"/>
        </w:tblCellMar>
      </w:tblPr>
      <w:tr>
        <w:trPr>
          <w:trHeight w:val="207"/>
        </w:trPr>
        <w:tc>
          <w:tcPr>
            <w:tcW w:w="1720" w:type="dxa"/>
            <w:vAlign w:val="bottom"/>
            <w:gridSpan w:val="3"/>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Table of Contents</w:t>
              </w:r>
            </w:hyperlink>
          </w:p>
        </w:tc>
        <w:tc>
          <w:tcPr>
            <w:tcW w:w="9700" w:type="dxa"/>
            <w:vAlign w:val="bottom"/>
          </w:tcPr>
          <w:p>
            <w:pPr>
              <w:spacing w:after="0"/>
              <w:rPr>
                <w:sz w:val="17"/>
                <w:szCs w:val="17"/>
                <w:color w:val="auto"/>
              </w:rPr>
            </w:pPr>
          </w:p>
        </w:tc>
      </w:tr>
      <w:tr>
        <w:trPr>
          <w:trHeight w:val="480"/>
        </w:trPr>
        <w:tc>
          <w:tcPr>
            <w:tcW w:w="1280" w:type="dxa"/>
            <w:vAlign w:val="bottom"/>
            <w:tcBorders>
              <w:top w:val="single" w:sz="8" w:color="0000EE"/>
            </w:tcBorders>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700" w:type="dxa"/>
            <w:vAlign w:val="bottom"/>
          </w:tcPr>
          <w:p>
            <w:pPr>
              <w:ind w:left="3100"/>
              <w:spacing w:after="0"/>
              <w:rPr>
                <w:sz w:val="20"/>
                <w:szCs w:val="20"/>
                <w:color w:val="auto"/>
              </w:rPr>
            </w:pPr>
            <w:r>
              <w:rPr>
                <w:rFonts w:ascii="Arial" w:cs="Arial" w:eastAsia="Arial" w:hAnsi="Arial"/>
                <w:sz w:val="18"/>
                <w:szCs w:val="18"/>
                <w:b w:val="1"/>
                <w:bCs w:val="1"/>
                <w:color w:val="auto"/>
              </w:rPr>
              <w:t>INDEX TO EXHIBITS</w:t>
            </w:r>
          </w:p>
        </w:tc>
      </w:tr>
      <w:tr>
        <w:trPr>
          <w:trHeight w:val="554"/>
        </w:trPr>
        <w:tc>
          <w:tcPr>
            <w:tcW w:w="172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4"/>
              </w:rPr>
              <w:t>Exhibit Number</w:t>
            </w:r>
          </w:p>
        </w:tc>
        <w:tc>
          <w:tcPr>
            <w:tcW w:w="9700" w:type="dxa"/>
            <w:vAlign w:val="bottom"/>
          </w:tcPr>
          <w:p>
            <w:pPr>
              <w:ind w:left="40"/>
              <w:spacing w:after="0"/>
              <w:rPr>
                <w:sz w:val="20"/>
                <w:szCs w:val="20"/>
                <w:color w:val="auto"/>
              </w:rPr>
            </w:pPr>
            <w:r>
              <w:rPr>
                <w:rFonts w:ascii="Arial" w:cs="Arial" w:eastAsia="Arial" w:hAnsi="Arial"/>
                <w:sz w:val="18"/>
                <w:szCs w:val="18"/>
                <w:b w:val="1"/>
                <w:bCs w:val="1"/>
                <w:color w:val="auto"/>
              </w:rPr>
              <w:t>Exhibit Description</w:t>
            </w:r>
          </w:p>
        </w:tc>
      </w:tr>
      <w:tr>
        <w:trPr>
          <w:trHeight w:val="27"/>
        </w:trPr>
        <w:tc>
          <w:tcPr>
            <w:tcW w:w="12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700" w:type="dxa"/>
            <w:vAlign w:val="bottom"/>
            <w:tcBorders>
              <w:bottom w:val="single" w:sz="8" w:color="auto"/>
            </w:tcBorders>
          </w:tcPr>
          <w:p>
            <w:pPr>
              <w:spacing w:after="0"/>
              <w:rPr>
                <w:sz w:val="2"/>
                <w:szCs w:val="2"/>
                <w:color w:val="auto"/>
              </w:rPr>
            </w:pPr>
          </w:p>
        </w:tc>
      </w:tr>
      <w:tr>
        <w:trPr>
          <w:trHeight w:val="237"/>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12.1</w:t>
            </w: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Computation of Ratio of Earnings to Fixed Charges.</w:t>
            </w:r>
          </w:p>
        </w:tc>
      </w:tr>
      <w:tr>
        <w:trPr>
          <w:trHeight w:val="256"/>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31.1</w:t>
            </w:r>
          </w:p>
        </w:tc>
        <w:tc>
          <w:tcPr>
            <w:tcW w:w="3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w w:val="92"/>
              </w:rPr>
              <w:t>Certification of the Chief Executive Officer pursuant to Rule 13a-14 of the Exchange Act, as adopted, pursuant to Section 302 of the</w:t>
            </w:r>
          </w:p>
        </w:tc>
      </w:tr>
      <w:tr>
        <w:trPr>
          <w:trHeight w:val="230"/>
        </w:trPr>
        <w:tc>
          <w:tcPr>
            <w:tcW w:w="1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Sarbanes-Oxley Act of 2002.</w:t>
            </w:r>
          </w:p>
        </w:tc>
      </w:tr>
      <w:tr>
        <w:trPr>
          <w:trHeight w:val="256"/>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31.2</w:t>
            </w:r>
          </w:p>
        </w:tc>
        <w:tc>
          <w:tcPr>
            <w:tcW w:w="3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w w:val="92"/>
              </w:rPr>
              <w:t>Certification of the Chief Financial Officer pursuant to Rule 13a-14 of the Exchange Act, as adopted, pursuant to Section 302 of the</w:t>
            </w:r>
          </w:p>
        </w:tc>
      </w:tr>
      <w:tr>
        <w:trPr>
          <w:trHeight w:val="230"/>
        </w:trPr>
        <w:tc>
          <w:tcPr>
            <w:tcW w:w="1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Sarbanes-Oxley Act of 2002.</w:t>
            </w:r>
          </w:p>
        </w:tc>
      </w:tr>
      <w:tr>
        <w:trPr>
          <w:trHeight w:val="256"/>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32.1</w:t>
            </w:r>
          </w:p>
        </w:tc>
        <w:tc>
          <w:tcPr>
            <w:tcW w:w="3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w w:val="92"/>
              </w:rPr>
              <w:t>Certifications of Chief Executive Officer and Chief Financial Officer pursuant to 18 U.S.C. 1350, as adopted pursuant to Section 906</w:t>
            </w:r>
          </w:p>
        </w:tc>
      </w:tr>
      <w:tr>
        <w:trPr>
          <w:trHeight w:val="230"/>
        </w:trPr>
        <w:tc>
          <w:tcPr>
            <w:tcW w:w="1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of the Sarbanes-Oxley Act of 2002.</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5"/>
              </w:rPr>
              <w:t>101.INS</w:t>
            </w:r>
          </w:p>
        </w:tc>
        <w:tc>
          <w:tcPr>
            <w:tcW w:w="9700" w:type="dxa"/>
            <w:vAlign w:val="bottom"/>
          </w:tcPr>
          <w:p>
            <w:pPr>
              <w:ind w:left="40"/>
              <w:spacing w:after="0"/>
              <w:rPr>
                <w:sz w:val="20"/>
                <w:szCs w:val="20"/>
                <w:color w:val="auto"/>
              </w:rPr>
            </w:pPr>
            <w:r>
              <w:rPr>
                <w:rFonts w:ascii="Arial" w:cs="Arial" w:eastAsia="Arial" w:hAnsi="Arial"/>
                <w:sz w:val="18"/>
                <w:szCs w:val="18"/>
                <w:color w:val="auto"/>
              </w:rPr>
              <w:t>XBRL Instance Document</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0"/>
              </w:rPr>
              <w:t>101.SCH</w:t>
            </w:r>
          </w:p>
        </w:tc>
        <w:tc>
          <w:tcPr>
            <w:tcW w:w="9700" w:type="dxa"/>
            <w:vAlign w:val="bottom"/>
          </w:tcPr>
          <w:p>
            <w:pPr>
              <w:ind w:left="40"/>
              <w:spacing w:after="0"/>
              <w:rPr>
                <w:sz w:val="20"/>
                <w:szCs w:val="20"/>
                <w:color w:val="auto"/>
              </w:rPr>
            </w:pPr>
            <w:r>
              <w:rPr>
                <w:rFonts w:ascii="Arial" w:cs="Arial" w:eastAsia="Arial" w:hAnsi="Arial"/>
                <w:sz w:val="18"/>
                <w:szCs w:val="18"/>
                <w:color w:val="auto"/>
              </w:rPr>
              <w:t>XBRL Taxonomy Extension Schema Document</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1"/>
              </w:rPr>
              <w:t>101.PRE</w:t>
            </w:r>
          </w:p>
        </w:tc>
        <w:tc>
          <w:tcPr>
            <w:tcW w:w="9700" w:type="dxa"/>
            <w:vAlign w:val="bottom"/>
          </w:tcPr>
          <w:p>
            <w:pPr>
              <w:ind w:left="40"/>
              <w:spacing w:after="0"/>
              <w:rPr>
                <w:sz w:val="20"/>
                <w:szCs w:val="20"/>
                <w:color w:val="auto"/>
              </w:rPr>
            </w:pPr>
            <w:r>
              <w:rPr>
                <w:rFonts w:ascii="Arial" w:cs="Arial" w:eastAsia="Arial" w:hAnsi="Arial"/>
                <w:sz w:val="18"/>
                <w:szCs w:val="18"/>
                <w:color w:val="auto"/>
              </w:rPr>
              <w:t>XBRL Taxonomy Extension Presentation Linkbase Document</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4"/>
              </w:rPr>
              <w:t>101.CAL</w:t>
            </w:r>
          </w:p>
        </w:tc>
        <w:tc>
          <w:tcPr>
            <w:tcW w:w="9700" w:type="dxa"/>
            <w:vAlign w:val="bottom"/>
          </w:tcPr>
          <w:p>
            <w:pPr>
              <w:ind w:left="40"/>
              <w:spacing w:after="0"/>
              <w:rPr>
                <w:sz w:val="20"/>
                <w:szCs w:val="20"/>
                <w:color w:val="auto"/>
              </w:rPr>
            </w:pPr>
            <w:r>
              <w:rPr>
                <w:rFonts w:ascii="Arial" w:cs="Arial" w:eastAsia="Arial" w:hAnsi="Arial"/>
                <w:sz w:val="18"/>
                <w:szCs w:val="18"/>
                <w:color w:val="auto"/>
              </w:rPr>
              <w:t>XBRL Taxonomy Extension Calculation Linkbase Document</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5"/>
              </w:rPr>
              <w:t>101.LAB</w:t>
            </w:r>
          </w:p>
        </w:tc>
        <w:tc>
          <w:tcPr>
            <w:tcW w:w="9700" w:type="dxa"/>
            <w:vAlign w:val="bottom"/>
          </w:tcPr>
          <w:p>
            <w:pPr>
              <w:ind w:left="40"/>
              <w:spacing w:after="0"/>
              <w:rPr>
                <w:sz w:val="20"/>
                <w:szCs w:val="20"/>
                <w:color w:val="auto"/>
              </w:rPr>
            </w:pPr>
            <w:r>
              <w:rPr>
                <w:rFonts w:ascii="Arial" w:cs="Arial" w:eastAsia="Arial" w:hAnsi="Arial"/>
                <w:sz w:val="18"/>
                <w:szCs w:val="18"/>
                <w:color w:val="auto"/>
              </w:rPr>
              <w:t>XBRL Taxonomy Extension Label Linkbase Document</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2"/>
              </w:rPr>
              <w:t>101.DEF</w:t>
            </w:r>
          </w:p>
        </w:tc>
        <w:tc>
          <w:tcPr>
            <w:tcW w:w="9700" w:type="dxa"/>
            <w:vAlign w:val="bottom"/>
          </w:tcPr>
          <w:p>
            <w:pPr>
              <w:ind w:left="40"/>
              <w:spacing w:after="0"/>
              <w:rPr>
                <w:sz w:val="20"/>
                <w:szCs w:val="20"/>
                <w:color w:val="auto"/>
              </w:rPr>
            </w:pPr>
            <w:r>
              <w:rPr>
                <w:rFonts w:ascii="Arial" w:cs="Arial" w:eastAsia="Arial" w:hAnsi="Arial"/>
                <w:sz w:val="18"/>
                <w:szCs w:val="18"/>
                <w:color w:val="auto"/>
              </w:rPr>
              <w:t>XBRL Taxonomy Extension Definition Linkbase Document</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29</w:t>
      </w:r>
    </w:p>
    <w:sectPr>
      <w:pgSz w:w="11900" w:h="16838" w:orient="portrait"/>
      <w:cols w:equalWidth="0" w:num="1">
        <w:col w:w="11420"/>
      </w:cols>
      <w:pgMar w:left="240" w:top="32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o"/>
      <w:numFmt w:val="bullet"/>
      <w:start w:val="1"/>
    </w:lvl>
  </w:abstractNum>
  <w:abstractNum w:abstractNumId="2">
    <w:nsid w:val="3D1B58BA"/>
    <w:multiLevelType w:val="hybridMultilevel"/>
    <w:lvl w:ilvl="0">
      <w:lvlJc w:val="left"/>
      <w:lvlText w:val="(%1)"/>
      <w:numFmt w:val="lowerRoman"/>
      <w:start w:val="7"/>
    </w:lvl>
  </w:abstractNum>
  <w:abstractNum w:abstractNumId="3">
    <w:nsid w:val="507ED7AB"/>
    <w:multiLevelType w:val="hybridMultilevel"/>
    <w:lvl w:ilvl="0">
      <w:lvlJc w:val="left"/>
      <w:lvlText w:val="•"/>
      <w:numFmt w:val="bullet"/>
      <w:start w:val="1"/>
    </w:lvl>
  </w:abstractNum>
  <w:abstractNum w:abstractNumId="4">
    <w:nsid w:val="2EB141F2"/>
    <w:multiLevelType w:val="hybridMultilevel"/>
    <w:lvl w:ilvl="0">
      <w:lvlJc w:val="left"/>
      <w:lvlText w:val="(%1)"/>
      <w:numFmt w:val="lowerLetter"/>
      <w:start w:val="1"/>
    </w:lvl>
  </w:abstractNum>
  <w:abstractNum w:abstractNumId="5">
    <w:nsid w:val="41B71EFB"/>
    <w:multiLevelType w:val="hybridMultilevel"/>
    <w:lvl w:ilvl="0">
      <w:lvlJc w:val="left"/>
      <w:lvlText w:val="(%1)"/>
      <w:numFmt w:val="decimal"/>
      <w:start w:val="1"/>
    </w:lvl>
  </w:abstractNum>
  <w:abstractNum w:abstractNumId="6">
    <w:nsid w:val="79E2A9E3"/>
    <w:multiLevelType w:val="hybridMultilevel"/>
    <w:lvl w:ilvl="0">
      <w:lvlJc w:val="left"/>
      <w:lvlText w:val="*"/>
      <w:numFmt w:val="bullet"/>
      <w:start w:val="1"/>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2020-01-20T11:01:07Z</dcterms:created>
  <dcterms:modified xsi:type="dcterms:W3CDTF">2020-01-20T11:01:07Z</dcterms:modified>
</cp:coreProperties>
</file>