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5"/>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55"/>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55"/>
        <w:spacing w:after="0"/>
        <w:rPr>
          <w:sz w:val="20"/>
          <w:szCs w:val="20"/>
          <w:color w:val="auto"/>
        </w:rPr>
      </w:pPr>
      <w:r>
        <w:rPr>
          <w:rFonts w:ascii="Arial" w:cs="Arial" w:eastAsia="Arial" w:hAnsi="Arial"/>
          <w:sz w:val="22"/>
          <w:szCs w:val="22"/>
          <w:b w:val="1"/>
          <w:bCs w:val="1"/>
          <w:color w:val="auto"/>
        </w:rPr>
        <w:t>WASHINGTON, D.C. 20549</w:t>
      </w:r>
    </w:p>
    <w:p>
      <w:pPr>
        <w:spacing w:after="0" w:line="250" w:lineRule="exact"/>
        <w:rPr>
          <w:sz w:val="24"/>
          <w:szCs w:val="24"/>
          <w:color w:val="auto"/>
        </w:rPr>
      </w:pPr>
    </w:p>
    <w:p>
      <w:pPr>
        <w:jc w:val="center"/>
        <w:ind w:right="-55"/>
        <w:spacing w:after="0"/>
        <w:rPr>
          <w:sz w:val="20"/>
          <w:szCs w:val="20"/>
          <w:color w:val="auto"/>
        </w:rPr>
      </w:pPr>
      <w:r>
        <w:rPr>
          <w:rFonts w:ascii="Arial" w:cs="Arial" w:eastAsia="Arial" w:hAnsi="Arial"/>
          <w:sz w:val="32"/>
          <w:szCs w:val="32"/>
          <w:b w:val="1"/>
          <w:bCs w:val="1"/>
          <w:color w:val="auto"/>
        </w:rPr>
        <w:t>FORM 11-K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381635</wp:posOffset>
            </wp:positionH>
            <wp:positionV relativeFrom="paragraph">
              <wp:posOffset>41275</wp:posOffset>
            </wp:positionV>
            <wp:extent cx="619188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191885" cy="8890"/>
                    </a:xfrm>
                    <a:prstGeom prst="rect">
                      <a:avLst/>
                    </a:prstGeom>
                    <a:noFill/>
                  </pic:spPr>
                </pic:pic>
              </a:graphicData>
            </a:graphic>
          </wp:anchor>
        </w:drawing>
        <w:drawing>
          <wp:anchor simplePos="0" relativeHeight="251657728" behindDoc="1" locked="0" layoutInCell="0" allowOverlap="1">
            <wp:simplePos x="0" y="0"/>
            <wp:positionH relativeFrom="column">
              <wp:posOffset>381635</wp:posOffset>
            </wp:positionH>
            <wp:positionV relativeFrom="paragraph">
              <wp:posOffset>-232410</wp:posOffset>
            </wp:positionV>
            <wp:extent cx="619188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191885" cy="8890"/>
                    </a:xfrm>
                    <a:prstGeom prst="rect">
                      <a:avLst/>
                    </a:prstGeom>
                    <a:noFill/>
                  </pic:spPr>
                </pic:pic>
              </a:graphicData>
            </a:graphic>
          </wp:anchor>
        </w:drawing>
      </w:r>
    </w:p>
    <w:p>
      <w:pPr>
        <w:spacing w:after="0" w:line="200" w:lineRule="exact"/>
        <w:rPr>
          <w:sz w:val="24"/>
          <w:szCs w:val="24"/>
          <w:color w:val="auto"/>
        </w:rPr>
      </w:pPr>
    </w:p>
    <w:p>
      <w:pPr>
        <w:spacing w:after="0" w:line="331" w:lineRule="exact"/>
        <w:rPr>
          <w:sz w:val="24"/>
          <w:szCs w:val="24"/>
          <w:color w:val="auto"/>
        </w:rPr>
      </w:pPr>
    </w:p>
    <w:p>
      <w:pPr>
        <w:ind w:left="376" w:hanging="376"/>
        <w:spacing w:after="0"/>
        <w:tabs>
          <w:tab w:leader="none" w:pos="376" w:val="left"/>
        </w:tabs>
        <w:numPr>
          <w:ilvl w:val="0"/>
          <w:numId w:val="1"/>
        </w:numPr>
        <w:rPr>
          <w:rFonts w:ascii="Arial" w:cs="Arial" w:eastAsia="Arial" w:hAnsi="Arial"/>
          <w:sz w:val="22"/>
          <w:szCs w:val="22"/>
          <w:color w:val="auto"/>
        </w:rPr>
      </w:pPr>
      <w:r>
        <w:rPr>
          <w:rFonts w:ascii="Arial" w:cs="Arial" w:eastAsia="Arial" w:hAnsi="Arial"/>
          <w:sz w:val="22"/>
          <w:szCs w:val="22"/>
          <w:b w:val="1"/>
          <w:bCs w:val="1"/>
          <w:color w:val="auto"/>
        </w:rPr>
        <w:t>ANNUAL REPORT PURSUANT TO SECTION 15(d) OF THE SECURITIES EXCHANGE ACT OF 1934</w:t>
      </w:r>
    </w:p>
    <w:p>
      <w:pPr>
        <w:spacing w:after="0" w:line="71" w:lineRule="exact"/>
        <w:rPr>
          <w:sz w:val="24"/>
          <w:szCs w:val="24"/>
          <w:color w:val="auto"/>
        </w:rPr>
      </w:pPr>
    </w:p>
    <w:p>
      <w:pPr>
        <w:jc w:val="center"/>
        <w:ind w:right="-55"/>
        <w:spacing w:after="0"/>
        <w:rPr>
          <w:sz w:val="20"/>
          <w:szCs w:val="20"/>
          <w:color w:val="auto"/>
        </w:rPr>
      </w:pPr>
      <w:r>
        <w:rPr>
          <w:rFonts w:ascii="Arial" w:cs="Arial" w:eastAsia="Arial" w:hAnsi="Arial"/>
          <w:sz w:val="16"/>
          <w:szCs w:val="16"/>
          <w:b w:val="1"/>
          <w:bCs w:val="1"/>
          <w:color w:val="auto"/>
        </w:rPr>
        <w:t>For the six months ended 12/31/2014</w:t>
      </w:r>
    </w:p>
    <w:p>
      <w:pPr>
        <w:spacing w:after="0" w:line="86" w:lineRule="exact"/>
        <w:rPr>
          <w:sz w:val="24"/>
          <w:szCs w:val="24"/>
          <w:color w:val="auto"/>
        </w:rPr>
      </w:pPr>
    </w:p>
    <w:p>
      <w:pPr>
        <w:jc w:val="center"/>
        <w:ind w:right="-55"/>
        <w:spacing w:after="0"/>
        <w:rPr>
          <w:sz w:val="20"/>
          <w:szCs w:val="20"/>
          <w:color w:val="auto"/>
        </w:rPr>
      </w:pPr>
      <w:r>
        <w:rPr>
          <w:rFonts w:ascii="Arial" w:cs="Arial" w:eastAsia="Arial" w:hAnsi="Arial"/>
          <w:sz w:val="16"/>
          <w:szCs w:val="16"/>
          <w:b w:val="1"/>
          <w:bCs w:val="1"/>
          <w:color w:val="auto"/>
        </w:rPr>
        <w:t>OR</w:t>
      </w:r>
    </w:p>
    <w:p>
      <w:pPr>
        <w:spacing w:after="0" w:line="194" w:lineRule="exact"/>
        <w:rPr>
          <w:sz w:val="24"/>
          <w:szCs w:val="24"/>
          <w:color w:val="auto"/>
        </w:rPr>
      </w:pPr>
    </w:p>
    <w:p>
      <w:pPr>
        <w:ind w:left="376" w:hanging="376"/>
        <w:spacing w:after="0"/>
        <w:tabs>
          <w:tab w:leader="none" w:pos="376" w:val="left"/>
        </w:tabs>
        <w:numPr>
          <w:ilvl w:val="0"/>
          <w:numId w:val="2"/>
        </w:numPr>
        <w:rPr>
          <w:rFonts w:ascii="Arial" w:cs="Arial" w:eastAsia="Arial" w:hAnsi="Arial"/>
          <w:sz w:val="21"/>
          <w:szCs w:val="21"/>
          <w:color w:val="auto"/>
        </w:rPr>
      </w:pPr>
      <w:r>
        <w:rPr>
          <w:rFonts w:ascii="Arial" w:cs="Arial" w:eastAsia="Arial" w:hAnsi="Arial"/>
          <w:sz w:val="21"/>
          <w:szCs w:val="21"/>
          <w:b w:val="1"/>
          <w:bCs w:val="1"/>
          <w:color w:val="auto"/>
        </w:rPr>
        <w:t>TRANSITION REPORT PURSUANT TO SECTION 15(d) OF THE SECURITIES EXCHANGE ACT OF 1934</w:t>
      </w:r>
    </w:p>
    <w:p>
      <w:pPr>
        <w:spacing w:after="0" w:line="83" w:lineRule="exact"/>
        <w:rPr>
          <w:sz w:val="24"/>
          <w:szCs w:val="24"/>
          <w:color w:val="auto"/>
        </w:rPr>
      </w:pPr>
    </w:p>
    <w:p>
      <w:pPr>
        <w:jc w:val="center"/>
        <w:ind w:right="-55"/>
        <w:spacing w:after="0"/>
        <w:rPr>
          <w:sz w:val="20"/>
          <w:szCs w:val="20"/>
          <w:color w:val="auto"/>
        </w:rPr>
      </w:pPr>
      <w:r>
        <w:rPr>
          <w:rFonts w:ascii="Arial" w:cs="Arial" w:eastAsia="Arial" w:hAnsi="Arial"/>
          <w:sz w:val="16"/>
          <w:szCs w:val="16"/>
          <w:b w:val="1"/>
          <w:bCs w:val="1"/>
          <w:color w:val="auto"/>
        </w:rPr>
        <w:t>For the transition period from</w:t>
      </w:r>
    </w:p>
    <w:p>
      <w:pPr>
        <w:spacing w:after="0" w:line="86" w:lineRule="exact"/>
        <w:rPr>
          <w:sz w:val="24"/>
          <w:szCs w:val="24"/>
          <w:color w:val="auto"/>
        </w:rPr>
      </w:pPr>
    </w:p>
    <w:p>
      <w:pPr>
        <w:jc w:val="center"/>
        <w:ind w:right="-55"/>
        <w:spacing w:after="0"/>
        <w:rPr>
          <w:sz w:val="20"/>
          <w:szCs w:val="20"/>
          <w:color w:val="auto"/>
        </w:rPr>
      </w:pPr>
      <w:r>
        <w:rPr>
          <w:rFonts w:ascii="Arial" w:cs="Arial" w:eastAsia="Arial" w:hAnsi="Arial"/>
          <w:sz w:val="16"/>
          <w:szCs w:val="16"/>
          <w:b w:val="1"/>
          <w:bCs w:val="1"/>
          <w:color w:val="auto"/>
        </w:rPr>
        <w:t>Commission file number: 1-36313</w:t>
      </w:r>
    </w:p>
    <w:p>
      <w:pPr>
        <w:spacing w:after="0" w:line="200" w:lineRule="exact"/>
        <w:rPr>
          <w:sz w:val="24"/>
          <w:szCs w:val="24"/>
          <w:color w:val="auto"/>
        </w:rPr>
      </w:pPr>
    </w:p>
    <w:p>
      <w:pPr>
        <w:spacing w:after="0" w:line="289" w:lineRule="exact"/>
        <w:rPr>
          <w:sz w:val="24"/>
          <w:szCs w:val="24"/>
          <w:color w:val="auto"/>
        </w:rPr>
      </w:pPr>
    </w:p>
    <w:p>
      <w:pPr>
        <w:jc w:val="center"/>
        <w:ind w:left="540"/>
        <w:spacing w:after="0" w:line="253" w:lineRule="auto"/>
        <w:rPr>
          <w:sz w:val="20"/>
          <w:szCs w:val="20"/>
          <w:color w:val="auto"/>
        </w:rPr>
      </w:pPr>
      <w:r>
        <w:rPr>
          <w:rFonts w:ascii="Arial" w:cs="Arial" w:eastAsia="Arial" w:hAnsi="Arial"/>
          <w:sz w:val="43"/>
          <w:szCs w:val="43"/>
          <w:b w:val="1"/>
          <w:bCs w:val="1"/>
          <w:color w:val="auto"/>
        </w:rPr>
        <w:t>TIMKENSTEEL CORPORATION SAVINGS PLAN FOR CERTAIN BARGAINING EMPLOYEES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-149225</wp:posOffset>
            </wp:positionH>
            <wp:positionV relativeFrom="paragraph">
              <wp:posOffset>-659765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jc w:val="center"/>
        <w:ind w:right="-55"/>
        <w:spacing w:after="0"/>
        <w:rPr>
          <w:sz w:val="20"/>
          <w:szCs w:val="20"/>
          <w:color w:val="auto"/>
        </w:rPr>
      </w:pPr>
      <w:r>
        <w:rPr>
          <w:rFonts w:ascii="Arial" w:cs="Arial" w:eastAsia="Arial" w:hAnsi="Arial"/>
          <w:sz w:val="18"/>
          <w:szCs w:val="18"/>
          <w:b w:val="1"/>
          <w:bCs w:val="1"/>
          <w:color w:val="auto"/>
        </w:rPr>
        <w:t>(Full title of the Plan)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-149225</wp:posOffset>
            </wp:positionH>
            <wp:positionV relativeFrom="paragraph">
              <wp:posOffset>21590</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48" w:lineRule="exact"/>
        <w:rPr>
          <w:sz w:val="24"/>
          <w:szCs w:val="24"/>
          <w:color w:val="auto"/>
        </w:rPr>
      </w:pPr>
    </w:p>
    <w:p>
      <w:pPr>
        <w:jc w:val="center"/>
        <w:ind w:right="-55"/>
        <w:spacing w:after="0"/>
        <w:rPr>
          <w:sz w:val="20"/>
          <w:szCs w:val="20"/>
          <w:color w:val="auto"/>
        </w:rPr>
      </w:pPr>
      <w:r>
        <w:rPr>
          <w:rFonts w:ascii="Arial" w:cs="Arial" w:eastAsia="Arial" w:hAnsi="Arial"/>
          <w:sz w:val="36"/>
          <w:szCs w:val="36"/>
          <w:b w:val="1"/>
          <w:bCs w:val="1"/>
          <w:color w:val="auto"/>
        </w:rPr>
        <w:t>TIMKENSTEEL CORPORATION</w:t>
      </w:r>
    </w:p>
    <w:p>
      <w:pPr>
        <w:spacing w:after="0" w:line="59" w:lineRule="exact"/>
        <w:rPr>
          <w:sz w:val="24"/>
          <w:szCs w:val="24"/>
          <w:color w:val="auto"/>
        </w:rPr>
      </w:pPr>
    </w:p>
    <w:p>
      <w:pPr>
        <w:jc w:val="center"/>
        <w:ind w:right="-55"/>
        <w:spacing w:after="0"/>
        <w:rPr>
          <w:sz w:val="20"/>
          <w:szCs w:val="20"/>
          <w:color w:val="auto"/>
        </w:rPr>
      </w:pPr>
      <w:r>
        <w:rPr>
          <w:rFonts w:ascii="Arial" w:cs="Arial" w:eastAsia="Arial" w:hAnsi="Arial"/>
          <w:sz w:val="36"/>
          <w:szCs w:val="36"/>
          <w:b w:val="1"/>
          <w:bCs w:val="1"/>
          <w:color w:val="auto"/>
        </w:rPr>
        <w:t>1835 Dueber Avenue SW, Canton, OH 44706</w:t>
      </w:r>
    </w:p>
    <w:p>
      <w:pPr>
        <w:spacing w:after="0" w:line="79" w:lineRule="exact"/>
        <w:rPr>
          <w:sz w:val="24"/>
          <w:szCs w:val="24"/>
          <w:color w:val="auto"/>
        </w:rPr>
      </w:pPr>
    </w:p>
    <w:p>
      <w:pPr>
        <w:jc w:val="center"/>
        <w:ind w:right="-55"/>
        <w:spacing w:after="0"/>
        <w:rPr>
          <w:sz w:val="20"/>
          <w:szCs w:val="20"/>
          <w:color w:val="auto"/>
        </w:rPr>
      </w:pPr>
      <w:r>
        <w:rPr>
          <w:rFonts w:ascii="Arial" w:cs="Arial" w:eastAsia="Arial" w:hAnsi="Arial"/>
          <w:sz w:val="18"/>
          <w:szCs w:val="18"/>
          <w:b w:val="1"/>
          <w:bCs w:val="1"/>
          <w:color w:val="auto"/>
        </w:rPr>
        <w:t>(Name of issuer of the securities held pursuant to the Plan and address of its principal executive office)</w:t>
      </w:r>
    </w:p>
    <w:p>
      <w:pPr>
        <w:sectPr>
          <w:pgSz w:w="11900" w:h="16838" w:orient="portrait"/>
          <w:cols w:equalWidth="0" w:num="1">
            <w:col w:w="10896"/>
          </w:cols>
          <w:pgMar w:left="484" w:top="220" w:right="519" w:bottom="1440" w:gutter="0" w:footer="0" w:header="0"/>
        </w:sectPr>
      </w:pPr>
    </w:p>
    <w:bookmarkStart w:id="1" w:name="page2"/>
    <w:bookmarkEnd w:id="1"/>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ind w:left="3880"/>
        <w:spacing w:after="0"/>
        <w:rPr>
          <w:sz w:val="20"/>
          <w:szCs w:val="20"/>
          <w:color w:val="auto"/>
        </w:rPr>
      </w:pPr>
      <w:r>
        <w:rPr>
          <w:rFonts w:ascii="Arial" w:cs="Arial" w:eastAsia="Arial" w:hAnsi="Arial"/>
          <w:sz w:val="22"/>
          <w:szCs w:val="22"/>
          <w:b w:val="1"/>
          <w:bCs w:val="1"/>
          <w:color w:val="auto"/>
        </w:rPr>
        <w:t>TimkenSteel Corporation Savings Plan</w:t>
      </w:r>
    </w:p>
    <w:p>
      <w:pPr>
        <w:spacing w:after="0" w:line="28" w:lineRule="exact"/>
        <w:rPr>
          <w:sz w:val="20"/>
          <w:szCs w:val="20"/>
          <w:color w:val="auto"/>
        </w:rPr>
      </w:pPr>
    </w:p>
    <w:p>
      <w:pPr>
        <w:ind w:left="4120"/>
        <w:spacing w:after="0"/>
        <w:rPr>
          <w:sz w:val="20"/>
          <w:szCs w:val="20"/>
          <w:color w:val="auto"/>
        </w:rPr>
      </w:pPr>
      <w:r>
        <w:rPr>
          <w:rFonts w:ascii="Arial" w:cs="Arial" w:eastAsia="Arial" w:hAnsi="Arial"/>
          <w:sz w:val="22"/>
          <w:szCs w:val="22"/>
          <w:b w:val="1"/>
          <w:bCs w:val="1"/>
          <w:color w:val="auto"/>
        </w:rPr>
        <w:t>for Certain Bargaining Employees</w:t>
      </w:r>
    </w:p>
    <w:p>
      <w:pPr>
        <w:spacing w:after="0" w:line="155"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Unaudited Financial Statements</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December 31, 2014 and Six Months Ended December 31, 2014</w:t>
      </w:r>
    </w:p>
    <w:p>
      <w:pPr>
        <w:spacing w:after="0" w:line="155"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Table of Contents</w:t>
      </w:r>
    </w:p>
    <w:p>
      <w:pPr>
        <w:spacing w:after="0" w:line="334" w:lineRule="exact"/>
        <w:rPr>
          <w:sz w:val="20"/>
          <w:szCs w:val="20"/>
          <w:color w:val="auto"/>
        </w:rPr>
      </w:pPr>
    </w:p>
    <w:tbl>
      <w:tblPr>
        <w:tblLayout w:type="fixed"/>
        <w:tblInd w:w="0" w:type="dxa"/>
        <w:tblCellMar>
          <w:top w:w="0" w:type="dxa"/>
          <w:left w:w="0" w:type="dxa"/>
          <w:bottom w:w="0" w:type="dxa"/>
          <w:right w:w="0" w:type="dxa"/>
        </w:tblCellMar>
      </w:tblPr>
      <w:tr>
        <w:trPr>
          <w:trHeight w:val="283"/>
        </w:trPr>
        <w:tc>
          <w:tcPr>
            <w:tcW w:w="4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460" w:type="dxa"/>
            <w:vAlign w:val="bottom"/>
          </w:tcPr>
          <w:p>
            <w:pPr>
              <w:spacing w:after="0"/>
              <w:rPr>
                <w:sz w:val="24"/>
                <w:szCs w:val="24"/>
                <w:color w:val="auto"/>
              </w:rPr>
            </w:pPr>
          </w:p>
        </w:tc>
        <w:tc>
          <w:tcPr>
            <w:tcW w:w="3860" w:type="dxa"/>
            <w:vAlign w:val="bottom"/>
            <w:gridSpan w:val="3"/>
          </w:tcPr>
          <w:p>
            <w:pPr>
              <w:jc w:val="center"/>
              <w:ind w:left="1472"/>
              <w:spacing w:after="0"/>
              <w:rPr>
                <w:sz w:val="20"/>
                <w:szCs w:val="20"/>
                <w:color w:val="auto"/>
              </w:rPr>
            </w:pPr>
            <w:r>
              <w:rPr>
                <w:rFonts w:ascii="Arial" w:cs="Arial" w:eastAsia="Arial" w:hAnsi="Arial"/>
                <w:sz w:val="22"/>
                <w:szCs w:val="22"/>
                <w:color w:val="auto"/>
                <w:w w:val="91"/>
              </w:rPr>
              <w:t>PAGE</w:t>
            </w:r>
          </w:p>
        </w:tc>
      </w:tr>
      <w:tr>
        <w:trPr>
          <w:trHeight w:val="306"/>
        </w:trPr>
        <w:tc>
          <w:tcPr>
            <w:tcW w:w="40" w:type="dxa"/>
            <w:vAlign w:val="bottom"/>
            <w:shd w:val="clear" w:color="auto" w:fill="CCEEFF"/>
          </w:tcPr>
          <w:p>
            <w:pPr>
              <w:spacing w:after="0"/>
              <w:rPr>
                <w:sz w:val="24"/>
                <w:szCs w:val="24"/>
                <w:color w:val="auto"/>
              </w:rPr>
            </w:pPr>
          </w:p>
        </w:tc>
        <w:tc>
          <w:tcPr>
            <w:tcW w:w="7520" w:type="dxa"/>
            <w:vAlign w:val="bottom"/>
            <w:gridSpan w:val="4"/>
            <w:shd w:val="clear" w:color="auto" w:fill="CCEEFF"/>
          </w:tcPr>
          <w:p>
            <w:pPr>
              <w:spacing w:after="0"/>
              <w:rPr>
                <w:sz w:val="20"/>
                <w:szCs w:val="20"/>
                <w:color w:val="auto"/>
              </w:rPr>
            </w:pPr>
            <w:r>
              <w:rPr>
                <w:rFonts w:ascii="Arial" w:cs="Arial" w:eastAsia="Arial" w:hAnsi="Arial"/>
                <w:sz w:val="22"/>
                <w:szCs w:val="22"/>
                <w:b w:val="1"/>
                <w:bCs w:val="1"/>
                <w:color w:val="auto"/>
              </w:rPr>
              <w:t>Financial Statements:</w:t>
            </w:r>
          </w:p>
        </w:tc>
        <w:tc>
          <w:tcPr>
            <w:tcW w:w="26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r>
      <w:tr>
        <w:trPr>
          <w:trHeight w:val="230"/>
        </w:trPr>
        <w:tc>
          <w:tcPr>
            <w:tcW w:w="40" w:type="dxa"/>
            <w:vAlign w:val="bottom"/>
          </w:tcPr>
          <w:p>
            <w:pPr>
              <w:spacing w:after="0"/>
              <w:rPr>
                <w:sz w:val="19"/>
                <w:szCs w:val="19"/>
                <w:color w:val="auto"/>
              </w:rPr>
            </w:pPr>
          </w:p>
        </w:tc>
        <w:tc>
          <w:tcPr>
            <w:tcW w:w="7520" w:type="dxa"/>
            <w:vAlign w:val="bottom"/>
            <w:gridSpan w:val="4"/>
          </w:tcPr>
          <w:p>
            <w:pPr>
              <w:spacing w:after="0" w:line="229" w:lineRule="exact"/>
              <w:rPr>
                <w:rFonts w:ascii="Arial" w:cs="Arial" w:eastAsia="Arial" w:hAnsi="Arial"/>
                <w:sz w:val="22"/>
                <w:szCs w:val="22"/>
                <w:color w:val="0000EE"/>
              </w:rPr>
            </w:pPr>
            <w:hyperlink w:anchor="page2">
              <w:r>
                <w:rPr>
                  <w:rFonts w:ascii="Arial" w:cs="Arial" w:eastAsia="Arial" w:hAnsi="Arial"/>
                  <w:sz w:val="22"/>
                  <w:szCs w:val="22"/>
                  <w:color w:val="0000EE"/>
                </w:rPr>
                <w:t>Statement of Net Assets Available for Benefits</w:t>
              </w:r>
            </w:hyperlink>
          </w:p>
        </w:tc>
        <w:tc>
          <w:tcPr>
            <w:tcW w:w="3860" w:type="dxa"/>
            <w:vAlign w:val="bottom"/>
            <w:gridSpan w:val="3"/>
          </w:tcPr>
          <w:p>
            <w:pPr>
              <w:jc w:val="center"/>
              <w:ind w:left="1472"/>
              <w:spacing w:after="0" w:line="229" w:lineRule="exact"/>
              <w:rPr>
                <w:rFonts w:ascii="Arial" w:cs="Arial" w:eastAsia="Arial" w:hAnsi="Arial"/>
                <w:sz w:val="22"/>
                <w:szCs w:val="22"/>
                <w:color w:val="0000EE"/>
                <w:w w:val="97"/>
              </w:rPr>
            </w:pPr>
            <w:hyperlink w:anchor="page2">
              <w:r>
                <w:rPr>
                  <w:rFonts w:ascii="Arial" w:cs="Arial" w:eastAsia="Arial" w:hAnsi="Arial"/>
                  <w:sz w:val="22"/>
                  <w:szCs w:val="22"/>
                  <w:color w:val="0000EE"/>
                  <w:w w:val="97"/>
                </w:rPr>
                <w:t>1</w:t>
              </w:r>
            </w:hyperlink>
          </w:p>
        </w:tc>
      </w:tr>
      <w:tr>
        <w:trPr>
          <w:trHeight w:val="48"/>
        </w:trPr>
        <w:tc>
          <w:tcPr>
            <w:tcW w:w="40" w:type="dxa"/>
            <w:vAlign w:val="bottom"/>
          </w:tcPr>
          <w:p>
            <w:pPr>
              <w:spacing w:after="0"/>
              <w:rPr>
                <w:sz w:val="4"/>
                <w:szCs w:val="4"/>
                <w:color w:val="auto"/>
              </w:rPr>
            </w:pPr>
          </w:p>
        </w:tc>
        <w:tc>
          <w:tcPr>
            <w:tcW w:w="2580" w:type="dxa"/>
            <w:vAlign w:val="bottom"/>
            <w:tcBorders>
              <w:top w:val="single" w:sz="8" w:color="0000EE"/>
            </w:tcBorders>
          </w:tcPr>
          <w:p>
            <w:pPr>
              <w:spacing w:after="0"/>
              <w:rPr>
                <w:sz w:val="4"/>
                <w:szCs w:val="4"/>
                <w:color w:val="auto"/>
              </w:rPr>
            </w:pPr>
          </w:p>
        </w:tc>
        <w:tc>
          <w:tcPr>
            <w:tcW w:w="1460" w:type="dxa"/>
            <w:vAlign w:val="bottom"/>
            <w:tcBorders>
              <w:top w:val="single" w:sz="8" w:color="0000EE"/>
            </w:tcBorders>
          </w:tcPr>
          <w:p>
            <w:pPr>
              <w:spacing w:after="0"/>
              <w:rPr>
                <w:sz w:val="4"/>
                <w:szCs w:val="4"/>
                <w:color w:val="auto"/>
              </w:rPr>
            </w:pPr>
          </w:p>
        </w:tc>
        <w:tc>
          <w:tcPr>
            <w:tcW w:w="1020" w:type="dxa"/>
            <w:vAlign w:val="bottom"/>
          </w:tcPr>
          <w:p>
            <w:pPr>
              <w:spacing w:after="0"/>
              <w:rPr>
                <w:sz w:val="4"/>
                <w:szCs w:val="4"/>
                <w:color w:val="auto"/>
              </w:rPr>
            </w:pPr>
          </w:p>
        </w:tc>
        <w:tc>
          <w:tcPr>
            <w:tcW w:w="2460" w:type="dxa"/>
            <w:vAlign w:val="bottom"/>
          </w:tcPr>
          <w:p>
            <w:pPr>
              <w:spacing w:after="0"/>
              <w:rPr>
                <w:sz w:val="4"/>
                <w:szCs w:val="4"/>
                <w:color w:val="auto"/>
              </w:rPr>
            </w:pPr>
          </w:p>
        </w:tc>
        <w:tc>
          <w:tcPr>
            <w:tcW w:w="2660" w:type="dxa"/>
            <w:vAlign w:val="bottom"/>
          </w:tcPr>
          <w:p>
            <w:pPr>
              <w:spacing w:after="0"/>
              <w:rPr>
                <w:sz w:val="4"/>
                <w:szCs w:val="4"/>
                <w:color w:val="auto"/>
              </w:rPr>
            </w:pPr>
          </w:p>
        </w:tc>
        <w:tc>
          <w:tcPr>
            <w:tcW w:w="120" w:type="dxa"/>
            <w:vAlign w:val="bottom"/>
            <w:tcBorders>
              <w:top w:val="single" w:sz="8" w:color="0000EE"/>
            </w:tcBorders>
          </w:tcPr>
          <w:p>
            <w:pPr>
              <w:spacing w:after="0"/>
              <w:rPr>
                <w:sz w:val="4"/>
                <w:szCs w:val="4"/>
                <w:color w:val="auto"/>
              </w:rPr>
            </w:pPr>
          </w:p>
        </w:tc>
        <w:tc>
          <w:tcPr>
            <w:tcW w:w="1080" w:type="dxa"/>
            <w:vAlign w:val="bottom"/>
          </w:tcPr>
          <w:p>
            <w:pPr>
              <w:spacing w:after="0"/>
              <w:rPr>
                <w:sz w:val="4"/>
                <w:szCs w:val="4"/>
                <w:color w:val="auto"/>
              </w:rPr>
            </w:pPr>
          </w:p>
        </w:tc>
      </w:tr>
      <w:tr>
        <w:trPr>
          <w:trHeight w:val="277"/>
        </w:trPr>
        <w:tc>
          <w:tcPr>
            <w:tcW w:w="40" w:type="dxa"/>
            <w:vAlign w:val="bottom"/>
            <w:tcBorders>
              <w:bottom w:val="single" w:sz="8" w:color="CCEEFF"/>
            </w:tcBorders>
            <w:shd w:val="clear" w:color="auto" w:fill="CCEEFF"/>
          </w:tcPr>
          <w:p>
            <w:pPr>
              <w:spacing w:after="0"/>
              <w:rPr>
                <w:sz w:val="24"/>
                <w:szCs w:val="24"/>
                <w:color w:val="auto"/>
              </w:rPr>
            </w:pPr>
          </w:p>
        </w:tc>
        <w:tc>
          <w:tcPr>
            <w:tcW w:w="5060" w:type="dxa"/>
            <w:vAlign w:val="bottom"/>
            <w:tcBorders>
              <w:bottom w:val="single" w:sz="8" w:color="0000EE"/>
            </w:tcBorders>
            <w:gridSpan w:val="3"/>
            <w:shd w:val="clear" w:color="auto" w:fill="CCEEFF"/>
          </w:tcPr>
          <w:p>
            <w:pPr>
              <w:spacing w:after="0" w:line="229" w:lineRule="exact"/>
              <w:rPr>
                <w:rFonts w:ascii="Arial" w:cs="Arial" w:eastAsia="Arial" w:hAnsi="Arial"/>
                <w:sz w:val="22"/>
                <w:szCs w:val="22"/>
                <w:color w:val="0000EE"/>
                <w:w w:val="88"/>
              </w:rPr>
            </w:pPr>
            <w:hyperlink w:anchor="page3">
              <w:r>
                <w:rPr>
                  <w:rFonts w:ascii="Arial" w:cs="Arial" w:eastAsia="Arial" w:hAnsi="Arial"/>
                  <w:sz w:val="22"/>
                  <w:szCs w:val="22"/>
                  <w:color w:val="0000EE"/>
                  <w:w w:val="88"/>
                </w:rPr>
                <w:t>Statement of Changes in Net Assets Available for Benefits</w:t>
              </w:r>
            </w:hyperlink>
          </w:p>
        </w:tc>
        <w:tc>
          <w:tcPr>
            <w:tcW w:w="2460" w:type="dxa"/>
            <w:vAlign w:val="bottom"/>
            <w:tcBorders>
              <w:bottom w:val="single" w:sz="8" w:color="CCEEFF"/>
            </w:tcBorders>
            <w:shd w:val="clear" w:color="auto" w:fill="CCEEFF"/>
          </w:tcPr>
          <w:p>
            <w:pPr>
              <w:spacing w:after="0"/>
              <w:rPr>
                <w:sz w:val="24"/>
                <w:szCs w:val="24"/>
                <w:color w:val="auto"/>
              </w:rPr>
            </w:pPr>
          </w:p>
        </w:tc>
        <w:tc>
          <w:tcPr>
            <w:tcW w:w="266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0000EE"/>
            </w:tcBorders>
            <w:shd w:val="clear" w:color="auto" w:fill="CCEEFF"/>
          </w:tcPr>
          <w:p>
            <w:pPr>
              <w:jc w:val="center"/>
              <w:spacing w:after="0" w:line="229" w:lineRule="exact"/>
              <w:rPr>
                <w:rFonts w:ascii="Arial" w:cs="Arial" w:eastAsia="Arial" w:hAnsi="Arial"/>
                <w:sz w:val="22"/>
                <w:szCs w:val="22"/>
                <w:color w:val="0000EE"/>
                <w:w w:val="97"/>
              </w:rPr>
            </w:pPr>
            <w:hyperlink w:anchor="page3">
              <w:r>
                <w:rPr>
                  <w:rFonts w:ascii="Arial" w:cs="Arial" w:eastAsia="Arial" w:hAnsi="Arial"/>
                  <w:sz w:val="22"/>
                  <w:szCs w:val="22"/>
                  <w:color w:val="0000EE"/>
                  <w:w w:val="97"/>
                </w:rPr>
                <w:t>2</w:t>
              </w:r>
            </w:hyperlink>
          </w:p>
        </w:tc>
        <w:tc>
          <w:tcPr>
            <w:tcW w:w="1080" w:type="dxa"/>
            <w:vAlign w:val="bottom"/>
            <w:tcBorders>
              <w:bottom w:val="single" w:sz="8" w:color="CCEEFF"/>
            </w:tcBorders>
            <w:shd w:val="clear" w:color="auto" w:fill="CCEEFF"/>
          </w:tcPr>
          <w:p>
            <w:pPr>
              <w:spacing w:after="0"/>
              <w:rPr>
                <w:sz w:val="24"/>
                <w:szCs w:val="24"/>
                <w:color w:val="auto"/>
              </w:rPr>
            </w:pPr>
          </w:p>
        </w:tc>
      </w:tr>
      <w:tr>
        <w:trPr>
          <w:trHeight w:val="230"/>
        </w:trPr>
        <w:tc>
          <w:tcPr>
            <w:tcW w:w="40" w:type="dxa"/>
            <w:vAlign w:val="bottom"/>
          </w:tcPr>
          <w:p>
            <w:pPr>
              <w:spacing w:after="0"/>
              <w:rPr>
                <w:sz w:val="19"/>
                <w:szCs w:val="19"/>
                <w:color w:val="auto"/>
              </w:rPr>
            </w:pPr>
          </w:p>
        </w:tc>
        <w:tc>
          <w:tcPr>
            <w:tcW w:w="7520" w:type="dxa"/>
            <w:vAlign w:val="bottom"/>
            <w:gridSpan w:val="4"/>
          </w:tcPr>
          <w:p>
            <w:pPr>
              <w:spacing w:after="0" w:line="229" w:lineRule="exact"/>
              <w:rPr>
                <w:rFonts w:ascii="Arial" w:cs="Arial" w:eastAsia="Arial" w:hAnsi="Arial"/>
                <w:sz w:val="22"/>
                <w:szCs w:val="22"/>
                <w:color w:val="0000EE"/>
              </w:rPr>
            </w:pPr>
            <w:hyperlink w:anchor="page4">
              <w:r>
                <w:rPr>
                  <w:rFonts w:ascii="Arial" w:cs="Arial" w:eastAsia="Arial" w:hAnsi="Arial"/>
                  <w:sz w:val="22"/>
                  <w:szCs w:val="22"/>
                  <w:color w:val="0000EE"/>
                </w:rPr>
                <w:t>Notes to Financial Statements</w:t>
              </w:r>
            </w:hyperlink>
          </w:p>
        </w:tc>
        <w:tc>
          <w:tcPr>
            <w:tcW w:w="3860" w:type="dxa"/>
            <w:vAlign w:val="bottom"/>
            <w:gridSpan w:val="3"/>
          </w:tcPr>
          <w:p>
            <w:pPr>
              <w:jc w:val="center"/>
              <w:ind w:left="1472"/>
              <w:spacing w:after="0" w:line="229" w:lineRule="exact"/>
              <w:rPr>
                <w:rFonts w:ascii="Arial" w:cs="Arial" w:eastAsia="Arial" w:hAnsi="Arial"/>
                <w:sz w:val="22"/>
                <w:szCs w:val="22"/>
                <w:color w:val="0000EE"/>
                <w:w w:val="97"/>
              </w:rPr>
            </w:pPr>
            <w:hyperlink w:anchor="page4">
              <w:r>
                <w:rPr>
                  <w:rFonts w:ascii="Arial" w:cs="Arial" w:eastAsia="Arial" w:hAnsi="Arial"/>
                  <w:sz w:val="22"/>
                  <w:szCs w:val="22"/>
                  <w:color w:val="0000EE"/>
                  <w:w w:val="97"/>
                </w:rPr>
                <w:t>3</w:t>
              </w:r>
            </w:hyperlink>
          </w:p>
        </w:tc>
      </w:tr>
      <w:tr>
        <w:trPr>
          <w:trHeight w:val="20"/>
        </w:trPr>
        <w:tc>
          <w:tcPr>
            <w:tcW w:w="40" w:type="dxa"/>
            <w:vAlign w:val="bottom"/>
          </w:tcPr>
          <w:p>
            <w:pPr>
              <w:spacing w:after="0" w:line="20" w:lineRule="exact"/>
              <w:rPr>
                <w:sz w:val="1"/>
                <w:szCs w:val="1"/>
                <w:color w:val="auto"/>
              </w:rPr>
            </w:pPr>
          </w:p>
        </w:tc>
        <w:tc>
          <w:tcPr>
            <w:tcW w:w="2580" w:type="dxa"/>
            <w:vAlign w:val="bottom"/>
            <w:shd w:val="clear" w:color="auto" w:fill="0000EE"/>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2660" w:type="dxa"/>
            <w:vAlign w:val="bottom"/>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r>
    </w:tbl>
    <w:p>
      <w:pPr>
        <w:sectPr>
          <w:pgSz w:w="11900" w:h="16838" w:orient="portrait"/>
          <w:cols w:equalWidth="0" w:num="1">
            <w:col w:w="11420"/>
          </w:cols>
          <w:pgMar w:left="240" w:top="125" w:right="239" w:bottom="1440" w:gutter="0" w:footer="0" w:header="0"/>
        </w:sectPr>
      </w:pPr>
    </w:p>
    <w:bookmarkStart w:id="2" w:name="page3"/>
    <w:bookmarkEnd w:id="2"/>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 Savings Plan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for Certain Bargaining Employees</w:t>
      </w:r>
    </w:p>
    <w:p>
      <w:pPr>
        <w:spacing w:after="0" w:line="155"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Statement of Net Assets Available for Benefits</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(Unaudited)</w:t>
      </w:r>
    </w:p>
    <w:p>
      <w:pPr>
        <w:spacing w:after="0" w:line="13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1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20" w:type="dxa"/>
            <w:vAlign w:val="bottom"/>
          </w:tcPr>
          <w:p>
            <w:pPr>
              <w:jc w:val="right"/>
              <w:ind w:right="330"/>
              <w:spacing w:after="0"/>
              <w:rPr>
                <w:sz w:val="20"/>
                <w:szCs w:val="20"/>
                <w:color w:val="auto"/>
              </w:rPr>
            </w:pPr>
            <w:r>
              <w:rPr>
                <w:rFonts w:ascii="Arial" w:cs="Arial" w:eastAsia="Arial" w:hAnsi="Arial"/>
                <w:sz w:val="18"/>
                <w:szCs w:val="18"/>
                <w:b w:val="1"/>
                <w:bCs w:val="1"/>
                <w:color w:val="auto"/>
                <w:w w:val="97"/>
              </w:rPr>
              <w:t>December 31, 2014</w:t>
            </w:r>
          </w:p>
        </w:tc>
        <w:tc>
          <w:tcPr>
            <w:tcW w:w="0" w:type="dxa"/>
            <w:vAlign w:val="bottom"/>
          </w:tcPr>
          <w:p>
            <w:pPr>
              <w:spacing w:after="0"/>
              <w:rPr>
                <w:sz w:val="1"/>
                <w:szCs w:val="1"/>
                <w:color w:val="auto"/>
              </w:rPr>
            </w:pPr>
          </w:p>
        </w:tc>
      </w:tr>
      <w:tr>
        <w:trPr>
          <w:trHeight w:val="27"/>
        </w:trPr>
        <w:tc>
          <w:tcPr>
            <w:tcW w:w="91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9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260" w:type="dxa"/>
            <w:vAlign w:val="bottom"/>
            <w:tcBorders>
              <w:bottom w:val="single" w:sz="8" w:color="CCEEFF"/>
            </w:tcBorders>
            <w:shd w:val="clear" w:color="auto" w:fill="CCEEFF"/>
          </w:tcPr>
          <w:p>
            <w:pPr>
              <w:spacing w:after="0"/>
              <w:rPr>
                <w:sz w:val="21"/>
                <w:szCs w:val="21"/>
                <w:color w:val="auto"/>
              </w:rPr>
            </w:pPr>
          </w:p>
        </w:tc>
        <w:tc>
          <w:tcPr>
            <w:tcW w:w="20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9140" w:type="dxa"/>
            <w:vAlign w:val="bottom"/>
          </w:tcPr>
          <w:p>
            <w:pPr>
              <w:ind w:left="40"/>
              <w:spacing w:after="0"/>
              <w:rPr>
                <w:sz w:val="20"/>
                <w:szCs w:val="20"/>
                <w:color w:val="auto"/>
              </w:rPr>
            </w:pPr>
            <w:r>
              <w:rPr>
                <w:rFonts w:ascii="Arial" w:cs="Arial" w:eastAsia="Arial" w:hAnsi="Arial"/>
                <w:sz w:val="18"/>
                <w:szCs w:val="18"/>
                <w:b w:val="1"/>
                <w:bCs w:val="1"/>
                <w:color w:val="auto"/>
              </w:rPr>
              <w:t>Investments, at fair value:</w:t>
            </w:r>
          </w:p>
        </w:tc>
        <w:tc>
          <w:tcPr>
            <w:tcW w:w="260" w:type="dxa"/>
            <w:vAlign w:val="bottom"/>
          </w:tcPr>
          <w:p>
            <w:pPr>
              <w:spacing w:after="0"/>
              <w:rPr>
                <w:sz w:val="21"/>
                <w:szCs w:val="21"/>
                <w:color w:val="auto"/>
              </w:rPr>
            </w:pPr>
          </w:p>
        </w:tc>
        <w:tc>
          <w:tcPr>
            <w:tcW w:w="20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9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2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91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Interest in The Master Trust Agreement for TimkenSteel Corporation Defined Contribution Plans</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2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1,619,904</w:t>
            </w:r>
          </w:p>
        </w:tc>
        <w:tc>
          <w:tcPr>
            <w:tcW w:w="0" w:type="dxa"/>
            <w:vAlign w:val="bottom"/>
          </w:tcPr>
          <w:p>
            <w:pPr>
              <w:spacing w:after="0"/>
              <w:rPr>
                <w:sz w:val="1"/>
                <w:szCs w:val="1"/>
                <w:color w:val="auto"/>
              </w:rPr>
            </w:pPr>
          </w:p>
        </w:tc>
      </w:tr>
      <w:tr>
        <w:trPr>
          <w:trHeight w:val="297"/>
        </w:trPr>
        <w:tc>
          <w:tcPr>
            <w:tcW w:w="9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9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Receivables:</w:t>
            </w:r>
          </w:p>
        </w:tc>
        <w:tc>
          <w:tcPr>
            <w:tcW w:w="260" w:type="dxa"/>
            <w:vAlign w:val="bottom"/>
            <w:tcBorders>
              <w:bottom w:val="single" w:sz="8" w:color="CCEEFF"/>
            </w:tcBorders>
            <w:shd w:val="clear" w:color="auto" w:fill="CCEEFF"/>
          </w:tcPr>
          <w:p>
            <w:pPr>
              <w:spacing w:after="0"/>
              <w:rPr>
                <w:sz w:val="21"/>
                <w:szCs w:val="21"/>
                <w:color w:val="auto"/>
              </w:rPr>
            </w:pPr>
          </w:p>
        </w:tc>
        <w:tc>
          <w:tcPr>
            <w:tcW w:w="20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9140" w:type="dxa"/>
            <w:vAlign w:val="bottom"/>
          </w:tcPr>
          <w:p>
            <w:pPr>
              <w:ind w:left="180"/>
              <w:spacing w:after="0"/>
              <w:rPr>
                <w:sz w:val="20"/>
                <w:szCs w:val="20"/>
                <w:color w:val="auto"/>
              </w:rPr>
            </w:pPr>
            <w:r>
              <w:rPr>
                <w:rFonts w:ascii="Arial" w:cs="Arial" w:eastAsia="Arial" w:hAnsi="Arial"/>
                <w:sz w:val="18"/>
                <w:szCs w:val="18"/>
                <w:color w:val="auto"/>
              </w:rPr>
              <w:t>Contributions receivable from participants</w:t>
            </w:r>
          </w:p>
        </w:tc>
        <w:tc>
          <w:tcPr>
            <w:tcW w:w="260" w:type="dxa"/>
            <w:vAlign w:val="bottom"/>
          </w:tcPr>
          <w:p>
            <w:pPr>
              <w:spacing w:after="0"/>
              <w:rPr>
                <w:sz w:val="21"/>
                <w:szCs w:val="21"/>
                <w:color w:val="auto"/>
              </w:rPr>
            </w:pPr>
          </w:p>
        </w:tc>
        <w:tc>
          <w:tcPr>
            <w:tcW w:w="2020" w:type="dxa"/>
            <w:vAlign w:val="bottom"/>
          </w:tcPr>
          <w:p>
            <w:pPr>
              <w:jc w:val="right"/>
              <w:ind w:right="10"/>
              <w:spacing w:after="0"/>
              <w:rPr>
                <w:sz w:val="20"/>
                <w:szCs w:val="20"/>
                <w:color w:val="auto"/>
              </w:rPr>
            </w:pPr>
            <w:r>
              <w:rPr>
                <w:rFonts w:ascii="Arial" w:cs="Arial" w:eastAsia="Arial" w:hAnsi="Arial"/>
                <w:sz w:val="18"/>
                <w:szCs w:val="18"/>
                <w:b w:val="1"/>
                <w:bCs w:val="1"/>
                <w:color w:val="auto"/>
              </w:rPr>
              <w:t>245</w:t>
            </w:r>
          </w:p>
        </w:tc>
        <w:tc>
          <w:tcPr>
            <w:tcW w:w="0" w:type="dxa"/>
            <w:vAlign w:val="bottom"/>
          </w:tcPr>
          <w:p>
            <w:pPr>
              <w:spacing w:after="0"/>
              <w:rPr>
                <w:sz w:val="1"/>
                <w:szCs w:val="1"/>
                <w:color w:val="auto"/>
              </w:rPr>
            </w:pPr>
          </w:p>
        </w:tc>
      </w:tr>
      <w:tr>
        <w:trPr>
          <w:trHeight w:val="27"/>
        </w:trPr>
        <w:tc>
          <w:tcPr>
            <w:tcW w:w="9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2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91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Contributions receivable from TimkenSteel Corporation</w:t>
            </w:r>
          </w:p>
        </w:tc>
        <w:tc>
          <w:tcPr>
            <w:tcW w:w="260" w:type="dxa"/>
            <w:vAlign w:val="bottom"/>
            <w:tcBorders>
              <w:bottom w:val="single" w:sz="8" w:color="CCEEFF"/>
            </w:tcBorders>
            <w:shd w:val="clear" w:color="auto" w:fill="CCEEFF"/>
          </w:tcPr>
          <w:p>
            <w:pPr>
              <w:spacing w:after="0"/>
              <w:rPr>
                <w:sz w:val="23"/>
                <w:szCs w:val="23"/>
                <w:color w:val="auto"/>
              </w:rPr>
            </w:pPr>
          </w:p>
        </w:tc>
        <w:tc>
          <w:tcPr>
            <w:tcW w:w="2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193</w:t>
            </w:r>
          </w:p>
        </w:tc>
        <w:tc>
          <w:tcPr>
            <w:tcW w:w="0" w:type="dxa"/>
            <w:vAlign w:val="bottom"/>
          </w:tcPr>
          <w:p>
            <w:pPr>
              <w:spacing w:after="0"/>
              <w:rPr>
                <w:sz w:val="1"/>
                <w:szCs w:val="1"/>
                <w:color w:val="auto"/>
              </w:rPr>
            </w:pPr>
          </w:p>
        </w:tc>
      </w:tr>
      <w:tr>
        <w:trPr>
          <w:trHeight w:val="237"/>
        </w:trPr>
        <w:tc>
          <w:tcPr>
            <w:tcW w:w="9140" w:type="dxa"/>
            <w:vAlign w:val="bottom"/>
          </w:tcPr>
          <w:p>
            <w:pPr>
              <w:ind w:left="40"/>
              <w:spacing w:after="0"/>
              <w:rPr>
                <w:sz w:val="20"/>
                <w:szCs w:val="20"/>
                <w:color w:val="auto"/>
              </w:rPr>
            </w:pPr>
            <w:r>
              <w:rPr>
                <w:rFonts w:ascii="Arial" w:cs="Arial" w:eastAsia="Arial" w:hAnsi="Arial"/>
                <w:sz w:val="18"/>
                <w:szCs w:val="18"/>
                <w:b w:val="1"/>
                <w:bCs w:val="1"/>
                <w:color w:val="auto"/>
              </w:rPr>
              <w:t>Total receivables</w:t>
            </w:r>
          </w:p>
        </w:tc>
        <w:tc>
          <w:tcPr>
            <w:tcW w:w="260" w:type="dxa"/>
            <w:vAlign w:val="bottom"/>
            <w:tcBorders>
              <w:top w:val="single" w:sz="8" w:color="auto"/>
            </w:tcBorders>
          </w:tcPr>
          <w:p>
            <w:pPr>
              <w:spacing w:after="0"/>
              <w:rPr>
                <w:sz w:val="20"/>
                <w:szCs w:val="20"/>
                <w:color w:val="auto"/>
              </w:rPr>
            </w:pPr>
          </w:p>
        </w:tc>
        <w:tc>
          <w:tcPr>
            <w:tcW w:w="20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438</w:t>
            </w:r>
          </w:p>
        </w:tc>
        <w:tc>
          <w:tcPr>
            <w:tcW w:w="0" w:type="dxa"/>
            <w:vAlign w:val="bottom"/>
          </w:tcPr>
          <w:p>
            <w:pPr>
              <w:spacing w:after="0"/>
              <w:rPr>
                <w:sz w:val="1"/>
                <w:szCs w:val="1"/>
                <w:color w:val="auto"/>
              </w:rPr>
            </w:pPr>
          </w:p>
        </w:tc>
      </w:tr>
      <w:tr>
        <w:trPr>
          <w:trHeight w:val="27"/>
        </w:trPr>
        <w:tc>
          <w:tcPr>
            <w:tcW w:w="91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1"/>
        </w:trPr>
        <w:tc>
          <w:tcPr>
            <w:tcW w:w="914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20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9140" w:type="dxa"/>
            <w:vAlign w:val="bottom"/>
          </w:tcPr>
          <w:p>
            <w:pPr>
              <w:ind w:left="40"/>
              <w:spacing w:after="0"/>
              <w:rPr>
                <w:sz w:val="20"/>
                <w:szCs w:val="20"/>
                <w:color w:val="auto"/>
              </w:rPr>
            </w:pPr>
            <w:r>
              <w:rPr>
                <w:rFonts w:ascii="Arial" w:cs="Arial" w:eastAsia="Arial" w:hAnsi="Arial"/>
                <w:sz w:val="18"/>
                <w:szCs w:val="18"/>
                <w:b w:val="1"/>
                <w:bCs w:val="1"/>
                <w:color w:val="auto"/>
              </w:rPr>
              <w:t>Total assets reflecting investments at fair value</w:t>
            </w:r>
          </w:p>
        </w:tc>
        <w:tc>
          <w:tcPr>
            <w:tcW w:w="260" w:type="dxa"/>
            <w:vAlign w:val="bottom"/>
          </w:tcPr>
          <w:p>
            <w:pPr>
              <w:spacing w:after="0"/>
              <w:rPr>
                <w:sz w:val="21"/>
                <w:szCs w:val="21"/>
                <w:color w:val="auto"/>
              </w:rPr>
            </w:pPr>
          </w:p>
        </w:tc>
        <w:tc>
          <w:tcPr>
            <w:tcW w:w="2020" w:type="dxa"/>
            <w:vAlign w:val="bottom"/>
          </w:tcPr>
          <w:p>
            <w:pPr>
              <w:jc w:val="right"/>
              <w:ind w:right="10"/>
              <w:spacing w:after="0"/>
              <w:rPr>
                <w:sz w:val="20"/>
                <w:szCs w:val="20"/>
                <w:color w:val="auto"/>
              </w:rPr>
            </w:pPr>
            <w:r>
              <w:rPr>
                <w:rFonts w:ascii="Arial" w:cs="Arial" w:eastAsia="Arial" w:hAnsi="Arial"/>
                <w:sz w:val="18"/>
                <w:szCs w:val="18"/>
                <w:b w:val="1"/>
                <w:bCs w:val="1"/>
                <w:color w:val="auto"/>
              </w:rPr>
              <w:t>1,620,342</w:t>
            </w:r>
          </w:p>
        </w:tc>
        <w:tc>
          <w:tcPr>
            <w:tcW w:w="0" w:type="dxa"/>
            <w:vAlign w:val="bottom"/>
          </w:tcPr>
          <w:p>
            <w:pPr>
              <w:spacing w:after="0"/>
              <w:rPr>
                <w:sz w:val="1"/>
                <w:szCs w:val="1"/>
                <w:color w:val="auto"/>
              </w:rPr>
            </w:pPr>
          </w:p>
        </w:tc>
      </w:tr>
      <w:tr>
        <w:trPr>
          <w:trHeight w:val="27"/>
        </w:trPr>
        <w:tc>
          <w:tcPr>
            <w:tcW w:w="9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2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97"/>
        </w:trPr>
        <w:tc>
          <w:tcPr>
            <w:tcW w:w="914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20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9140" w:type="dxa"/>
            <w:vAlign w:val="bottom"/>
          </w:tcPr>
          <w:p>
            <w:pPr>
              <w:ind w:left="40"/>
              <w:spacing w:after="0"/>
              <w:rPr>
                <w:sz w:val="20"/>
                <w:szCs w:val="20"/>
                <w:color w:val="auto"/>
              </w:rPr>
            </w:pPr>
            <w:r>
              <w:rPr>
                <w:rFonts w:ascii="Arial" w:cs="Arial" w:eastAsia="Arial" w:hAnsi="Arial"/>
                <w:sz w:val="18"/>
                <w:szCs w:val="18"/>
                <w:color w:val="auto"/>
                <w:w w:val="98"/>
              </w:rPr>
              <w:t>Adjustment from fair value to contract value for interest in The Master Trust Agreement for TimkenSteel Corporation</w:t>
            </w:r>
          </w:p>
        </w:tc>
        <w:tc>
          <w:tcPr>
            <w:tcW w:w="260" w:type="dxa"/>
            <w:vAlign w:val="bottom"/>
          </w:tcPr>
          <w:p>
            <w:pPr>
              <w:spacing w:after="0"/>
              <w:rPr>
                <w:sz w:val="19"/>
                <w:szCs w:val="19"/>
                <w:color w:val="auto"/>
              </w:rPr>
            </w:pPr>
          </w:p>
        </w:tc>
        <w:tc>
          <w:tcPr>
            <w:tcW w:w="202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(2,700)</w:t>
            </w:r>
          </w:p>
        </w:tc>
        <w:tc>
          <w:tcPr>
            <w:tcW w:w="0" w:type="dxa"/>
            <w:vAlign w:val="bottom"/>
          </w:tcPr>
          <w:p>
            <w:pPr>
              <w:spacing w:after="0"/>
              <w:rPr>
                <w:sz w:val="1"/>
                <w:szCs w:val="1"/>
                <w:color w:val="auto"/>
              </w:rPr>
            </w:pPr>
          </w:p>
        </w:tc>
      </w:tr>
      <w:tr>
        <w:trPr>
          <w:trHeight w:val="230"/>
        </w:trPr>
        <w:tc>
          <w:tcPr>
            <w:tcW w:w="9140" w:type="dxa"/>
            <w:vAlign w:val="bottom"/>
          </w:tcPr>
          <w:p>
            <w:pPr>
              <w:ind w:left="40"/>
              <w:spacing w:after="0"/>
              <w:rPr>
                <w:sz w:val="20"/>
                <w:szCs w:val="20"/>
                <w:color w:val="auto"/>
              </w:rPr>
            </w:pPr>
            <w:r>
              <w:rPr>
                <w:rFonts w:ascii="Arial" w:cs="Arial" w:eastAsia="Arial" w:hAnsi="Arial"/>
                <w:sz w:val="18"/>
                <w:szCs w:val="18"/>
                <w:color w:val="auto"/>
              </w:rPr>
              <w:t>Defined Contribution Plans relating to fully benefit-responsive investment contracts</w:t>
            </w:r>
          </w:p>
        </w:tc>
        <w:tc>
          <w:tcPr>
            <w:tcW w:w="260" w:type="dxa"/>
            <w:vAlign w:val="bottom"/>
          </w:tcPr>
          <w:p>
            <w:pPr>
              <w:spacing w:after="0"/>
              <w:rPr>
                <w:sz w:val="20"/>
                <w:szCs w:val="20"/>
                <w:color w:val="auto"/>
              </w:rPr>
            </w:pPr>
          </w:p>
        </w:tc>
        <w:tc>
          <w:tcPr>
            <w:tcW w:w="202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91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9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assets available for benefits</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2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1,617,642</w:t>
            </w:r>
          </w:p>
        </w:tc>
        <w:tc>
          <w:tcPr>
            <w:tcW w:w="0" w:type="dxa"/>
            <w:vAlign w:val="bottom"/>
          </w:tcPr>
          <w:p>
            <w:pPr>
              <w:spacing w:after="0"/>
              <w:rPr>
                <w:sz w:val="1"/>
                <w:szCs w:val="1"/>
                <w:color w:val="auto"/>
              </w:rPr>
            </w:pPr>
          </w:p>
        </w:tc>
      </w:tr>
      <w:tr>
        <w:trPr>
          <w:trHeight w:val="20"/>
        </w:trPr>
        <w:tc>
          <w:tcPr>
            <w:tcW w:w="9140" w:type="dxa"/>
            <w:vAlign w:val="bottom"/>
            <w:vMerge w:val="restart"/>
          </w:tcPr>
          <w:p>
            <w:pPr>
              <w:spacing w:after="0"/>
              <w:rPr>
                <w:sz w:val="20"/>
                <w:szCs w:val="20"/>
                <w:color w:val="auto"/>
              </w:rPr>
            </w:pPr>
            <w:r>
              <w:rPr>
                <w:rFonts w:ascii="Arial" w:cs="Arial" w:eastAsia="Arial" w:hAnsi="Arial"/>
                <w:sz w:val="18"/>
                <w:szCs w:val="18"/>
                <w:color w:val="auto"/>
              </w:rPr>
              <w:t>See accompanying Notes to the Financial Statements.</w:t>
            </w:r>
          </w:p>
        </w:tc>
        <w:tc>
          <w:tcPr>
            <w:tcW w:w="260" w:type="dxa"/>
            <w:vAlign w:val="bottom"/>
            <w:tcBorders>
              <w:bottom w:val="single" w:sz="8" w:color="auto"/>
            </w:tcBorders>
          </w:tcPr>
          <w:p>
            <w:pPr>
              <w:spacing w:after="0" w:line="20" w:lineRule="exact"/>
              <w:rPr>
                <w:sz w:val="1"/>
                <w:szCs w:val="1"/>
                <w:color w:val="auto"/>
              </w:rPr>
            </w:pPr>
          </w:p>
        </w:tc>
        <w:tc>
          <w:tcPr>
            <w:tcW w:w="2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9140" w:type="dxa"/>
            <w:vAlign w:val="bottom"/>
            <w:vMerge w:val="continue"/>
          </w:tcPr>
          <w:p>
            <w:pPr>
              <w:spacing w:after="0"/>
              <w:rPr>
                <w:sz w:val="17"/>
                <w:szCs w:val="17"/>
                <w:color w:val="auto"/>
              </w:rPr>
            </w:pPr>
          </w:p>
        </w:tc>
        <w:tc>
          <w:tcPr>
            <w:tcW w:w="260" w:type="dxa"/>
            <w:vAlign w:val="bottom"/>
          </w:tcPr>
          <w:p>
            <w:pPr>
              <w:spacing w:after="0"/>
              <w:rPr>
                <w:sz w:val="17"/>
                <w:szCs w:val="17"/>
                <w:color w:val="auto"/>
              </w:rPr>
            </w:pPr>
          </w:p>
        </w:tc>
        <w:tc>
          <w:tcPr>
            <w:tcW w:w="2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635"/>
        </w:trPr>
        <w:tc>
          <w:tcPr>
            <w:tcW w:w="9140" w:type="dxa"/>
            <w:vAlign w:val="bottom"/>
          </w:tcPr>
          <w:p>
            <w:pPr>
              <w:ind w:left="5660"/>
              <w:spacing w:after="0"/>
              <w:rPr>
                <w:sz w:val="20"/>
                <w:szCs w:val="20"/>
                <w:color w:val="auto"/>
              </w:rPr>
            </w:pPr>
            <w:r>
              <w:rPr>
                <w:rFonts w:ascii="Arial" w:cs="Arial" w:eastAsia="Arial" w:hAnsi="Arial"/>
                <w:sz w:val="18"/>
                <w:szCs w:val="18"/>
                <w:color w:val="auto"/>
              </w:rPr>
              <w:t>1</w:t>
            </w:r>
          </w:p>
        </w:tc>
        <w:tc>
          <w:tcPr>
            <w:tcW w:w="260" w:type="dxa"/>
            <w:vAlign w:val="bottom"/>
          </w:tcPr>
          <w:p>
            <w:pPr>
              <w:spacing w:after="0"/>
              <w:rPr>
                <w:sz w:val="24"/>
                <w:szCs w:val="24"/>
                <w:color w:val="auto"/>
              </w:rPr>
            </w:pPr>
          </w:p>
        </w:tc>
        <w:tc>
          <w:tcPr>
            <w:tcW w:w="20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5" w:right="23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 Savings Plan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for Certain Bargaining Employees</w:t>
      </w:r>
    </w:p>
    <w:p>
      <w:pPr>
        <w:spacing w:after="0" w:line="155"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Statement of Changes in Net Assets Available for Benefits</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Six Months Ended December 31, 2014</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193040</wp:posOffset>
            </wp:positionV>
            <wp:extent cx="7246620" cy="1714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293"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Additions:</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Investment income:</w:t>
      </w:r>
    </w:p>
    <w:p>
      <w:pPr>
        <w:spacing w:after="0" w:line="54"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91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Net investment gain from The Master Trust Agreement for TimkenSteel Corporation Defined Contribution Plans</w:t>
            </w:r>
          </w:p>
        </w:tc>
        <w:tc>
          <w:tcPr>
            <w:tcW w:w="780" w:type="dxa"/>
            <w:vAlign w:val="bottom"/>
            <w:shd w:val="clear" w:color="auto" w:fill="CCEEFF"/>
          </w:tcPr>
          <w:p>
            <w:pPr>
              <w:jc w:val="right"/>
              <w:ind w:right="570"/>
              <w:spacing w:after="0"/>
              <w:rPr>
                <w:sz w:val="20"/>
                <w:szCs w:val="20"/>
                <w:color w:val="auto"/>
              </w:rPr>
            </w:pPr>
            <w:r>
              <w:rPr>
                <w:rFonts w:ascii="Arial" w:cs="Arial" w:eastAsia="Arial" w:hAnsi="Arial"/>
                <w:sz w:val="18"/>
                <w:szCs w:val="18"/>
                <w:b w:val="1"/>
                <w:bCs w:val="1"/>
                <w:color w:val="auto"/>
                <w:w w:val="99"/>
              </w:rPr>
              <w:t>$</w:t>
            </w:r>
          </w:p>
        </w:tc>
        <w:tc>
          <w:tcPr>
            <w:tcW w:w="150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104,018</w:t>
            </w:r>
          </w:p>
        </w:tc>
        <w:tc>
          <w:tcPr>
            <w:tcW w:w="0" w:type="dxa"/>
            <w:vAlign w:val="bottom"/>
          </w:tcPr>
          <w:p>
            <w:pPr>
              <w:spacing w:after="0"/>
              <w:rPr>
                <w:sz w:val="1"/>
                <w:szCs w:val="1"/>
                <w:color w:val="auto"/>
              </w:rPr>
            </w:pPr>
          </w:p>
        </w:tc>
      </w:tr>
      <w:tr>
        <w:trPr>
          <w:trHeight w:val="243"/>
        </w:trPr>
        <w:tc>
          <w:tcPr>
            <w:tcW w:w="9140" w:type="dxa"/>
            <w:vAlign w:val="bottom"/>
          </w:tcPr>
          <w:p>
            <w:pPr>
              <w:ind w:left="40"/>
              <w:spacing w:after="0"/>
              <w:rPr>
                <w:sz w:val="20"/>
                <w:szCs w:val="20"/>
                <w:color w:val="auto"/>
              </w:rPr>
            </w:pPr>
            <w:r>
              <w:rPr>
                <w:rFonts w:ascii="Arial" w:cs="Arial" w:eastAsia="Arial" w:hAnsi="Arial"/>
                <w:sz w:val="18"/>
                <w:szCs w:val="18"/>
                <w:b w:val="1"/>
                <w:bCs w:val="1"/>
                <w:color w:val="auto"/>
              </w:rPr>
              <w:t>Contributions:</w:t>
            </w:r>
          </w:p>
        </w:tc>
        <w:tc>
          <w:tcPr>
            <w:tcW w:w="78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9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91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Participants</w:t>
            </w:r>
          </w:p>
        </w:tc>
        <w:tc>
          <w:tcPr>
            <w:tcW w:w="78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6,555</w:t>
            </w:r>
          </w:p>
        </w:tc>
        <w:tc>
          <w:tcPr>
            <w:tcW w:w="0" w:type="dxa"/>
            <w:vAlign w:val="bottom"/>
          </w:tcPr>
          <w:p>
            <w:pPr>
              <w:spacing w:after="0"/>
              <w:rPr>
                <w:sz w:val="1"/>
                <w:szCs w:val="1"/>
                <w:color w:val="auto"/>
              </w:rPr>
            </w:pPr>
          </w:p>
        </w:tc>
      </w:tr>
      <w:tr>
        <w:trPr>
          <w:trHeight w:val="243"/>
        </w:trPr>
        <w:tc>
          <w:tcPr>
            <w:tcW w:w="9140" w:type="dxa"/>
            <w:vAlign w:val="bottom"/>
          </w:tcPr>
          <w:p>
            <w:pPr>
              <w:ind w:left="180"/>
              <w:spacing w:after="0"/>
              <w:rPr>
                <w:sz w:val="20"/>
                <w:szCs w:val="20"/>
                <w:color w:val="auto"/>
              </w:rPr>
            </w:pPr>
            <w:r>
              <w:rPr>
                <w:rFonts w:ascii="Arial" w:cs="Arial" w:eastAsia="Arial" w:hAnsi="Arial"/>
                <w:sz w:val="18"/>
                <w:szCs w:val="18"/>
                <w:color w:val="auto"/>
              </w:rPr>
              <w:t>TimkenSteel Corporation</w:t>
            </w:r>
          </w:p>
        </w:tc>
        <w:tc>
          <w:tcPr>
            <w:tcW w:w="78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b w:val="1"/>
                <w:bCs w:val="1"/>
                <w:color w:val="auto"/>
              </w:rPr>
              <w:t>5,366</w:t>
            </w:r>
          </w:p>
        </w:tc>
        <w:tc>
          <w:tcPr>
            <w:tcW w:w="0" w:type="dxa"/>
            <w:vAlign w:val="bottom"/>
          </w:tcPr>
          <w:p>
            <w:pPr>
              <w:spacing w:after="0"/>
              <w:rPr>
                <w:sz w:val="1"/>
                <w:szCs w:val="1"/>
                <w:color w:val="auto"/>
              </w:rPr>
            </w:pPr>
          </w:p>
        </w:tc>
      </w:tr>
      <w:tr>
        <w:trPr>
          <w:trHeight w:val="27"/>
        </w:trPr>
        <w:tc>
          <w:tcPr>
            <w:tcW w:w="9140" w:type="dxa"/>
            <w:vAlign w:val="bottom"/>
            <w:tcBorders>
              <w:bottom w:val="single" w:sz="8" w:color="CCEEFF"/>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914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spacing w:after="0"/>
              <w:rPr>
                <w:sz w:val="22"/>
                <w:szCs w:val="22"/>
                <w:color w:val="auto"/>
              </w:rPr>
            </w:pPr>
          </w:p>
        </w:tc>
        <w:tc>
          <w:tcPr>
            <w:tcW w:w="1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11,921</w:t>
            </w:r>
          </w:p>
        </w:tc>
        <w:tc>
          <w:tcPr>
            <w:tcW w:w="0" w:type="dxa"/>
            <w:vAlign w:val="bottom"/>
          </w:tcPr>
          <w:p>
            <w:pPr>
              <w:spacing w:after="0"/>
              <w:rPr>
                <w:sz w:val="1"/>
                <w:szCs w:val="1"/>
                <w:color w:val="auto"/>
              </w:rPr>
            </w:pPr>
          </w:p>
        </w:tc>
      </w:tr>
      <w:tr>
        <w:trPr>
          <w:trHeight w:val="237"/>
        </w:trPr>
        <w:tc>
          <w:tcPr>
            <w:tcW w:w="9140" w:type="dxa"/>
            <w:vAlign w:val="bottom"/>
          </w:tcPr>
          <w:p>
            <w:pPr>
              <w:ind w:left="40"/>
              <w:spacing w:after="0"/>
              <w:rPr>
                <w:sz w:val="20"/>
                <w:szCs w:val="20"/>
                <w:color w:val="auto"/>
              </w:rPr>
            </w:pPr>
            <w:r>
              <w:rPr>
                <w:rFonts w:ascii="Arial" w:cs="Arial" w:eastAsia="Arial" w:hAnsi="Arial"/>
                <w:sz w:val="18"/>
                <w:szCs w:val="18"/>
                <w:b w:val="1"/>
                <w:bCs w:val="1"/>
                <w:color w:val="auto"/>
              </w:rPr>
              <w:t>Total additions</w:t>
            </w:r>
          </w:p>
        </w:tc>
        <w:tc>
          <w:tcPr>
            <w:tcW w:w="780" w:type="dxa"/>
            <w:vAlign w:val="bottom"/>
            <w:tcBorders>
              <w:top w:val="single" w:sz="8" w:color="auto"/>
            </w:tcBorders>
          </w:tcPr>
          <w:p>
            <w:pPr>
              <w:spacing w:after="0"/>
              <w:rPr>
                <w:sz w:val="20"/>
                <w:szCs w:val="20"/>
                <w:color w:val="auto"/>
              </w:rPr>
            </w:pPr>
          </w:p>
        </w:tc>
        <w:tc>
          <w:tcPr>
            <w:tcW w:w="15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115,939</w:t>
            </w:r>
          </w:p>
        </w:tc>
        <w:tc>
          <w:tcPr>
            <w:tcW w:w="0" w:type="dxa"/>
            <w:vAlign w:val="bottom"/>
          </w:tcPr>
          <w:p>
            <w:pPr>
              <w:spacing w:after="0"/>
              <w:rPr>
                <w:sz w:val="1"/>
                <w:szCs w:val="1"/>
                <w:color w:val="auto"/>
              </w:rPr>
            </w:pPr>
          </w:p>
        </w:tc>
      </w:tr>
      <w:tr>
        <w:trPr>
          <w:trHeight w:val="27"/>
        </w:trPr>
        <w:tc>
          <w:tcPr>
            <w:tcW w:w="9140" w:type="dxa"/>
            <w:vAlign w:val="bottom"/>
            <w:tcBorders>
              <w:bottom w:val="single" w:sz="8" w:color="CCEEFF"/>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1"/>
        </w:trPr>
        <w:tc>
          <w:tcPr>
            <w:tcW w:w="914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5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9140" w:type="dxa"/>
            <w:vAlign w:val="bottom"/>
          </w:tcPr>
          <w:p>
            <w:pPr>
              <w:ind w:left="40"/>
              <w:spacing w:after="0"/>
              <w:rPr>
                <w:sz w:val="20"/>
                <w:szCs w:val="20"/>
                <w:color w:val="auto"/>
              </w:rPr>
            </w:pPr>
            <w:r>
              <w:rPr>
                <w:rFonts w:ascii="Arial" w:cs="Arial" w:eastAsia="Arial" w:hAnsi="Arial"/>
                <w:sz w:val="18"/>
                <w:szCs w:val="18"/>
                <w:b w:val="1"/>
                <w:bCs w:val="1"/>
                <w:color w:val="auto"/>
              </w:rPr>
              <w:t>Deductions:</w:t>
            </w:r>
          </w:p>
        </w:tc>
        <w:tc>
          <w:tcPr>
            <w:tcW w:w="78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9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91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Benefits paid directly to participants</w:t>
            </w:r>
          </w:p>
        </w:tc>
        <w:tc>
          <w:tcPr>
            <w:tcW w:w="78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253,648</w:t>
            </w:r>
          </w:p>
        </w:tc>
        <w:tc>
          <w:tcPr>
            <w:tcW w:w="0" w:type="dxa"/>
            <w:vAlign w:val="bottom"/>
          </w:tcPr>
          <w:p>
            <w:pPr>
              <w:spacing w:after="0"/>
              <w:rPr>
                <w:sz w:val="1"/>
                <w:szCs w:val="1"/>
                <w:color w:val="auto"/>
              </w:rPr>
            </w:pPr>
          </w:p>
        </w:tc>
      </w:tr>
      <w:tr>
        <w:trPr>
          <w:trHeight w:val="243"/>
        </w:trPr>
        <w:tc>
          <w:tcPr>
            <w:tcW w:w="9140" w:type="dxa"/>
            <w:vAlign w:val="bottom"/>
          </w:tcPr>
          <w:p>
            <w:pPr>
              <w:ind w:left="180"/>
              <w:spacing w:after="0"/>
              <w:rPr>
                <w:sz w:val="20"/>
                <w:szCs w:val="20"/>
                <w:color w:val="auto"/>
              </w:rPr>
            </w:pPr>
            <w:r>
              <w:rPr>
                <w:rFonts w:ascii="Arial" w:cs="Arial" w:eastAsia="Arial" w:hAnsi="Arial"/>
                <w:sz w:val="18"/>
                <w:szCs w:val="18"/>
                <w:color w:val="auto"/>
              </w:rPr>
              <w:t>Administrative expenses</w:t>
            </w:r>
          </w:p>
        </w:tc>
        <w:tc>
          <w:tcPr>
            <w:tcW w:w="78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7"/>
        </w:trPr>
        <w:tc>
          <w:tcPr>
            <w:tcW w:w="9140" w:type="dxa"/>
            <w:vAlign w:val="bottom"/>
            <w:tcBorders>
              <w:bottom w:val="single" w:sz="8" w:color="CCEEFF"/>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9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deductions</w:t>
            </w:r>
          </w:p>
        </w:tc>
        <w:tc>
          <w:tcPr>
            <w:tcW w:w="780" w:type="dxa"/>
            <w:vAlign w:val="bottom"/>
            <w:tcBorders>
              <w:bottom w:val="single" w:sz="8" w:color="CCEEFF"/>
            </w:tcBorders>
            <w:shd w:val="clear" w:color="auto" w:fill="CCEEFF"/>
          </w:tcPr>
          <w:p>
            <w:pPr>
              <w:spacing w:after="0"/>
              <w:rPr>
                <w:sz w:val="22"/>
                <w:szCs w:val="22"/>
                <w:color w:val="auto"/>
              </w:rPr>
            </w:pPr>
          </w:p>
        </w:tc>
        <w:tc>
          <w:tcPr>
            <w:tcW w:w="1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253,648</w:t>
            </w:r>
          </w:p>
        </w:tc>
        <w:tc>
          <w:tcPr>
            <w:tcW w:w="0" w:type="dxa"/>
            <w:vAlign w:val="bottom"/>
          </w:tcPr>
          <w:p>
            <w:pPr>
              <w:spacing w:after="0"/>
              <w:rPr>
                <w:sz w:val="1"/>
                <w:szCs w:val="1"/>
                <w:color w:val="auto"/>
              </w:rPr>
            </w:pPr>
          </w:p>
        </w:tc>
      </w:tr>
      <w:tr>
        <w:trPr>
          <w:trHeight w:val="291"/>
        </w:trPr>
        <w:tc>
          <w:tcPr>
            <w:tcW w:w="9140" w:type="dxa"/>
            <w:vAlign w:val="bottom"/>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150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9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decrease</w:t>
            </w:r>
          </w:p>
        </w:tc>
        <w:tc>
          <w:tcPr>
            <w:tcW w:w="78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(137,709)</w:t>
            </w:r>
          </w:p>
        </w:tc>
        <w:tc>
          <w:tcPr>
            <w:tcW w:w="0" w:type="dxa"/>
            <w:vAlign w:val="bottom"/>
          </w:tcPr>
          <w:p>
            <w:pPr>
              <w:spacing w:after="0"/>
              <w:rPr>
                <w:sz w:val="1"/>
                <w:szCs w:val="1"/>
                <w:color w:val="auto"/>
              </w:rPr>
            </w:pPr>
          </w:p>
        </w:tc>
      </w:tr>
      <w:tr>
        <w:trPr>
          <w:trHeight w:val="297"/>
        </w:trPr>
        <w:tc>
          <w:tcPr>
            <w:tcW w:w="9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9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Transfers in (Note 1)</w:t>
            </w:r>
          </w:p>
        </w:tc>
        <w:tc>
          <w:tcPr>
            <w:tcW w:w="78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1,755,351</w:t>
            </w:r>
          </w:p>
        </w:tc>
        <w:tc>
          <w:tcPr>
            <w:tcW w:w="0" w:type="dxa"/>
            <w:vAlign w:val="bottom"/>
          </w:tcPr>
          <w:p>
            <w:pPr>
              <w:spacing w:after="0"/>
              <w:rPr>
                <w:sz w:val="1"/>
                <w:szCs w:val="1"/>
                <w:color w:val="auto"/>
              </w:rPr>
            </w:pPr>
          </w:p>
        </w:tc>
      </w:tr>
      <w:tr>
        <w:trPr>
          <w:trHeight w:val="297"/>
        </w:trPr>
        <w:tc>
          <w:tcPr>
            <w:tcW w:w="9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9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assets available for benefits:</w:t>
            </w:r>
          </w:p>
        </w:tc>
        <w:tc>
          <w:tcPr>
            <w:tcW w:w="78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9140" w:type="dxa"/>
            <w:vAlign w:val="bottom"/>
          </w:tcPr>
          <w:p>
            <w:pPr>
              <w:ind w:left="40"/>
              <w:spacing w:after="0"/>
              <w:rPr>
                <w:sz w:val="20"/>
                <w:szCs w:val="20"/>
                <w:color w:val="auto"/>
              </w:rPr>
            </w:pPr>
            <w:r>
              <w:rPr>
                <w:rFonts w:ascii="Arial" w:cs="Arial" w:eastAsia="Arial" w:hAnsi="Arial"/>
                <w:sz w:val="18"/>
                <w:szCs w:val="18"/>
                <w:b w:val="1"/>
                <w:bCs w:val="1"/>
                <w:color w:val="auto"/>
              </w:rPr>
              <w:t>Beginning of year - June 30, 2014</w:t>
            </w:r>
          </w:p>
        </w:tc>
        <w:tc>
          <w:tcPr>
            <w:tcW w:w="78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7"/>
        </w:trPr>
        <w:tc>
          <w:tcPr>
            <w:tcW w:w="9140" w:type="dxa"/>
            <w:vAlign w:val="bottom"/>
            <w:tcBorders>
              <w:bottom w:val="single" w:sz="8" w:color="CCEEFF"/>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9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End of year</w:t>
            </w:r>
          </w:p>
        </w:tc>
        <w:tc>
          <w:tcPr>
            <w:tcW w:w="780" w:type="dxa"/>
            <w:vAlign w:val="bottom"/>
            <w:tcBorders>
              <w:bottom w:val="single" w:sz="8" w:color="auto"/>
            </w:tcBorders>
            <w:shd w:val="clear" w:color="auto" w:fill="CCEEFF"/>
          </w:tcPr>
          <w:p>
            <w:pPr>
              <w:jc w:val="right"/>
              <w:ind w:right="570"/>
              <w:spacing w:after="0"/>
              <w:rPr>
                <w:sz w:val="20"/>
                <w:szCs w:val="20"/>
                <w:color w:val="auto"/>
              </w:rPr>
            </w:pPr>
            <w:r>
              <w:rPr>
                <w:rFonts w:ascii="Arial" w:cs="Arial" w:eastAsia="Arial" w:hAnsi="Arial"/>
                <w:sz w:val="18"/>
                <w:szCs w:val="18"/>
                <w:b w:val="1"/>
                <w:bCs w:val="1"/>
                <w:color w:val="auto"/>
                <w:w w:val="99"/>
              </w:rPr>
              <w:t>$</w:t>
            </w:r>
          </w:p>
        </w:tc>
        <w:tc>
          <w:tcPr>
            <w:tcW w:w="15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1,617,642</w:t>
            </w:r>
          </w:p>
        </w:tc>
        <w:tc>
          <w:tcPr>
            <w:tcW w:w="0" w:type="dxa"/>
            <w:vAlign w:val="bottom"/>
          </w:tcPr>
          <w:p>
            <w:pPr>
              <w:spacing w:after="0"/>
              <w:rPr>
                <w:sz w:val="1"/>
                <w:szCs w:val="1"/>
                <w:color w:val="auto"/>
              </w:rPr>
            </w:pPr>
          </w:p>
        </w:tc>
      </w:tr>
      <w:tr>
        <w:trPr>
          <w:trHeight w:val="20"/>
        </w:trPr>
        <w:tc>
          <w:tcPr>
            <w:tcW w:w="9140" w:type="dxa"/>
            <w:vAlign w:val="bottom"/>
            <w:vMerge w:val="restart"/>
          </w:tcPr>
          <w:p>
            <w:pPr>
              <w:spacing w:after="0"/>
              <w:rPr>
                <w:sz w:val="20"/>
                <w:szCs w:val="20"/>
                <w:color w:val="auto"/>
              </w:rPr>
            </w:pPr>
            <w:r>
              <w:rPr>
                <w:rFonts w:ascii="Arial" w:cs="Arial" w:eastAsia="Arial" w:hAnsi="Arial"/>
                <w:sz w:val="18"/>
                <w:szCs w:val="18"/>
                <w:color w:val="auto"/>
              </w:rPr>
              <w:t>See accompanying Notes to the Financial Statements.</w:t>
            </w:r>
          </w:p>
        </w:tc>
        <w:tc>
          <w:tcPr>
            <w:tcW w:w="78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9140" w:type="dxa"/>
            <w:vAlign w:val="bottom"/>
            <w:vMerge w:val="continue"/>
          </w:tcPr>
          <w:p>
            <w:pPr>
              <w:spacing w:after="0"/>
              <w:rPr>
                <w:sz w:val="17"/>
                <w:szCs w:val="17"/>
                <w:color w:val="auto"/>
              </w:rPr>
            </w:pPr>
          </w:p>
        </w:tc>
        <w:tc>
          <w:tcPr>
            <w:tcW w:w="780" w:type="dxa"/>
            <w:vAlign w:val="bottom"/>
          </w:tcPr>
          <w:p>
            <w:pPr>
              <w:spacing w:after="0"/>
              <w:rPr>
                <w:sz w:val="17"/>
                <w:szCs w:val="17"/>
                <w:color w:val="auto"/>
              </w:rPr>
            </w:pPr>
          </w:p>
        </w:tc>
        <w:tc>
          <w:tcPr>
            <w:tcW w:w="15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851"/>
        </w:trPr>
        <w:tc>
          <w:tcPr>
            <w:tcW w:w="9140" w:type="dxa"/>
            <w:vAlign w:val="bottom"/>
          </w:tcPr>
          <w:p>
            <w:pPr>
              <w:ind w:left="5660"/>
              <w:spacing w:after="0"/>
              <w:rPr>
                <w:sz w:val="20"/>
                <w:szCs w:val="20"/>
                <w:color w:val="auto"/>
              </w:rPr>
            </w:pPr>
            <w:r>
              <w:rPr>
                <w:rFonts w:ascii="Arial" w:cs="Arial" w:eastAsia="Arial" w:hAnsi="Arial"/>
                <w:sz w:val="18"/>
                <w:szCs w:val="18"/>
                <w:color w:val="auto"/>
              </w:rPr>
              <w:t>2</w:t>
            </w:r>
          </w:p>
        </w:tc>
        <w:tc>
          <w:tcPr>
            <w:tcW w:w="7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5" w:right="239" w:bottom="1440" w:gutter="0" w:footer="0" w:header="0"/>
        </w:sectPr>
      </w:pPr>
    </w:p>
    <w:bookmarkStart w:id="4" w:name="page5"/>
    <w:bookmarkEnd w:id="4"/>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6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 Savings Plan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for Certain Bargaining Employees</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Financial Statements</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December 31, 2014 and Six Months Ended December 31, 2014</w:t>
      </w:r>
    </w:p>
    <w:p>
      <w:pPr>
        <w:spacing w:after="0" w:line="15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1. Description of the Plan</w:t>
      </w:r>
    </w:p>
    <w:p>
      <w:pPr>
        <w:spacing w:after="0" w:line="185" w:lineRule="exact"/>
        <w:rPr>
          <w:sz w:val="20"/>
          <w:szCs w:val="20"/>
          <w:color w:val="auto"/>
        </w:rPr>
      </w:pPr>
    </w:p>
    <w:p>
      <w:pPr>
        <w:jc w:val="both"/>
        <w:spacing w:after="0" w:line="248" w:lineRule="auto"/>
        <w:rPr>
          <w:sz w:val="20"/>
          <w:szCs w:val="20"/>
          <w:color w:val="auto"/>
        </w:rPr>
      </w:pPr>
      <w:r>
        <w:rPr>
          <w:rFonts w:ascii="Arial" w:cs="Arial" w:eastAsia="Arial" w:hAnsi="Arial"/>
          <w:sz w:val="22"/>
          <w:szCs w:val="22"/>
          <w:color w:val="auto"/>
        </w:rPr>
        <w:t>The following description of TimkenSteel Corporation Savings Plan for Certain Bargaining Employees (the Plan) provides only general information. Participants should refer to the Summary Plan Description for a more complete description of the Plan’s provisions. The Plan was established effective June 30, 2014 as a result of a spinoff (spinoff) from The Timken Company (Timken). In the spinoff, Timken transferred the assets and liabilities relating to TimkenSteel Corporation (the Company) employees and retirees to the Plan sponsored by the Company.</w:t>
      </w:r>
    </w:p>
    <w:p>
      <w:pPr>
        <w:spacing w:after="0" w:line="14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General</w:t>
      </w:r>
    </w:p>
    <w:p>
      <w:pPr>
        <w:spacing w:after="0" w:line="185" w:lineRule="exact"/>
        <w:rPr>
          <w:sz w:val="20"/>
          <w:szCs w:val="20"/>
          <w:color w:val="auto"/>
        </w:rPr>
      </w:pPr>
    </w:p>
    <w:p>
      <w:pPr>
        <w:jc w:val="both"/>
        <w:spacing w:after="0" w:line="250" w:lineRule="auto"/>
        <w:rPr>
          <w:sz w:val="20"/>
          <w:szCs w:val="20"/>
          <w:color w:val="auto"/>
        </w:rPr>
      </w:pPr>
      <w:r>
        <w:rPr>
          <w:rFonts w:ascii="Arial" w:cs="Arial" w:eastAsia="Arial" w:hAnsi="Arial"/>
          <w:sz w:val="22"/>
          <w:szCs w:val="22"/>
          <w:color w:val="auto"/>
        </w:rPr>
        <w:t>The Plan is a defined contribution plan which covers full-time hourly employees of the Company who are members of the Workers Union Local 10. Employees of the Company become eligible to participate in the Plan on the first of the month after one full calendar month of full-time employment or following completion of one year of service and 1,000 hours. The Plan is subject to the provisions of the Employee Retirement Income Security Act of 1974 (ERISA).</w:t>
      </w:r>
    </w:p>
    <w:p>
      <w:pPr>
        <w:spacing w:after="0" w:line="14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Plan Merger</w:t>
      </w:r>
    </w:p>
    <w:p>
      <w:pPr>
        <w:spacing w:after="0" w:line="185" w:lineRule="exact"/>
        <w:rPr>
          <w:sz w:val="20"/>
          <w:szCs w:val="20"/>
          <w:color w:val="auto"/>
        </w:rPr>
      </w:pPr>
    </w:p>
    <w:p>
      <w:pPr>
        <w:jc w:val="both"/>
        <w:spacing w:after="0" w:line="302" w:lineRule="auto"/>
        <w:rPr>
          <w:sz w:val="20"/>
          <w:szCs w:val="20"/>
          <w:color w:val="auto"/>
        </w:rPr>
      </w:pPr>
      <w:r>
        <w:rPr>
          <w:rFonts w:ascii="Arial" w:cs="Arial" w:eastAsia="Arial" w:hAnsi="Arial"/>
          <w:sz w:val="19"/>
          <w:szCs w:val="19"/>
          <w:color w:val="auto"/>
        </w:rPr>
        <w:t>Effective June 30, 2014, the Company amended and restated the Plan in its entirety to reflect the merger of the TimkenSteel Corporation Latrobe Voluntary Investment Program. The assets and liabilities of the Voluntary Investment Program for Hourly Employees of Latrobe Steel Company were transferred to and merged into the Plan. The net assets transferred into the Plan are reflected on the December 31, 2014 statement of changes in net assets available for benefits as a transfer into the Plan.</w:t>
      </w:r>
    </w:p>
    <w:p>
      <w:pPr>
        <w:spacing w:after="0" w:line="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Contributions</w:t>
      </w:r>
    </w:p>
    <w:p>
      <w:pPr>
        <w:spacing w:after="0" w:line="185" w:lineRule="exact"/>
        <w:rPr>
          <w:sz w:val="20"/>
          <w:szCs w:val="20"/>
          <w:color w:val="auto"/>
        </w:rPr>
      </w:pPr>
    </w:p>
    <w:p>
      <w:pPr>
        <w:jc w:val="both"/>
        <w:spacing w:after="0" w:line="248" w:lineRule="auto"/>
        <w:rPr>
          <w:sz w:val="20"/>
          <w:szCs w:val="20"/>
          <w:color w:val="auto"/>
        </w:rPr>
      </w:pPr>
      <w:r>
        <w:rPr>
          <w:rFonts w:ascii="Arial" w:cs="Arial" w:eastAsia="Arial" w:hAnsi="Arial"/>
          <w:sz w:val="22"/>
          <w:szCs w:val="22"/>
          <w:color w:val="auto"/>
        </w:rPr>
        <w:t>Under the provisions of the Plan, participants may elect to contribute between 1% up to 75% of their eligible earnings on a pretax basis directly to the Plan subject to Internal Revenue Service (IRS) limitations. Participants are also able to contribute amounts representing distributions from other qualified defined benefit or 401(k) defined contribution plans, except Roth rollovers. The Company matches participant contributions, “Company Matching Contributions” at an amount equal to 100% on the first 3% of the participant’s eligible earnings.</w:t>
      </w:r>
    </w:p>
    <w:p>
      <w:pPr>
        <w:spacing w:after="0" w:line="152" w:lineRule="exact"/>
        <w:rPr>
          <w:sz w:val="20"/>
          <w:szCs w:val="20"/>
          <w:color w:val="auto"/>
        </w:rPr>
      </w:pPr>
    </w:p>
    <w:p>
      <w:pPr>
        <w:jc w:val="both"/>
        <w:spacing w:after="0" w:line="250" w:lineRule="auto"/>
        <w:rPr>
          <w:sz w:val="20"/>
          <w:szCs w:val="20"/>
          <w:color w:val="auto"/>
        </w:rPr>
      </w:pPr>
      <w:r>
        <w:rPr>
          <w:rFonts w:ascii="Arial" w:cs="Arial" w:eastAsia="Arial" w:hAnsi="Arial"/>
          <w:sz w:val="22"/>
          <w:szCs w:val="22"/>
          <w:color w:val="auto"/>
        </w:rPr>
        <w:t>Upon enrollment, a participant may elect to direct his or her contribution in 1% increments to any of the Plan’s investment options. Participants have access to their account information and the ability to make changes on a daily basis, subject to the next available payroll for contribution change election, through an automated telecommunications system. Account information and certain changes may also be made through the Internet.</w:t>
      </w:r>
    </w:p>
    <w:p>
      <w:pPr>
        <w:spacing w:after="0" w:line="3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125" w:right="23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 Savings Plan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for Certain Bargaining Employees</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Financial Statements (continued)</w:t>
      </w:r>
    </w:p>
    <w:p>
      <w:pPr>
        <w:spacing w:after="0" w:line="15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Participant Accounts</w:t>
      </w:r>
    </w:p>
    <w:p>
      <w:pPr>
        <w:spacing w:after="0" w:line="185" w:lineRule="exact"/>
        <w:rPr>
          <w:sz w:val="20"/>
          <w:szCs w:val="20"/>
          <w:color w:val="auto"/>
        </w:rPr>
      </w:pPr>
    </w:p>
    <w:p>
      <w:pPr>
        <w:spacing w:after="0"/>
        <w:rPr>
          <w:sz w:val="20"/>
          <w:szCs w:val="20"/>
          <w:color w:val="auto"/>
        </w:rPr>
      </w:pPr>
      <w:r>
        <w:rPr>
          <w:rFonts w:ascii="Arial" w:cs="Arial" w:eastAsia="Arial" w:hAnsi="Arial"/>
          <w:sz w:val="19"/>
          <w:szCs w:val="19"/>
          <w:color w:val="auto"/>
        </w:rPr>
        <w:t>Each participant’s account is credited with the participant’s contributions and allocations of (a) the Company’s contributions and</w:t>
      </w:r>
    </w:p>
    <w:p>
      <w:pPr>
        <w:spacing w:after="0" w:line="56" w:lineRule="exact"/>
        <w:rPr>
          <w:sz w:val="20"/>
          <w:szCs w:val="20"/>
          <w:color w:val="auto"/>
        </w:rPr>
      </w:pPr>
    </w:p>
    <w:p>
      <w:pPr>
        <w:jc w:val="both"/>
        <w:ind w:firstLine="8"/>
        <w:spacing w:after="0" w:line="244" w:lineRule="auto"/>
        <w:tabs>
          <w:tab w:leader="none" w:pos="326" w:val="left"/>
        </w:tabs>
        <w:numPr>
          <w:ilvl w:val="0"/>
          <w:numId w:val="3"/>
        </w:numPr>
        <w:rPr>
          <w:rFonts w:ascii="Arial" w:cs="Arial" w:eastAsia="Arial" w:hAnsi="Arial"/>
          <w:sz w:val="22"/>
          <w:szCs w:val="22"/>
          <w:color w:val="auto"/>
        </w:rPr>
      </w:pPr>
      <w:r>
        <w:rPr>
          <w:rFonts w:ascii="Arial" w:cs="Arial" w:eastAsia="Arial" w:hAnsi="Arial"/>
          <w:sz w:val="22"/>
          <w:szCs w:val="22"/>
          <w:color w:val="auto"/>
        </w:rPr>
        <w:t>Plan earnings, and is charged an allocation of administrative expenses. Plan earnings are allocated based on the participant’s share of net earnings or losses of their respective elected investment options. Allocations of administrative expenses are based on participant’s account balance, as defined. Forfeited balances of terminated participants’ nonvested accounts are used to reduce future Company Matching Contributions. The benefit to which a participant is entitled is the benefit that can be provided from the participant’s vested account.</w:t>
      </w:r>
    </w:p>
    <w:p>
      <w:pPr>
        <w:spacing w:after="0" w:line="14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Vesting</w:t>
      </w:r>
    </w:p>
    <w:p>
      <w:pPr>
        <w:spacing w:after="0" w:line="185" w:lineRule="exact"/>
        <w:rPr>
          <w:sz w:val="20"/>
          <w:szCs w:val="20"/>
          <w:color w:val="auto"/>
        </w:rPr>
      </w:pPr>
    </w:p>
    <w:p>
      <w:pPr>
        <w:jc w:val="both"/>
        <w:spacing w:after="0" w:line="287" w:lineRule="auto"/>
        <w:rPr>
          <w:sz w:val="20"/>
          <w:szCs w:val="20"/>
          <w:color w:val="auto"/>
        </w:rPr>
      </w:pPr>
      <w:r>
        <w:rPr>
          <w:rFonts w:ascii="Arial" w:cs="Arial" w:eastAsia="Arial" w:hAnsi="Arial"/>
          <w:sz w:val="21"/>
          <w:szCs w:val="21"/>
          <w:color w:val="auto"/>
        </w:rPr>
        <w:t>Participants are immediately vested in their contributions and rollover contributions plus actual earnings thereon. Vesting in the Company Matching Contribution portion of their account plus actual earnings thereon is also immediate.</w:t>
      </w:r>
    </w:p>
    <w:p>
      <w:pPr>
        <w:spacing w:after="0" w:line="10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Participant Notes Receivable</w:t>
      </w:r>
    </w:p>
    <w:p>
      <w:pPr>
        <w:spacing w:after="0" w:line="185" w:lineRule="exact"/>
        <w:rPr>
          <w:sz w:val="20"/>
          <w:szCs w:val="20"/>
          <w:color w:val="auto"/>
        </w:rPr>
      </w:pPr>
    </w:p>
    <w:p>
      <w:pPr>
        <w:jc w:val="both"/>
        <w:spacing w:after="0" w:line="312" w:lineRule="auto"/>
        <w:rPr>
          <w:sz w:val="20"/>
          <w:szCs w:val="20"/>
          <w:color w:val="auto"/>
        </w:rPr>
      </w:pPr>
      <w:r>
        <w:rPr>
          <w:rFonts w:ascii="Arial" w:cs="Arial" w:eastAsia="Arial" w:hAnsi="Arial"/>
          <w:sz w:val="19"/>
          <w:szCs w:val="19"/>
          <w:color w:val="auto"/>
        </w:rPr>
        <w:t>Participants may borrow from their vested interest in their total account a minimum of $1,000 up to a maximum equal to the lesser of (1) $50,000 minus the excess of the highest outstanding loan balance during the past 12 months or (2) 50% of their total vested account balance. Loan terms generally cannot exceed five years for general purpose loans and thirty years for residential loans.</w:t>
      </w:r>
    </w:p>
    <w:p>
      <w:pPr>
        <w:spacing w:after="0" w:line="93" w:lineRule="exact"/>
        <w:rPr>
          <w:sz w:val="20"/>
          <w:szCs w:val="20"/>
          <w:color w:val="auto"/>
        </w:rPr>
      </w:pPr>
    </w:p>
    <w:p>
      <w:pPr>
        <w:jc w:val="both"/>
        <w:spacing w:after="0" w:line="253" w:lineRule="auto"/>
        <w:rPr>
          <w:sz w:val="20"/>
          <w:szCs w:val="20"/>
          <w:color w:val="auto"/>
        </w:rPr>
      </w:pPr>
      <w:r>
        <w:rPr>
          <w:rFonts w:ascii="Arial" w:cs="Arial" w:eastAsia="Arial" w:hAnsi="Arial"/>
          <w:sz w:val="22"/>
          <w:szCs w:val="22"/>
          <w:color w:val="auto"/>
        </w:rPr>
        <w:t xml:space="preserve">The loans are secured by the balance in the participant’s vested account and bear interest at an interest rate of 1% in excess of the prime rate, as published in the </w:t>
      </w:r>
      <w:r>
        <w:rPr>
          <w:rFonts w:ascii="Arial" w:cs="Arial" w:eastAsia="Arial" w:hAnsi="Arial"/>
          <w:sz w:val="22"/>
          <w:szCs w:val="22"/>
          <w:i w:val="1"/>
          <w:iCs w:val="1"/>
          <w:color w:val="auto"/>
        </w:rPr>
        <w:t>Wall Street Journal</w:t>
      </w:r>
      <w:r>
        <w:rPr>
          <w:rFonts w:ascii="Arial" w:cs="Arial" w:eastAsia="Arial" w:hAnsi="Arial"/>
          <w:sz w:val="22"/>
          <w:szCs w:val="22"/>
          <w:color w:val="auto"/>
        </w:rPr>
        <w:t xml:space="preserve"> on the first business day of the month in which the loan is granted. Principal and interest are paid ratably through payroll deductions.</w:t>
      </w:r>
    </w:p>
    <w:p>
      <w:pPr>
        <w:spacing w:after="0" w:line="13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Payment of Benefits</w:t>
      </w:r>
    </w:p>
    <w:p>
      <w:pPr>
        <w:spacing w:after="0" w:line="185" w:lineRule="exact"/>
        <w:rPr>
          <w:sz w:val="20"/>
          <w:szCs w:val="20"/>
          <w:color w:val="auto"/>
        </w:rPr>
      </w:pPr>
    </w:p>
    <w:p>
      <w:pPr>
        <w:spacing w:after="0"/>
        <w:rPr>
          <w:sz w:val="20"/>
          <w:szCs w:val="20"/>
          <w:color w:val="auto"/>
        </w:rPr>
      </w:pPr>
      <w:r>
        <w:rPr>
          <w:rFonts w:ascii="Arial" w:cs="Arial" w:eastAsia="Arial" w:hAnsi="Arial"/>
          <w:sz w:val="19"/>
          <w:szCs w:val="19"/>
          <w:color w:val="auto"/>
        </w:rPr>
        <w:t>Upon termination of service with the Company, participants having a vested account balance greater than $5,000 have the option of</w:t>
      </w:r>
    </w:p>
    <w:p>
      <w:pPr>
        <w:spacing w:after="0" w:line="56" w:lineRule="exact"/>
        <w:rPr>
          <w:sz w:val="20"/>
          <w:szCs w:val="20"/>
          <w:color w:val="auto"/>
        </w:rPr>
      </w:pPr>
    </w:p>
    <w:p>
      <w:pPr>
        <w:jc w:val="both"/>
        <w:ind w:firstLine="8"/>
        <w:spacing w:after="0" w:line="292" w:lineRule="auto"/>
        <w:tabs>
          <w:tab w:leader="none" w:pos="258" w:val="left"/>
        </w:tabs>
        <w:numPr>
          <w:ilvl w:val="0"/>
          <w:numId w:val="4"/>
        </w:numPr>
        <w:rPr>
          <w:rFonts w:ascii="Arial" w:cs="Arial" w:eastAsia="Arial" w:hAnsi="Arial"/>
          <w:sz w:val="19"/>
          <w:szCs w:val="19"/>
          <w:color w:val="auto"/>
        </w:rPr>
      </w:pPr>
      <w:r>
        <w:rPr>
          <w:rFonts w:ascii="Arial" w:cs="Arial" w:eastAsia="Arial" w:hAnsi="Arial"/>
          <w:sz w:val="19"/>
          <w:szCs w:val="19"/>
          <w:color w:val="auto"/>
        </w:rPr>
        <w:t>transferring their account balance to another qualified plan, (ii) receiving a lump-sum amount equal to the vested balance of their account, or (iii) leaving their vested account balance in the Plan. Participants with balances between $1,000 and $5,000 may elect to receive a distribution or roll over their vested balances to another qualified plan or IRA. Participants having a vested account balance less than $1,000 receive a lump-sum amount equal to their vested account balance. Participants electing to leave their vested assets in the Plan may do so until age 70 ½ after which time the lump-sum or installment distribution options would apply.</w:t>
      </w:r>
    </w:p>
    <w:p>
      <w:pPr>
        <w:spacing w:after="0" w:line="112" w:lineRule="exact"/>
        <w:rPr>
          <w:sz w:val="20"/>
          <w:szCs w:val="20"/>
          <w:color w:val="auto"/>
        </w:rPr>
      </w:pPr>
    </w:p>
    <w:p>
      <w:pPr>
        <w:jc w:val="both"/>
        <w:spacing w:after="0" w:line="253" w:lineRule="auto"/>
        <w:rPr>
          <w:sz w:val="20"/>
          <w:szCs w:val="20"/>
          <w:color w:val="auto"/>
        </w:rPr>
      </w:pPr>
      <w:r>
        <w:rPr>
          <w:rFonts w:ascii="Arial" w:cs="Arial" w:eastAsia="Arial" w:hAnsi="Arial"/>
          <w:sz w:val="22"/>
          <w:szCs w:val="22"/>
          <w:color w:val="auto"/>
        </w:rPr>
        <w:t>Hardship withdrawals are allowed for participants incurring an immediate and severe financial need, as defined by the Plan. Hardship withdrawals are strictly regulated by the IRS and a participant must exhaust all available loan options and distributions prior to requesting a hardship withdrawal.</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125" w:right="239" w:bottom="1440" w:gutter="0" w:footer="0" w:header="0"/>
        </w:sectPr>
      </w:pPr>
    </w:p>
    <w:bookmarkStart w:id="6" w:name="page7"/>
    <w:bookmarkEnd w:id="6"/>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 Savings Plan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for Certain Bargaining Employees</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Financial Statements (continued)</w:t>
      </w:r>
    </w:p>
    <w:p>
      <w:pPr>
        <w:spacing w:after="0" w:line="15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Forfeitures</w:t>
      </w:r>
    </w:p>
    <w:p>
      <w:pPr>
        <w:spacing w:after="0" w:line="185" w:lineRule="exact"/>
        <w:rPr>
          <w:sz w:val="20"/>
          <w:szCs w:val="20"/>
          <w:color w:val="auto"/>
        </w:rPr>
      </w:pPr>
    </w:p>
    <w:p>
      <w:pPr>
        <w:jc w:val="both"/>
        <w:spacing w:after="0" w:line="253" w:lineRule="auto"/>
        <w:rPr>
          <w:sz w:val="20"/>
          <w:szCs w:val="20"/>
          <w:color w:val="auto"/>
        </w:rPr>
      </w:pPr>
      <w:r>
        <w:rPr>
          <w:rFonts w:ascii="Arial" w:cs="Arial" w:eastAsia="Arial" w:hAnsi="Arial"/>
          <w:sz w:val="22"/>
          <w:szCs w:val="22"/>
          <w:color w:val="auto"/>
        </w:rPr>
        <w:t>Under the provisions of the Plan, when forfeitures occur, it shall be applied to pay plan fees and expenses, to make special contribution for restoration of prior forfeitures, and reduce future Company contributions. Forfeitures balance as of December 31, 2014 was approximately $163.</w:t>
      </w:r>
    </w:p>
    <w:p>
      <w:pPr>
        <w:spacing w:after="0" w:line="13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Transfers between Plans</w:t>
      </w:r>
    </w:p>
    <w:p>
      <w:pPr>
        <w:spacing w:after="0" w:line="185" w:lineRule="exact"/>
        <w:rPr>
          <w:sz w:val="20"/>
          <w:szCs w:val="20"/>
          <w:color w:val="auto"/>
        </w:rPr>
      </w:pPr>
    </w:p>
    <w:p>
      <w:pPr>
        <w:jc w:val="both"/>
        <w:ind w:right="20"/>
        <w:spacing w:after="0" w:line="287" w:lineRule="auto"/>
        <w:rPr>
          <w:sz w:val="20"/>
          <w:szCs w:val="20"/>
          <w:color w:val="auto"/>
        </w:rPr>
      </w:pPr>
      <w:r>
        <w:rPr>
          <w:rFonts w:ascii="Arial" w:cs="Arial" w:eastAsia="Arial" w:hAnsi="Arial"/>
          <w:sz w:val="21"/>
          <w:szCs w:val="21"/>
          <w:color w:val="auto"/>
        </w:rPr>
        <w:t>Certain participants who change job positions within the Company and, as a result, are covered under a different defined contribution plan offered by the Company may be eligible to transfer his or her account balance between plans.</w:t>
      </w:r>
    </w:p>
    <w:p>
      <w:pPr>
        <w:spacing w:after="0" w:line="10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Plan Termination</w:t>
      </w:r>
    </w:p>
    <w:p>
      <w:pPr>
        <w:spacing w:after="0" w:line="185" w:lineRule="exact"/>
        <w:rPr>
          <w:sz w:val="20"/>
          <w:szCs w:val="20"/>
          <w:color w:val="auto"/>
        </w:rPr>
      </w:pPr>
    </w:p>
    <w:p>
      <w:pPr>
        <w:jc w:val="both"/>
        <w:spacing w:after="0" w:line="250" w:lineRule="auto"/>
        <w:rPr>
          <w:sz w:val="20"/>
          <w:szCs w:val="20"/>
          <w:color w:val="auto"/>
        </w:rPr>
      </w:pPr>
      <w:r>
        <w:rPr>
          <w:rFonts w:ascii="Arial" w:cs="Arial" w:eastAsia="Arial" w:hAnsi="Arial"/>
          <w:sz w:val="22"/>
          <w:szCs w:val="22"/>
          <w:color w:val="auto"/>
        </w:rPr>
        <w:t>Although it has not expressed any interest to do so, the Company has the right under the Plan to discontinue its contributions at any time and to terminate the Plan subject to the provisions of ERISA. In the event of Plan termination, the Plan’s trustee, Great-West Trust Company, LLC (formerly JP Morgan) (Trustee), shall distribute to each participant the balance in their separate account, which becomes fully vested at the date of Plan termination.</w:t>
      </w:r>
    </w:p>
    <w:p>
      <w:pPr>
        <w:spacing w:after="0" w:line="142" w:lineRule="exact"/>
        <w:rPr>
          <w:sz w:val="20"/>
          <w:szCs w:val="20"/>
          <w:color w:val="auto"/>
        </w:rPr>
      </w:pPr>
    </w:p>
    <w:p>
      <w:pPr>
        <w:ind w:right="8180" w:firstLine="8"/>
        <w:spacing w:after="0" w:line="412" w:lineRule="auto"/>
        <w:tabs>
          <w:tab w:leader="none" w:pos="216" w:val="left"/>
        </w:tabs>
        <w:numPr>
          <w:ilvl w:val="0"/>
          <w:numId w:val="5"/>
        </w:numPr>
        <w:rPr>
          <w:rFonts w:ascii="Arial" w:cs="Arial" w:eastAsia="Arial" w:hAnsi="Arial"/>
          <w:sz w:val="22"/>
          <w:szCs w:val="22"/>
          <w:b w:val="1"/>
          <w:bCs w:val="1"/>
          <w:color w:val="auto"/>
        </w:rPr>
      </w:pPr>
      <w:r>
        <w:rPr>
          <w:rFonts w:ascii="Arial" w:cs="Arial" w:eastAsia="Arial" w:hAnsi="Arial"/>
          <w:sz w:val="22"/>
          <w:szCs w:val="22"/>
          <w:b w:val="1"/>
          <w:bCs w:val="1"/>
          <w:color w:val="auto"/>
        </w:rPr>
        <w:t>Summary of Accounting Policies Basis of Accounting</w:t>
      </w:r>
    </w:p>
    <w:p>
      <w:pPr>
        <w:spacing w:after="0" w:line="2" w:lineRule="exact"/>
        <w:rPr>
          <w:sz w:val="20"/>
          <w:szCs w:val="20"/>
          <w:color w:val="auto"/>
        </w:rPr>
      </w:pPr>
    </w:p>
    <w:p>
      <w:pPr>
        <w:spacing w:after="0"/>
        <w:rPr>
          <w:sz w:val="20"/>
          <w:szCs w:val="20"/>
          <w:color w:val="auto"/>
        </w:rPr>
      </w:pPr>
      <w:r>
        <w:rPr>
          <w:rFonts w:ascii="Arial" w:cs="Arial" w:eastAsia="Arial" w:hAnsi="Arial"/>
          <w:sz w:val="22"/>
          <w:szCs w:val="22"/>
          <w:color w:val="auto"/>
        </w:rPr>
        <w:t>The financial statements of the Plan have been prepared on the accrual basis of accounting.</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Use of Estimates</w:t>
      </w:r>
    </w:p>
    <w:p>
      <w:pPr>
        <w:spacing w:after="0" w:line="185" w:lineRule="exact"/>
        <w:rPr>
          <w:sz w:val="20"/>
          <w:szCs w:val="20"/>
          <w:color w:val="auto"/>
        </w:rPr>
      </w:pPr>
    </w:p>
    <w:p>
      <w:pPr>
        <w:jc w:val="both"/>
        <w:spacing w:after="0" w:line="271" w:lineRule="auto"/>
        <w:rPr>
          <w:sz w:val="20"/>
          <w:szCs w:val="20"/>
          <w:color w:val="auto"/>
        </w:rPr>
      </w:pPr>
      <w:r>
        <w:rPr>
          <w:rFonts w:ascii="Arial" w:cs="Arial" w:eastAsia="Arial" w:hAnsi="Arial"/>
          <w:sz w:val="21"/>
          <w:szCs w:val="21"/>
          <w:color w:val="auto"/>
        </w:rPr>
        <w:t>The preparation of financial statements in conformity with accounting principles generally accepted in the United States of America (U.S. GAAP) requires management to make estimates and assumptions that affect the reported amounts of assets and liabilities and changes therein, and accompanying notes. Actual results could differ from those estimates.</w:t>
      </w:r>
    </w:p>
    <w:p>
      <w:pPr>
        <w:spacing w:after="0" w:line="12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Investment Valuation and Income Recognition</w:t>
      </w:r>
    </w:p>
    <w:p>
      <w:pPr>
        <w:spacing w:after="0" w:line="185" w:lineRule="exact"/>
        <w:rPr>
          <w:sz w:val="20"/>
          <w:szCs w:val="20"/>
          <w:color w:val="auto"/>
        </w:rPr>
      </w:pPr>
    </w:p>
    <w:p>
      <w:pPr>
        <w:jc w:val="both"/>
        <w:spacing w:after="0" w:line="253" w:lineRule="auto"/>
        <w:rPr>
          <w:sz w:val="20"/>
          <w:szCs w:val="20"/>
          <w:color w:val="auto"/>
        </w:rPr>
      </w:pPr>
      <w:r>
        <w:rPr>
          <w:rFonts w:ascii="Arial" w:cs="Arial" w:eastAsia="Arial" w:hAnsi="Arial"/>
          <w:sz w:val="22"/>
          <w:szCs w:val="22"/>
          <w:color w:val="auto"/>
        </w:rPr>
        <w:t>The Plan’s investments are stated at fair value and are invested in The Master Trust Agreement for the Company's Defined Contribution Plans (Master Trust), which was established for the investment of assets of the Plan and the two other defined contribution plans sponsored by the Company.</w:t>
      </w:r>
    </w:p>
    <w:p>
      <w:pPr>
        <w:spacing w:after="0" w:line="145" w:lineRule="exact"/>
        <w:rPr>
          <w:sz w:val="20"/>
          <w:szCs w:val="20"/>
          <w:color w:val="auto"/>
        </w:rPr>
      </w:pPr>
    </w:p>
    <w:p>
      <w:pPr>
        <w:jc w:val="both"/>
        <w:spacing w:after="0" w:line="250" w:lineRule="auto"/>
        <w:rPr>
          <w:sz w:val="20"/>
          <w:szCs w:val="20"/>
          <w:color w:val="auto"/>
        </w:rPr>
      </w:pPr>
      <w:r>
        <w:rPr>
          <w:rFonts w:ascii="Arial" w:cs="Arial" w:eastAsia="Arial" w:hAnsi="Arial"/>
          <w:sz w:val="22"/>
          <w:szCs w:val="22"/>
          <w:color w:val="auto"/>
        </w:rPr>
        <w:t>The Plan's Trustee maintains a collective investment trust of common shares of TimkenSteel Corporation in which the Company’s defined contribution plans participate on a unit basis. Common shares of TimkenSteel Corporation are traded on a national securities exchange and participation units in TimkenSteel Corporation ESOP Stock Fund are valued at the last reported sales price on the last business day of the plan year.</w:t>
      </w:r>
    </w:p>
    <w:p>
      <w:pPr>
        <w:spacing w:after="0" w:line="3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125" w:right="239" w:bottom="1440" w:gutter="0" w:footer="0" w:header="0"/>
        </w:sectPr>
      </w:pPr>
    </w:p>
    <w:bookmarkStart w:id="7" w:name="page8"/>
    <w:bookmarkEnd w:id="7"/>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 Savings Plan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for Certain Bargaining Employees</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Financial Statements (continued)</w:t>
      </w:r>
    </w:p>
    <w:p>
      <w:pPr>
        <w:spacing w:after="0" w:line="161" w:lineRule="exact"/>
        <w:rPr>
          <w:sz w:val="20"/>
          <w:szCs w:val="20"/>
          <w:color w:val="auto"/>
        </w:rPr>
      </w:pPr>
    </w:p>
    <w:p>
      <w:pPr>
        <w:spacing w:after="0"/>
        <w:rPr>
          <w:sz w:val="20"/>
          <w:szCs w:val="20"/>
          <w:color w:val="auto"/>
        </w:rPr>
      </w:pPr>
      <w:r>
        <w:rPr>
          <w:rFonts w:ascii="Arial" w:cs="Arial" w:eastAsia="Arial" w:hAnsi="Arial"/>
          <w:sz w:val="21"/>
          <w:szCs w:val="21"/>
          <w:color w:val="auto"/>
        </w:rPr>
        <w:t>Purchases and sales of securities are recorded on a trade-date basis. Dividends are recorded on the ex-dividend date.</w:t>
      </w:r>
    </w:p>
    <w:p>
      <w:pPr>
        <w:spacing w:after="0" w:line="191" w:lineRule="exact"/>
        <w:rPr>
          <w:sz w:val="20"/>
          <w:szCs w:val="20"/>
          <w:color w:val="auto"/>
        </w:rPr>
      </w:pPr>
    </w:p>
    <w:p>
      <w:pPr>
        <w:jc w:val="both"/>
        <w:spacing w:after="0" w:line="289" w:lineRule="auto"/>
        <w:rPr>
          <w:sz w:val="20"/>
          <w:szCs w:val="20"/>
          <w:color w:val="auto"/>
        </w:rPr>
      </w:pPr>
      <w:r>
        <w:rPr>
          <w:rFonts w:ascii="Arial" w:cs="Arial" w:eastAsia="Arial" w:hAnsi="Arial"/>
          <w:sz w:val="19"/>
          <w:szCs w:val="19"/>
          <w:color w:val="auto"/>
        </w:rPr>
        <w:t>In accordance with U.S. GAAP, the Plan has adopted Financial Accounting Standards Board (FASB) provisions for the Reporting of Fully Benefit-Responsive Investment Contracts Held by Certain Investment Companies Subject to the AICPA Investment Company Guide and Defined-Contribution, Health and Welfare and Pension Plans. FASB guidance requires that investment contracts held by a defined contribution plan be reported at fair value. However, contract value is the relevant measurement attribute for that portion of the net assets available for benefits of a defined contribution plan attributable to fully benefit-responsive investment contracts because contract value is the amount participants would receive if they were to initiate permitted transactions under the terms of the Plan. As required by U.S. GAAP, the Statement of Net Assets Available for Benefits presents the fair value of the investment as well as the adjustment for the fully benefit-responsive investment contracts from fair value to a contract value. The Statement of Changes in Net Assets Available for Benefits is prepared on a contract value basis.</w:t>
      </w:r>
    </w:p>
    <w:p>
      <w:pPr>
        <w:spacing w:after="0" w:line="11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Participant Notes Receivable</w:t>
      </w:r>
    </w:p>
    <w:p>
      <w:pPr>
        <w:spacing w:after="0" w:line="185" w:lineRule="exact"/>
        <w:rPr>
          <w:sz w:val="20"/>
          <w:szCs w:val="20"/>
          <w:color w:val="auto"/>
        </w:rPr>
      </w:pPr>
    </w:p>
    <w:p>
      <w:pPr>
        <w:jc w:val="both"/>
        <w:spacing w:after="0" w:line="263" w:lineRule="auto"/>
        <w:rPr>
          <w:sz w:val="20"/>
          <w:szCs w:val="20"/>
          <w:color w:val="auto"/>
        </w:rPr>
      </w:pPr>
      <w:r>
        <w:rPr>
          <w:rFonts w:ascii="Arial" w:cs="Arial" w:eastAsia="Arial" w:hAnsi="Arial"/>
          <w:sz w:val="21"/>
          <w:szCs w:val="21"/>
          <w:color w:val="auto"/>
        </w:rPr>
        <w:t>Participant notes receivable represents participant loans that are recorded at their unpaid principal balance plus any accrued but unpaid interest. Interest income on participants' notes receivable is recorded when it is earned. Related fees are recorded as administrative expenses and are expensed when they are incurred. No allowance for credit losses has been recorded as of December 31, 2014. If a participant ceases to make loan repayments and the Plan Administrator deems the participant loan to be a distribution, the participant loan balance is reduced and a benefit payment is recorded.</w:t>
      </w:r>
    </w:p>
    <w:p>
      <w:pPr>
        <w:spacing w:after="0" w:line="12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3. Investments</w:t>
      </w:r>
    </w:p>
    <w:p>
      <w:pPr>
        <w:spacing w:after="0" w:line="185" w:lineRule="exact"/>
        <w:rPr>
          <w:sz w:val="20"/>
          <w:szCs w:val="20"/>
          <w:color w:val="auto"/>
        </w:rPr>
      </w:pPr>
    </w:p>
    <w:p>
      <w:pPr>
        <w:spacing w:after="0"/>
        <w:rPr>
          <w:sz w:val="20"/>
          <w:szCs w:val="20"/>
          <w:color w:val="auto"/>
        </w:rPr>
      </w:pPr>
      <w:r>
        <w:rPr>
          <w:rFonts w:ascii="Arial" w:cs="Arial" w:eastAsia="Arial" w:hAnsi="Arial"/>
          <w:sz w:val="22"/>
          <w:szCs w:val="22"/>
          <w:color w:val="auto"/>
        </w:rPr>
        <w:t>The Plan’s assets are held in the Master Trust, commingled with assets of other Company-sponsored benefit plans.</w:t>
      </w:r>
    </w:p>
    <w:p>
      <w:pPr>
        <w:spacing w:after="0" w:line="179" w:lineRule="exact"/>
        <w:rPr>
          <w:sz w:val="20"/>
          <w:szCs w:val="20"/>
          <w:color w:val="auto"/>
        </w:rPr>
      </w:pPr>
    </w:p>
    <w:p>
      <w:pPr>
        <w:jc w:val="both"/>
        <w:spacing w:after="0" w:line="261" w:lineRule="auto"/>
        <w:rPr>
          <w:sz w:val="20"/>
          <w:szCs w:val="20"/>
          <w:color w:val="auto"/>
        </w:rPr>
      </w:pPr>
      <w:r>
        <w:rPr>
          <w:rFonts w:ascii="Arial" w:cs="Arial" w:eastAsia="Arial" w:hAnsi="Arial"/>
          <w:sz w:val="21"/>
          <w:szCs w:val="21"/>
          <w:color w:val="auto"/>
        </w:rPr>
        <w:t>Each participating plan’s interest in the investment funds (i.e., separate accounts) of the Master Trust is based on account balances of the participants and their elected investment funds. The Master Trust assets are allocated among the participating plans by assigning to each plan those transactions (primarily contributions, benefit payments, and plan-specific expenses) that can be specifically identified and by allocating among all plans, in proportion to the fair value of the assets assigned to each plan, income and expenses resulting from the collective investment of the assets of the Master Trust. The Plan’s ownership percentage in the Master Trust as of December 31, 2014 was 0.38%.</w:t>
      </w: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125" w:right="23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 Savings Plan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for Certain Bargaining Employees</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Financial Statements (continued)</w:t>
      </w:r>
    </w:p>
    <w:p>
      <w:pPr>
        <w:spacing w:after="0" w:line="161" w:lineRule="exact"/>
        <w:rPr>
          <w:sz w:val="20"/>
          <w:szCs w:val="20"/>
          <w:color w:val="auto"/>
        </w:rPr>
      </w:pPr>
    </w:p>
    <w:p>
      <w:pPr>
        <w:spacing w:after="0" w:line="263" w:lineRule="auto"/>
        <w:rPr>
          <w:sz w:val="20"/>
          <w:szCs w:val="20"/>
          <w:color w:val="auto"/>
        </w:rPr>
      </w:pPr>
      <w:r>
        <w:rPr>
          <w:rFonts w:ascii="Arial" w:cs="Arial" w:eastAsia="Arial" w:hAnsi="Arial"/>
          <w:sz w:val="22"/>
          <w:szCs w:val="22"/>
          <w:color w:val="auto"/>
        </w:rPr>
        <w:t>The following table presents the fair values of investments in the Master Trust and the Plan’s percentage interest in each investment fund of the Master Trust:</w:t>
      </w:r>
    </w:p>
    <w:p>
      <w:pPr>
        <w:spacing w:after="0" w:line="26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5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360" w:type="dxa"/>
            <w:vAlign w:val="bottom"/>
            <w:vMerge w:val="restart"/>
          </w:tcPr>
          <w:p>
            <w:pPr>
              <w:jc w:val="right"/>
              <w:ind w:right="208"/>
              <w:spacing w:after="0"/>
              <w:rPr>
                <w:sz w:val="20"/>
                <w:szCs w:val="20"/>
                <w:color w:val="auto"/>
              </w:rPr>
            </w:pPr>
            <w:r>
              <w:rPr>
                <w:rFonts w:ascii="Arial" w:cs="Arial" w:eastAsia="Arial" w:hAnsi="Arial"/>
                <w:sz w:val="14"/>
                <w:szCs w:val="14"/>
                <w:b w:val="1"/>
                <w:bCs w:val="1"/>
                <w:color w:val="auto"/>
              </w:rPr>
              <w:t>Company Stock</w:t>
            </w:r>
          </w:p>
        </w:tc>
        <w:tc>
          <w:tcPr>
            <w:tcW w:w="1480" w:type="dxa"/>
            <w:vAlign w:val="bottom"/>
            <w:gridSpan w:val="2"/>
          </w:tcPr>
          <w:p>
            <w:pPr>
              <w:ind w:left="80"/>
              <w:spacing w:after="0"/>
              <w:rPr>
                <w:sz w:val="20"/>
                <w:szCs w:val="20"/>
                <w:color w:val="auto"/>
              </w:rPr>
            </w:pPr>
            <w:r>
              <w:rPr>
                <w:rFonts w:ascii="Arial" w:cs="Arial" w:eastAsia="Arial" w:hAnsi="Arial"/>
                <w:sz w:val="14"/>
                <w:szCs w:val="14"/>
                <w:b w:val="1"/>
                <w:bCs w:val="1"/>
                <w:color w:val="auto"/>
                <w:w w:val="91"/>
              </w:rPr>
              <w:t>Registered Investment</w:t>
            </w:r>
          </w:p>
        </w:tc>
        <w:tc>
          <w:tcPr>
            <w:tcW w:w="160" w:type="dxa"/>
            <w:vAlign w:val="bottom"/>
          </w:tcPr>
          <w:p>
            <w:pPr>
              <w:spacing w:after="0"/>
              <w:rPr>
                <w:sz w:val="14"/>
                <w:szCs w:val="14"/>
                <w:color w:val="auto"/>
              </w:rPr>
            </w:pPr>
          </w:p>
        </w:tc>
        <w:tc>
          <w:tcPr>
            <w:tcW w:w="1420" w:type="dxa"/>
            <w:vAlign w:val="bottom"/>
          </w:tcPr>
          <w:p>
            <w:pPr>
              <w:jc w:val="right"/>
              <w:ind w:right="108"/>
              <w:spacing w:after="0"/>
              <w:rPr>
                <w:sz w:val="20"/>
                <w:szCs w:val="20"/>
                <w:color w:val="auto"/>
              </w:rPr>
            </w:pPr>
            <w:r>
              <w:rPr>
                <w:rFonts w:ascii="Arial" w:cs="Arial" w:eastAsia="Arial" w:hAnsi="Arial"/>
                <w:sz w:val="14"/>
                <w:szCs w:val="14"/>
                <w:b w:val="1"/>
                <w:bCs w:val="1"/>
                <w:color w:val="auto"/>
                <w:w w:val="93"/>
              </w:rPr>
              <w:t>Common Collective</w:t>
            </w:r>
          </w:p>
        </w:tc>
        <w:tc>
          <w:tcPr>
            <w:tcW w:w="280" w:type="dxa"/>
            <w:vAlign w:val="bottom"/>
          </w:tcPr>
          <w:p>
            <w:pPr>
              <w:spacing w:after="0"/>
              <w:rPr>
                <w:sz w:val="14"/>
                <w:szCs w:val="14"/>
                <w:color w:val="auto"/>
              </w:rPr>
            </w:pPr>
          </w:p>
        </w:tc>
        <w:tc>
          <w:tcPr>
            <w:tcW w:w="1320" w:type="dxa"/>
            <w:vAlign w:val="bottom"/>
            <w:vMerge w:val="restart"/>
          </w:tcPr>
          <w:p>
            <w:pPr>
              <w:jc w:val="right"/>
              <w:ind w:right="368"/>
              <w:spacing w:after="0"/>
              <w:rPr>
                <w:sz w:val="20"/>
                <w:szCs w:val="20"/>
                <w:color w:val="auto"/>
              </w:rPr>
            </w:pPr>
            <w:r>
              <w:rPr>
                <w:rFonts w:ascii="Arial" w:cs="Arial" w:eastAsia="Arial" w:hAnsi="Arial"/>
                <w:sz w:val="14"/>
                <w:szCs w:val="14"/>
                <w:b w:val="1"/>
                <w:bCs w:val="1"/>
                <w:color w:val="auto"/>
              </w:rPr>
              <w:t>Total Assets</w:t>
            </w:r>
          </w:p>
        </w:tc>
        <w:tc>
          <w:tcPr>
            <w:tcW w:w="1640" w:type="dxa"/>
            <w:vAlign w:val="bottom"/>
          </w:tcPr>
          <w:p>
            <w:pPr>
              <w:jc w:val="right"/>
              <w:ind w:right="208"/>
              <w:spacing w:after="0"/>
              <w:rPr>
                <w:sz w:val="20"/>
                <w:szCs w:val="20"/>
                <w:color w:val="auto"/>
              </w:rPr>
            </w:pPr>
            <w:r>
              <w:rPr>
                <w:rFonts w:ascii="Arial" w:cs="Arial" w:eastAsia="Arial" w:hAnsi="Arial"/>
                <w:sz w:val="14"/>
                <w:szCs w:val="14"/>
                <w:b w:val="1"/>
                <w:bCs w:val="1"/>
                <w:color w:val="auto"/>
              </w:rPr>
              <w:t>Plan's Ownership</w:t>
            </w:r>
          </w:p>
        </w:tc>
        <w:tc>
          <w:tcPr>
            <w:tcW w:w="0" w:type="dxa"/>
            <w:vAlign w:val="bottom"/>
          </w:tcPr>
          <w:p>
            <w:pPr>
              <w:spacing w:after="0"/>
              <w:rPr>
                <w:sz w:val="1"/>
                <w:szCs w:val="1"/>
                <w:color w:val="auto"/>
              </w:rPr>
            </w:pPr>
          </w:p>
        </w:tc>
      </w:tr>
      <w:tr>
        <w:trPr>
          <w:trHeight w:val="205"/>
        </w:trPr>
        <w:tc>
          <w:tcPr>
            <w:tcW w:w="354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360" w:type="dxa"/>
            <w:vAlign w:val="bottom"/>
            <w:tcBorders>
              <w:bottom w:val="single" w:sz="8" w:color="auto"/>
            </w:tcBorders>
            <w:vMerge w:val="continue"/>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Companies</w:t>
            </w:r>
          </w:p>
        </w:tc>
        <w:tc>
          <w:tcPr>
            <w:tcW w:w="160" w:type="dxa"/>
            <w:vAlign w:val="bottom"/>
            <w:tcBorders>
              <w:bottom w:val="single" w:sz="8" w:color="auto"/>
            </w:tcBorders>
          </w:tcPr>
          <w:p>
            <w:pPr>
              <w:spacing w:after="0"/>
              <w:rPr>
                <w:sz w:val="17"/>
                <w:szCs w:val="17"/>
                <w:color w:val="auto"/>
              </w:rPr>
            </w:pPr>
          </w:p>
        </w:tc>
        <w:tc>
          <w:tcPr>
            <w:tcW w:w="142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b w:val="1"/>
                <w:bCs w:val="1"/>
                <w:color w:val="auto"/>
              </w:rPr>
              <w:t>Funds</w:t>
            </w:r>
          </w:p>
        </w:tc>
        <w:tc>
          <w:tcPr>
            <w:tcW w:w="28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vMerge w:val="continue"/>
          </w:tcPr>
          <w:p>
            <w:pPr>
              <w:spacing w:after="0"/>
              <w:rPr>
                <w:sz w:val="17"/>
                <w:szCs w:val="17"/>
                <w:color w:val="auto"/>
              </w:rPr>
            </w:pPr>
          </w:p>
        </w:tc>
        <w:tc>
          <w:tcPr>
            <w:tcW w:w="164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Percentage</w:t>
            </w:r>
          </w:p>
        </w:tc>
        <w:tc>
          <w:tcPr>
            <w:tcW w:w="0" w:type="dxa"/>
            <w:vAlign w:val="bottom"/>
          </w:tcPr>
          <w:p>
            <w:pPr>
              <w:spacing w:after="0"/>
              <w:rPr>
                <w:sz w:val="1"/>
                <w:szCs w:val="1"/>
                <w:color w:val="auto"/>
              </w:rPr>
            </w:pPr>
          </w:p>
        </w:tc>
      </w:tr>
      <w:tr>
        <w:trPr>
          <w:trHeight w:val="270"/>
        </w:trPr>
        <w:tc>
          <w:tcPr>
            <w:tcW w:w="35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Investment, at Fair Value:</w:t>
            </w:r>
          </w:p>
        </w:tc>
        <w:tc>
          <w:tcPr>
            <w:tcW w:w="220" w:type="dxa"/>
            <w:vAlign w:val="bottom"/>
            <w:shd w:val="clear" w:color="auto" w:fill="CCEEFF"/>
          </w:tcPr>
          <w:p>
            <w:pPr>
              <w:spacing w:after="0"/>
              <w:rPr>
                <w:sz w:val="23"/>
                <w:szCs w:val="23"/>
                <w:color w:val="auto"/>
              </w:rPr>
            </w:pPr>
          </w:p>
        </w:tc>
        <w:tc>
          <w:tcPr>
            <w:tcW w:w="136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12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42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1320" w:type="dxa"/>
            <w:vAlign w:val="bottom"/>
            <w:shd w:val="clear" w:color="auto" w:fill="CCEEFF"/>
          </w:tcPr>
          <w:p>
            <w:pPr>
              <w:spacing w:after="0"/>
              <w:rPr>
                <w:sz w:val="23"/>
                <w:szCs w:val="23"/>
                <w:color w:val="auto"/>
              </w:rPr>
            </w:pPr>
          </w:p>
        </w:tc>
        <w:tc>
          <w:tcPr>
            <w:tcW w:w="16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10"/>
        </w:trPr>
        <w:tc>
          <w:tcPr>
            <w:tcW w:w="3540" w:type="dxa"/>
            <w:vAlign w:val="bottom"/>
          </w:tcPr>
          <w:p>
            <w:pPr>
              <w:ind w:left="40"/>
              <w:spacing w:after="0"/>
              <w:rPr>
                <w:sz w:val="20"/>
                <w:szCs w:val="20"/>
                <w:color w:val="auto"/>
              </w:rPr>
            </w:pPr>
            <w:r>
              <w:rPr>
                <w:rFonts w:ascii="Arial" w:cs="Arial" w:eastAsia="Arial" w:hAnsi="Arial"/>
                <w:sz w:val="14"/>
                <w:szCs w:val="14"/>
                <w:color w:val="auto"/>
              </w:rPr>
              <w:t>TimkenSteel Corporation ESOP Stock Fund</w:t>
            </w:r>
          </w:p>
        </w:tc>
        <w:tc>
          <w:tcPr>
            <w:tcW w:w="220" w:type="dxa"/>
            <w:vAlign w:val="bottom"/>
          </w:tcPr>
          <w:p>
            <w:pPr>
              <w:jc w:val="right"/>
              <w:ind w:right="48"/>
              <w:spacing w:after="0"/>
              <w:rPr>
                <w:sz w:val="20"/>
                <w:szCs w:val="20"/>
                <w:color w:val="auto"/>
              </w:rPr>
            </w:pPr>
            <w:r>
              <w:rPr>
                <w:rFonts w:ascii="Arial" w:cs="Arial" w:eastAsia="Arial" w:hAnsi="Arial"/>
                <w:sz w:val="14"/>
                <w:szCs w:val="14"/>
                <w:b w:val="1"/>
                <w:bCs w:val="1"/>
                <w:color w:val="auto"/>
              </w:rPr>
              <w:t>$</w:t>
            </w:r>
          </w:p>
        </w:tc>
        <w:tc>
          <w:tcPr>
            <w:tcW w:w="1360" w:type="dxa"/>
            <w:vAlign w:val="bottom"/>
          </w:tcPr>
          <w:p>
            <w:pPr>
              <w:jc w:val="right"/>
              <w:ind w:right="8"/>
              <w:spacing w:after="0"/>
              <w:rPr>
                <w:sz w:val="20"/>
                <w:szCs w:val="20"/>
                <w:color w:val="auto"/>
              </w:rPr>
            </w:pPr>
            <w:r>
              <w:rPr>
                <w:rFonts w:ascii="Arial" w:cs="Arial" w:eastAsia="Arial" w:hAnsi="Arial"/>
                <w:sz w:val="14"/>
                <w:szCs w:val="14"/>
                <w:b w:val="1"/>
                <w:bCs w:val="1"/>
                <w:color w:val="auto"/>
              </w:rPr>
              <w:t>34,436,562</w:t>
            </w:r>
          </w:p>
        </w:tc>
        <w:tc>
          <w:tcPr>
            <w:tcW w:w="280" w:type="dxa"/>
            <w:vAlign w:val="bottom"/>
          </w:tcPr>
          <w:p>
            <w:pPr>
              <w:ind w:left="60"/>
              <w:spacing w:after="0"/>
              <w:rPr>
                <w:sz w:val="20"/>
                <w:szCs w:val="20"/>
                <w:color w:val="auto"/>
              </w:rPr>
            </w:pPr>
            <w:r>
              <w:rPr>
                <w:rFonts w:ascii="Arial" w:cs="Arial" w:eastAsia="Arial" w:hAnsi="Arial"/>
                <w:sz w:val="14"/>
                <w:szCs w:val="14"/>
                <w:b w:val="1"/>
                <w:bCs w:val="1"/>
                <w:color w:val="auto"/>
              </w:rPr>
              <w:t>$</w:t>
            </w:r>
          </w:p>
        </w:tc>
        <w:tc>
          <w:tcPr>
            <w:tcW w:w="1200" w:type="dxa"/>
            <w:vAlign w:val="bottom"/>
          </w:tcPr>
          <w:p>
            <w:pPr>
              <w:jc w:val="right"/>
              <w:ind w:right="28"/>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jc w:val="right"/>
              <w:spacing w:after="0"/>
              <w:rPr>
                <w:sz w:val="20"/>
                <w:szCs w:val="20"/>
                <w:color w:val="auto"/>
              </w:rPr>
            </w:pPr>
            <w:r>
              <w:rPr>
                <w:rFonts w:ascii="Arial" w:cs="Arial" w:eastAsia="Arial" w:hAnsi="Arial"/>
                <w:sz w:val="14"/>
                <w:szCs w:val="14"/>
                <w:b w:val="1"/>
                <w:bCs w:val="1"/>
                <w:color w:val="auto"/>
              </w:rPr>
              <w:t>$</w:t>
            </w:r>
          </w:p>
        </w:tc>
        <w:tc>
          <w:tcPr>
            <w:tcW w:w="1420" w:type="dxa"/>
            <w:vAlign w:val="bottom"/>
          </w:tcPr>
          <w:p>
            <w:pPr>
              <w:jc w:val="right"/>
              <w:ind w:right="28"/>
              <w:spacing w:after="0"/>
              <w:rPr>
                <w:sz w:val="20"/>
                <w:szCs w:val="20"/>
                <w:color w:val="auto"/>
              </w:rPr>
            </w:pPr>
            <w:r>
              <w:rPr>
                <w:rFonts w:ascii="Arial" w:cs="Arial" w:eastAsia="Arial" w:hAnsi="Arial"/>
                <w:sz w:val="14"/>
                <w:szCs w:val="14"/>
                <w:b w:val="1"/>
                <w:bCs w:val="1"/>
                <w:color w:val="auto"/>
              </w:rPr>
              <w:t>—</w:t>
            </w:r>
          </w:p>
        </w:tc>
        <w:tc>
          <w:tcPr>
            <w:tcW w:w="280" w:type="dxa"/>
            <w:vAlign w:val="bottom"/>
          </w:tcPr>
          <w:p>
            <w:pPr>
              <w:jc w:val="right"/>
              <w:ind w:right="88"/>
              <w:spacing w:after="0"/>
              <w:rPr>
                <w:sz w:val="20"/>
                <w:szCs w:val="20"/>
                <w:color w:val="auto"/>
              </w:rPr>
            </w:pPr>
            <w:r>
              <w:rPr>
                <w:rFonts w:ascii="Arial" w:cs="Arial" w:eastAsia="Arial" w:hAnsi="Arial"/>
                <w:sz w:val="14"/>
                <w:szCs w:val="14"/>
                <w:b w:val="1"/>
                <w:bCs w:val="1"/>
                <w:color w:val="auto"/>
              </w:rPr>
              <w:t>$</w:t>
            </w:r>
          </w:p>
        </w:tc>
        <w:tc>
          <w:tcPr>
            <w:tcW w:w="1320" w:type="dxa"/>
            <w:vAlign w:val="bottom"/>
          </w:tcPr>
          <w:p>
            <w:pPr>
              <w:jc w:val="right"/>
              <w:ind w:right="48"/>
              <w:spacing w:after="0"/>
              <w:rPr>
                <w:sz w:val="20"/>
                <w:szCs w:val="20"/>
                <w:color w:val="auto"/>
              </w:rPr>
            </w:pPr>
            <w:r>
              <w:rPr>
                <w:rFonts w:ascii="Arial" w:cs="Arial" w:eastAsia="Arial" w:hAnsi="Arial"/>
                <w:sz w:val="14"/>
                <w:szCs w:val="14"/>
                <w:b w:val="1"/>
                <w:bCs w:val="1"/>
                <w:color w:val="auto"/>
              </w:rPr>
              <w:t>34,436,562</w:t>
            </w:r>
          </w:p>
        </w:tc>
        <w:tc>
          <w:tcPr>
            <w:tcW w:w="1640" w:type="dxa"/>
            <w:vAlign w:val="bottom"/>
          </w:tcPr>
          <w:p>
            <w:pPr>
              <w:jc w:val="right"/>
              <w:spacing w:after="0"/>
              <w:rPr>
                <w:sz w:val="20"/>
                <w:szCs w:val="20"/>
                <w:color w:val="auto"/>
              </w:rPr>
            </w:pPr>
            <w:r>
              <w:rPr>
                <w:rFonts w:ascii="Arial" w:cs="Arial" w:eastAsia="Arial" w:hAnsi="Arial"/>
                <w:sz w:val="14"/>
                <w:szCs w:val="14"/>
                <w:b w:val="1"/>
                <w:bCs w:val="1"/>
                <w:color w:val="auto"/>
              </w:rPr>
              <w:t>0.19%</w:t>
            </w:r>
          </w:p>
        </w:tc>
        <w:tc>
          <w:tcPr>
            <w:tcW w:w="0" w:type="dxa"/>
            <w:vAlign w:val="bottom"/>
          </w:tcPr>
          <w:p>
            <w:pPr>
              <w:spacing w:after="0"/>
              <w:rPr>
                <w:sz w:val="1"/>
                <w:szCs w:val="1"/>
                <w:color w:val="auto"/>
              </w:rPr>
            </w:pPr>
          </w:p>
        </w:tc>
      </w:tr>
      <w:tr>
        <w:trPr>
          <w:trHeight w:val="222"/>
        </w:trPr>
        <w:tc>
          <w:tcPr>
            <w:tcW w:w="3540" w:type="dxa"/>
            <w:vAlign w:val="bottom"/>
            <w:shd w:val="clear" w:color="auto" w:fill="CCEEFF"/>
          </w:tcPr>
          <w:p>
            <w:pPr>
              <w:ind w:left="40"/>
              <w:spacing w:after="0"/>
              <w:rPr>
                <w:sz w:val="20"/>
                <w:szCs w:val="20"/>
                <w:color w:val="auto"/>
              </w:rPr>
            </w:pPr>
            <w:r>
              <w:rPr>
                <w:rFonts w:ascii="Arial" w:cs="Arial" w:eastAsia="Arial" w:hAnsi="Arial"/>
                <w:sz w:val="14"/>
                <w:szCs w:val="14"/>
                <w:color w:val="auto"/>
              </w:rPr>
              <w:t>The Timken Company Stock Fund</w:t>
            </w:r>
          </w:p>
        </w:tc>
        <w:tc>
          <w:tcPr>
            <w:tcW w:w="220" w:type="dxa"/>
            <w:vAlign w:val="bottom"/>
            <w:shd w:val="clear" w:color="auto" w:fill="CCEEFF"/>
          </w:tcPr>
          <w:p>
            <w:pPr>
              <w:spacing w:after="0"/>
              <w:rPr>
                <w:sz w:val="19"/>
                <w:szCs w:val="19"/>
                <w:color w:val="auto"/>
              </w:rPr>
            </w:pPr>
          </w:p>
        </w:tc>
        <w:tc>
          <w:tcPr>
            <w:tcW w:w="1360" w:type="dxa"/>
            <w:vAlign w:val="bottom"/>
            <w:shd w:val="clear" w:color="auto" w:fill="CCEEFF"/>
          </w:tcPr>
          <w:p>
            <w:pPr>
              <w:jc w:val="right"/>
              <w:ind w:right="8"/>
              <w:spacing w:after="0"/>
              <w:rPr>
                <w:sz w:val="20"/>
                <w:szCs w:val="20"/>
                <w:color w:val="auto"/>
              </w:rPr>
            </w:pPr>
            <w:r>
              <w:rPr>
                <w:rFonts w:ascii="Arial" w:cs="Arial" w:eastAsia="Arial" w:hAnsi="Arial"/>
                <w:sz w:val="14"/>
                <w:szCs w:val="14"/>
                <w:b w:val="1"/>
                <w:bCs w:val="1"/>
                <w:color w:val="auto"/>
              </w:rPr>
              <w:t>51,072,618</w:t>
            </w:r>
          </w:p>
        </w:tc>
        <w:tc>
          <w:tcPr>
            <w:tcW w:w="28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420" w:type="dxa"/>
            <w:vAlign w:val="bottom"/>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w:t>
            </w:r>
          </w:p>
        </w:tc>
        <w:tc>
          <w:tcPr>
            <w:tcW w:w="280" w:type="dxa"/>
            <w:vAlign w:val="bottom"/>
            <w:shd w:val="clear" w:color="auto" w:fill="CCEEFF"/>
          </w:tcPr>
          <w:p>
            <w:pPr>
              <w:spacing w:after="0"/>
              <w:rPr>
                <w:sz w:val="19"/>
                <w:szCs w:val="19"/>
                <w:color w:val="auto"/>
              </w:rPr>
            </w:pPr>
          </w:p>
        </w:tc>
        <w:tc>
          <w:tcPr>
            <w:tcW w:w="1320" w:type="dxa"/>
            <w:vAlign w:val="bottom"/>
            <w:shd w:val="clear" w:color="auto" w:fill="CCEEFF"/>
          </w:tcPr>
          <w:p>
            <w:pPr>
              <w:jc w:val="right"/>
              <w:ind w:right="48"/>
              <w:spacing w:after="0"/>
              <w:rPr>
                <w:sz w:val="20"/>
                <w:szCs w:val="20"/>
                <w:color w:val="auto"/>
              </w:rPr>
            </w:pPr>
            <w:r>
              <w:rPr>
                <w:rFonts w:ascii="Arial" w:cs="Arial" w:eastAsia="Arial" w:hAnsi="Arial"/>
                <w:sz w:val="14"/>
                <w:szCs w:val="14"/>
                <w:b w:val="1"/>
                <w:bCs w:val="1"/>
                <w:color w:val="auto"/>
              </w:rPr>
              <w:t>51,072,618</w:t>
            </w:r>
          </w:p>
        </w:tc>
        <w:tc>
          <w:tcPr>
            <w:tcW w:w="164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0.30%</w:t>
            </w:r>
          </w:p>
        </w:tc>
        <w:tc>
          <w:tcPr>
            <w:tcW w:w="0" w:type="dxa"/>
            <w:vAlign w:val="bottom"/>
          </w:tcPr>
          <w:p>
            <w:pPr>
              <w:spacing w:after="0"/>
              <w:rPr>
                <w:sz w:val="1"/>
                <w:szCs w:val="1"/>
                <w:color w:val="auto"/>
              </w:rPr>
            </w:pPr>
          </w:p>
        </w:tc>
      </w:tr>
      <w:tr>
        <w:trPr>
          <w:trHeight w:val="210"/>
        </w:trPr>
        <w:tc>
          <w:tcPr>
            <w:tcW w:w="3540" w:type="dxa"/>
            <w:vAlign w:val="bottom"/>
          </w:tcPr>
          <w:p>
            <w:pPr>
              <w:ind w:left="40"/>
              <w:spacing w:after="0"/>
              <w:rPr>
                <w:sz w:val="20"/>
                <w:szCs w:val="20"/>
                <w:color w:val="auto"/>
              </w:rPr>
            </w:pPr>
            <w:r>
              <w:rPr>
                <w:rFonts w:ascii="Arial" w:cs="Arial" w:eastAsia="Arial" w:hAnsi="Arial"/>
                <w:sz w:val="14"/>
                <w:szCs w:val="14"/>
                <w:color w:val="auto"/>
              </w:rPr>
              <w:t>Morgan Stanley Inst Small Company Growth - I</w:t>
            </w:r>
          </w:p>
        </w:tc>
        <w:tc>
          <w:tcPr>
            <w:tcW w:w="220" w:type="dxa"/>
            <w:vAlign w:val="bottom"/>
          </w:tcPr>
          <w:p>
            <w:pPr>
              <w:spacing w:after="0"/>
              <w:rPr>
                <w:sz w:val="18"/>
                <w:szCs w:val="18"/>
                <w:color w:val="auto"/>
              </w:rPr>
            </w:pPr>
          </w:p>
        </w:tc>
        <w:tc>
          <w:tcPr>
            <w:tcW w:w="1360" w:type="dxa"/>
            <w:vAlign w:val="bottom"/>
          </w:tcPr>
          <w:p>
            <w:pPr>
              <w:jc w:val="right"/>
              <w:ind w:right="8"/>
              <w:spacing w:after="0"/>
              <w:rPr>
                <w:sz w:val="20"/>
                <w:szCs w:val="20"/>
                <w:color w:val="auto"/>
              </w:rPr>
            </w:pPr>
            <w:r>
              <w:rPr>
                <w:rFonts w:ascii="Arial" w:cs="Arial" w:eastAsia="Arial" w:hAnsi="Arial"/>
                <w:sz w:val="14"/>
                <w:szCs w:val="14"/>
                <w:b w:val="1"/>
                <w:bCs w:val="1"/>
                <w:color w:val="auto"/>
              </w:rPr>
              <w:t>—</w:t>
            </w:r>
          </w:p>
        </w:tc>
        <w:tc>
          <w:tcPr>
            <w:tcW w:w="280" w:type="dxa"/>
            <w:vAlign w:val="bottom"/>
          </w:tcPr>
          <w:p>
            <w:pPr>
              <w:spacing w:after="0"/>
              <w:rPr>
                <w:sz w:val="18"/>
                <w:szCs w:val="18"/>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b w:val="1"/>
                <w:bCs w:val="1"/>
                <w:color w:val="auto"/>
              </w:rPr>
              <w:t>5,731,845</w:t>
            </w:r>
          </w:p>
        </w:tc>
        <w:tc>
          <w:tcPr>
            <w:tcW w:w="160" w:type="dxa"/>
            <w:vAlign w:val="bottom"/>
          </w:tcPr>
          <w:p>
            <w:pPr>
              <w:spacing w:after="0"/>
              <w:rPr>
                <w:sz w:val="18"/>
                <w:szCs w:val="18"/>
                <w:color w:val="auto"/>
              </w:rPr>
            </w:pPr>
          </w:p>
        </w:tc>
        <w:tc>
          <w:tcPr>
            <w:tcW w:w="1420" w:type="dxa"/>
            <w:vAlign w:val="bottom"/>
          </w:tcPr>
          <w:p>
            <w:pPr>
              <w:jc w:val="right"/>
              <w:ind w:right="28"/>
              <w:spacing w:after="0"/>
              <w:rPr>
                <w:sz w:val="20"/>
                <w:szCs w:val="20"/>
                <w:color w:val="auto"/>
              </w:rPr>
            </w:pPr>
            <w:r>
              <w:rPr>
                <w:rFonts w:ascii="Arial" w:cs="Arial" w:eastAsia="Arial" w:hAnsi="Arial"/>
                <w:sz w:val="14"/>
                <w:szCs w:val="14"/>
                <w:b w:val="1"/>
                <w:bCs w:val="1"/>
                <w:color w:val="auto"/>
              </w:rPr>
              <w:t>—</w:t>
            </w:r>
          </w:p>
        </w:tc>
        <w:tc>
          <w:tcPr>
            <w:tcW w:w="280" w:type="dxa"/>
            <w:vAlign w:val="bottom"/>
          </w:tcPr>
          <w:p>
            <w:pPr>
              <w:spacing w:after="0"/>
              <w:rPr>
                <w:sz w:val="18"/>
                <w:szCs w:val="18"/>
                <w:color w:val="auto"/>
              </w:rPr>
            </w:pPr>
          </w:p>
        </w:tc>
        <w:tc>
          <w:tcPr>
            <w:tcW w:w="1320" w:type="dxa"/>
            <w:vAlign w:val="bottom"/>
          </w:tcPr>
          <w:p>
            <w:pPr>
              <w:jc w:val="right"/>
              <w:ind w:right="48"/>
              <w:spacing w:after="0"/>
              <w:rPr>
                <w:sz w:val="20"/>
                <w:szCs w:val="20"/>
                <w:color w:val="auto"/>
              </w:rPr>
            </w:pPr>
            <w:r>
              <w:rPr>
                <w:rFonts w:ascii="Arial" w:cs="Arial" w:eastAsia="Arial" w:hAnsi="Arial"/>
                <w:sz w:val="14"/>
                <w:szCs w:val="14"/>
                <w:b w:val="1"/>
                <w:bCs w:val="1"/>
                <w:color w:val="auto"/>
              </w:rPr>
              <w:t>5,731,845</w:t>
            </w:r>
          </w:p>
        </w:tc>
        <w:tc>
          <w:tcPr>
            <w:tcW w:w="1640" w:type="dxa"/>
            <w:vAlign w:val="bottom"/>
          </w:tcPr>
          <w:p>
            <w:pPr>
              <w:jc w:val="right"/>
              <w:spacing w:after="0"/>
              <w:rPr>
                <w:sz w:val="20"/>
                <w:szCs w:val="20"/>
                <w:color w:val="auto"/>
              </w:rPr>
            </w:pPr>
            <w:r>
              <w:rPr>
                <w:rFonts w:ascii="Arial" w:cs="Arial" w:eastAsia="Arial" w:hAnsi="Arial"/>
                <w:sz w:val="14"/>
                <w:szCs w:val="14"/>
                <w:b w:val="1"/>
                <w:bCs w:val="1"/>
                <w:color w:val="auto"/>
              </w:rPr>
              <w:t>0.00%</w:t>
            </w:r>
          </w:p>
        </w:tc>
        <w:tc>
          <w:tcPr>
            <w:tcW w:w="0" w:type="dxa"/>
            <w:vAlign w:val="bottom"/>
          </w:tcPr>
          <w:p>
            <w:pPr>
              <w:spacing w:after="0"/>
              <w:rPr>
                <w:sz w:val="1"/>
                <w:szCs w:val="1"/>
                <w:color w:val="auto"/>
              </w:rPr>
            </w:pPr>
          </w:p>
        </w:tc>
      </w:tr>
      <w:tr>
        <w:trPr>
          <w:trHeight w:val="222"/>
        </w:trPr>
        <w:tc>
          <w:tcPr>
            <w:tcW w:w="3540" w:type="dxa"/>
            <w:vAlign w:val="bottom"/>
            <w:shd w:val="clear" w:color="auto" w:fill="CCEEFF"/>
          </w:tcPr>
          <w:p>
            <w:pPr>
              <w:ind w:left="40"/>
              <w:spacing w:after="0"/>
              <w:rPr>
                <w:sz w:val="20"/>
                <w:szCs w:val="20"/>
                <w:color w:val="auto"/>
              </w:rPr>
            </w:pPr>
            <w:r>
              <w:rPr>
                <w:rFonts w:ascii="Arial" w:cs="Arial" w:eastAsia="Arial" w:hAnsi="Arial"/>
                <w:sz w:val="14"/>
                <w:szCs w:val="14"/>
                <w:color w:val="auto"/>
              </w:rPr>
              <w:t>American Funds EuroPacific Growth - R6</w:t>
            </w:r>
          </w:p>
        </w:tc>
        <w:tc>
          <w:tcPr>
            <w:tcW w:w="220" w:type="dxa"/>
            <w:vAlign w:val="bottom"/>
            <w:shd w:val="clear" w:color="auto" w:fill="CCEEFF"/>
          </w:tcPr>
          <w:p>
            <w:pPr>
              <w:spacing w:after="0"/>
              <w:rPr>
                <w:sz w:val="19"/>
                <w:szCs w:val="19"/>
                <w:color w:val="auto"/>
              </w:rPr>
            </w:pPr>
          </w:p>
        </w:tc>
        <w:tc>
          <w:tcPr>
            <w:tcW w:w="1360" w:type="dxa"/>
            <w:vAlign w:val="bottom"/>
            <w:shd w:val="clear" w:color="auto" w:fill="CCEEFF"/>
          </w:tcPr>
          <w:p>
            <w:pPr>
              <w:jc w:val="right"/>
              <w:ind w:right="8"/>
              <w:spacing w:after="0"/>
              <w:rPr>
                <w:sz w:val="20"/>
                <w:szCs w:val="20"/>
                <w:color w:val="auto"/>
              </w:rPr>
            </w:pPr>
            <w:r>
              <w:rPr>
                <w:rFonts w:ascii="Arial" w:cs="Arial" w:eastAsia="Arial" w:hAnsi="Arial"/>
                <w:sz w:val="14"/>
                <w:szCs w:val="14"/>
                <w:b w:val="1"/>
                <w:bCs w:val="1"/>
                <w:color w:val="auto"/>
              </w:rPr>
              <w:t>—</w:t>
            </w:r>
          </w:p>
        </w:tc>
        <w:tc>
          <w:tcPr>
            <w:tcW w:w="28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31,934,861</w:t>
            </w:r>
          </w:p>
        </w:tc>
        <w:tc>
          <w:tcPr>
            <w:tcW w:w="160" w:type="dxa"/>
            <w:vAlign w:val="bottom"/>
            <w:shd w:val="clear" w:color="auto" w:fill="CCEEFF"/>
          </w:tcPr>
          <w:p>
            <w:pPr>
              <w:spacing w:after="0"/>
              <w:rPr>
                <w:sz w:val="19"/>
                <w:szCs w:val="19"/>
                <w:color w:val="auto"/>
              </w:rPr>
            </w:pPr>
          </w:p>
        </w:tc>
        <w:tc>
          <w:tcPr>
            <w:tcW w:w="1420" w:type="dxa"/>
            <w:vAlign w:val="bottom"/>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w:t>
            </w:r>
          </w:p>
        </w:tc>
        <w:tc>
          <w:tcPr>
            <w:tcW w:w="280" w:type="dxa"/>
            <w:vAlign w:val="bottom"/>
            <w:shd w:val="clear" w:color="auto" w:fill="CCEEFF"/>
          </w:tcPr>
          <w:p>
            <w:pPr>
              <w:spacing w:after="0"/>
              <w:rPr>
                <w:sz w:val="19"/>
                <w:szCs w:val="19"/>
                <w:color w:val="auto"/>
              </w:rPr>
            </w:pPr>
          </w:p>
        </w:tc>
        <w:tc>
          <w:tcPr>
            <w:tcW w:w="1320" w:type="dxa"/>
            <w:vAlign w:val="bottom"/>
            <w:shd w:val="clear" w:color="auto" w:fill="CCEEFF"/>
          </w:tcPr>
          <w:p>
            <w:pPr>
              <w:jc w:val="right"/>
              <w:ind w:right="48"/>
              <w:spacing w:after="0"/>
              <w:rPr>
                <w:sz w:val="20"/>
                <w:szCs w:val="20"/>
                <w:color w:val="auto"/>
              </w:rPr>
            </w:pPr>
            <w:r>
              <w:rPr>
                <w:rFonts w:ascii="Arial" w:cs="Arial" w:eastAsia="Arial" w:hAnsi="Arial"/>
                <w:sz w:val="14"/>
                <w:szCs w:val="14"/>
                <w:b w:val="1"/>
                <w:bCs w:val="1"/>
                <w:color w:val="auto"/>
              </w:rPr>
              <w:t>31,934,861</w:t>
            </w:r>
          </w:p>
        </w:tc>
        <w:tc>
          <w:tcPr>
            <w:tcW w:w="164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0.07%</w:t>
            </w:r>
          </w:p>
        </w:tc>
        <w:tc>
          <w:tcPr>
            <w:tcW w:w="0" w:type="dxa"/>
            <w:vAlign w:val="bottom"/>
          </w:tcPr>
          <w:p>
            <w:pPr>
              <w:spacing w:after="0"/>
              <w:rPr>
                <w:sz w:val="1"/>
                <w:szCs w:val="1"/>
                <w:color w:val="auto"/>
              </w:rPr>
            </w:pPr>
          </w:p>
        </w:tc>
      </w:tr>
      <w:tr>
        <w:trPr>
          <w:trHeight w:val="210"/>
        </w:trPr>
        <w:tc>
          <w:tcPr>
            <w:tcW w:w="3540" w:type="dxa"/>
            <w:vAlign w:val="bottom"/>
          </w:tcPr>
          <w:p>
            <w:pPr>
              <w:ind w:left="40"/>
              <w:spacing w:after="0"/>
              <w:rPr>
                <w:sz w:val="20"/>
                <w:szCs w:val="20"/>
                <w:color w:val="auto"/>
              </w:rPr>
            </w:pPr>
            <w:r>
              <w:rPr>
                <w:rFonts w:ascii="Arial" w:cs="Arial" w:eastAsia="Arial" w:hAnsi="Arial"/>
                <w:sz w:val="14"/>
                <w:szCs w:val="14"/>
                <w:color w:val="auto"/>
              </w:rPr>
              <w:t>American Funds Washington Mutual - R6</w:t>
            </w:r>
          </w:p>
        </w:tc>
        <w:tc>
          <w:tcPr>
            <w:tcW w:w="220" w:type="dxa"/>
            <w:vAlign w:val="bottom"/>
          </w:tcPr>
          <w:p>
            <w:pPr>
              <w:spacing w:after="0"/>
              <w:rPr>
                <w:sz w:val="18"/>
                <w:szCs w:val="18"/>
                <w:color w:val="auto"/>
              </w:rPr>
            </w:pPr>
          </w:p>
        </w:tc>
        <w:tc>
          <w:tcPr>
            <w:tcW w:w="1360" w:type="dxa"/>
            <w:vAlign w:val="bottom"/>
          </w:tcPr>
          <w:p>
            <w:pPr>
              <w:jc w:val="right"/>
              <w:ind w:right="8"/>
              <w:spacing w:after="0"/>
              <w:rPr>
                <w:sz w:val="20"/>
                <w:szCs w:val="20"/>
                <w:color w:val="auto"/>
              </w:rPr>
            </w:pPr>
            <w:r>
              <w:rPr>
                <w:rFonts w:ascii="Arial" w:cs="Arial" w:eastAsia="Arial" w:hAnsi="Arial"/>
                <w:sz w:val="14"/>
                <w:szCs w:val="14"/>
                <w:b w:val="1"/>
                <w:bCs w:val="1"/>
                <w:color w:val="auto"/>
              </w:rPr>
              <w:t>—</w:t>
            </w:r>
          </w:p>
        </w:tc>
        <w:tc>
          <w:tcPr>
            <w:tcW w:w="280" w:type="dxa"/>
            <w:vAlign w:val="bottom"/>
          </w:tcPr>
          <w:p>
            <w:pPr>
              <w:spacing w:after="0"/>
              <w:rPr>
                <w:sz w:val="18"/>
                <w:szCs w:val="18"/>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b w:val="1"/>
                <w:bCs w:val="1"/>
                <w:color w:val="auto"/>
              </w:rPr>
              <w:t>13,762,812</w:t>
            </w:r>
          </w:p>
        </w:tc>
        <w:tc>
          <w:tcPr>
            <w:tcW w:w="160" w:type="dxa"/>
            <w:vAlign w:val="bottom"/>
          </w:tcPr>
          <w:p>
            <w:pPr>
              <w:spacing w:after="0"/>
              <w:rPr>
                <w:sz w:val="18"/>
                <w:szCs w:val="18"/>
                <w:color w:val="auto"/>
              </w:rPr>
            </w:pPr>
          </w:p>
        </w:tc>
        <w:tc>
          <w:tcPr>
            <w:tcW w:w="1420" w:type="dxa"/>
            <w:vAlign w:val="bottom"/>
          </w:tcPr>
          <w:p>
            <w:pPr>
              <w:jc w:val="right"/>
              <w:ind w:right="28"/>
              <w:spacing w:after="0"/>
              <w:rPr>
                <w:sz w:val="20"/>
                <w:szCs w:val="20"/>
                <w:color w:val="auto"/>
              </w:rPr>
            </w:pPr>
            <w:r>
              <w:rPr>
                <w:rFonts w:ascii="Arial" w:cs="Arial" w:eastAsia="Arial" w:hAnsi="Arial"/>
                <w:sz w:val="14"/>
                <w:szCs w:val="14"/>
                <w:b w:val="1"/>
                <w:bCs w:val="1"/>
                <w:color w:val="auto"/>
              </w:rPr>
              <w:t>—</w:t>
            </w:r>
          </w:p>
        </w:tc>
        <w:tc>
          <w:tcPr>
            <w:tcW w:w="280" w:type="dxa"/>
            <w:vAlign w:val="bottom"/>
          </w:tcPr>
          <w:p>
            <w:pPr>
              <w:spacing w:after="0"/>
              <w:rPr>
                <w:sz w:val="18"/>
                <w:szCs w:val="18"/>
                <w:color w:val="auto"/>
              </w:rPr>
            </w:pPr>
          </w:p>
        </w:tc>
        <w:tc>
          <w:tcPr>
            <w:tcW w:w="1320" w:type="dxa"/>
            <w:vAlign w:val="bottom"/>
          </w:tcPr>
          <w:p>
            <w:pPr>
              <w:jc w:val="right"/>
              <w:ind w:right="48"/>
              <w:spacing w:after="0"/>
              <w:rPr>
                <w:sz w:val="20"/>
                <w:szCs w:val="20"/>
                <w:color w:val="auto"/>
              </w:rPr>
            </w:pPr>
            <w:r>
              <w:rPr>
                <w:rFonts w:ascii="Arial" w:cs="Arial" w:eastAsia="Arial" w:hAnsi="Arial"/>
                <w:sz w:val="14"/>
                <w:szCs w:val="14"/>
                <w:b w:val="1"/>
                <w:bCs w:val="1"/>
                <w:color w:val="auto"/>
              </w:rPr>
              <w:t>13,762,812</w:t>
            </w:r>
          </w:p>
        </w:tc>
        <w:tc>
          <w:tcPr>
            <w:tcW w:w="1640" w:type="dxa"/>
            <w:vAlign w:val="bottom"/>
          </w:tcPr>
          <w:p>
            <w:pPr>
              <w:jc w:val="right"/>
              <w:spacing w:after="0"/>
              <w:rPr>
                <w:sz w:val="20"/>
                <w:szCs w:val="20"/>
                <w:color w:val="auto"/>
              </w:rPr>
            </w:pPr>
            <w:r>
              <w:rPr>
                <w:rFonts w:ascii="Arial" w:cs="Arial" w:eastAsia="Arial" w:hAnsi="Arial"/>
                <w:sz w:val="14"/>
                <w:szCs w:val="14"/>
                <w:b w:val="1"/>
                <w:bCs w:val="1"/>
                <w:color w:val="auto"/>
              </w:rPr>
              <w:t>0.01%</w:t>
            </w:r>
          </w:p>
        </w:tc>
        <w:tc>
          <w:tcPr>
            <w:tcW w:w="0" w:type="dxa"/>
            <w:vAlign w:val="bottom"/>
          </w:tcPr>
          <w:p>
            <w:pPr>
              <w:spacing w:after="0"/>
              <w:rPr>
                <w:sz w:val="1"/>
                <w:szCs w:val="1"/>
                <w:color w:val="auto"/>
              </w:rPr>
            </w:pPr>
          </w:p>
        </w:tc>
      </w:tr>
      <w:tr>
        <w:trPr>
          <w:trHeight w:val="222"/>
        </w:trPr>
        <w:tc>
          <w:tcPr>
            <w:tcW w:w="3540" w:type="dxa"/>
            <w:vAlign w:val="bottom"/>
            <w:shd w:val="clear" w:color="auto" w:fill="CCEEFF"/>
          </w:tcPr>
          <w:p>
            <w:pPr>
              <w:ind w:left="40"/>
              <w:spacing w:after="0"/>
              <w:rPr>
                <w:sz w:val="20"/>
                <w:szCs w:val="20"/>
                <w:color w:val="auto"/>
              </w:rPr>
            </w:pPr>
            <w:r>
              <w:rPr>
                <w:rFonts w:ascii="Arial" w:cs="Arial" w:eastAsia="Arial" w:hAnsi="Arial"/>
                <w:sz w:val="14"/>
                <w:szCs w:val="14"/>
                <w:color w:val="auto"/>
              </w:rPr>
              <w:t>American Beacon Small Cap Value - Inst</w:t>
            </w:r>
          </w:p>
        </w:tc>
        <w:tc>
          <w:tcPr>
            <w:tcW w:w="220" w:type="dxa"/>
            <w:vAlign w:val="bottom"/>
            <w:shd w:val="clear" w:color="auto" w:fill="CCEEFF"/>
          </w:tcPr>
          <w:p>
            <w:pPr>
              <w:spacing w:after="0"/>
              <w:rPr>
                <w:sz w:val="19"/>
                <w:szCs w:val="19"/>
                <w:color w:val="auto"/>
              </w:rPr>
            </w:pPr>
          </w:p>
        </w:tc>
        <w:tc>
          <w:tcPr>
            <w:tcW w:w="1360" w:type="dxa"/>
            <w:vAlign w:val="bottom"/>
            <w:shd w:val="clear" w:color="auto" w:fill="CCEEFF"/>
          </w:tcPr>
          <w:p>
            <w:pPr>
              <w:jc w:val="right"/>
              <w:ind w:right="8"/>
              <w:spacing w:after="0"/>
              <w:rPr>
                <w:sz w:val="20"/>
                <w:szCs w:val="20"/>
                <w:color w:val="auto"/>
              </w:rPr>
            </w:pPr>
            <w:r>
              <w:rPr>
                <w:rFonts w:ascii="Arial" w:cs="Arial" w:eastAsia="Arial" w:hAnsi="Arial"/>
                <w:sz w:val="14"/>
                <w:szCs w:val="14"/>
                <w:b w:val="1"/>
                <w:bCs w:val="1"/>
                <w:color w:val="auto"/>
              </w:rPr>
              <w:t>—</w:t>
            </w:r>
          </w:p>
        </w:tc>
        <w:tc>
          <w:tcPr>
            <w:tcW w:w="28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9,888,837</w:t>
            </w:r>
          </w:p>
        </w:tc>
        <w:tc>
          <w:tcPr>
            <w:tcW w:w="160" w:type="dxa"/>
            <w:vAlign w:val="bottom"/>
            <w:shd w:val="clear" w:color="auto" w:fill="CCEEFF"/>
          </w:tcPr>
          <w:p>
            <w:pPr>
              <w:spacing w:after="0"/>
              <w:rPr>
                <w:sz w:val="19"/>
                <w:szCs w:val="19"/>
                <w:color w:val="auto"/>
              </w:rPr>
            </w:pPr>
          </w:p>
        </w:tc>
        <w:tc>
          <w:tcPr>
            <w:tcW w:w="1420" w:type="dxa"/>
            <w:vAlign w:val="bottom"/>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w:t>
            </w:r>
          </w:p>
        </w:tc>
        <w:tc>
          <w:tcPr>
            <w:tcW w:w="280" w:type="dxa"/>
            <w:vAlign w:val="bottom"/>
            <w:shd w:val="clear" w:color="auto" w:fill="CCEEFF"/>
          </w:tcPr>
          <w:p>
            <w:pPr>
              <w:spacing w:after="0"/>
              <w:rPr>
                <w:sz w:val="19"/>
                <w:szCs w:val="19"/>
                <w:color w:val="auto"/>
              </w:rPr>
            </w:pPr>
          </w:p>
        </w:tc>
        <w:tc>
          <w:tcPr>
            <w:tcW w:w="1320" w:type="dxa"/>
            <w:vAlign w:val="bottom"/>
            <w:shd w:val="clear" w:color="auto" w:fill="CCEEFF"/>
          </w:tcPr>
          <w:p>
            <w:pPr>
              <w:jc w:val="right"/>
              <w:ind w:right="48"/>
              <w:spacing w:after="0"/>
              <w:rPr>
                <w:sz w:val="20"/>
                <w:szCs w:val="20"/>
                <w:color w:val="auto"/>
              </w:rPr>
            </w:pPr>
            <w:r>
              <w:rPr>
                <w:rFonts w:ascii="Arial" w:cs="Arial" w:eastAsia="Arial" w:hAnsi="Arial"/>
                <w:sz w:val="14"/>
                <w:szCs w:val="14"/>
                <w:b w:val="1"/>
                <w:bCs w:val="1"/>
                <w:color w:val="auto"/>
              </w:rPr>
              <w:t>9,888,837</w:t>
            </w:r>
          </w:p>
        </w:tc>
        <w:tc>
          <w:tcPr>
            <w:tcW w:w="164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0.00%</w:t>
            </w:r>
          </w:p>
        </w:tc>
        <w:tc>
          <w:tcPr>
            <w:tcW w:w="0" w:type="dxa"/>
            <w:vAlign w:val="bottom"/>
          </w:tcPr>
          <w:p>
            <w:pPr>
              <w:spacing w:after="0"/>
              <w:rPr>
                <w:sz w:val="1"/>
                <w:szCs w:val="1"/>
                <w:color w:val="auto"/>
              </w:rPr>
            </w:pPr>
          </w:p>
        </w:tc>
      </w:tr>
      <w:tr>
        <w:trPr>
          <w:trHeight w:val="210"/>
        </w:trPr>
        <w:tc>
          <w:tcPr>
            <w:tcW w:w="3540" w:type="dxa"/>
            <w:vAlign w:val="bottom"/>
          </w:tcPr>
          <w:p>
            <w:pPr>
              <w:ind w:left="40"/>
              <w:spacing w:after="0"/>
              <w:rPr>
                <w:sz w:val="20"/>
                <w:szCs w:val="20"/>
                <w:color w:val="auto"/>
              </w:rPr>
            </w:pPr>
            <w:r>
              <w:rPr>
                <w:rFonts w:ascii="Arial" w:cs="Arial" w:eastAsia="Arial" w:hAnsi="Arial"/>
                <w:sz w:val="14"/>
                <w:szCs w:val="14"/>
                <w:color w:val="auto"/>
              </w:rPr>
              <w:t>Vanguard Target Retirement Income Fund</w:t>
            </w:r>
          </w:p>
        </w:tc>
        <w:tc>
          <w:tcPr>
            <w:tcW w:w="220" w:type="dxa"/>
            <w:vAlign w:val="bottom"/>
          </w:tcPr>
          <w:p>
            <w:pPr>
              <w:spacing w:after="0"/>
              <w:rPr>
                <w:sz w:val="18"/>
                <w:szCs w:val="18"/>
                <w:color w:val="auto"/>
              </w:rPr>
            </w:pPr>
          </w:p>
        </w:tc>
        <w:tc>
          <w:tcPr>
            <w:tcW w:w="1360" w:type="dxa"/>
            <w:vAlign w:val="bottom"/>
          </w:tcPr>
          <w:p>
            <w:pPr>
              <w:jc w:val="right"/>
              <w:ind w:right="8"/>
              <w:spacing w:after="0"/>
              <w:rPr>
                <w:sz w:val="20"/>
                <w:szCs w:val="20"/>
                <w:color w:val="auto"/>
              </w:rPr>
            </w:pPr>
            <w:r>
              <w:rPr>
                <w:rFonts w:ascii="Arial" w:cs="Arial" w:eastAsia="Arial" w:hAnsi="Arial"/>
                <w:sz w:val="14"/>
                <w:szCs w:val="14"/>
                <w:b w:val="1"/>
                <w:bCs w:val="1"/>
                <w:color w:val="auto"/>
              </w:rPr>
              <w:t>—</w:t>
            </w:r>
          </w:p>
        </w:tc>
        <w:tc>
          <w:tcPr>
            <w:tcW w:w="280" w:type="dxa"/>
            <w:vAlign w:val="bottom"/>
          </w:tcPr>
          <w:p>
            <w:pPr>
              <w:spacing w:after="0"/>
              <w:rPr>
                <w:sz w:val="18"/>
                <w:szCs w:val="18"/>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b w:val="1"/>
                <w:bCs w:val="1"/>
                <w:color w:val="auto"/>
              </w:rPr>
              <w:t>6,494,664</w:t>
            </w:r>
          </w:p>
        </w:tc>
        <w:tc>
          <w:tcPr>
            <w:tcW w:w="160" w:type="dxa"/>
            <w:vAlign w:val="bottom"/>
          </w:tcPr>
          <w:p>
            <w:pPr>
              <w:spacing w:after="0"/>
              <w:rPr>
                <w:sz w:val="18"/>
                <w:szCs w:val="18"/>
                <w:color w:val="auto"/>
              </w:rPr>
            </w:pPr>
          </w:p>
        </w:tc>
        <w:tc>
          <w:tcPr>
            <w:tcW w:w="1420" w:type="dxa"/>
            <w:vAlign w:val="bottom"/>
          </w:tcPr>
          <w:p>
            <w:pPr>
              <w:jc w:val="right"/>
              <w:ind w:right="28"/>
              <w:spacing w:after="0"/>
              <w:rPr>
                <w:sz w:val="20"/>
                <w:szCs w:val="20"/>
                <w:color w:val="auto"/>
              </w:rPr>
            </w:pPr>
            <w:r>
              <w:rPr>
                <w:rFonts w:ascii="Arial" w:cs="Arial" w:eastAsia="Arial" w:hAnsi="Arial"/>
                <w:sz w:val="14"/>
                <w:szCs w:val="14"/>
                <w:b w:val="1"/>
                <w:bCs w:val="1"/>
                <w:color w:val="auto"/>
              </w:rPr>
              <w:t>—</w:t>
            </w:r>
          </w:p>
        </w:tc>
        <w:tc>
          <w:tcPr>
            <w:tcW w:w="280" w:type="dxa"/>
            <w:vAlign w:val="bottom"/>
          </w:tcPr>
          <w:p>
            <w:pPr>
              <w:spacing w:after="0"/>
              <w:rPr>
                <w:sz w:val="18"/>
                <w:szCs w:val="18"/>
                <w:color w:val="auto"/>
              </w:rPr>
            </w:pPr>
          </w:p>
        </w:tc>
        <w:tc>
          <w:tcPr>
            <w:tcW w:w="1320" w:type="dxa"/>
            <w:vAlign w:val="bottom"/>
          </w:tcPr>
          <w:p>
            <w:pPr>
              <w:jc w:val="right"/>
              <w:ind w:right="48"/>
              <w:spacing w:after="0"/>
              <w:rPr>
                <w:sz w:val="20"/>
                <w:szCs w:val="20"/>
                <w:color w:val="auto"/>
              </w:rPr>
            </w:pPr>
            <w:r>
              <w:rPr>
                <w:rFonts w:ascii="Arial" w:cs="Arial" w:eastAsia="Arial" w:hAnsi="Arial"/>
                <w:sz w:val="14"/>
                <w:szCs w:val="14"/>
                <w:b w:val="1"/>
                <w:bCs w:val="1"/>
                <w:color w:val="auto"/>
              </w:rPr>
              <w:t>6,494,664</w:t>
            </w:r>
          </w:p>
        </w:tc>
        <w:tc>
          <w:tcPr>
            <w:tcW w:w="1640" w:type="dxa"/>
            <w:vAlign w:val="bottom"/>
          </w:tcPr>
          <w:p>
            <w:pPr>
              <w:jc w:val="right"/>
              <w:spacing w:after="0"/>
              <w:rPr>
                <w:sz w:val="20"/>
                <w:szCs w:val="20"/>
                <w:color w:val="auto"/>
              </w:rPr>
            </w:pPr>
            <w:r>
              <w:rPr>
                <w:rFonts w:ascii="Arial" w:cs="Arial" w:eastAsia="Arial" w:hAnsi="Arial"/>
                <w:sz w:val="14"/>
                <w:szCs w:val="14"/>
                <w:b w:val="1"/>
                <w:bCs w:val="1"/>
                <w:color w:val="auto"/>
              </w:rPr>
              <w:t>0.11%</w:t>
            </w:r>
          </w:p>
        </w:tc>
        <w:tc>
          <w:tcPr>
            <w:tcW w:w="0" w:type="dxa"/>
            <w:vAlign w:val="bottom"/>
          </w:tcPr>
          <w:p>
            <w:pPr>
              <w:spacing w:after="0"/>
              <w:rPr>
                <w:sz w:val="1"/>
                <w:szCs w:val="1"/>
                <w:color w:val="auto"/>
              </w:rPr>
            </w:pPr>
          </w:p>
        </w:tc>
      </w:tr>
      <w:tr>
        <w:trPr>
          <w:trHeight w:val="222"/>
        </w:trPr>
        <w:tc>
          <w:tcPr>
            <w:tcW w:w="3540" w:type="dxa"/>
            <w:vAlign w:val="bottom"/>
            <w:shd w:val="clear" w:color="auto" w:fill="CCEEFF"/>
          </w:tcPr>
          <w:p>
            <w:pPr>
              <w:ind w:left="40"/>
              <w:spacing w:after="0"/>
              <w:rPr>
                <w:sz w:val="20"/>
                <w:szCs w:val="20"/>
                <w:color w:val="auto"/>
              </w:rPr>
            </w:pPr>
            <w:r>
              <w:rPr>
                <w:rFonts w:ascii="Arial" w:cs="Arial" w:eastAsia="Arial" w:hAnsi="Arial"/>
                <w:sz w:val="14"/>
                <w:szCs w:val="14"/>
                <w:color w:val="auto"/>
              </w:rPr>
              <w:t>Vanguard Target Retirement Fund 2015</w:t>
            </w:r>
          </w:p>
        </w:tc>
        <w:tc>
          <w:tcPr>
            <w:tcW w:w="220" w:type="dxa"/>
            <w:vAlign w:val="bottom"/>
            <w:shd w:val="clear" w:color="auto" w:fill="CCEEFF"/>
          </w:tcPr>
          <w:p>
            <w:pPr>
              <w:spacing w:after="0"/>
              <w:rPr>
                <w:sz w:val="19"/>
                <w:szCs w:val="19"/>
                <w:color w:val="auto"/>
              </w:rPr>
            </w:pPr>
          </w:p>
        </w:tc>
        <w:tc>
          <w:tcPr>
            <w:tcW w:w="1360" w:type="dxa"/>
            <w:vAlign w:val="bottom"/>
            <w:shd w:val="clear" w:color="auto" w:fill="CCEEFF"/>
          </w:tcPr>
          <w:p>
            <w:pPr>
              <w:jc w:val="right"/>
              <w:ind w:right="8"/>
              <w:spacing w:after="0"/>
              <w:rPr>
                <w:sz w:val="20"/>
                <w:szCs w:val="20"/>
                <w:color w:val="auto"/>
              </w:rPr>
            </w:pPr>
            <w:r>
              <w:rPr>
                <w:rFonts w:ascii="Arial" w:cs="Arial" w:eastAsia="Arial" w:hAnsi="Arial"/>
                <w:sz w:val="14"/>
                <w:szCs w:val="14"/>
                <w:b w:val="1"/>
                <w:bCs w:val="1"/>
                <w:color w:val="auto"/>
              </w:rPr>
              <w:t>—</w:t>
            </w:r>
          </w:p>
        </w:tc>
        <w:tc>
          <w:tcPr>
            <w:tcW w:w="28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16,755,951</w:t>
            </w:r>
          </w:p>
        </w:tc>
        <w:tc>
          <w:tcPr>
            <w:tcW w:w="160" w:type="dxa"/>
            <w:vAlign w:val="bottom"/>
            <w:shd w:val="clear" w:color="auto" w:fill="CCEEFF"/>
          </w:tcPr>
          <w:p>
            <w:pPr>
              <w:spacing w:after="0"/>
              <w:rPr>
                <w:sz w:val="19"/>
                <w:szCs w:val="19"/>
                <w:color w:val="auto"/>
              </w:rPr>
            </w:pPr>
          </w:p>
        </w:tc>
        <w:tc>
          <w:tcPr>
            <w:tcW w:w="1420" w:type="dxa"/>
            <w:vAlign w:val="bottom"/>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w:t>
            </w:r>
          </w:p>
        </w:tc>
        <w:tc>
          <w:tcPr>
            <w:tcW w:w="280" w:type="dxa"/>
            <w:vAlign w:val="bottom"/>
            <w:shd w:val="clear" w:color="auto" w:fill="CCEEFF"/>
          </w:tcPr>
          <w:p>
            <w:pPr>
              <w:spacing w:after="0"/>
              <w:rPr>
                <w:sz w:val="19"/>
                <w:szCs w:val="19"/>
                <w:color w:val="auto"/>
              </w:rPr>
            </w:pPr>
          </w:p>
        </w:tc>
        <w:tc>
          <w:tcPr>
            <w:tcW w:w="1320" w:type="dxa"/>
            <w:vAlign w:val="bottom"/>
            <w:shd w:val="clear" w:color="auto" w:fill="CCEEFF"/>
          </w:tcPr>
          <w:p>
            <w:pPr>
              <w:jc w:val="right"/>
              <w:ind w:right="48"/>
              <w:spacing w:after="0"/>
              <w:rPr>
                <w:sz w:val="20"/>
                <w:szCs w:val="20"/>
                <w:color w:val="auto"/>
              </w:rPr>
            </w:pPr>
            <w:r>
              <w:rPr>
                <w:rFonts w:ascii="Arial" w:cs="Arial" w:eastAsia="Arial" w:hAnsi="Arial"/>
                <w:sz w:val="14"/>
                <w:szCs w:val="14"/>
                <w:b w:val="1"/>
                <w:bCs w:val="1"/>
                <w:color w:val="auto"/>
              </w:rPr>
              <w:t>16,755,951</w:t>
            </w:r>
          </w:p>
        </w:tc>
        <w:tc>
          <w:tcPr>
            <w:tcW w:w="164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0.09%</w:t>
            </w:r>
          </w:p>
        </w:tc>
        <w:tc>
          <w:tcPr>
            <w:tcW w:w="0" w:type="dxa"/>
            <w:vAlign w:val="bottom"/>
          </w:tcPr>
          <w:p>
            <w:pPr>
              <w:spacing w:after="0"/>
              <w:rPr>
                <w:sz w:val="1"/>
                <w:szCs w:val="1"/>
                <w:color w:val="auto"/>
              </w:rPr>
            </w:pPr>
          </w:p>
        </w:tc>
      </w:tr>
      <w:tr>
        <w:trPr>
          <w:trHeight w:val="210"/>
        </w:trPr>
        <w:tc>
          <w:tcPr>
            <w:tcW w:w="3540" w:type="dxa"/>
            <w:vAlign w:val="bottom"/>
          </w:tcPr>
          <w:p>
            <w:pPr>
              <w:ind w:left="40"/>
              <w:spacing w:after="0"/>
              <w:rPr>
                <w:sz w:val="20"/>
                <w:szCs w:val="20"/>
                <w:color w:val="auto"/>
              </w:rPr>
            </w:pPr>
            <w:r>
              <w:rPr>
                <w:rFonts w:ascii="Arial" w:cs="Arial" w:eastAsia="Arial" w:hAnsi="Arial"/>
                <w:sz w:val="14"/>
                <w:szCs w:val="14"/>
                <w:color w:val="auto"/>
              </w:rPr>
              <w:t>Vanguard Target Retirement Fund 2025</w:t>
            </w:r>
          </w:p>
        </w:tc>
        <w:tc>
          <w:tcPr>
            <w:tcW w:w="220" w:type="dxa"/>
            <w:vAlign w:val="bottom"/>
          </w:tcPr>
          <w:p>
            <w:pPr>
              <w:spacing w:after="0"/>
              <w:rPr>
                <w:sz w:val="18"/>
                <w:szCs w:val="18"/>
                <w:color w:val="auto"/>
              </w:rPr>
            </w:pPr>
          </w:p>
        </w:tc>
        <w:tc>
          <w:tcPr>
            <w:tcW w:w="1360" w:type="dxa"/>
            <w:vAlign w:val="bottom"/>
          </w:tcPr>
          <w:p>
            <w:pPr>
              <w:jc w:val="right"/>
              <w:ind w:right="8"/>
              <w:spacing w:after="0"/>
              <w:rPr>
                <w:sz w:val="20"/>
                <w:szCs w:val="20"/>
                <w:color w:val="auto"/>
              </w:rPr>
            </w:pPr>
            <w:r>
              <w:rPr>
                <w:rFonts w:ascii="Arial" w:cs="Arial" w:eastAsia="Arial" w:hAnsi="Arial"/>
                <w:sz w:val="14"/>
                <w:szCs w:val="14"/>
                <w:b w:val="1"/>
                <w:bCs w:val="1"/>
                <w:color w:val="auto"/>
              </w:rPr>
              <w:t>—</w:t>
            </w:r>
          </w:p>
        </w:tc>
        <w:tc>
          <w:tcPr>
            <w:tcW w:w="280" w:type="dxa"/>
            <w:vAlign w:val="bottom"/>
          </w:tcPr>
          <w:p>
            <w:pPr>
              <w:spacing w:after="0"/>
              <w:rPr>
                <w:sz w:val="18"/>
                <w:szCs w:val="18"/>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b w:val="1"/>
                <w:bCs w:val="1"/>
                <w:color w:val="auto"/>
              </w:rPr>
              <w:t>14,817,661</w:t>
            </w:r>
          </w:p>
        </w:tc>
        <w:tc>
          <w:tcPr>
            <w:tcW w:w="160" w:type="dxa"/>
            <w:vAlign w:val="bottom"/>
          </w:tcPr>
          <w:p>
            <w:pPr>
              <w:spacing w:after="0"/>
              <w:rPr>
                <w:sz w:val="18"/>
                <w:szCs w:val="18"/>
                <w:color w:val="auto"/>
              </w:rPr>
            </w:pPr>
          </w:p>
        </w:tc>
        <w:tc>
          <w:tcPr>
            <w:tcW w:w="1420" w:type="dxa"/>
            <w:vAlign w:val="bottom"/>
          </w:tcPr>
          <w:p>
            <w:pPr>
              <w:jc w:val="right"/>
              <w:ind w:right="28"/>
              <w:spacing w:after="0"/>
              <w:rPr>
                <w:sz w:val="20"/>
                <w:szCs w:val="20"/>
                <w:color w:val="auto"/>
              </w:rPr>
            </w:pPr>
            <w:r>
              <w:rPr>
                <w:rFonts w:ascii="Arial" w:cs="Arial" w:eastAsia="Arial" w:hAnsi="Arial"/>
                <w:sz w:val="14"/>
                <w:szCs w:val="14"/>
                <w:b w:val="1"/>
                <w:bCs w:val="1"/>
                <w:color w:val="auto"/>
              </w:rPr>
              <w:t>—</w:t>
            </w:r>
          </w:p>
        </w:tc>
        <w:tc>
          <w:tcPr>
            <w:tcW w:w="280" w:type="dxa"/>
            <w:vAlign w:val="bottom"/>
          </w:tcPr>
          <w:p>
            <w:pPr>
              <w:spacing w:after="0"/>
              <w:rPr>
                <w:sz w:val="18"/>
                <w:szCs w:val="18"/>
                <w:color w:val="auto"/>
              </w:rPr>
            </w:pPr>
          </w:p>
        </w:tc>
        <w:tc>
          <w:tcPr>
            <w:tcW w:w="1320" w:type="dxa"/>
            <w:vAlign w:val="bottom"/>
          </w:tcPr>
          <w:p>
            <w:pPr>
              <w:jc w:val="right"/>
              <w:ind w:right="48"/>
              <w:spacing w:after="0"/>
              <w:rPr>
                <w:sz w:val="20"/>
                <w:szCs w:val="20"/>
                <w:color w:val="auto"/>
              </w:rPr>
            </w:pPr>
            <w:r>
              <w:rPr>
                <w:rFonts w:ascii="Arial" w:cs="Arial" w:eastAsia="Arial" w:hAnsi="Arial"/>
                <w:sz w:val="14"/>
                <w:szCs w:val="14"/>
                <w:b w:val="1"/>
                <w:bCs w:val="1"/>
                <w:color w:val="auto"/>
              </w:rPr>
              <w:t>14,817,661</w:t>
            </w:r>
          </w:p>
        </w:tc>
        <w:tc>
          <w:tcPr>
            <w:tcW w:w="1640" w:type="dxa"/>
            <w:vAlign w:val="bottom"/>
          </w:tcPr>
          <w:p>
            <w:pPr>
              <w:jc w:val="right"/>
              <w:spacing w:after="0"/>
              <w:rPr>
                <w:sz w:val="20"/>
                <w:szCs w:val="20"/>
                <w:color w:val="auto"/>
              </w:rPr>
            </w:pPr>
            <w:r>
              <w:rPr>
                <w:rFonts w:ascii="Arial" w:cs="Arial" w:eastAsia="Arial" w:hAnsi="Arial"/>
                <w:sz w:val="14"/>
                <w:szCs w:val="14"/>
                <w:b w:val="1"/>
                <w:bCs w:val="1"/>
                <w:color w:val="auto"/>
              </w:rPr>
              <w:t>0.01%</w:t>
            </w:r>
          </w:p>
        </w:tc>
        <w:tc>
          <w:tcPr>
            <w:tcW w:w="0" w:type="dxa"/>
            <w:vAlign w:val="bottom"/>
          </w:tcPr>
          <w:p>
            <w:pPr>
              <w:spacing w:after="0"/>
              <w:rPr>
                <w:sz w:val="1"/>
                <w:szCs w:val="1"/>
                <w:color w:val="auto"/>
              </w:rPr>
            </w:pPr>
          </w:p>
        </w:tc>
      </w:tr>
      <w:tr>
        <w:trPr>
          <w:trHeight w:val="222"/>
        </w:trPr>
        <w:tc>
          <w:tcPr>
            <w:tcW w:w="3540" w:type="dxa"/>
            <w:vAlign w:val="bottom"/>
            <w:shd w:val="clear" w:color="auto" w:fill="CCEEFF"/>
          </w:tcPr>
          <w:p>
            <w:pPr>
              <w:ind w:left="40"/>
              <w:spacing w:after="0"/>
              <w:rPr>
                <w:sz w:val="20"/>
                <w:szCs w:val="20"/>
                <w:color w:val="auto"/>
              </w:rPr>
            </w:pPr>
            <w:r>
              <w:rPr>
                <w:rFonts w:ascii="Arial" w:cs="Arial" w:eastAsia="Arial" w:hAnsi="Arial"/>
                <w:sz w:val="14"/>
                <w:szCs w:val="14"/>
                <w:color w:val="auto"/>
              </w:rPr>
              <w:t>Vanguard Target Retirement Fund 2035</w:t>
            </w:r>
          </w:p>
        </w:tc>
        <w:tc>
          <w:tcPr>
            <w:tcW w:w="220" w:type="dxa"/>
            <w:vAlign w:val="bottom"/>
            <w:shd w:val="clear" w:color="auto" w:fill="CCEEFF"/>
          </w:tcPr>
          <w:p>
            <w:pPr>
              <w:spacing w:after="0"/>
              <w:rPr>
                <w:sz w:val="19"/>
                <w:szCs w:val="19"/>
                <w:color w:val="auto"/>
              </w:rPr>
            </w:pPr>
          </w:p>
        </w:tc>
        <w:tc>
          <w:tcPr>
            <w:tcW w:w="1360" w:type="dxa"/>
            <w:vAlign w:val="bottom"/>
            <w:shd w:val="clear" w:color="auto" w:fill="CCEEFF"/>
          </w:tcPr>
          <w:p>
            <w:pPr>
              <w:jc w:val="right"/>
              <w:ind w:right="8"/>
              <w:spacing w:after="0"/>
              <w:rPr>
                <w:sz w:val="20"/>
                <w:szCs w:val="20"/>
                <w:color w:val="auto"/>
              </w:rPr>
            </w:pPr>
            <w:r>
              <w:rPr>
                <w:rFonts w:ascii="Arial" w:cs="Arial" w:eastAsia="Arial" w:hAnsi="Arial"/>
                <w:sz w:val="14"/>
                <w:szCs w:val="14"/>
                <w:b w:val="1"/>
                <w:bCs w:val="1"/>
                <w:color w:val="auto"/>
              </w:rPr>
              <w:t>—</w:t>
            </w:r>
          </w:p>
        </w:tc>
        <w:tc>
          <w:tcPr>
            <w:tcW w:w="28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10,939,876</w:t>
            </w:r>
          </w:p>
        </w:tc>
        <w:tc>
          <w:tcPr>
            <w:tcW w:w="160" w:type="dxa"/>
            <w:vAlign w:val="bottom"/>
            <w:shd w:val="clear" w:color="auto" w:fill="CCEEFF"/>
          </w:tcPr>
          <w:p>
            <w:pPr>
              <w:spacing w:after="0"/>
              <w:rPr>
                <w:sz w:val="19"/>
                <w:szCs w:val="19"/>
                <w:color w:val="auto"/>
              </w:rPr>
            </w:pPr>
          </w:p>
        </w:tc>
        <w:tc>
          <w:tcPr>
            <w:tcW w:w="1420" w:type="dxa"/>
            <w:vAlign w:val="bottom"/>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w:t>
            </w:r>
          </w:p>
        </w:tc>
        <w:tc>
          <w:tcPr>
            <w:tcW w:w="280" w:type="dxa"/>
            <w:vAlign w:val="bottom"/>
            <w:shd w:val="clear" w:color="auto" w:fill="CCEEFF"/>
          </w:tcPr>
          <w:p>
            <w:pPr>
              <w:spacing w:after="0"/>
              <w:rPr>
                <w:sz w:val="19"/>
                <w:szCs w:val="19"/>
                <w:color w:val="auto"/>
              </w:rPr>
            </w:pPr>
          </w:p>
        </w:tc>
        <w:tc>
          <w:tcPr>
            <w:tcW w:w="1320" w:type="dxa"/>
            <w:vAlign w:val="bottom"/>
            <w:shd w:val="clear" w:color="auto" w:fill="CCEEFF"/>
          </w:tcPr>
          <w:p>
            <w:pPr>
              <w:jc w:val="right"/>
              <w:ind w:right="48"/>
              <w:spacing w:after="0"/>
              <w:rPr>
                <w:sz w:val="20"/>
                <w:szCs w:val="20"/>
                <w:color w:val="auto"/>
              </w:rPr>
            </w:pPr>
            <w:r>
              <w:rPr>
                <w:rFonts w:ascii="Arial" w:cs="Arial" w:eastAsia="Arial" w:hAnsi="Arial"/>
                <w:sz w:val="14"/>
                <w:szCs w:val="14"/>
                <w:b w:val="1"/>
                <w:bCs w:val="1"/>
                <w:color w:val="auto"/>
              </w:rPr>
              <w:t>10,939,876</w:t>
            </w:r>
          </w:p>
        </w:tc>
        <w:tc>
          <w:tcPr>
            <w:tcW w:w="164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0.05%</w:t>
            </w:r>
          </w:p>
        </w:tc>
        <w:tc>
          <w:tcPr>
            <w:tcW w:w="0" w:type="dxa"/>
            <w:vAlign w:val="bottom"/>
          </w:tcPr>
          <w:p>
            <w:pPr>
              <w:spacing w:after="0"/>
              <w:rPr>
                <w:sz w:val="1"/>
                <w:szCs w:val="1"/>
                <w:color w:val="auto"/>
              </w:rPr>
            </w:pPr>
          </w:p>
        </w:tc>
      </w:tr>
      <w:tr>
        <w:trPr>
          <w:trHeight w:val="210"/>
        </w:trPr>
        <w:tc>
          <w:tcPr>
            <w:tcW w:w="3540" w:type="dxa"/>
            <w:vAlign w:val="bottom"/>
          </w:tcPr>
          <w:p>
            <w:pPr>
              <w:ind w:left="40"/>
              <w:spacing w:after="0"/>
              <w:rPr>
                <w:sz w:val="20"/>
                <w:szCs w:val="20"/>
                <w:color w:val="auto"/>
              </w:rPr>
            </w:pPr>
            <w:r>
              <w:rPr>
                <w:rFonts w:ascii="Arial" w:cs="Arial" w:eastAsia="Arial" w:hAnsi="Arial"/>
                <w:sz w:val="14"/>
                <w:szCs w:val="14"/>
                <w:color w:val="auto"/>
              </w:rPr>
              <w:t>Vanguard Target Retirement Fund 2045</w:t>
            </w:r>
          </w:p>
        </w:tc>
        <w:tc>
          <w:tcPr>
            <w:tcW w:w="220" w:type="dxa"/>
            <w:vAlign w:val="bottom"/>
          </w:tcPr>
          <w:p>
            <w:pPr>
              <w:spacing w:after="0"/>
              <w:rPr>
                <w:sz w:val="18"/>
                <w:szCs w:val="18"/>
                <w:color w:val="auto"/>
              </w:rPr>
            </w:pPr>
          </w:p>
        </w:tc>
        <w:tc>
          <w:tcPr>
            <w:tcW w:w="1360" w:type="dxa"/>
            <w:vAlign w:val="bottom"/>
          </w:tcPr>
          <w:p>
            <w:pPr>
              <w:jc w:val="right"/>
              <w:ind w:right="8"/>
              <w:spacing w:after="0"/>
              <w:rPr>
                <w:sz w:val="20"/>
                <w:szCs w:val="20"/>
                <w:color w:val="auto"/>
              </w:rPr>
            </w:pPr>
            <w:r>
              <w:rPr>
                <w:rFonts w:ascii="Arial" w:cs="Arial" w:eastAsia="Arial" w:hAnsi="Arial"/>
                <w:sz w:val="14"/>
                <w:szCs w:val="14"/>
                <w:b w:val="1"/>
                <w:bCs w:val="1"/>
                <w:color w:val="auto"/>
              </w:rPr>
              <w:t>—</w:t>
            </w:r>
          </w:p>
        </w:tc>
        <w:tc>
          <w:tcPr>
            <w:tcW w:w="280" w:type="dxa"/>
            <w:vAlign w:val="bottom"/>
          </w:tcPr>
          <w:p>
            <w:pPr>
              <w:spacing w:after="0"/>
              <w:rPr>
                <w:sz w:val="18"/>
                <w:szCs w:val="18"/>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b w:val="1"/>
                <w:bCs w:val="1"/>
                <w:color w:val="auto"/>
              </w:rPr>
              <w:t>7,256,994</w:t>
            </w:r>
          </w:p>
        </w:tc>
        <w:tc>
          <w:tcPr>
            <w:tcW w:w="160" w:type="dxa"/>
            <w:vAlign w:val="bottom"/>
          </w:tcPr>
          <w:p>
            <w:pPr>
              <w:spacing w:after="0"/>
              <w:rPr>
                <w:sz w:val="18"/>
                <w:szCs w:val="18"/>
                <w:color w:val="auto"/>
              </w:rPr>
            </w:pPr>
          </w:p>
        </w:tc>
        <w:tc>
          <w:tcPr>
            <w:tcW w:w="1420" w:type="dxa"/>
            <w:vAlign w:val="bottom"/>
          </w:tcPr>
          <w:p>
            <w:pPr>
              <w:jc w:val="right"/>
              <w:ind w:right="28"/>
              <w:spacing w:after="0"/>
              <w:rPr>
                <w:sz w:val="20"/>
                <w:szCs w:val="20"/>
                <w:color w:val="auto"/>
              </w:rPr>
            </w:pPr>
            <w:r>
              <w:rPr>
                <w:rFonts w:ascii="Arial" w:cs="Arial" w:eastAsia="Arial" w:hAnsi="Arial"/>
                <w:sz w:val="14"/>
                <w:szCs w:val="14"/>
                <w:b w:val="1"/>
                <w:bCs w:val="1"/>
                <w:color w:val="auto"/>
              </w:rPr>
              <w:t>—</w:t>
            </w:r>
          </w:p>
        </w:tc>
        <w:tc>
          <w:tcPr>
            <w:tcW w:w="280" w:type="dxa"/>
            <w:vAlign w:val="bottom"/>
          </w:tcPr>
          <w:p>
            <w:pPr>
              <w:spacing w:after="0"/>
              <w:rPr>
                <w:sz w:val="18"/>
                <w:szCs w:val="18"/>
                <w:color w:val="auto"/>
              </w:rPr>
            </w:pPr>
          </w:p>
        </w:tc>
        <w:tc>
          <w:tcPr>
            <w:tcW w:w="1320" w:type="dxa"/>
            <w:vAlign w:val="bottom"/>
          </w:tcPr>
          <w:p>
            <w:pPr>
              <w:jc w:val="right"/>
              <w:ind w:right="48"/>
              <w:spacing w:after="0"/>
              <w:rPr>
                <w:sz w:val="20"/>
                <w:szCs w:val="20"/>
                <w:color w:val="auto"/>
              </w:rPr>
            </w:pPr>
            <w:r>
              <w:rPr>
                <w:rFonts w:ascii="Arial" w:cs="Arial" w:eastAsia="Arial" w:hAnsi="Arial"/>
                <w:sz w:val="14"/>
                <w:szCs w:val="14"/>
                <w:b w:val="1"/>
                <w:bCs w:val="1"/>
                <w:color w:val="auto"/>
              </w:rPr>
              <w:t>7,256,994</w:t>
            </w:r>
          </w:p>
        </w:tc>
        <w:tc>
          <w:tcPr>
            <w:tcW w:w="1640" w:type="dxa"/>
            <w:vAlign w:val="bottom"/>
          </w:tcPr>
          <w:p>
            <w:pPr>
              <w:jc w:val="right"/>
              <w:spacing w:after="0"/>
              <w:rPr>
                <w:sz w:val="20"/>
                <w:szCs w:val="20"/>
                <w:color w:val="auto"/>
              </w:rPr>
            </w:pPr>
            <w:r>
              <w:rPr>
                <w:rFonts w:ascii="Arial" w:cs="Arial" w:eastAsia="Arial" w:hAnsi="Arial"/>
                <w:sz w:val="14"/>
                <w:szCs w:val="14"/>
                <w:b w:val="1"/>
                <w:bCs w:val="1"/>
                <w:color w:val="auto"/>
              </w:rPr>
              <w:t>0.12%</w:t>
            </w:r>
          </w:p>
        </w:tc>
        <w:tc>
          <w:tcPr>
            <w:tcW w:w="0" w:type="dxa"/>
            <w:vAlign w:val="bottom"/>
          </w:tcPr>
          <w:p>
            <w:pPr>
              <w:spacing w:after="0"/>
              <w:rPr>
                <w:sz w:val="1"/>
                <w:szCs w:val="1"/>
                <w:color w:val="auto"/>
              </w:rPr>
            </w:pPr>
          </w:p>
        </w:tc>
      </w:tr>
      <w:tr>
        <w:trPr>
          <w:trHeight w:val="222"/>
        </w:trPr>
        <w:tc>
          <w:tcPr>
            <w:tcW w:w="3540" w:type="dxa"/>
            <w:vAlign w:val="bottom"/>
            <w:shd w:val="clear" w:color="auto" w:fill="CCEEFF"/>
          </w:tcPr>
          <w:p>
            <w:pPr>
              <w:ind w:left="40"/>
              <w:spacing w:after="0"/>
              <w:rPr>
                <w:sz w:val="20"/>
                <w:szCs w:val="20"/>
                <w:color w:val="auto"/>
              </w:rPr>
            </w:pPr>
            <w:r>
              <w:rPr>
                <w:rFonts w:ascii="Arial" w:cs="Arial" w:eastAsia="Arial" w:hAnsi="Arial"/>
                <w:sz w:val="14"/>
                <w:szCs w:val="14"/>
                <w:color w:val="auto"/>
              </w:rPr>
              <w:t>Vanguard Target Retirement Fund 2020</w:t>
            </w:r>
          </w:p>
        </w:tc>
        <w:tc>
          <w:tcPr>
            <w:tcW w:w="220" w:type="dxa"/>
            <w:vAlign w:val="bottom"/>
            <w:shd w:val="clear" w:color="auto" w:fill="CCEEFF"/>
          </w:tcPr>
          <w:p>
            <w:pPr>
              <w:spacing w:after="0"/>
              <w:rPr>
                <w:sz w:val="19"/>
                <w:szCs w:val="19"/>
                <w:color w:val="auto"/>
              </w:rPr>
            </w:pPr>
          </w:p>
        </w:tc>
        <w:tc>
          <w:tcPr>
            <w:tcW w:w="1360" w:type="dxa"/>
            <w:vAlign w:val="bottom"/>
            <w:shd w:val="clear" w:color="auto" w:fill="CCEEFF"/>
          </w:tcPr>
          <w:p>
            <w:pPr>
              <w:jc w:val="right"/>
              <w:ind w:right="8"/>
              <w:spacing w:after="0"/>
              <w:rPr>
                <w:sz w:val="20"/>
                <w:szCs w:val="20"/>
                <w:color w:val="auto"/>
              </w:rPr>
            </w:pPr>
            <w:r>
              <w:rPr>
                <w:rFonts w:ascii="Arial" w:cs="Arial" w:eastAsia="Arial" w:hAnsi="Arial"/>
                <w:sz w:val="14"/>
                <w:szCs w:val="14"/>
                <w:b w:val="1"/>
                <w:bCs w:val="1"/>
                <w:color w:val="auto"/>
              </w:rPr>
              <w:t>—</w:t>
            </w:r>
          </w:p>
        </w:tc>
        <w:tc>
          <w:tcPr>
            <w:tcW w:w="28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6,809,990</w:t>
            </w:r>
          </w:p>
        </w:tc>
        <w:tc>
          <w:tcPr>
            <w:tcW w:w="160" w:type="dxa"/>
            <w:vAlign w:val="bottom"/>
            <w:shd w:val="clear" w:color="auto" w:fill="CCEEFF"/>
          </w:tcPr>
          <w:p>
            <w:pPr>
              <w:spacing w:after="0"/>
              <w:rPr>
                <w:sz w:val="19"/>
                <w:szCs w:val="19"/>
                <w:color w:val="auto"/>
              </w:rPr>
            </w:pPr>
          </w:p>
        </w:tc>
        <w:tc>
          <w:tcPr>
            <w:tcW w:w="1420" w:type="dxa"/>
            <w:vAlign w:val="bottom"/>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w:t>
            </w:r>
          </w:p>
        </w:tc>
        <w:tc>
          <w:tcPr>
            <w:tcW w:w="280" w:type="dxa"/>
            <w:vAlign w:val="bottom"/>
            <w:shd w:val="clear" w:color="auto" w:fill="CCEEFF"/>
          </w:tcPr>
          <w:p>
            <w:pPr>
              <w:spacing w:after="0"/>
              <w:rPr>
                <w:sz w:val="19"/>
                <w:szCs w:val="19"/>
                <w:color w:val="auto"/>
              </w:rPr>
            </w:pPr>
          </w:p>
        </w:tc>
        <w:tc>
          <w:tcPr>
            <w:tcW w:w="1320" w:type="dxa"/>
            <w:vAlign w:val="bottom"/>
            <w:shd w:val="clear" w:color="auto" w:fill="CCEEFF"/>
          </w:tcPr>
          <w:p>
            <w:pPr>
              <w:jc w:val="right"/>
              <w:ind w:right="48"/>
              <w:spacing w:after="0"/>
              <w:rPr>
                <w:sz w:val="20"/>
                <w:szCs w:val="20"/>
                <w:color w:val="auto"/>
              </w:rPr>
            </w:pPr>
            <w:r>
              <w:rPr>
                <w:rFonts w:ascii="Arial" w:cs="Arial" w:eastAsia="Arial" w:hAnsi="Arial"/>
                <w:sz w:val="14"/>
                <w:szCs w:val="14"/>
                <w:b w:val="1"/>
                <w:bCs w:val="1"/>
                <w:color w:val="auto"/>
              </w:rPr>
              <w:t>6,809,990</w:t>
            </w:r>
          </w:p>
        </w:tc>
        <w:tc>
          <w:tcPr>
            <w:tcW w:w="164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0.00%</w:t>
            </w:r>
          </w:p>
        </w:tc>
        <w:tc>
          <w:tcPr>
            <w:tcW w:w="0" w:type="dxa"/>
            <w:vAlign w:val="bottom"/>
          </w:tcPr>
          <w:p>
            <w:pPr>
              <w:spacing w:after="0"/>
              <w:rPr>
                <w:sz w:val="1"/>
                <w:szCs w:val="1"/>
                <w:color w:val="auto"/>
              </w:rPr>
            </w:pPr>
          </w:p>
        </w:tc>
      </w:tr>
      <w:tr>
        <w:trPr>
          <w:trHeight w:val="210"/>
        </w:trPr>
        <w:tc>
          <w:tcPr>
            <w:tcW w:w="3540" w:type="dxa"/>
            <w:vAlign w:val="bottom"/>
          </w:tcPr>
          <w:p>
            <w:pPr>
              <w:ind w:left="40"/>
              <w:spacing w:after="0"/>
              <w:rPr>
                <w:sz w:val="20"/>
                <w:szCs w:val="20"/>
                <w:color w:val="auto"/>
              </w:rPr>
            </w:pPr>
            <w:r>
              <w:rPr>
                <w:rFonts w:ascii="Arial" w:cs="Arial" w:eastAsia="Arial" w:hAnsi="Arial"/>
                <w:sz w:val="14"/>
                <w:szCs w:val="14"/>
                <w:color w:val="auto"/>
              </w:rPr>
              <w:t>Vanguard Target Retirement Fund 2030</w:t>
            </w:r>
          </w:p>
        </w:tc>
        <w:tc>
          <w:tcPr>
            <w:tcW w:w="220" w:type="dxa"/>
            <w:vAlign w:val="bottom"/>
          </w:tcPr>
          <w:p>
            <w:pPr>
              <w:spacing w:after="0"/>
              <w:rPr>
                <w:sz w:val="18"/>
                <w:szCs w:val="18"/>
                <w:color w:val="auto"/>
              </w:rPr>
            </w:pPr>
          </w:p>
        </w:tc>
        <w:tc>
          <w:tcPr>
            <w:tcW w:w="1360" w:type="dxa"/>
            <w:vAlign w:val="bottom"/>
          </w:tcPr>
          <w:p>
            <w:pPr>
              <w:jc w:val="right"/>
              <w:ind w:right="8"/>
              <w:spacing w:after="0"/>
              <w:rPr>
                <w:sz w:val="20"/>
                <w:szCs w:val="20"/>
                <w:color w:val="auto"/>
              </w:rPr>
            </w:pPr>
            <w:r>
              <w:rPr>
                <w:rFonts w:ascii="Arial" w:cs="Arial" w:eastAsia="Arial" w:hAnsi="Arial"/>
                <w:sz w:val="14"/>
                <w:szCs w:val="14"/>
                <w:b w:val="1"/>
                <w:bCs w:val="1"/>
                <w:color w:val="auto"/>
              </w:rPr>
              <w:t>—</w:t>
            </w:r>
          </w:p>
        </w:tc>
        <w:tc>
          <w:tcPr>
            <w:tcW w:w="280" w:type="dxa"/>
            <w:vAlign w:val="bottom"/>
          </w:tcPr>
          <w:p>
            <w:pPr>
              <w:spacing w:after="0"/>
              <w:rPr>
                <w:sz w:val="18"/>
                <w:szCs w:val="18"/>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b w:val="1"/>
                <w:bCs w:val="1"/>
                <w:color w:val="auto"/>
              </w:rPr>
              <w:t>2,317,376</w:t>
            </w:r>
          </w:p>
        </w:tc>
        <w:tc>
          <w:tcPr>
            <w:tcW w:w="160" w:type="dxa"/>
            <w:vAlign w:val="bottom"/>
          </w:tcPr>
          <w:p>
            <w:pPr>
              <w:spacing w:after="0"/>
              <w:rPr>
                <w:sz w:val="18"/>
                <w:szCs w:val="18"/>
                <w:color w:val="auto"/>
              </w:rPr>
            </w:pPr>
          </w:p>
        </w:tc>
        <w:tc>
          <w:tcPr>
            <w:tcW w:w="1420" w:type="dxa"/>
            <w:vAlign w:val="bottom"/>
          </w:tcPr>
          <w:p>
            <w:pPr>
              <w:jc w:val="right"/>
              <w:ind w:right="28"/>
              <w:spacing w:after="0"/>
              <w:rPr>
                <w:sz w:val="20"/>
                <w:szCs w:val="20"/>
                <w:color w:val="auto"/>
              </w:rPr>
            </w:pPr>
            <w:r>
              <w:rPr>
                <w:rFonts w:ascii="Arial" w:cs="Arial" w:eastAsia="Arial" w:hAnsi="Arial"/>
                <w:sz w:val="14"/>
                <w:szCs w:val="14"/>
                <w:b w:val="1"/>
                <w:bCs w:val="1"/>
                <w:color w:val="auto"/>
              </w:rPr>
              <w:t>—</w:t>
            </w:r>
          </w:p>
        </w:tc>
        <w:tc>
          <w:tcPr>
            <w:tcW w:w="280" w:type="dxa"/>
            <w:vAlign w:val="bottom"/>
          </w:tcPr>
          <w:p>
            <w:pPr>
              <w:spacing w:after="0"/>
              <w:rPr>
                <w:sz w:val="18"/>
                <w:szCs w:val="18"/>
                <w:color w:val="auto"/>
              </w:rPr>
            </w:pPr>
          </w:p>
        </w:tc>
        <w:tc>
          <w:tcPr>
            <w:tcW w:w="1320" w:type="dxa"/>
            <w:vAlign w:val="bottom"/>
          </w:tcPr>
          <w:p>
            <w:pPr>
              <w:jc w:val="right"/>
              <w:ind w:right="48"/>
              <w:spacing w:after="0"/>
              <w:rPr>
                <w:sz w:val="20"/>
                <w:szCs w:val="20"/>
                <w:color w:val="auto"/>
              </w:rPr>
            </w:pPr>
            <w:r>
              <w:rPr>
                <w:rFonts w:ascii="Arial" w:cs="Arial" w:eastAsia="Arial" w:hAnsi="Arial"/>
                <w:sz w:val="14"/>
                <w:szCs w:val="14"/>
                <w:b w:val="1"/>
                <w:bCs w:val="1"/>
                <w:color w:val="auto"/>
              </w:rPr>
              <w:t>2,317,376</w:t>
            </w:r>
          </w:p>
        </w:tc>
        <w:tc>
          <w:tcPr>
            <w:tcW w:w="1640" w:type="dxa"/>
            <w:vAlign w:val="bottom"/>
          </w:tcPr>
          <w:p>
            <w:pPr>
              <w:jc w:val="right"/>
              <w:spacing w:after="0"/>
              <w:rPr>
                <w:sz w:val="20"/>
                <w:szCs w:val="20"/>
                <w:color w:val="auto"/>
              </w:rPr>
            </w:pPr>
            <w:r>
              <w:rPr>
                <w:rFonts w:ascii="Arial" w:cs="Arial" w:eastAsia="Arial" w:hAnsi="Arial"/>
                <w:sz w:val="14"/>
                <w:szCs w:val="14"/>
                <w:b w:val="1"/>
                <w:bCs w:val="1"/>
                <w:color w:val="auto"/>
              </w:rPr>
              <w:t>0.30%</w:t>
            </w:r>
          </w:p>
        </w:tc>
        <w:tc>
          <w:tcPr>
            <w:tcW w:w="0" w:type="dxa"/>
            <w:vAlign w:val="bottom"/>
          </w:tcPr>
          <w:p>
            <w:pPr>
              <w:spacing w:after="0"/>
              <w:rPr>
                <w:sz w:val="1"/>
                <w:szCs w:val="1"/>
                <w:color w:val="auto"/>
              </w:rPr>
            </w:pPr>
          </w:p>
        </w:tc>
      </w:tr>
      <w:tr>
        <w:trPr>
          <w:trHeight w:val="222"/>
        </w:trPr>
        <w:tc>
          <w:tcPr>
            <w:tcW w:w="3540" w:type="dxa"/>
            <w:vAlign w:val="bottom"/>
            <w:shd w:val="clear" w:color="auto" w:fill="CCEEFF"/>
          </w:tcPr>
          <w:p>
            <w:pPr>
              <w:ind w:left="40"/>
              <w:spacing w:after="0"/>
              <w:rPr>
                <w:sz w:val="20"/>
                <w:szCs w:val="20"/>
                <w:color w:val="auto"/>
              </w:rPr>
            </w:pPr>
            <w:r>
              <w:rPr>
                <w:rFonts w:ascii="Arial" w:cs="Arial" w:eastAsia="Arial" w:hAnsi="Arial"/>
                <w:sz w:val="14"/>
                <w:szCs w:val="14"/>
                <w:color w:val="auto"/>
              </w:rPr>
              <w:t>Vanguard Target Retirement Fund 2040</w:t>
            </w:r>
          </w:p>
        </w:tc>
        <w:tc>
          <w:tcPr>
            <w:tcW w:w="220" w:type="dxa"/>
            <w:vAlign w:val="bottom"/>
            <w:shd w:val="clear" w:color="auto" w:fill="CCEEFF"/>
          </w:tcPr>
          <w:p>
            <w:pPr>
              <w:spacing w:after="0"/>
              <w:rPr>
                <w:sz w:val="19"/>
                <w:szCs w:val="19"/>
                <w:color w:val="auto"/>
              </w:rPr>
            </w:pPr>
          </w:p>
        </w:tc>
        <w:tc>
          <w:tcPr>
            <w:tcW w:w="1360" w:type="dxa"/>
            <w:vAlign w:val="bottom"/>
            <w:shd w:val="clear" w:color="auto" w:fill="CCEEFF"/>
          </w:tcPr>
          <w:p>
            <w:pPr>
              <w:jc w:val="right"/>
              <w:ind w:right="8"/>
              <w:spacing w:after="0"/>
              <w:rPr>
                <w:sz w:val="20"/>
                <w:szCs w:val="20"/>
                <w:color w:val="auto"/>
              </w:rPr>
            </w:pPr>
            <w:r>
              <w:rPr>
                <w:rFonts w:ascii="Arial" w:cs="Arial" w:eastAsia="Arial" w:hAnsi="Arial"/>
                <w:sz w:val="14"/>
                <w:szCs w:val="14"/>
                <w:b w:val="1"/>
                <w:bCs w:val="1"/>
                <w:color w:val="auto"/>
              </w:rPr>
              <w:t>—</w:t>
            </w:r>
          </w:p>
        </w:tc>
        <w:tc>
          <w:tcPr>
            <w:tcW w:w="28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1,206,086</w:t>
            </w:r>
          </w:p>
        </w:tc>
        <w:tc>
          <w:tcPr>
            <w:tcW w:w="160" w:type="dxa"/>
            <w:vAlign w:val="bottom"/>
            <w:shd w:val="clear" w:color="auto" w:fill="CCEEFF"/>
          </w:tcPr>
          <w:p>
            <w:pPr>
              <w:spacing w:after="0"/>
              <w:rPr>
                <w:sz w:val="19"/>
                <w:szCs w:val="19"/>
                <w:color w:val="auto"/>
              </w:rPr>
            </w:pPr>
          </w:p>
        </w:tc>
        <w:tc>
          <w:tcPr>
            <w:tcW w:w="1420" w:type="dxa"/>
            <w:vAlign w:val="bottom"/>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w:t>
            </w:r>
          </w:p>
        </w:tc>
        <w:tc>
          <w:tcPr>
            <w:tcW w:w="280" w:type="dxa"/>
            <w:vAlign w:val="bottom"/>
            <w:shd w:val="clear" w:color="auto" w:fill="CCEEFF"/>
          </w:tcPr>
          <w:p>
            <w:pPr>
              <w:spacing w:after="0"/>
              <w:rPr>
                <w:sz w:val="19"/>
                <w:szCs w:val="19"/>
                <w:color w:val="auto"/>
              </w:rPr>
            </w:pPr>
          </w:p>
        </w:tc>
        <w:tc>
          <w:tcPr>
            <w:tcW w:w="1320" w:type="dxa"/>
            <w:vAlign w:val="bottom"/>
            <w:shd w:val="clear" w:color="auto" w:fill="CCEEFF"/>
          </w:tcPr>
          <w:p>
            <w:pPr>
              <w:jc w:val="right"/>
              <w:ind w:right="48"/>
              <w:spacing w:after="0"/>
              <w:rPr>
                <w:sz w:val="20"/>
                <w:szCs w:val="20"/>
                <w:color w:val="auto"/>
              </w:rPr>
            </w:pPr>
            <w:r>
              <w:rPr>
                <w:rFonts w:ascii="Arial" w:cs="Arial" w:eastAsia="Arial" w:hAnsi="Arial"/>
                <w:sz w:val="14"/>
                <w:szCs w:val="14"/>
                <w:b w:val="1"/>
                <w:bCs w:val="1"/>
                <w:color w:val="auto"/>
              </w:rPr>
              <w:t>1,206,086</w:t>
            </w:r>
          </w:p>
        </w:tc>
        <w:tc>
          <w:tcPr>
            <w:tcW w:w="164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0.00%</w:t>
            </w:r>
          </w:p>
        </w:tc>
        <w:tc>
          <w:tcPr>
            <w:tcW w:w="0" w:type="dxa"/>
            <w:vAlign w:val="bottom"/>
          </w:tcPr>
          <w:p>
            <w:pPr>
              <w:spacing w:after="0"/>
              <w:rPr>
                <w:sz w:val="1"/>
                <w:szCs w:val="1"/>
                <w:color w:val="auto"/>
              </w:rPr>
            </w:pPr>
          </w:p>
        </w:tc>
      </w:tr>
      <w:tr>
        <w:trPr>
          <w:trHeight w:val="210"/>
        </w:trPr>
        <w:tc>
          <w:tcPr>
            <w:tcW w:w="3540" w:type="dxa"/>
            <w:vAlign w:val="bottom"/>
          </w:tcPr>
          <w:p>
            <w:pPr>
              <w:ind w:left="40"/>
              <w:spacing w:after="0"/>
              <w:rPr>
                <w:sz w:val="20"/>
                <w:szCs w:val="20"/>
                <w:color w:val="auto"/>
              </w:rPr>
            </w:pPr>
            <w:r>
              <w:rPr>
                <w:rFonts w:ascii="Arial" w:cs="Arial" w:eastAsia="Arial" w:hAnsi="Arial"/>
                <w:sz w:val="14"/>
                <w:szCs w:val="14"/>
                <w:color w:val="auto"/>
              </w:rPr>
              <w:t>Vanguard Target Retirement Fund 2050</w:t>
            </w:r>
          </w:p>
        </w:tc>
        <w:tc>
          <w:tcPr>
            <w:tcW w:w="220" w:type="dxa"/>
            <w:vAlign w:val="bottom"/>
          </w:tcPr>
          <w:p>
            <w:pPr>
              <w:spacing w:after="0"/>
              <w:rPr>
                <w:sz w:val="18"/>
                <w:szCs w:val="18"/>
                <w:color w:val="auto"/>
              </w:rPr>
            </w:pPr>
          </w:p>
        </w:tc>
        <w:tc>
          <w:tcPr>
            <w:tcW w:w="1360" w:type="dxa"/>
            <w:vAlign w:val="bottom"/>
          </w:tcPr>
          <w:p>
            <w:pPr>
              <w:jc w:val="right"/>
              <w:ind w:right="8"/>
              <w:spacing w:after="0"/>
              <w:rPr>
                <w:sz w:val="20"/>
                <w:szCs w:val="20"/>
                <w:color w:val="auto"/>
              </w:rPr>
            </w:pPr>
            <w:r>
              <w:rPr>
                <w:rFonts w:ascii="Arial" w:cs="Arial" w:eastAsia="Arial" w:hAnsi="Arial"/>
                <w:sz w:val="14"/>
                <w:szCs w:val="14"/>
                <w:b w:val="1"/>
                <w:bCs w:val="1"/>
                <w:color w:val="auto"/>
              </w:rPr>
              <w:t>—</w:t>
            </w:r>
          </w:p>
        </w:tc>
        <w:tc>
          <w:tcPr>
            <w:tcW w:w="280" w:type="dxa"/>
            <w:vAlign w:val="bottom"/>
          </w:tcPr>
          <w:p>
            <w:pPr>
              <w:spacing w:after="0"/>
              <w:rPr>
                <w:sz w:val="18"/>
                <w:szCs w:val="18"/>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b w:val="1"/>
                <w:bCs w:val="1"/>
                <w:color w:val="auto"/>
              </w:rPr>
              <w:t>1,018,147</w:t>
            </w:r>
          </w:p>
        </w:tc>
        <w:tc>
          <w:tcPr>
            <w:tcW w:w="160" w:type="dxa"/>
            <w:vAlign w:val="bottom"/>
          </w:tcPr>
          <w:p>
            <w:pPr>
              <w:spacing w:after="0"/>
              <w:rPr>
                <w:sz w:val="18"/>
                <w:szCs w:val="18"/>
                <w:color w:val="auto"/>
              </w:rPr>
            </w:pPr>
          </w:p>
        </w:tc>
        <w:tc>
          <w:tcPr>
            <w:tcW w:w="1420" w:type="dxa"/>
            <w:vAlign w:val="bottom"/>
          </w:tcPr>
          <w:p>
            <w:pPr>
              <w:jc w:val="right"/>
              <w:ind w:right="28"/>
              <w:spacing w:after="0"/>
              <w:rPr>
                <w:sz w:val="20"/>
                <w:szCs w:val="20"/>
                <w:color w:val="auto"/>
              </w:rPr>
            </w:pPr>
            <w:r>
              <w:rPr>
                <w:rFonts w:ascii="Arial" w:cs="Arial" w:eastAsia="Arial" w:hAnsi="Arial"/>
                <w:sz w:val="14"/>
                <w:szCs w:val="14"/>
                <w:b w:val="1"/>
                <w:bCs w:val="1"/>
                <w:color w:val="auto"/>
              </w:rPr>
              <w:t>—</w:t>
            </w:r>
          </w:p>
        </w:tc>
        <w:tc>
          <w:tcPr>
            <w:tcW w:w="280" w:type="dxa"/>
            <w:vAlign w:val="bottom"/>
          </w:tcPr>
          <w:p>
            <w:pPr>
              <w:spacing w:after="0"/>
              <w:rPr>
                <w:sz w:val="18"/>
                <w:szCs w:val="18"/>
                <w:color w:val="auto"/>
              </w:rPr>
            </w:pPr>
          </w:p>
        </w:tc>
        <w:tc>
          <w:tcPr>
            <w:tcW w:w="1320" w:type="dxa"/>
            <w:vAlign w:val="bottom"/>
          </w:tcPr>
          <w:p>
            <w:pPr>
              <w:jc w:val="right"/>
              <w:ind w:right="48"/>
              <w:spacing w:after="0"/>
              <w:rPr>
                <w:sz w:val="20"/>
                <w:szCs w:val="20"/>
                <w:color w:val="auto"/>
              </w:rPr>
            </w:pPr>
            <w:r>
              <w:rPr>
                <w:rFonts w:ascii="Arial" w:cs="Arial" w:eastAsia="Arial" w:hAnsi="Arial"/>
                <w:sz w:val="14"/>
                <w:szCs w:val="14"/>
                <w:b w:val="1"/>
                <w:bCs w:val="1"/>
                <w:color w:val="auto"/>
              </w:rPr>
              <w:t>1,018,147</w:t>
            </w:r>
          </w:p>
        </w:tc>
        <w:tc>
          <w:tcPr>
            <w:tcW w:w="1640" w:type="dxa"/>
            <w:vAlign w:val="bottom"/>
          </w:tcPr>
          <w:p>
            <w:pPr>
              <w:jc w:val="right"/>
              <w:spacing w:after="0"/>
              <w:rPr>
                <w:sz w:val="20"/>
                <w:szCs w:val="20"/>
                <w:color w:val="auto"/>
              </w:rPr>
            </w:pPr>
            <w:r>
              <w:rPr>
                <w:rFonts w:ascii="Arial" w:cs="Arial" w:eastAsia="Arial" w:hAnsi="Arial"/>
                <w:sz w:val="14"/>
                <w:szCs w:val="14"/>
                <w:b w:val="1"/>
                <w:bCs w:val="1"/>
                <w:color w:val="auto"/>
              </w:rPr>
              <w:t>0.27%</w:t>
            </w:r>
          </w:p>
        </w:tc>
        <w:tc>
          <w:tcPr>
            <w:tcW w:w="0" w:type="dxa"/>
            <w:vAlign w:val="bottom"/>
          </w:tcPr>
          <w:p>
            <w:pPr>
              <w:spacing w:after="0"/>
              <w:rPr>
                <w:sz w:val="1"/>
                <w:szCs w:val="1"/>
                <w:color w:val="auto"/>
              </w:rPr>
            </w:pPr>
          </w:p>
        </w:tc>
      </w:tr>
      <w:tr>
        <w:trPr>
          <w:trHeight w:val="222"/>
        </w:trPr>
        <w:tc>
          <w:tcPr>
            <w:tcW w:w="3540" w:type="dxa"/>
            <w:vAlign w:val="bottom"/>
            <w:shd w:val="clear" w:color="auto" w:fill="CCEEFF"/>
          </w:tcPr>
          <w:p>
            <w:pPr>
              <w:ind w:left="40"/>
              <w:spacing w:after="0"/>
              <w:rPr>
                <w:sz w:val="20"/>
                <w:szCs w:val="20"/>
                <w:color w:val="auto"/>
              </w:rPr>
            </w:pPr>
            <w:r>
              <w:rPr>
                <w:rFonts w:ascii="Arial" w:cs="Arial" w:eastAsia="Arial" w:hAnsi="Arial"/>
                <w:sz w:val="14"/>
                <w:szCs w:val="14"/>
                <w:color w:val="auto"/>
              </w:rPr>
              <w:t>JPMorgan Core Bond Funds I &amp; II</w:t>
            </w:r>
          </w:p>
        </w:tc>
        <w:tc>
          <w:tcPr>
            <w:tcW w:w="220" w:type="dxa"/>
            <w:vAlign w:val="bottom"/>
            <w:shd w:val="clear" w:color="auto" w:fill="CCEEFF"/>
          </w:tcPr>
          <w:p>
            <w:pPr>
              <w:spacing w:after="0"/>
              <w:rPr>
                <w:sz w:val="19"/>
                <w:szCs w:val="19"/>
                <w:color w:val="auto"/>
              </w:rPr>
            </w:pPr>
          </w:p>
        </w:tc>
        <w:tc>
          <w:tcPr>
            <w:tcW w:w="1360" w:type="dxa"/>
            <w:vAlign w:val="bottom"/>
            <w:shd w:val="clear" w:color="auto" w:fill="CCEEFF"/>
          </w:tcPr>
          <w:p>
            <w:pPr>
              <w:jc w:val="right"/>
              <w:ind w:right="8"/>
              <w:spacing w:after="0"/>
              <w:rPr>
                <w:sz w:val="20"/>
                <w:szCs w:val="20"/>
                <w:color w:val="auto"/>
              </w:rPr>
            </w:pPr>
            <w:r>
              <w:rPr>
                <w:rFonts w:ascii="Arial" w:cs="Arial" w:eastAsia="Arial" w:hAnsi="Arial"/>
                <w:sz w:val="14"/>
                <w:szCs w:val="14"/>
                <w:b w:val="1"/>
                <w:bCs w:val="1"/>
                <w:color w:val="auto"/>
              </w:rPr>
              <w:t>—</w:t>
            </w:r>
          </w:p>
        </w:tc>
        <w:tc>
          <w:tcPr>
            <w:tcW w:w="28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9"/>
                <w:szCs w:val="19"/>
                <w:color w:val="auto"/>
              </w:rPr>
            </w:pPr>
          </w:p>
        </w:tc>
        <w:tc>
          <w:tcPr>
            <w:tcW w:w="1420" w:type="dxa"/>
            <w:vAlign w:val="bottom"/>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34,224,514</w:t>
            </w:r>
          </w:p>
        </w:tc>
        <w:tc>
          <w:tcPr>
            <w:tcW w:w="280" w:type="dxa"/>
            <w:vAlign w:val="bottom"/>
            <w:shd w:val="clear" w:color="auto" w:fill="CCEEFF"/>
          </w:tcPr>
          <w:p>
            <w:pPr>
              <w:spacing w:after="0"/>
              <w:rPr>
                <w:sz w:val="19"/>
                <w:szCs w:val="19"/>
                <w:color w:val="auto"/>
              </w:rPr>
            </w:pPr>
          </w:p>
        </w:tc>
        <w:tc>
          <w:tcPr>
            <w:tcW w:w="1320" w:type="dxa"/>
            <w:vAlign w:val="bottom"/>
            <w:shd w:val="clear" w:color="auto" w:fill="CCEEFF"/>
          </w:tcPr>
          <w:p>
            <w:pPr>
              <w:jc w:val="right"/>
              <w:ind w:right="48"/>
              <w:spacing w:after="0"/>
              <w:rPr>
                <w:sz w:val="20"/>
                <w:szCs w:val="20"/>
                <w:color w:val="auto"/>
              </w:rPr>
            </w:pPr>
            <w:r>
              <w:rPr>
                <w:rFonts w:ascii="Arial" w:cs="Arial" w:eastAsia="Arial" w:hAnsi="Arial"/>
                <w:sz w:val="14"/>
                <w:szCs w:val="14"/>
                <w:b w:val="1"/>
                <w:bCs w:val="1"/>
                <w:color w:val="auto"/>
              </w:rPr>
              <w:t>34,224,514</w:t>
            </w:r>
          </w:p>
        </w:tc>
        <w:tc>
          <w:tcPr>
            <w:tcW w:w="164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0.34%</w:t>
            </w:r>
          </w:p>
        </w:tc>
        <w:tc>
          <w:tcPr>
            <w:tcW w:w="0" w:type="dxa"/>
            <w:vAlign w:val="bottom"/>
          </w:tcPr>
          <w:p>
            <w:pPr>
              <w:spacing w:after="0"/>
              <w:rPr>
                <w:sz w:val="1"/>
                <w:szCs w:val="1"/>
                <w:color w:val="auto"/>
              </w:rPr>
            </w:pPr>
          </w:p>
        </w:tc>
      </w:tr>
      <w:tr>
        <w:trPr>
          <w:trHeight w:val="210"/>
        </w:trPr>
        <w:tc>
          <w:tcPr>
            <w:tcW w:w="3540" w:type="dxa"/>
            <w:vAlign w:val="bottom"/>
          </w:tcPr>
          <w:p>
            <w:pPr>
              <w:ind w:left="40"/>
              <w:spacing w:after="0"/>
              <w:rPr>
                <w:sz w:val="20"/>
                <w:szCs w:val="20"/>
                <w:color w:val="auto"/>
              </w:rPr>
            </w:pPr>
            <w:r>
              <w:rPr>
                <w:rFonts w:ascii="Arial" w:cs="Arial" w:eastAsia="Arial" w:hAnsi="Arial"/>
                <w:sz w:val="14"/>
                <w:szCs w:val="14"/>
                <w:color w:val="auto"/>
              </w:rPr>
              <w:t>JPMCB Equity Index - CF</w:t>
            </w:r>
          </w:p>
        </w:tc>
        <w:tc>
          <w:tcPr>
            <w:tcW w:w="220" w:type="dxa"/>
            <w:vAlign w:val="bottom"/>
          </w:tcPr>
          <w:p>
            <w:pPr>
              <w:spacing w:after="0"/>
              <w:rPr>
                <w:sz w:val="18"/>
                <w:szCs w:val="18"/>
                <w:color w:val="auto"/>
              </w:rPr>
            </w:pPr>
          </w:p>
        </w:tc>
        <w:tc>
          <w:tcPr>
            <w:tcW w:w="1360" w:type="dxa"/>
            <w:vAlign w:val="bottom"/>
          </w:tcPr>
          <w:p>
            <w:pPr>
              <w:jc w:val="right"/>
              <w:ind w:right="8"/>
              <w:spacing w:after="0"/>
              <w:rPr>
                <w:sz w:val="20"/>
                <w:szCs w:val="20"/>
                <w:color w:val="auto"/>
              </w:rPr>
            </w:pPr>
            <w:r>
              <w:rPr>
                <w:rFonts w:ascii="Arial" w:cs="Arial" w:eastAsia="Arial" w:hAnsi="Arial"/>
                <w:sz w:val="14"/>
                <w:szCs w:val="14"/>
                <w:b w:val="1"/>
                <w:bCs w:val="1"/>
                <w:color w:val="auto"/>
              </w:rPr>
              <w:t>—</w:t>
            </w:r>
          </w:p>
        </w:tc>
        <w:tc>
          <w:tcPr>
            <w:tcW w:w="280" w:type="dxa"/>
            <w:vAlign w:val="bottom"/>
          </w:tcPr>
          <w:p>
            <w:pPr>
              <w:spacing w:after="0"/>
              <w:rPr>
                <w:sz w:val="18"/>
                <w:szCs w:val="18"/>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8"/>
                <w:szCs w:val="18"/>
                <w:color w:val="auto"/>
              </w:rPr>
            </w:pPr>
          </w:p>
        </w:tc>
        <w:tc>
          <w:tcPr>
            <w:tcW w:w="1420" w:type="dxa"/>
            <w:vAlign w:val="bottom"/>
          </w:tcPr>
          <w:p>
            <w:pPr>
              <w:jc w:val="right"/>
              <w:ind w:right="28"/>
              <w:spacing w:after="0"/>
              <w:rPr>
                <w:sz w:val="20"/>
                <w:szCs w:val="20"/>
                <w:color w:val="auto"/>
              </w:rPr>
            </w:pPr>
            <w:r>
              <w:rPr>
                <w:rFonts w:ascii="Arial" w:cs="Arial" w:eastAsia="Arial" w:hAnsi="Arial"/>
                <w:sz w:val="14"/>
                <w:szCs w:val="14"/>
                <w:b w:val="1"/>
                <w:bCs w:val="1"/>
                <w:color w:val="auto"/>
              </w:rPr>
              <w:t>75,366,540</w:t>
            </w:r>
          </w:p>
        </w:tc>
        <w:tc>
          <w:tcPr>
            <w:tcW w:w="280" w:type="dxa"/>
            <w:vAlign w:val="bottom"/>
          </w:tcPr>
          <w:p>
            <w:pPr>
              <w:spacing w:after="0"/>
              <w:rPr>
                <w:sz w:val="18"/>
                <w:szCs w:val="18"/>
                <w:color w:val="auto"/>
              </w:rPr>
            </w:pPr>
          </w:p>
        </w:tc>
        <w:tc>
          <w:tcPr>
            <w:tcW w:w="1320" w:type="dxa"/>
            <w:vAlign w:val="bottom"/>
          </w:tcPr>
          <w:p>
            <w:pPr>
              <w:jc w:val="right"/>
              <w:ind w:right="48"/>
              <w:spacing w:after="0"/>
              <w:rPr>
                <w:sz w:val="20"/>
                <w:szCs w:val="20"/>
                <w:color w:val="auto"/>
              </w:rPr>
            </w:pPr>
            <w:r>
              <w:rPr>
                <w:rFonts w:ascii="Arial" w:cs="Arial" w:eastAsia="Arial" w:hAnsi="Arial"/>
                <w:sz w:val="14"/>
                <w:szCs w:val="14"/>
                <w:b w:val="1"/>
                <w:bCs w:val="1"/>
                <w:color w:val="auto"/>
              </w:rPr>
              <w:t>75,366,540</w:t>
            </w:r>
          </w:p>
        </w:tc>
        <w:tc>
          <w:tcPr>
            <w:tcW w:w="1640" w:type="dxa"/>
            <w:vAlign w:val="bottom"/>
          </w:tcPr>
          <w:p>
            <w:pPr>
              <w:jc w:val="right"/>
              <w:spacing w:after="0"/>
              <w:rPr>
                <w:sz w:val="20"/>
                <w:szCs w:val="20"/>
                <w:color w:val="auto"/>
              </w:rPr>
            </w:pPr>
            <w:r>
              <w:rPr>
                <w:rFonts w:ascii="Arial" w:cs="Arial" w:eastAsia="Arial" w:hAnsi="Arial"/>
                <w:sz w:val="14"/>
                <w:szCs w:val="14"/>
                <w:b w:val="1"/>
                <w:bCs w:val="1"/>
                <w:color w:val="auto"/>
              </w:rPr>
              <w:t>1.22%</w:t>
            </w:r>
          </w:p>
        </w:tc>
        <w:tc>
          <w:tcPr>
            <w:tcW w:w="0" w:type="dxa"/>
            <w:vAlign w:val="bottom"/>
          </w:tcPr>
          <w:p>
            <w:pPr>
              <w:spacing w:after="0"/>
              <w:rPr>
                <w:sz w:val="1"/>
                <w:szCs w:val="1"/>
                <w:color w:val="auto"/>
              </w:rPr>
            </w:pPr>
          </w:p>
        </w:tc>
      </w:tr>
      <w:tr>
        <w:trPr>
          <w:trHeight w:val="222"/>
        </w:trPr>
        <w:tc>
          <w:tcPr>
            <w:tcW w:w="3540" w:type="dxa"/>
            <w:vAlign w:val="bottom"/>
            <w:shd w:val="clear" w:color="auto" w:fill="CCEEFF"/>
          </w:tcPr>
          <w:p>
            <w:pPr>
              <w:ind w:left="40"/>
              <w:spacing w:after="0"/>
              <w:rPr>
                <w:sz w:val="20"/>
                <w:szCs w:val="20"/>
                <w:color w:val="auto"/>
              </w:rPr>
            </w:pPr>
            <w:r>
              <w:rPr>
                <w:rFonts w:ascii="Arial" w:cs="Arial" w:eastAsia="Arial" w:hAnsi="Arial"/>
                <w:sz w:val="14"/>
                <w:szCs w:val="14"/>
                <w:color w:val="auto"/>
              </w:rPr>
              <w:t>Winslow Large Cap Growth - I</w:t>
            </w:r>
          </w:p>
        </w:tc>
        <w:tc>
          <w:tcPr>
            <w:tcW w:w="220" w:type="dxa"/>
            <w:vAlign w:val="bottom"/>
            <w:shd w:val="clear" w:color="auto" w:fill="CCEEFF"/>
          </w:tcPr>
          <w:p>
            <w:pPr>
              <w:spacing w:after="0"/>
              <w:rPr>
                <w:sz w:val="19"/>
                <w:szCs w:val="19"/>
                <w:color w:val="auto"/>
              </w:rPr>
            </w:pPr>
          </w:p>
        </w:tc>
        <w:tc>
          <w:tcPr>
            <w:tcW w:w="1360" w:type="dxa"/>
            <w:vAlign w:val="bottom"/>
            <w:shd w:val="clear" w:color="auto" w:fill="CCEEFF"/>
          </w:tcPr>
          <w:p>
            <w:pPr>
              <w:jc w:val="right"/>
              <w:ind w:right="8"/>
              <w:spacing w:after="0"/>
              <w:rPr>
                <w:sz w:val="20"/>
                <w:szCs w:val="20"/>
                <w:color w:val="auto"/>
              </w:rPr>
            </w:pPr>
            <w:r>
              <w:rPr>
                <w:rFonts w:ascii="Arial" w:cs="Arial" w:eastAsia="Arial" w:hAnsi="Arial"/>
                <w:sz w:val="14"/>
                <w:szCs w:val="14"/>
                <w:b w:val="1"/>
                <w:bCs w:val="1"/>
                <w:color w:val="auto"/>
              </w:rPr>
              <w:t>—</w:t>
            </w:r>
          </w:p>
        </w:tc>
        <w:tc>
          <w:tcPr>
            <w:tcW w:w="28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9"/>
                <w:szCs w:val="19"/>
                <w:color w:val="auto"/>
              </w:rPr>
            </w:pPr>
          </w:p>
        </w:tc>
        <w:tc>
          <w:tcPr>
            <w:tcW w:w="1420" w:type="dxa"/>
            <w:vAlign w:val="bottom"/>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27,358,218</w:t>
            </w:r>
          </w:p>
        </w:tc>
        <w:tc>
          <w:tcPr>
            <w:tcW w:w="280" w:type="dxa"/>
            <w:vAlign w:val="bottom"/>
            <w:shd w:val="clear" w:color="auto" w:fill="CCEEFF"/>
          </w:tcPr>
          <w:p>
            <w:pPr>
              <w:spacing w:after="0"/>
              <w:rPr>
                <w:sz w:val="19"/>
                <w:szCs w:val="19"/>
                <w:color w:val="auto"/>
              </w:rPr>
            </w:pPr>
          </w:p>
        </w:tc>
        <w:tc>
          <w:tcPr>
            <w:tcW w:w="1320" w:type="dxa"/>
            <w:vAlign w:val="bottom"/>
            <w:shd w:val="clear" w:color="auto" w:fill="CCEEFF"/>
          </w:tcPr>
          <w:p>
            <w:pPr>
              <w:jc w:val="right"/>
              <w:ind w:right="48"/>
              <w:spacing w:after="0"/>
              <w:rPr>
                <w:sz w:val="20"/>
                <w:szCs w:val="20"/>
                <w:color w:val="auto"/>
              </w:rPr>
            </w:pPr>
            <w:r>
              <w:rPr>
                <w:rFonts w:ascii="Arial" w:cs="Arial" w:eastAsia="Arial" w:hAnsi="Arial"/>
                <w:sz w:val="14"/>
                <w:szCs w:val="14"/>
                <w:b w:val="1"/>
                <w:bCs w:val="1"/>
                <w:color w:val="auto"/>
              </w:rPr>
              <w:t>27,358,218</w:t>
            </w:r>
          </w:p>
        </w:tc>
        <w:tc>
          <w:tcPr>
            <w:tcW w:w="164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0.17%</w:t>
            </w:r>
          </w:p>
        </w:tc>
        <w:tc>
          <w:tcPr>
            <w:tcW w:w="0" w:type="dxa"/>
            <w:vAlign w:val="bottom"/>
          </w:tcPr>
          <w:p>
            <w:pPr>
              <w:spacing w:after="0"/>
              <w:rPr>
                <w:sz w:val="1"/>
                <w:szCs w:val="1"/>
                <w:color w:val="auto"/>
              </w:rPr>
            </w:pPr>
          </w:p>
        </w:tc>
      </w:tr>
      <w:tr>
        <w:trPr>
          <w:trHeight w:val="223"/>
        </w:trPr>
        <w:tc>
          <w:tcPr>
            <w:tcW w:w="354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SSgA Russell Small Cap Index NL-A</w:t>
            </w:r>
          </w:p>
        </w:tc>
        <w:tc>
          <w:tcPr>
            <w:tcW w:w="22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w:t>
            </w:r>
          </w:p>
        </w:tc>
        <w:tc>
          <w:tcPr>
            <w:tcW w:w="28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w:t>
            </w:r>
          </w:p>
        </w:tc>
        <w:tc>
          <w:tcPr>
            <w:tcW w:w="16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19,489,752</w:t>
            </w:r>
          </w:p>
        </w:tc>
        <w:tc>
          <w:tcPr>
            <w:tcW w:w="28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19,489,752</w:t>
            </w:r>
          </w:p>
        </w:tc>
        <w:tc>
          <w:tcPr>
            <w:tcW w:w="1640" w:type="dxa"/>
            <w:vAlign w:val="bottom"/>
            <w:tcBorders>
              <w:bottom w:val="single" w:sz="8" w:color="CCEEFF"/>
            </w:tcBorders>
          </w:tcPr>
          <w:p>
            <w:pPr>
              <w:jc w:val="right"/>
              <w:spacing w:after="0"/>
              <w:rPr>
                <w:sz w:val="20"/>
                <w:szCs w:val="20"/>
                <w:color w:val="auto"/>
              </w:rPr>
            </w:pPr>
            <w:r>
              <w:rPr>
                <w:rFonts w:ascii="Arial" w:cs="Arial" w:eastAsia="Arial" w:hAnsi="Arial"/>
                <w:sz w:val="14"/>
                <w:szCs w:val="14"/>
                <w:b w:val="1"/>
                <w:bCs w:val="1"/>
                <w:color w:val="auto"/>
              </w:rPr>
              <w:t>0.26%</w:t>
            </w:r>
          </w:p>
        </w:tc>
        <w:tc>
          <w:tcPr>
            <w:tcW w:w="0" w:type="dxa"/>
            <w:vAlign w:val="bottom"/>
          </w:tcPr>
          <w:p>
            <w:pPr>
              <w:spacing w:after="0"/>
              <w:rPr>
                <w:sz w:val="1"/>
                <w:szCs w:val="1"/>
                <w:color w:val="auto"/>
              </w:rPr>
            </w:pPr>
          </w:p>
        </w:tc>
      </w:tr>
      <w:tr>
        <w:trPr>
          <w:trHeight w:val="250"/>
        </w:trPr>
        <w:tc>
          <w:tcPr>
            <w:tcW w:w="35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b w:val="1"/>
                <w:bCs w:val="1"/>
                <w:color w:val="auto"/>
              </w:rPr>
              <w:t>$</w:t>
            </w:r>
          </w:p>
        </w:tc>
        <w:tc>
          <w:tcPr>
            <w:tcW w:w="13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b w:val="1"/>
                <w:bCs w:val="1"/>
                <w:color w:val="auto"/>
              </w:rPr>
              <w:t>85,509,180</w:t>
            </w:r>
          </w:p>
        </w:tc>
        <w:tc>
          <w:tcPr>
            <w:tcW w:w="280" w:type="dxa"/>
            <w:vAlign w:val="bottom"/>
            <w:tcBorders>
              <w:bottom w:val="single" w:sz="8" w:color="auto"/>
            </w:tcBorders>
            <w:shd w:val="clear" w:color="auto" w:fill="CCEEFF"/>
          </w:tcPr>
          <w:p>
            <w:pPr>
              <w:ind w:left="60"/>
              <w:spacing w:after="0"/>
              <w:rPr>
                <w:sz w:val="20"/>
                <w:szCs w:val="20"/>
                <w:color w:val="auto"/>
              </w:rPr>
            </w:pPr>
            <w:r>
              <w:rPr>
                <w:rFonts w:ascii="Arial" w:cs="Arial" w:eastAsia="Arial" w:hAnsi="Arial"/>
                <w:sz w:val="14"/>
                <w:szCs w:val="14"/>
                <w:b w:val="1"/>
                <w:bCs w:val="1"/>
                <w:color w:val="auto"/>
              </w:rPr>
              <w:t>$</w:t>
            </w:r>
          </w:p>
        </w:tc>
        <w:tc>
          <w:tcPr>
            <w:tcW w:w="1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128,935,100</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4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156,439,024</w:t>
            </w:r>
          </w:p>
        </w:tc>
        <w:tc>
          <w:tcPr>
            <w:tcW w:w="28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b w:val="1"/>
                <w:bCs w:val="1"/>
                <w:color w:val="auto"/>
              </w:rPr>
              <w:t>$</w:t>
            </w:r>
          </w:p>
        </w:tc>
        <w:tc>
          <w:tcPr>
            <w:tcW w:w="13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b w:val="1"/>
                <w:bCs w:val="1"/>
                <w:color w:val="auto"/>
              </w:rPr>
              <w:t>370,883,304</w:t>
            </w:r>
          </w:p>
        </w:tc>
        <w:tc>
          <w:tcPr>
            <w:tcW w:w="16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324"/>
        </w:trPr>
        <w:tc>
          <w:tcPr>
            <w:tcW w:w="3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3540" w:type="dxa"/>
            <w:vAlign w:val="bottom"/>
            <w:shd w:val="clear" w:color="auto" w:fill="CCEEFF"/>
          </w:tcPr>
          <w:p>
            <w:pPr>
              <w:ind w:left="40"/>
              <w:spacing w:after="0"/>
              <w:rPr>
                <w:sz w:val="20"/>
                <w:szCs w:val="20"/>
                <w:color w:val="auto"/>
              </w:rPr>
            </w:pPr>
            <w:r>
              <w:rPr>
                <w:rFonts w:ascii="Arial" w:cs="Arial" w:eastAsia="Arial" w:hAnsi="Arial"/>
                <w:sz w:val="14"/>
                <w:szCs w:val="14"/>
                <w:color w:val="auto"/>
              </w:rPr>
              <w:t>Wells Fargo Stable Value Funds E &amp; G</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3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ind w:left="60"/>
              <w:spacing w:after="0"/>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420" w:type="dxa"/>
            <w:vAlign w:val="bottom"/>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50,315,744</w:t>
            </w:r>
          </w:p>
        </w:tc>
        <w:tc>
          <w:tcPr>
            <w:tcW w:w="280" w:type="dxa"/>
            <w:vAlign w:val="bottom"/>
            <w:shd w:val="clear" w:color="auto" w:fill="CCEEFF"/>
          </w:tcPr>
          <w:p>
            <w:pPr>
              <w:jc w:val="right"/>
              <w:ind w:right="88"/>
              <w:spacing w:after="0"/>
              <w:rPr>
                <w:sz w:val="20"/>
                <w:szCs w:val="20"/>
                <w:color w:val="auto"/>
              </w:rPr>
            </w:pPr>
            <w:r>
              <w:rPr>
                <w:rFonts w:ascii="Arial" w:cs="Arial" w:eastAsia="Arial" w:hAnsi="Arial"/>
                <w:sz w:val="14"/>
                <w:szCs w:val="14"/>
                <w:b w:val="1"/>
                <w:bCs w:val="1"/>
                <w:color w:val="auto"/>
              </w:rPr>
              <w:t>$</w:t>
            </w:r>
          </w:p>
        </w:tc>
        <w:tc>
          <w:tcPr>
            <w:tcW w:w="1320" w:type="dxa"/>
            <w:vAlign w:val="bottom"/>
            <w:shd w:val="clear" w:color="auto" w:fill="CCEEFF"/>
          </w:tcPr>
          <w:p>
            <w:pPr>
              <w:jc w:val="right"/>
              <w:ind w:right="48"/>
              <w:spacing w:after="0"/>
              <w:rPr>
                <w:sz w:val="20"/>
                <w:szCs w:val="20"/>
                <w:color w:val="auto"/>
              </w:rPr>
            </w:pPr>
            <w:r>
              <w:rPr>
                <w:rFonts w:ascii="Arial" w:cs="Arial" w:eastAsia="Arial" w:hAnsi="Arial"/>
                <w:sz w:val="14"/>
                <w:szCs w:val="14"/>
                <w:b w:val="1"/>
                <w:bCs w:val="1"/>
                <w:color w:val="auto"/>
              </w:rPr>
              <w:t>50,315,744</w:t>
            </w:r>
          </w:p>
        </w:tc>
        <w:tc>
          <w:tcPr>
            <w:tcW w:w="16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54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Adjustment from fair value to contract value</w:t>
            </w:r>
          </w:p>
        </w:tc>
        <w:tc>
          <w:tcPr>
            <w:tcW w:w="220" w:type="dxa"/>
            <w:vAlign w:val="bottom"/>
            <w:tcBorders>
              <w:bottom w:val="single" w:sz="8" w:color="auto"/>
            </w:tcBorders>
          </w:tcPr>
          <w:p>
            <w:pPr>
              <w:spacing w:after="0"/>
              <w:rPr>
                <w:sz w:val="22"/>
                <w:szCs w:val="22"/>
                <w:color w:val="auto"/>
              </w:rPr>
            </w:pPr>
          </w:p>
        </w:tc>
        <w:tc>
          <w:tcPr>
            <w:tcW w:w="13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w:t>
            </w:r>
          </w:p>
        </w:tc>
        <w:tc>
          <w:tcPr>
            <w:tcW w:w="280" w:type="dxa"/>
            <w:vAlign w:val="bottom"/>
            <w:tcBorders>
              <w:bottom w:val="single" w:sz="8" w:color="auto"/>
            </w:tcBorders>
          </w:tcPr>
          <w:p>
            <w:pPr>
              <w:spacing w:after="0"/>
              <w:rPr>
                <w:sz w:val="22"/>
                <w:szCs w:val="22"/>
                <w:color w:val="auto"/>
              </w:rPr>
            </w:pPr>
          </w:p>
        </w:tc>
        <w:tc>
          <w:tcPr>
            <w:tcW w:w="1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w:t>
            </w:r>
          </w:p>
        </w:tc>
        <w:tc>
          <w:tcPr>
            <w:tcW w:w="160" w:type="dxa"/>
            <w:vAlign w:val="bottom"/>
            <w:tcBorders>
              <w:bottom w:val="single" w:sz="8" w:color="auto"/>
            </w:tcBorders>
          </w:tcPr>
          <w:p>
            <w:pPr>
              <w:spacing w:after="0"/>
              <w:rPr>
                <w:sz w:val="22"/>
                <w:szCs w:val="22"/>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(694,695)</w:t>
            </w:r>
          </w:p>
        </w:tc>
        <w:tc>
          <w:tcPr>
            <w:tcW w:w="280" w:type="dxa"/>
            <w:vAlign w:val="bottom"/>
            <w:tcBorders>
              <w:bottom w:val="single" w:sz="8" w:color="auto"/>
            </w:tcBorders>
          </w:tcPr>
          <w:p>
            <w:pPr>
              <w:spacing w:after="0"/>
              <w:rPr>
                <w:sz w:val="22"/>
                <w:szCs w:val="22"/>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(694,695)</w:t>
            </w:r>
          </w:p>
        </w:tc>
        <w:tc>
          <w:tcPr>
            <w:tcW w:w="1640" w:type="dxa"/>
            <w:vAlign w:val="bottom"/>
            <w:tcBorders>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35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b w:val="1"/>
                <w:bCs w:val="1"/>
                <w:color w:val="auto"/>
              </w:rPr>
              <w:t>$</w:t>
            </w:r>
          </w:p>
        </w:tc>
        <w:tc>
          <w:tcPr>
            <w:tcW w:w="13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b w:val="1"/>
                <w:bCs w:val="1"/>
                <w:color w:val="auto"/>
              </w:rPr>
              <w:t>—</w:t>
            </w:r>
          </w:p>
        </w:tc>
        <w:tc>
          <w:tcPr>
            <w:tcW w:w="280" w:type="dxa"/>
            <w:vAlign w:val="bottom"/>
            <w:tcBorders>
              <w:bottom w:val="single" w:sz="8" w:color="auto"/>
            </w:tcBorders>
            <w:shd w:val="clear" w:color="auto" w:fill="CCEEFF"/>
          </w:tcPr>
          <w:p>
            <w:pPr>
              <w:ind w:left="60"/>
              <w:spacing w:after="0"/>
              <w:rPr>
                <w:sz w:val="20"/>
                <w:szCs w:val="20"/>
                <w:color w:val="auto"/>
              </w:rPr>
            </w:pPr>
            <w:r>
              <w:rPr>
                <w:rFonts w:ascii="Arial" w:cs="Arial" w:eastAsia="Arial" w:hAnsi="Arial"/>
                <w:sz w:val="14"/>
                <w:szCs w:val="14"/>
                <w:b w:val="1"/>
                <w:bCs w:val="1"/>
                <w:color w:val="auto"/>
              </w:rPr>
              <w:t>$</w:t>
            </w:r>
          </w:p>
        </w:tc>
        <w:tc>
          <w:tcPr>
            <w:tcW w:w="1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4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49,621,049</w:t>
            </w:r>
          </w:p>
        </w:tc>
        <w:tc>
          <w:tcPr>
            <w:tcW w:w="28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b w:val="1"/>
                <w:bCs w:val="1"/>
                <w:color w:val="auto"/>
              </w:rPr>
              <w:t>$</w:t>
            </w:r>
          </w:p>
        </w:tc>
        <w:tc>
          <w:tcPr>
            <w:tcW w:w="13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b w:val="1"/>
                <w:bCs w:val="1"/>
                <w:color w:val="auto"/>
              </w:rPr>
              <w:t>49,621,049</w:t>
            </w:r>
          </w:p>
        </w:tc>
        <w:tc>
          <w:tcPr>
            <w:tcW w:w="1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b w:val="1"/>
                <w:bCs w:val="1"/>
                <w:color w:val="auto"/>
              </w:rPr>
              <w:t>0.39%</w:t>
            </w:r>
          </w:p>
        </w:tc>
        <w:tc>
          <w:tcPr>
            <w:tcW w:w="0" w:type="dxa"/>
            <w:vAlign w:val="bottom"/>
          </w:tcPr>
          <w:p>
            <w:pPr>
              <w:spacing w:after="0"/>
              <w:rPr>
                <w:sz w:val="1"/>
                <w:szCs w:val="1"/>
                <w:color w:val="auto"/>
              </w:rPr>
            </w:pPr>
          </w:p>
        </w:tc>
      </w:tr>
      <w:tr>
        <w:trPr>
          <w:trHeight w:val="331"/>
        </w:trPr>
        <w:tc>
          <w:tcPr>
            <w:tcW w:w="354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1640" w:type="dxa"/>
            <w:vAlign w:val="bottom"/>
            <w:tcBorders>
              <w:bottom w:val="single" w:sz="8" w:color="CCEEFF"/>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3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Net Assets of Master Trust</w:t>
            </w: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b w:val="1"/>
                <w:bCs w:val="1"/>
                <w:color w:val="auto"/>
              </w:rPr>
              <w:t>$</w:t>
            </w:r>
          </w:p>
        </w:tc>
        <w:tc>
          <w:tcPr>
            <w:tcW w:w="13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b w:val="1"/>
                <w:bCs w:val="1"/>
                <w:color w:val="auto"/>
              </w:rPr>
              <w:t>85,509,180</w:t>
            </w:r>
          </w:p>
        </w:tc>
        <w:tc>
          <w:tcPr>
            <w:tcW w:w="280" w:type="dxa"/>
            <w:vAlign w:val="bottom"/>
            <w:tcBorders>
              <w:bottom w:val="single" w:sz="8" w:color="auto"/>
            </w:tcBorders>
            <w:shd w:val="clear" w:color="auto" w:fill="CCEEFF"/>
          </w:tcPr>
          <w:p>
            <w:pPr>
              <w:ind w:left="60"/>
              <w:spacing w:after="0"/>
              <w:rPr>
                <w:sz w:val="20"/>
                <w:szCs w:val="20"/>
                <w:color w:val="auto"/>
              </w:rPr>
            </w:pPr>
            <w:r>
              <w:rPr>
                <w:rFonts w:ascii="Arial" w:cs="Arial" w:eastAsia="Arial" w:hAnsi="Arial"/>
                <w:sz w:val="14"/>
                <w:szCs w:val="14"/>
                <w:b w:val="1"/>
                <w:bCs w:val="1"/>
                <w:color w:val="auto"/>
              </w:rPr>
              <w:t>$</w:t>
            </w:r>
          </w:p>
        </w:tc>
        <w:tc>
          <w:tcPr>
            <w:tcW w:w="1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128,935,100</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4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b w:val="1"/>
                <w:bCs w:val="1"/>
                <w:color w:val="auto"/>
              </w:rPr>
              <w:t>206,060,073</w:t>
            </w:r>
          </w:p>
        </w:tc>
        <w:tc>
          <w:tcPr>
            <w:tcW w:w="28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b w:val="1"/>
                <w:bCs w:val="1"/>
                <w:color w:val="auto"/>
              </w:rPr>
              <w:t>$</w:t>
            </w:r>
          </w:p>
        </w:tc>
        <w:tc>
          <w:tcPr>
            <w:tcW w:w="13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b w:val="1"/>
                <w:bCs w:val="1"/>
                <w:color w:val="auto"/>
              </w:rPr>
              <w:t>420,504,353</w:t>
            </w:r>
          </w:p>
        </w:tc>
        <w:tc>
          <w:tcPr>
            <w:tcW w:w="1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b w:val="1"/>
                <w:bCs w:val="1"/>
                <w:color w:val="auto"/>
              </w:rPr>
              <w:t>0.38%</w:t>
            </w:r>
          </w:p>
        </w:tc>
        <w:tc>
          <w:tcPr>
            <w:tcW w:w="0" w:type="dxa"/>
            <w:vAlign w:val="bottom"/>
          </w:tcPr>
          <w:p>
            <w:pPr>
              <w:spacing w:after="0"/>
              <w:rPr>
                <w:sz w:val="1"/>
                <w:szCs w:val="1"/>
                <w:color w:val="auto"/>
              </w:rPr>
            </w:pPr>
          </w:p>
        </w:tc>
      </w:tr>
      <w:tr>
        <w:trPr>
          <w:trHeight w:val="20"/>
        </w:trPr>
        <w:tc>
          <w:tcPr>
            <w:tcW w:w="35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125" w:right="23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tbl>
      <w:tblPr>
        <w:tblLayout w:type="fixed"/>
        <w:tblInd w:w="0" w:type="dxa"/>
        <w:tblCellMar>
          <w:top w:w="0" w:type="dxa"/>
          <w:left w:w="0" w:type="dxa"/>
          <w:bottom w:w="0" w:type="dxa"/>
          <w:right w:w="0" w:type="dxa"/>
        </w:tblCellMar>
      </w:tblPr>
      <w:tr>
        <w:trPr>
          <w:trHeight w:val="257"/>
        </w:trPr>
        <w:tc>
          <w:tcPr>
            <w:tcW w:w="9140" w:type="dxa"/>
            <w:vAlign w:val="bottom"/>
          </w:tcPr>
          <w:p>
            <w:pPr>
              <w:jc w:val="center"/>
              <w:ind w:left="2203"/>
              <w:spacing w:after="0"/>
              <w:rPr>
                <w:sz w:val="20"/>
                <w:szCs w:val="20"/>
                <w:color w:val="auto"/>
              </w:rPr>
            </w:pPr>
            <w:r>
              <w:rPr>
                <w:rFonts w:ascii="Arial" w:cs="Arial" w:eastAsia="Arial" w:hAnsi="Arial"/>
                <w:sz w:val="22"/>
                <w:szCs w:val="22"/>
                <w:b w:val="1"/>
                <w:bCs w:val="1"/>
                <w:color w:val="auto"/>
                <w:w w:val="88"/>
              </w:rPr>
              <w:t>TimkenSteel Corporation Savings Plan</w:t>
            </w:r>
          </w:p>
        </w:tc>
        <w:tc>
          <w:tcPr>
            <w:tcW w:w="260" w:type="dxa"/>
            <w:vAlign w:val="bottom"/>
          </w:tcPr>
          <w:p>
            <w:pPr>
              <w:spacing w:after="0"/>
              <w:rPr>
                <w:sz w:val="22"/>
                <w:szCs w:val="22"/>
                <w:color w:val="auto"/>
              </w:rPr>
            </w:pPr>
          </w:p>
        </w:tc>
        <w:tc>
          <w:tcPr>
            <w:tcW w:w="2020" w:type="dxa"/>
            <w:vAlign w:val="bottom"/>
          </w:tcPr>
          <w:p>
            <w:pPr>
              <w:spacing w:after="0"/>
              <w:rPr>
                <w:sz w:val="22"/>
                <w:szCs w:val="22"/>
                <w:color w:val="auto"/>
              </w:rPr>
            </w:pPr>
          </w:p>
        </w:tc>
      </w:tr>
      <w:tr>
        <w:trPr>
          <w:trHeight w:val="257"/>
        </w:trPr>
        <w:tc>
          <w:tcPr>
            <w:tcW w:w="9140" w:type="dxa"/>
            <w:vAlign w:val="bottom"/>
          </w:tcPr>
          <w:p>
            <w:pPr>
              <w:jc w:val="center"/>
              <w:ind w:left="2183"/>
              <w:spacing w:after="0"/>
              <w:rPr>
                <w:sz w:val="20"/>
                <w:szCs w:val="20"/>
                <w:color w:val="auto"/>
              </w:rPr>
            </w:pPr>
            <w:r>
              <w:rPr>
                <w:rFonts w:ascii="Arial" w:cs="Arial" w:eastAsia="Arial" w:hAnsi="Arial"/>
                <w:sz w:val="22"/>
                <w:szCs w:val="22"/>
                <w:b w:val="1"/>
                <w:bCs w:val="1"/>
                <w:color w:val="auto"/>
                <w:w w:val="89"/>
              </w:rPr>
              <w:t>for Certain Bargaining Employees</w:t>
            </w:r>
          </w:p>
        </w:tc>
        <w:tc>
          <w:tcPr>
            <w:tcW w:w="260" w:type="dxa"/>
            <w:vAlign w:val="bottom"/>
          </w:tcPr>
          <w:p>
            <w:pPr>
              <w:spacing w:after="0"/>
              <w:rPr>
                <w:sz w:val="22"/>
                <w:szCs w:val="22"/>
                <w:color w:val="auto"/>
              </w:rPr>
            </w:pPr>
          </w:p>
        </w:tc>
        <w:tc>
          <w:tcPr>
            <w:tcW w:w="2020" w:type="dxa"/>
            <w:vAlign w:val="bottom"/>
          </w:tcPr>
          <w:p>
            <w:pPr>
              <w:spacing w:after="0"/>
              <w:rPr>
                <w:sz w:val="22"/>
                <w:szCs w:val="22"/>
                <w:color w:val="auto"/>
              </w:rPr>
            </w:pPr>
          </w:p>
        </w:tc>
      </w:tr>
      <w:tr>
        <w:trPr>
          <w:trHeight w:val="281"/>
        </w:trPr>
        <w:tc>
          <w:tcPr>
            <w:tcW w:w="9140" w:type="dxa"/>
            <w:vAlign w:val="bottom"/>
          </w:tcPr>
          <w:p>
            <w:pPr>
              <w:jc w:val="center"/>
              <w:ind w:left="2183"/>
              <w:spacing w:after="0"/>
              <w:rPr>
                <w:sz w:val="20"/>
                <w:szCs w:val="20"/>
                <w:color w:val="auto"/>
              </w:rPr>
            </w:pPr>
            <w:r>
              <w:rPr>
                <w:rFonts w:ascii="Arial" w:cs="Arial" w:eastAsia="Arial" w:hAnsi="Arial"/>
                <w:sz w:val="22"/>
                <w:szCs w:val="22"/>
                <w:b w:val="1"/>
                <w:bCs w:val="1"/>
                <w:color w:val="auto"/>
                <w:w w:val="87"/>
              </w:rPr>
              <w:t>Notes to Financial Statements (continued)</w:t>
            </w:r>
          </w:p>
        </w:tc>
        <w:tc>
          <w:tcPr>
            <w:tcW w:w="260" w:type="dxa"/>
            <w:vAlign w:val="bottom"/>
          </w:tcPr>
          <w:p>
            <w:pPr>
              <w:spacing w:after="0"/>
              <w:rPr>
                <w:sz w:val="24"/>
                <w:szCs w:val="24"/>
                <w:color w:val="auto"/>
              </w:rPr>
            </w:pPr>
          </w:p>
        </w:tc>
        <w:tc>
          <w:tcPr>
            <w:tcW w:w="2020" w:type="dxa"/>
            <w:vAlign w:val="bottom"/>
          </w:tcPr>
          <w:p>
            <w:pPr>
              <w:spacing w:after="0"/>
              <w:rPr>
                <w:sz w:val="24"/>
                <w:szCs w:val="24"/>
                <w:color w:val="auto"/>
              </w:rPr>
            </w:pPr>
          </w:p>
        </w:tc>
      </w:tr>
      <w:tr>
        <w:trPr>
          <w:trHeight w:val="432"/>
        </w:trPr>
        <w:tc>
          <w:tcPr>
            <w:tcW w:w="9140" w:type="dxa"/>
            <w:vAlign w:val="bottom"/>
          </w:tcPr>
          <w:p>
            <w:pPr>
              <w:spacing w:after="0"/>
              <w:rPr>
                <w:sz w:val="20"/>
                <w:szCs w:val="20"/>
                <w:color w:val="auto"/>
              </w:rPr>
            </w:pPr>
            <w:r>
              <w:rPr>
                <w:rFonts w:ascii="Arial" w:cs="Arial" w:eastAsia="Arial" w:hAnsi="Arial"/>
                <w:sz w:val="22"/>
                <w:szCs w:val="22"/>
                <w:color w:val="auto"/>
              </w:rPr>
              <w:t>Investment appreciation/(depreciation) for the Master Trust is as follows:</w:t>
            </w:r>
          </w:p>
        </w:tc>
        <w:tc>
          <w:tcPr>
            <w:tcW w:w="260" w:type="dxa"/>
            <w:vAlign w:val="bottom"/>
          </w:tcPr>
          <w:p>
            <w:pPr>
              <w:spacing w:after="0"/>
              <w:rPr>
                <w:sz w:val="24"/>
                <w:szCs w:val="24"/>
                <w:color w:val="auto"/>
              </w:rPr>
            </w:pPr>
          </w:p>
        </w:tc>
        <w:tc>
          <w:tcPr>
            <w:tcW w:w="2020" w:type="dxa"/>
            <w:vAlign w:val="bottom"/>
          </w:tcPr>
          <w:p>
            <w:pPr>
              <w:spacing w:after="0"/>
              <w:rPr>
                <w:sz w:val="24"/>
                <w:szCs w:val="24"/>
                <w:color w:val="auto"/>
              </w:rPr>
            </w:pPr>
          </w:p>
        </w:tc>
      </w:tr>
      <w:tr>
        <w:trPr>
          <w:trHeight w:val="544"/>
        </w:trPr>
        <w:tc>
          <w:tcPr>
            <w:tcW w:w="9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20" w:type="dxa"/>
            <w:vAlign w:val="bottom"/>
          </w:tcPr>
          <w:p>
            <w:pPr>
              <w:jc w:val="right"/>
              <w:ind w:right="350"/>
              <w:spacing w:after="0"/>
              <w:rPr>
                <w:sz w:val="20"/>
                <w:szCs w:val="20"/>
                <w:color w:val="auto"/>
              </w:rPr>
            </w:pPr>
            <w:r>
              <w:rPr>
                <w:rFonts w:ascii="Arial" w:cs="Arial" w:eastAsia="Arial" w:hAnsi="Arial"/>
                <w:sz w:val="18"/>
                <w:szCs w:val="18"/>
                <w:b w:val="1"/>
                <w:bCs w:val="1"/>
                <w:color w:val="auto"/>
                <w:w w:val="99"/>
              </w:rPr>
              <w:t>Six Months Ended</w:t>
            </w:r>
          </w:p>
        </w:tc>
      </w:tr>
      <w:tr>
        <w:trPr>
          <w:trHeight w:val="270"/>
        </w:trPr>
        <w:tc>
          <w:tcPr>
            <w:tcW w:w="914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2020" w:type="dxa"/>
            <w:vAlign w:val="bottom"/>
          </w:tcPr>
          <w:p>
            <w:pPr>
              <w:jc w:val="right"/>
              <w:ind w:right="330"/>
              <w:spacing w:after="0"/>
              <w:rPr>
                <w:sz w:val="20"/>
                <w:szCs w:val="20"/>
                <w:color w:val="auto"/>
              </w:rPr>
            </w:pPr>
            <w:r>
              <w:rPr>
                <w:rFonts w:ascii="Arial" w:cs="Arial" w:eastAsia="Arial" w:hAnsi="Arial"/>
                <w:sz w:val="18"/>
                <w:szCs w:val="18"/>
                <w:b w:val="1"/>
                <w:bCs w:val="1"/>
                <w:color w:val="auto"/>
                <w:w w:val="97"/>
              </w:rPr>
              <w:t>December 31, 2014</w:t>
            </w:r>
          </w:p>
        </w:tc>
      </w:tr>
      <w:tr>
        <w:trPr>
          <w:trHeight w:val="27"/>
        </w:trPr>
        <w:tc>
          <w:tcPr>
            <w:tcW w:w="91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020" w:type="dxa"/>
            <w:vAlign w:val="bottom"/>
            <w:tcBorders>
              <w:bottom w:val="single" w:sz="8" w:color="auto"/>
            </w:tcBorders>
          </w:tcPr>
          <w:p>
            <w:pPr>
              <w:spacing w:after="0"/>
              <w:rPr>
                <w:sz w:val="2"/>
                <w:szCs w:val="2"/>
                <w:color w:val="auto"/>
              </w:rPr>
            </w:pPr>
          </w:p>
        </w:tc>
      </w:tr>
      <w:tr>
        <w:trPr>
          <w:trHeight w:val="244"/>
        </w:trPr>
        <w:tc>
          <w:tcPr>
            <w:tcW w:w="9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appreciation/(depreciation) in fair value of investments:</w:t>
            </w:r>
          </w:p>
        </w:tc>
        <w:tc>
          <w:tcPr>
            <w:tcW w:w="260" w:type="dxa"/>
            <w:vAlign w:val="bottom"/>
            <w:tcBorders>
              <w:bottom w:val="single" w:sz="8" w:color="CCEEFF"/>
            </w:tcBorders>
            <w:shd w:val="clear" w:color="auto" w:fill="CCEEFF"/>
          </w:tcPr>
          <w:p>
            <w:pPr>
              <w:spacing w:after="0"/>
              <w:rPr>
                <w:sz w:val="21"/>
                <w:szCs w:val="21"/>
                <w:color w:val="auto"/>
              </w:rPr>
            </w:pPr>
          </w:p>
        </w:tc>
        <w:tc>
          <w:tcPr>
            <w:tcW w:w="2020" w:type="dxa"/>
            <w:vAlign w:val="bottom"/>
            <w:tcBorders>
              <w:bottom w:val="single" w:sz="8" w:color="CCEEFF"/>
            </w:tcBorders>
            <w:shd w:val="clear" w:color="auto" w:fill="CCEEFF"/>
          </w:tcPr>
          <w:p>
            <w:pPr>
              <w:spacing w:after="0"/>
              <w:rPr>
                <w:sz w:val="21"/>
                <w:szCs w:val="21"/>
                <w:color w:val="auto"/>
              </w:rPr>
            </w:pPr>
          </w:p>
        </w:tc>
      </w:tr>
      <w:tr>
        <w:trPr>
          <w:trHeight w:val="243"/>
        </w:trPr>
        <w:tc>
          <w:tcPr>
            <w:tcW w:w="9140" w:type="dxa"/>
            <w:vAlign w:val="bottom"/>
          </w:tcPr>
          <w:p>
            <w:pPr>
              <w:ind w:left="180"/>
              <w:spacing w:after="0"/>
              <w:rPr>
                <w:sz w:val="20"/>
                <w:szCs w:val="20"/>
                <w:color w:val="auto"/>
              </w:rPr>
            </w:pPr>
            <w:r>
              <w:rPr>
                <w:rFonts w:ascii="Arial" w:cs="Arial" w:eastAsia="Arial" w:hAnsi="Arial"/>
                <w:sz w:val="18"/>
                <w:szCs w:val="18"/>
                <w:color w:val="auto"/>
              </w:rPr>
              <w:t>Common Collective Funds</w:t>
            </w:r>
          </w:p>
        </w:tc>
        <w:tc>
          <w:tcPr>
            <w:tcW w:w="260" w:type="dxa"/>
            <w:vAlign w:val="bottom"/>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2020" w:type="dxa"/>
            <w:vAlign w:val="bottom"/>
          </w:tcPr>
          <w:p>
            <w:pPr>
              <w:jc w:val="right"/>
              <w:ind w:right="10"/>
              <w:spacing w:after="0"/>
              <w:rPr>
                <w:sz w:val="20"/>
                <w:szCs w:val="20"/>
                <w:color w:val="auto"/>
              </w:rPr>
            </w:pPr>
            <w:r>
              <w:rPr>
                <w:rFonts w:ascii="Arial" w:cs="Arial" w:eastAsia="Arial" w:hAnsi="Arial"/>
                <w:sz w:val="18"/>
                <w:szCs w:val="18"/>
                <w:b w:val="1"/>
                <w:bCs w:val="1"/>
                <w:color w:val="auto"/>
              </w:rPr>
              <w:t>22,493,250</w:t>
            </w:r>
          </w:p>
        </w:tc>
      </w:tr>
      <w:tr>
        <w:trPr>
          <w:trHeight w:val="27"/>
        </w:trPr>
        <w:tc>
          <w:tcPr>
            <w:tcW w:w="9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2020" w:type="dxa"/>
            <w:vAlign w:val="bottom"/>
          </w:tcPr>
          <w:p>
            <w:pPr>
              <w:spacing w:after="0"/>
              <w:rPr>
                <w:sz w:val="2"/>
                <w:szCs w:val="2"/>
                <w:color w:val="auto"/>
              </w:rPr>
            </w:pPr>
          </w:p>
        </w:tc>
      </w:tr>
      <w:tr>
        <w:trPr>
          <w:trHeight w:val="250"/>
        </w:trPr>
        <w:tc>
          <w:tcPr>
            <w:tcW w:w="91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Registered Investment Companies</w:t>
            </w:r>
          </w:p>
        </w:tc>
        <w:tc>
          <w:tcPr>
            <w:tcW w:w="260" w:type="dxa"/>
            <w:vAlign w:val="bottom"/>
            <w:tcBorders>
              <w:bottom w:val="single" w:sz="8" w:color="CCEEFF"/>
            </w:tcBorders>
            <w:shd w:val="clear" w:color="auto" w:fill="CCEEFF"/>
          </w:tcPr>
          <w:p>
            <w:pPr>
              <w:spacing w:after="0"/>
              <w:rPr>
                <w:sz w:val="21"/>
                <w:szCs w:val="21"/>
                <w:color w:val="auto"/>
              </w:rPr>
            </w:pPr>
          </w:p>
        </w:tc>
        <w:tc>
          <w:tcPr>
            <w:tcW w:w="2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7,957,188</w:t>
            </w:r>
          </w:p>
        </w:tc>
      </w:tr>
      <w:tr>
        <w:trPr>
          <w:trHeight w:val="243"/>
        </w:trPr>
        <w:tc>
          <w:tcPr>
            <w:tcW w:w="9140" w:type="dxa"/>
            <w:vAlign w:val="bottom"/>
          </w:tcPr>
          <w:p>
            <w:pPr>
              <w:ind w:left="180"/>
              <w:spacing w:after="0"/>
              <w:rPr>
                <w:sz w:val="20"/>
                <w:szCs w:val="20"/>
                <w:color w:val="auto"/>
              </w:rPr>
            </w:pPr>
            <w:r>
              <w:rPr>
                <w:rFonts w:ascii="Arial" w:cs="Arial" w:eastAsia="Arial" w:hAnsi="Arial"/>
                <w:sz w:val="18"/>
                <w:szCs w:val="18"/>
                <w:color w:val="auto"/>
              </w:rPr>
              <w:t>Company Stock</w:t>
            </w:r>
          </w:p>
        </w:tc>
        <w:tc>
          <w:tcPr>
            <w:tcW w:w="260" w:type="dxa"/>
            <w:vAlign w:val="bottom"/>
          </w:tcPr>
          <w:p>
            <w:pPr>
              <w:spacing w:after="0"/>
              <w:rPr>
                <w:sz w:val="21"/>
                <w:szCs w:val="21"/>
                <w:color w:val="auto"/>
              </w:rPr>
            </w:pPr>
          </w:p>
        </w:tc>
        <w:tc>
          <w:tcPr>
            <w:tcW w:w="2020" w:type="dxa"/>
            <w:vAlign w:val="bottom"/>
          </w:tcPr>
          <w:p>
            <w:pPr>
              <w:jc w:val="right"/>
              <w:spacing w:after="0"/>
              <w:rPr>
                <w:sz w:val="20"/>
                <w:szCs w:val="20"/>
                <w:color w:val="auto"/>
              </w:rPr>
            </w:pPr>
            <w:r>
              <w:rPr>
                <w:rFonts w:ascii="Arial" w:cs="Arial" w:eastAsia="Arial" w:hAnsi="Arial"/>
                <w:sz w:val="18"/>
                <w:szCs w:val="18"/>
                <w:b w:val="1"/>
                <w:bCs w:val="1"/>
                <w:color w:val="auto"/>
              </w:rPr>
              <w:t>(9,001,241)</w:t>
            </w:r>
          </w:p>
        </w:tc>
      </w:tr>
      <w:tr>
        <w:trPr>
          <w:trHeight w:val="27"/>
        </w:trPr>
        <w:tc>
          <w:tcPr>
            <w:tcW w:w="9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2020" w:type="dxa"/>
            <w:vAlign w:val="bottom"/>
          </w:tcPr>
          <w:p>
            <w:pPr>
              <w:spacing w:after="0"/>
              <w:rPr>
                <w:sz w:val="2"/>
                <w:szCs w:val="2"/>
                <w:color w:val="auto"/>
              </w:rPr>
            </w:pPr>
          </w:p>
        </w:tc>
      </w:tr>
      <w:tr>
        <w:trPr>
          <w:trHeight w:val="270"/>
        </w:trPr>
        <w:tc>
          <w:tcPr>
            <w:tcW w:w="91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Interest income from Participant notes receivable</w:t>
            </w:r>
          </w:p>
        </w:tc>
        <w:tc>
          <w:tcPr>
            <w:tcW w:w="260" w:type="dxa"/>
            <w:vAlign w:val="bottom"/>
            <w:tcBorders>
              <w:bottom w:val="single" w:sz="8" w:color="CCEEFF"/>
            </w:tcBorders>
            <w:shd w:val="clear" w:color="auto" w:fill="CCEEFF"/>
          </w:tcPr>
          <w:p>
            <w:pPr>
              <w:spacing w:after="0"/>
              <w:rPr>
                <w:sz w:val="23"/>
                <w:szCs w:val="23"/>
                <w:color w:val="auto"/>
              </w:rPr>
            </w:pPr>
          </w:p>
        </w:tc>
        <w:tc>
          <w:tcPr>
            <w:tcW w:w="2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148,174</w:t>
            </w:r>
          </w:p>
        </w:tc>
      </w:tr>
      <w:tr>
        <w:trPr>
          <w:trHeight w:val="257"/>
        </w:trPr>
        <w:tc>
          <w:tcPr>
            <w:tcW w:w="9140" w:type="dxa"/>
            <w:vAlign w:val="bottom"/>
          </w:tcPr>
          <w:p>
            <w:pPr>
              <w:ind w:left="40"/>
              <w:spacing w:after="0"/>
              <w:rPr>
                <w:sz w:val="20"/>
                <w:szCs w:val="20"/>
                <w:color w:val="auto"/>
              </w:rPr>
            </w:pPr>
            <w:r>
              <w:rPr>
                <w:rFonts w:ascii="Arial" w:cs="Arial" w:eastAsia="Arial" w:hAnsi="Arial"/>
                <w:sz w:val="18"/>
                <w:szCs w:val="18"/>
                <w:b w:val="1"/>
                <w:bCs w:val="1"/>
                <w:color w:val="auto"/>
              </w:rPr>
              <w:t>Total Master Trust</w:t>
            </w: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20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21,597,371</w:t>
            </w:r>
          </w:p>
        </w:tc>
      </w:tr>
      <w:tr>
        <w:trPr>
          <w:trHeight w:val="20"/>
        </w:trPr>
        <w:tc>
          <w:tcPr>
            <w:tcW w:w="9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20" w:type="dxa"/>
            <w:vAlign w:val="bottom"/>
            <w:tcBorders>
              <w:bottom w:val="single" w:sz="8" w:color="auto"/>
            </w:tcBorders>
          </w:tcPr>
          <w:p>
            <w:pPr>
              <w:spacing w:after="0" w:line="20" w:lineRule="exact"/>
              <w:rPr>
                <w:sz w:val="1"/>
                <w:szCs w:val="1"/>
                <w:color w:val="auto"/>
              </w:rPr>
            </w:pPr>
          </w:p>
        </w:tc>
      </w:tr>
    </w:tbl>
    <w:p>
      <w:pPr>
        <w:spacing w:after="0" w:line="16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4. Non-Participant-Directed Investments</w:t>
      </w:r>
    </w:p>
    <w:p>
      <w:pPr>
        <w:spacing w:after="0" w:line="185" w:lineRule="exact"/>
        <w:rPr>
          <w:sz w:val="20"/>
          <w:szCs w:val="20"/>
          <w:color w:val="auto"/>
        </w:rPr>
      </w:pPr>
    </w:p>
    <w:p>
      <w:pPr>
        <w:jc w:val="both"/>
        <w:ind w:right="20"/>
        <w:spacing w:after="0" w:line="263" w:lineRule="auto"/>
        <w:rPr>
          <w:sz w:val="20"/>
          <w:szCs w:val="20"/>
          <w:color w:val="auto"/>
        </w:rPr>
      </w:pPr>
      <w:r>
        <w:rPr>
          <w:rFonts w:ascii="Arial" w:cs="Arial" w:eastAsia="Arial" w:hAnsi="Arial"/>
          <w:sz w:val="22"/>
          <w:szCs w:val="22"/>
          <w:color w:val="auto"/>
        </w:rPr>
        <w:t>Information about the net assets and the significant components of the changes in net assets related to non-participant-directed investments is as follows as of and for the six months ended December 31, 2014:</w:t>
      </w:r>
    </w:p>
    <w:p>
      <w:pPr>
        <w:spacing w:after="0" w:line="28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960" w:type="dxa"/>
            <w:vAlign w:val="bottom"/>
          </w:tcPr>
          <w:p>
            <w:pPr>
              <w:jc w:val="right"/>
              <w:ind w:right="330"/>
              <w:spacing w:after="0"/>
              <w:rPr>
                <w:sz w:val="20"/>
                <w:szCs w:val="20"/>
                <w:color w:val="auto"/>
              </w:rPr>
            </w:pPr>
            <w:r>
              <w:rPr>
                <w:rFonts w:ascii="Arial" w:cs="Arial" w:eastAsia="Arial" w:hAnsi="Arial"/>
                <w:sz w:val="18"/>
                <w:szCs w:val="18"/>
                <w:b w:val="1"/>
                <w:bCs w:val="1"/>
                <w:color w:val="auto"/>
                <w:w w:val="93"/>
              </w:rPr>
              <w:t>December 31, 2014</w:t>
            </w:r>
          </w:p>
        </w:tc>
      </w:tr>
      <w:tr>
        <w:trPr>
          <w:trHeight w:val="27"/>
        </w:trPr>
        <w:tc>
          <w:tcPr>
            <w:tcW w:w="914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960" w:type="dxa"/>
            <w:vAlign w:val="bottom"/>
            <w:tcBorders>
              <w:bottom w:val="single" w:sz="8" w:color="auto"/>
            </w:tcBorders>
          </w:tcPr>
          <w:p>
            <w:pPr>
              <w:spacing w:after="0"/>
              <w:rPr>
                <w:sz w:val="2"/>
                <w:szCs w:val="2"/>
                <w:color w:val="auto"/>
              </w:rPr>
            </w:pPr>
          </w:p>
        </w:tc>
      </w:tr>
      <w:tr>
        <w:trPr>
          <w:trHeight w:val="244"/>
        </w:trPr>
        <w:tc>
          <w:tcPr>
            <w:tcW w:w="9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Investments, at fair value:</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960" w:type="dxa"/>
            <w:vAlign w:val="bottom"/>
            <w:tcBorders>
              <w:bottom w:val="single" w:sz="8" w:color="CCEEFF"/>
            </w:tcBorders>
            <w:shd w:val="clear" w:color="auto" w:fill="CCEEFF"/>
          </w:tcPr>
          <w:p>
            <w:pPr>
              <w:spacing w:after="0"/>
              <w:rPr>
                <w:sz w:val="21"/>
                <w:szCs w:val="21"/>
                <w:color w:val="auto"/>
              </w:rPr>
            </w:pPr>
          </w:p>
        </w:tc>
      </w:tr>
      <w:tr>
        <w:trPr>
          <w:trHeight w:val="243"/>
        </w:trPr>
        <w:tc>
          <w:tcPr>
            <w:tcW w:w="9140" w:type="dxa"/>
            <w:vAlign w:val="bottom"/>
          </w:tcPr>
          <w:p>
            <w:pPr>
              <w:ind w:left="180"/>
              <w:spacing w:after="0"/>
              <w:rPr>
                <w:sz w:val="20"/>
                <w:szCs w:val="20"/>
                <w:color w:val="auto"/>
              </w:rPr>
            </w:pPr>
            <w:r>
              <w:rPr>
                <w:rFonts w:ascii="Arial" w:cs="Arial" w:eastAsia="Arial" w:hAnsi="Arial"/>
                <w:sz w:val="18"/>
                <w:szCs w:val="18"/>
                <w:color w:val="auto"/>
              </w:rPr>
              <w:t>Interest in Master Trust related to TimkenSteel Corporation ESOP Stock Fund</w:t>
            </w: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99"/>
              </w:rPr>
              <w:t>$</w:t>
            </w:r>
          </w:p>
        </w:tc>
        <w:tc>
          <w:tcPr>
            <w:tcW w:w="200" w:type="dxa"/>
            <w:vAlign w:val="bottom"/>
          </w:tcPr>
          <w:p>
            <w:pPr>
              <w:spacing w:after="0"/>
              <w:rPr>
                <w:sz w:val="21"/>
                <w:szCs w:val="21"/>
                <w:color w:val="auto"/>
              </w:rPr>
            </w:pPr>
          </w:p>
        </w:tc>
        <w:tc>
          <w:tcPr>
            <w:tcW w:w="1960" w:type="dxa"/>
            <w:vAlign w:val="bottom"/>
          </w:tcPr>
          <w:p>
            <w:pPr>
              <w:jc w:val="right"/>
              <w:ind w:right="10"/>
              <w:spacing w:after="0"/>
              <w:rPr>
                <w:sz w:val="20"/>
                <w:szCs w:val="20"/>
                <w:color w:val="auto"/>
              </w:rPr>
            </w:pPr>
            <w:r>
              <w:rPr>
                <w:rFonts w:ascii="Arial" w:cs="Arial" w:eastAsia="Arial" w:hAnsi="Arial"/>
                <w:sz w:val="18"/>
                <w:szCs w:val="18"/>
                <w:b w:val="1"/>
                <w:bCs w:val="1"/>
                <w:color w:val="auto"/>
              </w:rPr>
              <w:t>65,933</w:t>
            </w:r>
          </w:p>
        </w:tc>
      </w:tr>
      <w:tr>
        <w:trPr>
          <w:trHeight w:val="27"/>
        </w:trPr>
        <w:tc>
          <w:tcPr>
            <w:tcW w:w="9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960" w:type="dxa"/>
            <w:vAlign w:val="bottom"/>
          </w:tcPr>
          <w:p>
            <w:pPr>
              <w:spacing w:after="0"/>
              <w:rPr>
                <w:sz w:val="2"/>
                <w:szCs w:val="2"/>
                <w:color w:val="auto"/>
              </w:rPr>
            </w:pPr>
          </w:p>
        </w:tc>
      </w:tr>
      <w:tr>
        <w:trPr>
          <w:trHeight w:val="270"/>
        </w:trPr>
        <w:tc>
          <w:tcPr>
            <w:tcW w:w="91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Interest in Master Trust related to The Timken Company Stock Fund</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152,048</w:t>
            </w:r>
          </w:p>
        </w:tc>
      </w:tr>
      <w:tr>
        <w:trPr>
          <w:trHeight w:val="237"/>
        </w:trPr>
        <w:tc>
          <w:tcPr>
            <w:tcW w:w="914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w:t>
            </w:r>
          </w:p>
        </w:tc>
        <w:tc>
          <w:tcPr>
            <w:tcW w:w="200" w:type="dxa"/>
            <w:vAlign w:val="bottom"/>
            <w:tcBorders>
              <w:top w:val="single" w:sz="8" w:color="auto"/>
            </w:tcBorders>
          </w:tcPr>
          <w:p>
            <w:pPr>
              <w:spacing w:after="0"/>
              <w:rPr>
                <w:sz w:val="20"/>
                <w:szCs w:val="20"/>
                <w:color w:val="auto"/>
              </w:rPr>
            </w:pPr>
          </w:p>
        </w:tc>
        <w:tc>
          <w:tcPr>
            <w:tcW w:w="19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217,981</w:t>
            </w:r>
          </w:p>
        </w:tc>
      </w:tr>
      <w:tr>
        <w:trPr>
          <w:trHeight w:val="27"/>
        </w:trPr>
        <w:tc>
          <w:tcPr>
            <w:tcW w:w="91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960" w:type="dxa"/>
            <w:vAlign w:val="bottom"/>
            <w:tcBorders>
              <w:bottom w:val="single" w:sz="8" w:color="auto"/>
            </w:tcBorders>
          </w:tcPr>
          <w:p>
            <w:pPr>
              <w:spacing w:after="0"/>
              <w:rPr>
                <w:sz w:val="2"/>
                <w:szCs w:val="2"/>
                <w:color w:val="auto"/>
              </w:rPr>
            </w:pPr>
          </w:p>
        </w:tc>
      </w:tr>
      <w:tr>
        <w:trPr>
          <w:trHeight w:val="20"/>
        </w:trPr>
        <w:tc>
          <w:tcPr>
            <w:tcW w:w="9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960" w:type="dxa"/>
            <w:vAlign w:val="bottom"/>
            <w:tcBorders>
              <w:bottom w:val="single" w:sz="8" w:color="auto"/>
            </w:tcBorders>
          </w:tcPr>
          <w:p>
            <w:pPr>
              <w:spacing w:after="0" w:line="20" w:lineRule="exact"/>
              <w:rPr>
                <w:sz w:val="1"/>
                <w:szCs w:val="1"/>
                <w:color w:val="auto"/>
              </w:rPr>
            </w:pPr>
          </w:p>
        </w:tc>
      </w:tr>
      <w:tr>
        <w:trPr>
          <w:trHeight w:val="534"/>
        </w:trPr>
        <w:tc>
          <w:tcPr>
            <w:tcW w:w="9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960" w:type="dxa"/>
            <w:vAlign w:val="bottom"/>
          </w:tcPr>
          <w:p>
            <w:pPr>
              <w:jc w:val="right"/>
              <w:ind w:right="290"/>
              <w:spacing w:after="0"/>
              <w:rPr>
                <w:sz w:val="20"/>
                <w:szCs w:val="20"/>
                <w:color w:val="auto"/>
              </w:rPr>
            </w:pPr>
            <w:r>
              <w:rPr>
                <w:rFonts w:ascii="Arial" w:cs="Arial" w:eastAsia="Arial" w:hAnsi="Arial"/>
                <w:sz w:val="18"/>
                <w:szCs w:val="18"/>
                <w:b w:val="1"/>
                <w:bCs w:val="1"/>
                <w:color w:val="auto"/>
                <w:w w:val="99"/>
              </w:rPr>
              <w:t>Six Months Ended</w:t>
            </w:r>
          </w:p>
        </w:tc>
      </w:tr>
      <w:tr>
        <w:trPr>
          <w:trHeight w:val="270"/>
        </w:trPr>
        <w:tc>
          <w:tcPr>
            <w:tcW w:w="91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960" w:type="dxa"/>
            <w:vAlign w:val="bottom"/>
          </w:tcPr>
          <w:p>
            <w:pPr>
              <w:jc w:val="right"/>
              <w:ind w:right="270"/>
              <w:spacing w:after="0"/>
              <w:rPr>
                <w:sz w:val="20"/>
                <w:szCs w:val="20"/>
                <w:color w:val="auto"/>
              </w:rPr>
            </w:pPr>
            <w:r>
              <w:rPr>
                <w:rFonts w:ascii="Arial" w:cs="Arial" w:eastAsia="Arial" w:hAnsi="Arial"/>
                <w:sz w:val="18"/>
                <w:szCs w:val="18"/>
                <w:b w:val="1"/>
                <w:bCs w:val="1"/>
                <w:color w:val="auto"/>
                <w:w w:val="97"/>
              </w:rPr>
              <w:t>December 31, 2014</w:t>
            </w:r>
          </w:p>
        </w:tc>
      </w:tr>
      <w:tr>
        <w:trPr>
          <w:trHeight w:val="27"/>
        </w:trPr>
        <w:tc>
          <w:tcPr>
            <w:tcW w:w="91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960" w:type="dxa"/>
            <w:vAlign w:val="bottom"/>
            <w:tcBorders>
              <w:bottom w:val="single" w:sz="8" w:color="auto"/>
            </w:tcBorders>
          </w:tcPr>
          <w:p>
            <w:pPr>
              <w:spacing w:after="0"/>
              <w:rPr>
                <w:sz w:val="2"/>
                <w:szCs w:val="2"/>
                <w:color w:val="auto"/>
              </w:rPr>
            </w:pPr>
          </w:p>
        </w:tc>
      </w:tr>
      <w:tr>
        <w:trPr>
          <w:trHeight w:val="244"/>
        </w:trPr>
        <w:tc>
          <w:tcPr>
            <w:tcW w:w="9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Changes in Net Assets:</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960" w:type="dxa"/>
            <w:vAlign w:val="bottom"/>
            <w:tcBorders>
              <w:bottom w:val="single" w:sz="8" w:color="CCEEFF"/>
            </w:tcBorders>
            <w:shd w:val="clear" w:color="auto" w:fill="CCEEFF"/>
          </w:tcPr>
          <w:p>
            <w:pPr>
              <w:spacing w:after="0"/>
              <w:rPr>
                <w:sz w:val="21"/>
                <w:szCs w:val="21"/>
                <w:color w:val="auto"/>
              </w:rPr>
            </w:pPr>
          </w:p>
        </w:tc>
      </w:tr>
      <w:tr>
        <w:trPr>
          <w:trHeight w:val="243"/>
        </w:trPr>
        <w:tc>
          <w:tcPr>
            <w:tcW w:w="9140" w:type="dxa"/>
            <w:vAlign w:val="bottom"/>
          </w:tcPr>
          <w:p>
            <w:pPr>
              <w:ind w:left="180"/>
              <w:spacing w:after="0"/>
              <w:rPr>
                <w:sz w:val="20"/>
                <w:szCs w:val="20"/>
                <w:color w:val="auto"/>
              </w:rPr>
            </w:pPr>
            <w:r>
              <w:rPr>
                <w:rFonts w:ascii="Arial" w:cs="Arial" w:eastAsia="Arial" w:hAnsi="Arial"/>
                <w:sz w:val="18"/>
                <w:szCs w:val="18"/>
                <w:color w:val="auto"/>
              </w:rPr>
              <w:t>Investment income</w:t>
            </w:r>
          </w:p>
        </w:tc>
        <w:tc>
          <w:tcPr>
            <w:tcW w:w="3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960" w:type="dxa"/>
            <w:vAlign w:val="bottom"/>
          </w:tcPr>
          <w:p>
            <w:pPr>
              <w:jc w:val="right"/>
              <w:ind w:right="10"/>
              <w:spacing w:after="0"/>
              <w:rPr>
                <w:sz w:val="20"/>
                <w:szCs w:val="20"/>
                <w:color w:val="auto"/>
              </w:rPr>
            </w:pPr>
            <w:r>
              <w:rPr>
                <w:rFonts w:ascii="Arial" w:cs="Arial" w:eastAsia="Arial" w:hAnsi="Arial"/>
                <w:sz w:val="18"/>
                <w:szCs w:val="18"/>
                <w:b w:val="1"/>
                <w:bCs w:val="1"/>
                <w:color w:val="auto"/>
              </w:rPr>
              <w:t>59,868</w:t>
            </w:r>
          </w:p>
        </w:tc>
      </w:tr>
      <w:tr>
        <w:trPr>
          <w:trHeight w:val="27"/>
        </w:trPr>
        <w:tc>
          <w:tcPr>
            <w:tcW w:w="9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960" w:type="dxa"/>
            <w:vAlign w:val="bottom"/>
          </w:tcPr>
          <w:p>
            <w:pPr>
              <w:spacing w:after="0"/>
              <w:rPr>
                <w:sz w:val="2"/>
                <w:szCs w:val="2"/>
                <w:color w:val="auto"/>
              </w:rPr>
            </w:pPr>
          </w:p>
        </w:tc>
      </w:tr>
      <w:tr>
        <w:trPr>
          <w:trHeight w:val="250"/>
        </w:trPr>
        <w:tc>
          <w:tcPr>
            <w:tcW w:w="91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Benefits paid directly to participants</w:t>
            </w:r>
          </w:p>
        </w:tc>
        <w:tc>
          <w:tcPr>
            <w:tcW w:w="32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(91,611)</w:t>
            </w:r>
          </w:p>
        </w:tc>
      </w:tr>
      <w:tr>
        <w:trPr>
          <w:trHeight w:val="243"/>
        </w:trPr>
        <w:tc>
          <w:tcPr>
            <w:tcW w:w="9140" w:type="dxa"/>
            <w:vAlign w:val="bottom"/>
          </w:tcPr>
          <w:p>
            <w:pPr>
              <w:ind w:left="180"/>
              <w:spacing w:after="0"/>
              <w:rPr>
                <w:sz w:val="20"/>
                <w:szCs w:val="20"/>
                <w:color w:val="auto"/>
              </w:rPr>
            </w:pPr>
            <w:r>
              <w:rPr>
                <w:rFonts w:ascii="Arial" w:cs="Arial" w:eastAsia="Arial" w:hAnsi="Arial"/>
                <w:sz w:val="18"/>
                <w:szCs w:val="18"/>
                <w:color w:val="auto"/>
              </w:rPr>
              <w:t>Transfers in, net</w:t>
            </w:r>
          </w:p>
        </w:tc>
        <w:tc>
          <w:tcPr>
            <w:tcW w:w="3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960" w:type="dxa"/>
            <w:vAlign w:val="bottom"/>
          </w:tcPr>
          <w:p>
            <w:pPr>
              <w:jc w:val="right"/>
              <w:ind w:right="10"/>
              <w:spacing w:after="0"/>
              <w:rPr>
                <w:sz w:val="20"/>
                <w:szCs w:val="20"/>
                <w:color w:val="auto"/>
              </w:rPr>
            </w:pPr>
            <w:r>
              <w:rPr>
                <w:rFonts w:ascii="Arial" w:cs="Arial" w:eastAsia="Arial" w:hAnsi="Arial"/>
                <w:sz w:val="18"/>
                <w:szCs w:val="18"/>
                <w:b w:val="1"/>
                <w:bCs w:val="1"/>
                <w:color w:val="auto"/>
              </w:rPr>
              <w:t>249,724</w:t>
            </w:r>
          </w:p>
        </w:tc>
      </w:tr>
      <w:tr>
        <w:trPr>
          <w:trHeight w:val="27"/>
        </w:trPr>
        <w:tc>
          <w:tcPr>
            <w:tcW w:w="91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960" w:type="dxa"/>
            <w:vAlign w:val="bottom"/>
            <w:tcBorders>
              <w:bottom w:val="single" w:sz="8" w:color="auto"/>
            </w:tcBorders>
          </w:tcPr>
          <w:p>
            <w:pPr>
              <w:spacing w:after="0"/>
              <w:rPr>
                <w:sz w:val="2"/>
                <w:szCs w:val="2"/>
                <w:color w:val="auto"/>
              </w:rPr>
            </w:pPr>
          </w:p>
        </w:tc>
      </w:tr>
      <w:tr>
        <w:trPr>
          <w:trHeight w:val="269"/>
        </w:trPr>
        <w:tc>
          <w:tcPr>
            <w:tcW w:w="914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217,981</w:t>
            </w:r>
          </w:p>
        </w:tc>
      </w:tr>
      <w:tr>
        <w:trPr>
          <w:trHeight w:val="20"/>
        </w:trPr>
        <w:tc>
          <w:tcPr>
            <w:tcW w:w="91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960" w:type="dxa"/>
            <w:vAlign w:val="bottom"/>
            <w:tcBorders>
              <w:top w:val="single" w:sz="8" w:color="auto"/>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5. Fair Value Measurements</w:t>
      </w:r>
    </w:p>
    <w:p>
      <w:pPr>
        <w:spacing w:after="0" w:line="200" w:lineRule="exact"/>
        <w:rPr>
          <w:sz w:val="20"/>
          <w:szCs w:val="20"/>
          <w:color w:val="auto"/>
        </w:rPr>
      </w:pPr>
    </w:p>
    <w:p>
      <w:pPr>
        <w:spacing w:after="0" w:line="201" w:lineRule="exact"/>
        <w:rPr>
          <w:sz w:val="20"/>
          <w:szCs w:val="20"/>
          <w:color w:val="auto"/>
        </w:rPr>
      </w:pPr>
    </w:p>
    <w:p>
      <w:pPr>
        <w:jc w:val="both"/>
        <w:spacing w:after="0" w:line="248" w:lineRule="auto"/>
        <w:rPr>
          <w:sz w:val="20"/>
          <w:szCs w:val="20"/>
          <w:color w:val="auto"/>
        </w:rPr>
      </w:pPr>
      <w:r>
        <w:rPr>
          <w:rFonts w:ascii="Arial" w:cs="Arial" w:eastAsia="Arial" w:hAnsi="Arial"/>
          <w:sz w:val="22"/>
          <w:szCs w:val="22"/>
          <w:color w:val="auto"/>
        </w:rPr>
        <w:t>The fair value framework for measuring fair value provides a fair value hierarchy that prioritizes the inputs to valuation techniques used to measure fair value. The hierarchy gives the highest priority to unadjusted quoted prices in active markets for identical assets or liabilities (level 1) and the lowest priority to unobservable inputs (level 3). The three levels of the fair value hierarchy under Financial Accounting Standards Board (FASB) Accounting Standards Codification (ASC) 820, Fair Value Measurements and Disclosures, are described as follows:</w:t>
      </w: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125" w:right="239" w:bottom="1440" w:gutter="0" w:footer="0" w:header="0"/>
        </w:sectPr>
      </w:pPr>
    </w:p>
    <w:bookmarkStart w:id="10" w:name="page11"/>
    <w:bookmarkEnd w:id="10"/>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TimkenSteel Corporation Savings Plan</w:t>
      </w:r>
    </w:p>
    <w:p>
      <w:pPr>
        <w:spacing w:after="0" w:line="28"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for Certain Bargaining Employees</w:t>
      </w:r>
    </w:p>
    <w:p>
      <w:pPr>
        <w:spacing w:after="0" w:line="4"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Notes to Financial Statements (continued)</w:t>
      </w:r>
    </w:p>
    <w:p>
      <w:pPr>
        <w:spacing w:after="0" w:line="161" w:lineRule="exact"/>
        <w:rPr>
          <w:sz w:val="20"/>
          <w:szCs w:val="20"/>
          <w:color w:val="auto"/>
        </w:rPr>
      </w:pPr>
    </w:p>
    <w:p>
      <w:pPr>
        <w:ind w:right="20"/>
        <w:spacing w:after="0" w:line="263" w:lineRule="auto"/>
        <w:rPr>
          <w:sz w:val="20"/>
          <w:szCs w:val="20"/>
          <w:color w:val="auto"/>
        </w:rPr>
      </w:pPr>
      <w:r>
        <w:rPr>
          <w:rFonts w:ascii="Arial" w:cs="Arial" w:eastAsia="Arial" w:hAnsi="Arial"/>
          <w:sz w:val="22"/>
          <w:szCs w:val="22"/>
          <w:color w:val="auto"/>
        </w:rPr>
        <w:t>Level 1 – Inputs to the valuation methodology are unadjusted quoted prices for identical assets or liabilities in active markets that the Plan has the ability to access.</w:t>
      </w:r>
    </w:p>
    <w:p>
      <w:pPr>
        <w:spacing w:after="0" w:line="229" w:lineRule="exact"/>
        <w:rPr>
          <w:sz w:val="20"/>
          <w:szCs w:val="20"/>
          <w:color w:val="auto"/>
        </w:rPr>
      </w:pPr>
    </w:p>
    <w:p>
      <w:pPr>
        <w:spacing w:after="0"/>
        <w:rPr>
          <w:sz w:val="20"/>
          <w:szCs w:val="20"/>
          <w:color w:val="auto"/>
        </w:rPr>
      </w:pPr>
      <w:r>
        <w:rPr>
          <w:rFonts w:ascii="Arial" w:cs="Arial" w:eastAsia="Arial" w:hAnsi="Arial"/>
          <w:sz w:val="22"/>
          <w:szCs w:val="22"/>
          <w:color w:val="auto"/>
        </w:rPr>
        <w:t>Level 2 – Inputs to the valuation methodology include:</w:t>
      </w:r>
    </w:p>
    <w:p>
      <w:pPr>
        <w:spacing w:after="0" w:line="206" w:lineRule="exact"/>
        <w:rPr>
          <w:sz w:val="20"/>
          <w:szCs w:val="20"/>
          <w:color w:val="auto"/>
        </w:rPr>
      </w:pPr>
    </w:p>
    <w:p>
      <w:pPr>
        <w:ind w:left="980" w:hanging="324"/>
        <w:spacing w:after="0"/>
        <w:tabs>
          <w:tab w:leader="none" w:pos="980" w:val="left"/>
        </w:tabs>
        <w:numPr>
          <w:ilvl w:val="0"/>
          <w:numId w:val="6"/>
        </w:numPr>
        <w:rPr>
          <w:rFonts w:ascii="Arial" w:cs="Arial" w:eastAsia="Arial" w:hAnsi="Arial"/>
          <w:sz w:val="22"/>
          <w:szCs w:val="22"/>
          <w:color w:val="auto"/>
        </w:rPr>
      </w:pPr>
      <w:r>
        <w:rPr>
          <w:rFonts w:ascii="Arial" w:cs="Arial" w:eastAsia="Arial" w:hAnsi="Arial"/>
          <w:sz w:val="22"/>
          <w:szCs w:val="22"/>
          <w:color w:val="auto"/>
        </w:rPr>
        <w:t>quoted prices for similar assets or liabilities in active markets;</w:t>
      </w:r>
    </w:p>
    <w:p>
      <w:pPr>
        <w:spacing w:after="0" w:line="179" w:lineRule="exact"/>
        <w:rPr>
          <w:rFonts w:ascii="Arial" w:cs="Arial" w:eastAsia="Arial" w:hAnsi="Arial"/>
          <w:sz w:val="22"/>
          <w:szCs w:val="22"/>
          <w:color w:val="auto"/>
        </w:rPr>
      </w:pPr>
    </w:p>
    <w:p>
      <w:pPr>
        <w:ind w:left="980" w:hanging="324"/>
        <w:spacing w:after="0"/>
        <w:tabs>
          <w:tab w:leader="none" w:pos="980" w:val="left"/>
        </w:tabs>
        <w:numPr>
          <w:ilvl w:val="0"/>
          <w:numId w:val="6"/>
        </w:numPr>
        <w:rPr>
          <w:rFonts w:ascii="Arial" w:cs="Arial" w:eastAsia="Arial" w:hAnsi="Arial"/>
          <w:sz w:val="22"/>
          <w:szCs w:val="22"/>
          <w:color w:val="auto"/>
        </w:rPr>
      </w:pPr>
      <w:r>
        <w:rPr>
          <w:rFonts w:ascii="Arial" w:cs="Arial" w:eastAsia="Arial" w:hAnsi="Arial"/>
          <w:sz w:val="22"/>
          <w:szCs w:val="22"/>
          <w:color w:val="auto"/>
        </w:rPr>
        <w:t>quoted prices for identical or similar assets or liabilities in inactive markets;</w:t>
      </w:r>
    </w:p>
    <w:p>
      <w:pPr>
        <w:spacing w:after="0" w:line="179" w:lineRule="exact"/>
        <w:rPr>
          <w:rFonts w:ascii="Arial" w:cs="Arial" w:eastAsia="Arial" w:hAnsi="Arial"/>
          <w:sz w:val="22"/>
          <w:szCs w:val="22"/>
          <w:color w:val="auto"/>
        </w:rPr>
      </w:pPr>
    </w:p>
    <w:p>
      <w:pPr>
        <w:ind w:left="980" w:hanging="324"/>
        <w:spacing w:after="0"/>
        <w:tabs>
          <w:tab w:leader="none" w:pos="980" w:val="left"/>
        </w:tabs>
        <w:numPr>
          <w:ilvl w:val="0"/>
          <w:numId w:val="6"/>
        </w:numPr>
        <w:rPr>
          <w:rFonts w:ascii="Arial" w:cs="Arial" w:eastAsia="Arial" w:hAnsi="Arial"/>
          <w:sz w:val="22"/>
          <w:szCs w:val="22"/>
          <w:color w:val="auto"/>
        </w:rPr>
      </w:pPr>
      <w:r>
        <w:rPr>
          <w:rFonts w:ascii="Arial" w:cs="Arial" w:eastAsia="Arial" w:hAnsi="Arial"/>
          <w:sz w:val="22"/>
          <w:szCs w:val="22"/>
          <w:color w:val="auto"/>
        </w:rPr>
        <w:t>inputs other than quoted prices that are observable for the asset or liability;</w:t>
      </w:r>
    </w:p>
    <w:p>
      <w:pPr>
        <w:spacing w:after="0" w:line="179" w:lineRule="exact"/>
        <w:rPr>
          <w:rFonts w:ascii="Arial" w:cs="Arial" w:eastAsia="Arial" w:hAnsi="Arial"/>
          <w:sz w:val="22"/>
          <w:szCs w:val="22"/>
          <w:color w:val="auto"/>
        </w:rPr>
      </w:pPr>
    </w:p>
    <w:p>
      <w:pPr>
        <w:ind w:left="980" w:hanging="324"/>
        <w:spacing w:after="0"/>
        <w:tabs>
          <w:tab w:leader="none" w:pos="980" w:val="left"/>
        </w:tabs>
        <w:numPr>
          <w:ilvl w:val="0"/>
          <w:numId w:val="6"/>
        </w:numPr>
        <w:rPr>
          <w:rFonts w:ascii="Arial" w:cs="Arial" w:eastAsia="Arial" w:hAnsi="Arial"/>
          <w:sz w:val="21"/>
          <w:szCs w:val="21"/>
          <w:color w:val="auto"/>
        </w:rPr>
      </w:pPr>
      <w:r>
        <w:rPr>
          <w:rFonts w:ascii="Arial" w:cs="Arial" w:eastAsia="Arial" w:hAnsi="Arial"/>
          <w:sz w:val="21"/>
          <w:szCs w:val="21"/>
          <w:color w:val="auto"/>
        </w:rPr>
        <w:t>inputs that are derived principally from or corroborated by observable market data by correlation or other means.</w:t>
      </w:r>
    </w:p>
    <w:p>
      <w:pPr>
        <w:spacing w:after="0" w:line="191" w:lineRule="exact"/>
        <w:rPr>
          <w:sz w:val="20"/>
          <w:szCs w:val="20"/>
          <w:color w:val="auto"/>
        </w:rPr>
      </w:pPr>
    </w:p>
    <w:p>
      <w:pPr>
        <w:jc w:val="both"/>
        <w:ind w:right="20"/>
        <w:spacing w:after="0" w:line="263" w:lineRule="auto"/>
        <w:rPr>
          <w:sz w:val="20"/>
          <w:szCs w:val="20"/>
          <w:color w:val="auto"/>
        </w:rPr>
      </w:pPr>
      <w:r>
        <w:rPr>
          <w:rFonts w:ascii="Arial" w:cs="Arial" w:eastAsia="Arial" w:hAnsi="Arial"/>
          <w:sz w:val="22"/>
          <w:szCs w:val="22"/>
          <w:color w:val="auto"/>
        </w:rPr>
        <w:t>If the asset or liability has a specified (contractual) term, the level 2 input must be observable for substantially the full term of the asset or liability</w:t>
      </w:r>
      <w:r>
        <w:rPr>
          <w:rFonts w:ascii="Arial" w:cs="Arial" w:eastAsia="Arial" w:hAnsi="Arial"/>
          <w:sz w:val="18"/>
          <w:szCs w:val="18"/>
          <w:color w:val="auto"/>
        </w:rPr>
        <w:t>.</w:t>
      </w:r>
    </w:p>
    <w:p>
      <w:pPr>
        <w:spacing w:after="0" w:line="148" w:lineRule="exact"/>
        <w:rPr>
          <w:sz w:val="20"/>
          <w:szCs w:val="20"/>
          <w:color w:val="auto"/>
        </w:rPr>
      </w:pPr>
    </w:p>
    <w:p>
      <w:pPr>
        <w:spacing w:after="0"/>
        <w:rPr>
          <w:sz w:val="20"/>
          <w:szCs w:val="20"/>
          <w:color w:val="auto"/>
        </w:rPr>
      </w:pPr>
      <w:r>
        <w:rPr>
          <w:rFonts w:ascii="Arial" w:cs="Arial" w:eastAsia="Arial" w:hAnsi="Arial"/>
          <w:sz w:val="22"/>
          <w:szCs w:val="22"/>
          <w:color w:val="auto"/>
        </w:rPr>
        <w:t>Level 3 – Inputs to the valuation methodology are unobservable and significant to the fair value measurement.</w:t>
      </w:r>
    </w:p>
    <w:p>
      <w:pPr>
        <w:spacing w:after="0" w:line="395" w:lineRule="exact"/>
        <w:rPr>
          <w:sz w:val="20"/>
          <w:szCs w:val="20"/>
          <w:color w:val="auto"/>
        </w:rPr>
      </w:pPr>
    </w:p>
    <w:p>
      <w:pPr>
        <w:jc w:val="both"/>
        <w:spacing w:after="0" w:line="253" w:lineRule="auto"/>
        <w:rPr>
          <w:sz w:val="20"/>
          <w:szCs w:val="20"/>
          <w:color w:val="auto"/>
        </w:rPr>
      </w:pPr>
      <w:r>
        <w:rPr>
          <w:rFonts w:ascii="Arial" w:cs="Arial" w:eastAsia="Arial" w:hAnsi="Arial"/>
          <w:sz w:val="22"/>
          <w:szCs w:val="22"/>
          <w:color w:val="auto"/>
        </w:rPr>
        <w:t>The asset's or liability’s fair value measurement level within the fair value hierarchy is based on the lowest level of any input that is significant to the fair value measurement. Valuation techniques maximize the use of relevant observable inputs and minimize the use of unobservable inputs.</w:t>
      </w:r>
    </w:p>
    <w:p>
      <w:pPr>
        <w:spacing w:after="0" w:line="3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125" w:right="23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 Savings Plan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for Certain Bargaining Employees</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Financial Statements (continued)</w:t>
      </w:r>
    </w:p>
    <w:p>
      <w:pPr>
        <w:spacing w:after="0" w:line="161" w:lineRule="exact"/>
        <w:rPr>
          <w:sz w:val="20"/>
          <w:szCs w:val="20"/>
          <w:color w:val="auto"/>
        </w:rPr>
      </w:pPr>
    </w:p>
    <w:p>
      <w:pPr>
        <w:jc w:val="both"/>
        <w:ind w:right="20"/>
        <w:spacing w:after="0" w:line="263" w:lineRule="auto"/>
        <w:rPr>
          <w:sz w:val="20"/>
          <w:szCs w:val="20"/>
          <w:color w:val="auto"/>
        </w:rPr>
      </w:pPr>
      <w:r>
        <w:rPr>
          <w:rFonts w:ascii="Arial" w:cs="Arial" w:eastAsia="Arial" w:hAnsi="Arial"/>
          <w:sz w:val="22"/>
          <w:szCs w:val="22"/>
          <w:color w:val="auto"/>
        </w:rPr>
        <w:t>The following table sets forth by level, within the fair value hierarchy, the Master Trust's assets at fair value on a recurring basis as of December 31, 2014:</w:t>
      </w:r>
    </w:p>
    <w:p>
      <w:pPr>
        <w:spacing w:after="0" w:line="277" w:lineRule="exact"/>
        <w:rPr>
          <w:sz w:val="20"/>
          <w:szCs w:val="20"/>
          <w:color w:val="auto"/>
        </w:rPr>
      </w:pPr>
    </w:p>
    <w:p>
      <w:pPr>
        <w:ind w:left="6180"/>
        <w:spacing w:after="0"/>
        <w:rPr>
          <w:sz w:val="20"/>
          <w:szCs w:val="20"/>
          <w:color w:val="auto"/>
        </w:rPr>
      </w:pPr>
      <w:r>
        <w:rPr>
          <w:rFonts w:ascii="Arial" w:cs="Arial" w:eastAsia="Arial" w:hAnsi="Arial"/>
          <w:sz w:val="22"/>
          <w:szCs w:val="22"/>
          <w:b w:val="1"/>
          <w:bCs w:val="1"/>
          <w:color w:val="auto"/>
        </w:rPr>
        <w:t>Assets at Fair Value as of December 31, 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3195320</wp:posOffset>
            </wp:positionH>
            <wp:positionV relativeFrom="paragraph">
              <wp:posOffset>28575</wp:posOffset>
            </wp:positionV>
            <wp:extent cx="405638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4056380" cy="8890"/>
                    </a:xfrm>
                    <a:prstGeom prst="rect">
                      <a:avLst/>
                    </a:prstGeom>
                    <a:noFill/>
                  </pic:spPr>
                </pic:pic>
              </a:graphicData>
            </a:graphic>
          </wp:anchor>
        </w:drawing>
      </w:r>
    </w:p>
    <w:p>
      <w:pPr>
        <w:spacing w:after="0" w:line="4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0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0" w:type="dxa"/>
            <w:vAlign w:val="bottom"/>
          </w:tcPr>
          <w:p>
            <w:pPr>
              <w:jc w:val="right"/>
              <w:ind w:right="470"/>
              <w:spacing w:after="0"/>
              <w:rPr>
                <w:sz w:val="20"/>
                <w:szCs w:val="20"/>
                <w:color w:val="auto"/>
              </w:rPr>
            </w:pPr>
            <w:r>
              <w:rPr>
                <w:rFonts w:ascii="Arial" w:cs="Arial" w:eastAsia="Arial" w:hAnsi="Arial"/>
                <w:sz w:val="18"/>
                <w:szCs w:val="18"/>
                <w:b w:val="1"/>
                <w:bCs w:val="1"/>
                <w:color w:val="auto"/>
              </w:rPr>
              <w:t>Total</w:t>
            </w:r>
          </w:p>
        </w:tc>
        <w:tc>
          <w:tcPr>
            <w:tcW w:w="360" w:type="dxa"/>
            <w:vAlign w:val="bottom"/>
          </w:tcPr>
          <w:p>
            <w:pPr>
              <w:spacing w:after="0"/>
              <w:rPr>
                <w:sz w:val="20"/>
                <w:szCs w:val="20"/>
                <w:color w:val="auto"/>
              </w:rPr>
            </w:pPr>
          </w:p>
        </w:tc>
        <w:tc>
          <w:tcPr>
            <w:tcW w:w="1240" w:type="dxa"/>
            <w:vAlign w:val="bottom"/>
          </w:tcPr>
          <w:p>
            <w:pPr>
              <w:jc w:val="right"/>
              <w:ind w:right="390"/>
              <w:spacing w:after="0"/>
              <w:rPr>
                <w:sz w:val="20"/>
                <w:szCs w:val="20"/>
                <w:color w:val="auto"/>
              </w:rPr>
            </w:pPr>
            <w:r>
              <w:rPr>
                <w:rFonts w:ascii="Arial" w:cs="Arial" w:eastAsia="Arial" w:hAnsi="Arial"/>
                <w:sz w:val="18"/>
                <w:szCs w:val="18"/>
                <w:b w:val="1"/>
                <w:bCs w:val="1"/>
                <w:color w:val="auto"/>
              </w:rPr>
              <w:t>Level 1</w:t>
            </w:r>
          </w:p>
        </w:tc>
        <w:tc>
          <w:tcPr>
            <w:tcW w:w="360" w:type="dxa"/>
            <w:vAlign w:val="bottom"/>
          </w:tcPr>
          <w:p>
            <w:pPr>
              <w:spacing w:after="0"/>
              <w:rPr>
                <w:sz w:val="20"/>
                <w:szCs w:val="20"/>
                <w:color w:val="auto"/>
              </w:rPr>
            </w:pPr>
          </w:p>
        </w:tc>
        <w:tc>
          <w:tcPr>
            <w:tcW w:w="1220" w:type="dxa"/>
            <w:vAlign w:val="bottom"/>
          </w:tcPr>
          <w:p>
            <w:pPr>
              <w:jc w:val="right"/>
              <w:ind w:right="390"/>
              <w:spacing w:after="0"/>
              <w:rPr>
                <w:sz w:val="20"/>
                <w:szCs w:val="20"/>
                <w:color w:val="auto"/>
              </w:rPr>
            </w:pPr>
            <w:r>
              <w:rPr>
                <w:rFonts w:ascii="Arial" w:cs="Arial" w:eastAsia="Arial" w:hAnsi="Arial"/>
                <w:sz w:val="18"/>
                <w:szCs w:val="18"/>
                <w:b w:val="1"/>
                <w:bCs w:val="1"/>
                <w:color w:val="auto"/>
              </w:rPr>
              <w:t>Level 2</w:t>
            </w:r>
          </w:p>
        </w:tc>
        <w:tc>
          <w:tcPr>
            <w:tcW w:w="360" w:type="dxa"/>
            <w:vAlign w:val="bottom"/>
          </w:tcPr>
          <w:p>
            <w:pPr>
              <w:spacing w:after="0"/>
              <w:rPr>
                <w:sz w:val="20"/>
                <w:szCs w:val="20"/>
                <w:color w:val="auto"/>
              </w:rPr>
            </w:pPr>
          </w:p>
        </w:tc>
        <w:tc>
          <w:tcPr>
            <w:tcW w:w="1280" w:type="dxa"/>
            <w:vAlign w:val="bottom"/>
          </w:tcPr>
          <w:p>
            <w:pPr>
              <w:ind w:left="200"/>
              <w:spacing w:after="0"/>
              <w:rPr>
                <w:sz w:val="20"/>
                <w:szCs w:val="20"/>
                <w:color w:val="auto"/>
              </w:rPr>
            </w:pPr>
            <w:r>
              <w:rPr>
                <w:rFonts w:ascii="Arial" w:cs="Arial" w:eastAsia="Arial" w:hAnsi="Arial"/>
                <w:sz w:val="18"/>
                <w:szCs w:val="18"/>
                <w:b w:val="1"/>
                <w:bCs w:val="1"/>
                <w:color w:val="auto"/>
              </w:rPr>
              <w:t>Level 3</w:t>
            </w:r>
          </w:p>
        </w:tc>
      </w:tr>
      <w:tr>
        <w:trPr>
          <w:trHeight w:val="27"/>
        </w:trPr>
        <w:tc>
          <w:tcPr>
            <w:tcW w:w="50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44"/>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3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r>
      <w:tr>
        <w:trPr>
          <w:trHeight w:val="243"/>
        </w:trPr>
        <w:tc>
          <w:tcPr>
            <w:tcW w:w="5040" w:type="dxa"/>
            <w:vAlign w:val="bottom"/>
          </w:tcPr>
          <w:p>
            <w:pPr>
              <w:ind w:left="40"/>
              <w:spacing w:after="0"/>
              <w:rPr>
                <w:sz w:val="20"/>
                <w:szCs w:val="20"/>
                <w:color w:val="auto"/>
              </w:rPr>
            </w:pPr>
            <w:r>
              <w:rPr>
                <w:rFonts w:ascii="Arial" w:cs="Arial" w:eastAsia="Arial" w:hAnsi="Arial"/>
                <w:sz w:val="18"/>
                <w:szCs w:val="18"/>
                <w:b w:val="1"/>
                <w:bCs w:val="1"/>
                <w:color w:val="auto"/>
              </w:rPr>
              <w:t>Company Stock:</w:t>
            </w:r>
          </w:p>
        </w:tc>
        <w:tc>
          <w:tcPr>
            <w:tcW w:w="3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80" w:type="dxa"/>
            <w:vAlign w:val="bottom"/>
          </w:tcPr>
          <w:p>
            <w:pPr>
              <w:spacing w:after="0"/>
              <w:rPr>
                <w:sz w:val="21"/>
                <w:szCs w:val="21"/>
                <w:color w:val="auto"/>
              </w:rPr>
            </w:pPr>
          </w:p>
        </w:tc>
      </w:tr>
      <w:tr>
        <w:trPr>
          <w:trHeight w:val="27"/>
        </w:trPr>
        <w:tc>
          <w:tcPr>
            <w:tcW w:w="50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TimkenSteel Corporation ESOP Stock Fund</w:t>
            </w:r>
          </w:p>
        </w:tc>
        <w:tc>
          <w:tcPr>
            <w:tcW w:w="36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w w:val="7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34,436,562</w:t>
            </w:r>
          </w:p>
        </w:tc>
        <w:tc>
          <w:tcPr>
            <w:tcW w:w="36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34,436,562</w:t>
            </w:r>
          </w:p>
        </w:tc>
        <w:tc>
          <w:tcPr>
            <w:tcW w:w="36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36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w:t>
            </w:r>
          </w:p>
        </w:tc>
        <w:tc>
          <w:tcPr>
            <w:tcW w:w="1280" w:type="dxa"/>
            <w:vAlign w:val="bottom"/>
            <w:tcBorders>
              <w:bottom w:val="single" w:sz="8" w:color="CCEEFF"/>
            </w:tcBorders>
            <w:shd w:val="clear" w:color="auto" w:fill="CCEEFF"/>
          </w:tcPr>
          <w:p>
            <w:pPr>
              <w:ind w:left="1000"/>
              <w:spacing w:after="0"/>
              <w:rPr>
                <w:sz w:val="20"/>
                <w:szCs w:val="20"/>
                <w:color w:val="auto"/>
              </w:rPr>
            </w:pPr>
            <w:r>
              <w:rPr>
                <w:rFonts w:ascii="Arial" w:cs="Arial" w:eastAsia="Arial" w:hAnsi="Arial"/>
                <w:sz w:val="18"/>
                <w:szCs w:val="18"/>
                <w:b w:val="1"/>
                <w:bCs w:val="1"/>
                <w:color w:val="auto"/>
              </w:rPr>
              <w:t>—</w:t>
            </w:r>
          </w:p>
        </w:tc>
      </w:tr>
      <w:tr>
        <w:trPr>
          <w:trHeight w:val="243"/>
        </w:trPr>
        <w:tc>
          <w:tcPr>
            <w:tcW w:w="5040" w:type="dxa"/>
            <w:vAlign w:val="bottom"/>
          </w:tcPr>
          <w:p>
            <w:pPr>
              <w:ind w:left="40"/>
              <w:spacing w:after="0"/>
              <w:rPr>
                <w:sz w:val="20"/>
                <w:szCs w:val="20"/>
                <w:color w:val="auto"/>
              </w:rPr>
            </w:pPr>
            <w:r>
              <w:rPr>
                <w:rFonts w:ascii="Arial" w:cs="Arial" w:eastAsia="Arial" w:hAnsi="Arial"/>
                <w:sz w:val="18"/>
                <w:szCs w:val="18"/>
                <w:color w:val="auto"/>
              </w:rPr>
              <w:t>The Timken Company Stock Fund</w:t>
            </w:r>
          </w:p>
        </w:tc>
        <w:tc>
          <w:tcPr>
            <w:tcW w:w="3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51,072,618</w:t>
            </w:r>
          </w:p>
        </w:tc>
        <w:tc>
          <w:tcPr>
            <w:tcW w:w="3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51,072,618</w:t>
            </w:r>
          </w:p>
        </w:tc>
        <w:tc>
          <w:tcPr>
            <w:tcW w:w="3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360" w:type="dxa"/>
            <w:vAlign w:val="bottom"/>
          </w:tcPr>
          <w:p>
            <w:pPr>
              <w:spacing w:after="0"/>
              <w:rPr>
                <w:sz w:val="21"/>
                <w:szCs w:val="21"/>
                <w:color w:val="auto"/>
              </w:rPr>
            </w:pPr>
          </w:p>
        </w:tc>
        <w:tc>
          <w:tcPr>
            <w:tcW w:w="1280" w:type="dxa"/>
            <w:vAlign w:val="bottom"/>
          </w:tcPr>
          <w:p>
            <w:pPr>
              <w:ind w:left="1000"/>
              <w:spacing w:after="0"/>
              <w:rPr>
                <w:sz w:val="20"/>
                <w:szCs w:val="20"/>
                <w:color w:val="auto"/>
              </w:rPr>
            </w:pPr>
            <w:r>
              <w:rPr>
                <w:rFonts w:ascii="Arial" w:cs="Arial" w:eastAsia="Arial" w:hAnsi="Arial"/>
                <w:sz w:val="18"/>
                <w:szCs w:val="18"/>
                <w:b w:val="1"/>
                <w:bCs w:val="1"/>
                <w:color w:val="auto"/>
              </w:rPr>
              <w:t>—</w:t>
            </w:r>
          </w:p>
        </w:tc>
      </w:tr>
      <w:tr>
        <w:trPr>
          <w:trHeight w:val="27"/>
        </w:trPr>
        <w:tc>
          <w:tcPr>
            <w:tcW w:w="50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Registered Investment Companies:</w:t>
            </w:r>
          </w:p>
        </w:tc>
        <w:tc>
          <w:tcPr>
            <w:tcW w:w="3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r>
      <w:tr>
        <w:trPr>
          <w:trHeight w:val="243"/>
        </w:trPr>
        <w:tc>
          <w:tcPr>
            <w:tcW w:w="5040" w:type="dxa"/>
            <w:vAlign w:val="bottom"/>
          </w:tcPr>
          <w:p>
            <w:pPr>
              <w:ind w:left="40"/>
              <w:spacing w:after="0"/>
              <w:rPr>
                <w:sz w:val="20"/>
                <w:szCs w:val="20"/>
                <w:color w:val="auto"/>
              </w:rPr>
            </w:pPr>
            <w:r>
              <w:rPr>
                <w:rFonts w:ascii="Arial" w:cs="Arial" w:eastAsia="Arial" w:hAnsi="Arial"/>
                <w:sz w:val="18"/>
                <w:szCs w:val="18"/>
                <w:color w:val="auto"/>
              </w:rPr>
              <w:t>Morgan Stanley Inst Small Company Growth - I</w:t>
            </w:r>
          </w:p>
        </w:tc>
        <w:tc>
          <w:tcPr>
            <w:tcW w:w="3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5,731,845</w:t>
            </w:r>
          </w:p>
        </w:tc>
        <w:tc>
          <w:tcPr>
            <w:tcW w:w="3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5,731,845</w:t>
            </w:r>
          </w:p>
        </w:tc>
        <w:tc>
          <w:tcPr>
            <w:tcW w:w="3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360" w:type="dxa"/>
            <w:vAlign w:val="bottom"/>
          </w:tcPr>
          <w:p>
            <w:pPr>
              <w:spacing w:after="0"/>
              <w:rPr>
                <w:sz w:val="21"/>
                <w:szCs w:val="21"/>
                <w:color w:val="auto"/>
              </w:rPr>
            </w:pPr>
          </w:p>
        </w:tc>
        <w:tc>
          <w:tcPr>
            <w:tcW w:w="1280" w:type="dxa"/>
            <w:vAlign w:val="bottom"/>
          </w:tcPr>
          <w:p>
            <w:pPr>
              <w:ind w:left="1000"/>
              <w:spacing w:after="0"/>
              <w:rPr>
                <w:sz w:val="20"/>
                <w:szCs w:val="20"/>
                <w:color w:val="auto"/>
              </w:rPr>
            </w:pPr>
            <w:r>
              <w:rPr>
                <w:rFonts w:ascii="Arial" w:cs="Arial" w:eastAsia="Arial" w:hAnsi="Arial"/>
                <w:sz w:val="18"/>
                <w:szCs w:val="18"/>
                <w:b w:val="1"/>
                <w:bCs w:val="1"/>
                <w:color w:val="auto"/>
              </w:rPr>
              <w:t>—</w:t>
            </w:r>
          </w:p>
        </w:tc>
      </w:tr>
      <w:tr>
        <w:trPr>
          <w:trHeight w:val="27"/>
        </w:trPr>
        <w:tc>
          <w:tcPr>
            <w:tcW w:w="50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American Funds EuroPacific Growth - R6</w:t>
            </w:r>
          </w:p>
        </w:tc>
        <w:tc>
          <w:tcPr>
            <w:tcW w:w="3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31,934,861</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31,934,861</w:t>
            </w: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ind w:left="1000"/>
              <w:spacing w:after="0"/>
              <w:rPr>
                <w:sz w:val="20"/>
                <w:szCs w:val="20"/>
                <w:color w:val="auto"/>
              </w:rPr>
            </w:pPr>
            <w:r>
              <w:rPr>
                <w:rFonts w:ascii="Arial" w:cs="Arial" w:eastAsia="Arial" w:hAnsi="Arial"/>
                <w:sz w:val="18"/>
                <w:szCs w:val="18"/>
                <w:b w:val="1"/>
                <w:bCs w:val="1"/>
                <w:color w:val="auto"/>
              </w:rPr>
              <w:t>—</w:t>
            </w:r>
          </w:p>
        </w:tc>
      </w:tr>
      <w:tr>
        <w:trPr>
          <w:trHeight w:val="243"/>
        </w:trPr>
        <w:tc>
          <w:tcPr>
            <w:tcW w:w="5040" w:type="dxa"/>
            <w:vAlign w:val="bottom"/>
          </w:tcPr>
          <w:p>
            <w:pPr>
              <w:ind w:left="40"/>
              <w:spacing w:after="0"/>
              <w:rPr>
                <w:sz w:val="20"/>
                <w:szCs w:val="20"/>
                <w:color w:val="auto"/>
              </w:rPr>
            </w:pPr>
            <w:r>
              <w:rPr>
                <w:rFonts w:ascii="Arial" w:cs="Arial" w:eastAsia="Arial" w:hAnsi="Arial"/>
                <w:sz w:val="18"/>
                <w:szCs w:val="18"/>
                <w:color w:val="auto"/>
              </w:rPr>
              <w:t>American Funds Washington Mutual - R6</w:t>
            </w:r>
          </w:p>
        </w:tc>
        <w:tc>
          <w:tcPr>
            <w:tcW w:w="3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13,762,812</w:t>
            </w:r>
          </w:p>
        </w:tc>
        <w:tc>
          <w:tcPr>
            <w:tcW w:w="3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13,762,812</w:t>
            </w:r>
          </w:p>
        </w:tc>
        <w:tc>
          <w:tcPr>
            <w:tcW w:w="3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360" w:type="dxa"/>
            <w:vAlign w:val="bottom"/>
          </w:tcPr>
          <w:p>
            <w:pPr>
              <w:spacing w:after="0"/>
              <w:rPr>
                <w:sz w:val="21"/>
                <w:szCs w:val="21"/>
                <w:color w:val="auto"/>
              </w:rPr>
            </w:pPr>
          </w:p>
        </w:tc>
        <w:tc>
          <w:tcPr>
            <w:tcW w:w="1280" w:type="dxa"/>
            <w:vAlign w:val="bottom"/>
          </w:tcPr>
          <w:p>
            <w:pPr>
              <w:ind w:left="1000"/>
              <w:spacing w:after="0"/>
              <w:rPr>
                <w:sz w:val="20"/>
                <w:szCs w:val="20"/>
                <w:color w:val="auto"/>
              </w:rPr>
            </w:pPr>
            <w:r>
              <w:rPr>
                <w:rFonts w:ascii="Arial" w:cs="Arial" w:eastAsia="Arial" w:hAnsi="Arial"/>
                <w:sz w:val="18"/>
                <w:szCs w:val="18"/>
                <w:b w:val="1"/>
                <w:bCs w:val="1"/>
                <w:color w:val="auto"/>
              </w:rPr>
              <w:t>—</w:t>
            </w:r>
          </w:p>
        </w:tc>
      </w:tr>
      <w:tr>
        <w:trPr>
          <w:trHeight w:val="27"/>
        </w:trPr>
        <w:tc>
          <w:tcPr>
            <w:tcW w:w="50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American Beacon Small Cap Value - Inst</w:t>
            </w:r>
          </w:p>
        </w:tc>
        <w:tc>
          <w:tcPr>
            <w:tcW w:w="3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9,888,837</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9,888,837</w:t>
            </w: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ind w:left="1000"/>
              <w:spacing w:after="0"/>
              <w:rPr>
                <w:sz w:val="20"/>
                <w:szCs w:val="20"/>
                <w:color w:val="auto"/>
              </w:rPr>
            </w:pPr>
            <w:r>
              <w:rPr>
                <w:rFonts w:ascii="Arial" w:cs="Arial" w:eastAsia="Arial" w:hAnsi="Arial"/>
                <w:sz w:val="18"/>
                <w:szCs w:val="18"/>
                <w:b w:val="1"/>
                <w:bCs w:val="1"/>
                <w:color w:val="auto"/>
              </w:rPr>
              <w:t>—</w:t>
            </w:r>
          </w:p>
        </w:tc>
      </w:tr>
      <w:tr>
        <w:trPr>
          <w:trHeight w:val="243"/>
        </w:trPr>
        <w:tc>
          <w:tcPr>
            <w:tcW w:w="5040" w:type="dxa"/>
            <w:vAlign w:val="bottom"/>
          </w:tcPr>
          <w:p>
            <w:pPr>
              <w:ind w:left="40"/>
              <w:spacing w:after="0"/>
              <w:rPr>
                <w:sz w:val="20"/>
                <w:szCs w:val="20"/>
                <w:color w:val="auto"/>
              </w:rPr>
            </w:pPr>
            <w:r>
              <w:rPr>
                <w:rFonts w:ascii="Arial" w:cs="Arial" w:eastAsia="Arial" w:hAnsi="Arial"/>
                <w:sz w:val="18"/>
                <w:szCs w:val="18"/>
                <w:color w:val="auto"/>
              </w:rPr>
              <w:t>Vanguard Target Retirement Income Fund</w:t>
            </w:r>
          </w:p>
        </w:tc>
        <w:tc>
          <w:tcPr>
            <w:tcW w:w="3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6,494,664</w:t>
            </w:r>
          </w:p>
        </w:tc>
        <w:tc>
          <w:tcPr>
            <w:tcW w:w="3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6,494,664</w:t>
            </w:r>
          </w:p>
        </w:tc>
        <w:tc>
          <w:tcPr>
            <w:tcW w:w="3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360" w:type="dxa"/>
            <w:vAlign w:val="bottom"/>
          </w:tcPr>
          <w:p>
            <w:pPr>
              <w:spacing w:after="0"/>
              <w:rPr>
                <w:sz w:val="21"/>
                <w:szCs w:val="21"/>
                <w:color w:val="auto"/>
              </w:rPr>
            </w:pPr>
          </w:p>
        </w:tc>
        <w:tc>
          <w:tcPr>
            <w:tcW w:w="1280" w:type="dxa"/>
            <w:vAlign w:val="bottom"/>
          </w:tcPr>
          <w:p>
            <w:pPr>
              <w:ind w:left="1000"/>
              <w:spacing w:after="0"/>
              <w:rPr>
                <w:sz w:val="20"/>
                <w:szCs w:val="20"/>
                <w:color w:val="auto"/>
              </w:rPr>
            </w:pPr>
            <w:r>
              <w:rPr>
                <w:rFonts w:ascii="Arial" w:cs="Arial" w:eastAsia="Arial" w:hAnsi="Arial"/>
                <w:sz w:val="18"/>
                <w:szCs w:val="18"/>
                <w:b w:val="1"/>
                <w:bCs w:val="1"/>
                <w:color w:val="auto"/>
              </w:rPr>
              <w:t>—</w:t>
            </w:r>
          </w:p>
        </w:tc>
      </w:tr>
      <w:tr>
        <w:trPr>
          <w:trHeight w:val="27"/>
        </w:trPr>
        <w:tc>
          <w:tcPr>
            <w:tcW w:w="50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Vanguard Target Retirement Fund 2015</w:t>
            </w:r>
          </w:p>
        </w:tc>
        <w:tc>
          <w:tcPr>
            <w:tcW w:w="3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16,755,951</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16,755,951</w:t>
            </w: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ind w:left="1000"/>
              <w:spacing w:after="0"/>
              <w:rPr>
                <w:sz w:val="20"/>
                <w:szCs w:val="20"/>
                <w:color w:val="auto"/>
              </w:rPr>
            </w:pPr>
            <w:r>
              <w:rPr>
                <w:rFonts w:ascii="Arial" w:cs="Arial" w:eastAsia="Arial" w:hAnsi="Arial"/>
                <w:sz w:val="18"/>
                <w:szCs w:val="18"/>
                <w:b w:val="1"/>
                <w:bCs w:val="1"/>
                <w:color w:val="auto"/>
              </w:rPr>
              <w:t>—</w:t>
            </w:r>
          </w:p>
        </w:tc>
      </w:tr>
      <w:tr>
        <w:trPr>
          <w:trHeight w:val="243"/>
        </w:trPr>
        <w:tc>
          <w:tcPr>
            <w:tcW w:w="5040" w:type="dxa"/>
            <w:vAlign w:val="bottom"/>
          </w:tcPr>
          <w:p>
            <w:pPr>
              <w:ind w:left="40"/>
              <w:spacing w:after="0"/>
              <w:rPr>
                <w:sz w:val="20"/>
                <w:szCs w:val="20"/>
                <w:color w:val="auto"/>
              </w:rPr>
            </w:pPr>
            <w:r>
              <w:rPr>
                <w:rFonts w:ascii="Arial" w:cs="Arial" w:eastAsia="Arial" w:hAnsi="Arial"/>
                <w:sz w:val="18"/>
                <w:szCs w:val="18"/>
                <w:color w:val="auto"/>
              </w:rPr>
              <w:t>Vanguard Target Retirement Fund 2025</w:t>
            </w:r>
          </w:p>
        </w:tc>
        <w:tc>
          <w:tcPr>
            <w:tcW w:w="3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14,817,661</w:t>
            </w:r>
          </w:p>
        </w:tc>
        <w:tc>
          <w:tcPr>
            <w:tcW w:w="3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14,817,661</w:t>
            </w:r>
          </w:p>
        </w:tc>
        <w:tc>
          <w:tcPr>
            <w:tcW w:w="3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360" w:type="dxa"/>
            <w:vAlign w:val="bottom"/>
          </w:tcPr>
          <w:p>
            <w:pPr>
              <w:spacing w:after="0"/>
              <w:rPr>
                <w:sz w:val="21"/>
                <w:szCs w:val="21"/>
                <w:color w:val="auto"/>
              </w:rPr>
            </w:pPr>
          </w:p>
        </w:tc>
        <w:tc>
          <w:tcPr>
            <w:tcW w:w="1280" w:type="dxa"/>
            <w:vAlign w:val="bottom"/>
          </w:tcPr>
          <w:p>
            <w:pPr>
              <w:ind w:left="1000"/>
              <w:spacing w:after="0"/>
              <w:rPr>
                <w:sz w:val="20"/>
                <w:szCs w:val="20"/>
                <w:color w:val="auto"/>
              </w:rPr>
            </w:pPr>
            <w:r>
              <w:rPr>
                <w:rFonts w:ascii="Arial" w:cs="Arial" w:eastAsia="Arial" w:hAnsi="Arial"/>
                <w:sz w:val="18"/>
                <w:szCs w:val="18"/>
                <w:b w:val="1"/>
                <w:bCs w:val="1"/>
                <w:color w:val="auto"/>
              </w:rPr>
              <w:t>—</w:t>
            </w:r>
          </w:p>
        </w:tc>
      </w:tr>
      <w:tr>
        <w:trPr>
          <w:trHeight w:val="27"/>
        </w:trPr>
        <w:tc>
          <w:tcPr>
            <w:tcW w:w="50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Vanguard Target Retirement Fund 2035</w:t>
            </w:r>
          </w:p>
        </w:tc>
        <w:tc>
          <w:tcPr>
            <w:tcW w:w="3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10,939,876</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10,939,876</w:t>
            </w: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ind w:left="1000"/>
              <w:spacing w:after="0"/>
              <w:rPr>
                <w:sz w:val="20"/>
                <w:szCs w:val="20"/>
                <w:color w:val="auto"/>
              </w:rPr>
            </w:pPr>
            <w:r>
              <w:rPr>
                <w:rFonts w:ascii="Arial" w:cs="Arial" w:eastAsia="Arial" w:hAnsi="Arial"/>
                <w:sz w:val="18"/>
                <w:szCs w:val="18"/>
                <w:b w:val="1"/>
                <w:bCs w:val="1"/>
                <w:color w:val="auto"/>
              </w:rPr>
              <w:t>—</w:t>
            </w:r>
          </w:p>
        </w:tc>
      </w:tr>
      <w:tr>
        <w:trPr>
          <w:trHeight w:val="243"/>
        </w:trPr>
        <w:tc>
          <w:tcPr>
            <w:tcW w:w="5040" w:type="dxa"/>
            <w:vAlign w:val="bottom"/>
          </w:tcPr>
          <w:p>
            <w:pPr>
              <w:ind w:left="40"/>
              <w:spacing w:after="0"/>
              <w:rPr>
                <w:sz w:val="20"/>
                <w:szCs w:val="20"/>
                <w:color w:val="auto"/>
              </w:rPr>
            </w:pPr>
            <w:r>
              <w:rPr>
                <w:rFonts w:ascii="Arial" w:cs="Arial" w:eastAsia="Arial" w:hAnsi="Arial"/>
                <w:sz w:val="18"/>
                <w:szCs w:val="18"/>
                <w:color w:val="auto"/>
              </w:rPr>
              <w:t>Vanguard Target Retirement Fund 2045</w:t>
            </w:r>
          </w:p>
        </w:tc>
        <w:tc>
          <w:tcPr>
            <w:tcW w:w="3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7,256,994</w:t>
            </w:r>
          </w:p>
        </w:tc>
        <w:tc>
          <w:tcPr>
            <w:tcW w:w="3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7,256,994</w:t>
            </w:r>
          </w:p>
        </w:tc>
        <w:tc>
          <w:tcPr>
            <w:tcW w:w="3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360" w:type="dxa"/>
            <w:vAlign w:val="bottom"/>
          </w:tcPr>
          <w:p>
            <w:pPr>
              <w:spacing w:after="0"/>
              <w:rPr>
                <w:sz w:val="21"/>
                <w:szCs w:val="21"/>
                <w:color w:val="auto"/>
              </w:rPr>
            </w:pPr>
          </w:p>
        </w:tc>
        <w:tc>
          <w:tcPr>
            <w:tcW w:w="1280" w:type="dxa"/>
            <w:vAlign w:val="bottom"/>
          </w:tcPr>
          <w:p>
            <w:pPr>
              <w:ind w:left="1000"/>
              <w:spacing w:after="0"/>
              <w:rPr>
                <w:sz w:val="20"/>
                <w:szCs w:val="20"/>
                <w:color w:val="auto"/>
              </w:rPr>
            </w:pPr>
            <w:r>
              <w:rPr>
                <w:rFonts w:ascii="Arial" w:cs="Arial" w:eastAsia="Arial" w:hAnsi="Arial"/>
                <w:sz w:val="18"/>
                <w:szCs w:val="18"/>
                <w:b w:val="1"/>
                <w:bCs w:val="1"/>
                <w:color w:val="auto"/>
              </w:rPr>
              <w:t>—</w:t>
            </w:r>
          </w:p>
        </w:tc>
      </w:tr>
      <w:tr>
        <w:trPr>
          <w:trHeight w:val="27"/>
        </w:trPr>
        <w:tc>
          <w:tcPr>
            <w:tcW w:w="50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Vanguard Target Retirement Fund 2020</w:t>
            </w:r>
          </w:p>
        </w:tc>
        <w:tc>
          <w:tcPr>
            <w:tcW w:w="3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6,809,990</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6,809,990</w:t>
            </w: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ind w:left="1000"/>
              <w:spacing w:after="0"/>
              <w:rPr>
                <w:sz w:val="20"/>
                <w:szCs w:val="20"/>
                <w:color w:val="auto"/>
              </w:rPr>
            </w:pPr>
            <w:r>
              <w:rPr>
                <w:rFonts w:ascii="Arial" w:cs="Arial" w:eastAsia="Arial" w:hAnsi="Arial"/>
                <w:sz w:val="18"/>
                <w:szCs w:val="18"/>
                <w:b w:val="1"/>
                <w:bCs w:val="1"/>
                <w:color w:val="auto"/>
              </w:rPr>
              <w:t>—</w:t>
            </w:r>
          </w:p>
        </w:tc>
      </w:tr>
      <w:tr>
        <w:trPr>
          <w:trHeight w:val="243"/>
        </w:trPr>
        <w:tc>
          <w:tcPr>
            <w:tcW w:w="5040" w:type="dxa"/>
            <w:vAlign w:val="bottom"/>
          </w:tcPr>
          <w:p>
            <w:pPr>
              <w:ind w:left="40"/>
              <w:spacing w:after="0"/>
              <w:rPr>
                <w:sz w:val="20"/>
                <w:szCs w:val="20"/>
                <w:color w:val="auto"/>
              </w:rPr>
            </w:pPr>
            <w:r>
              <w:rPr>
                <w:rFonts w:ascii="Arial" w:cs="Arial" w:eastAsia="Arial" w:hAnsi="Arial"/>
                <w:sz w:val="18"/>
                <w:szCs w:val="18"/>
                <w:color w:val="auto"/>
              </w:rPr>
              <w:t>Vanguard Target Retirement Fund 2030</w:t>
            </w:r>
          </w:p>
        </w:tc>
        <w:tc>
          <w:tcPr>
            <w:tcW w:w="3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2,317,376</w:t>
            </w:r>
          </w:p>
        </w:tc>
        <w:tc>
          <w:tcPr>
            <w:tcW w:w="3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2,317,376</w:t>
            </w:r>
          </w:p>
        </w:tc>
        <w:tc>
          <w:tcPr>
            <w:tcW w:w="3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360" w:type="dxa"/>
            <w:vAlign w:val="bottom"/>
          </w:tcPr>
          <w:p>
            <w:pPr>
              <w:spacing w:after="0"/>
              <w:rPr>
                <w:sz w:val="21"/>
                <w:szCs w:val="21"/>
                <w:color w:val="auto"/>
              </w:rPr>
            </w:pPr>
          </w:p>
        </w:tc>
        <w:tc>
          <w:tcPr>
            <w:tcW w:w="1280" w:type="dxa"/>
            <w:vAlign w:val="bottom"/>
          </w:tcPr>
          <w:p>
            <w:pPr>
              <w:ind w:left="1000"/>
              <w:spacing w:after="0"/>
              <w:rPr>
                <w:sz w:val="20"/>
                <w:szCs w:val="20"/>
                <w:color w:val="auto"/>
              </w:rPr>
            </w:pPr>
            <w:r>
              <w:rPr>
                <w:rFonts w:ascii="Arial" w:cs="Arial" w:eastAsia="Arial" w:hAnsi="Arial"/>
                <w:sz w:val="18"/>
                <w:szCs w:val="18"/>
                <w:b w:val="1"/>
                <w:bCs w:val="1"/>
                <w:color w:val="auto"/>
              </w:rPr>
              <w:t>—</w:t>
            </w:r>
          </w:p>
        </w:tc>
      </w:tr>
      <w:tr>
        <w:trPr>
          <w:trHeight w:val="27"/>
        </w:trPr>
        <w:tc>
          <w:tcPr>
            <w:tcW w:w="50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Vanguard Target Retirement Fund 2040</w:t>
            </w:r>
          </w:p>
        </w:tc>
        <w:tc>
          <w:tcPr>
            <w:tcW w:w="3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1,206,086</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1,206,086</w:t>
            </w: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ind w:left="1000"/>
              <w:spacing w:after="0"/>
              <w:rPr>
                <w:sz w:val="20"/>
                <w:szCs w:val="20"/>
                <w:color w:val="auto"/>
              </w:rPr>
            </w:pPr>
            <w:r>
              <w:rPr>
                <w:rFonts w:ascii="Arial" w:cs="Arial" w:eastAsia="Arial" w:hAnsi="Arial"/>
                <w:sz w:val="18"/>
                <w:szCs w:val="18"/>
                <w:b w:val="1"/>
                <w:bCs w:val="1"/>
                <w:color w:val="auto"/>
              </w:rPr>
              <w:t>—</w:t>
            </w:r>
          </w:p>
        </w:tc>
      </w:tr>
      <w:tr>
        <w:trPr>
          <w:trHeight w:val="243"/>
        </w:trPr>
        <w:tc>
          <w:tcPr>
            <w:tcW w:w="5040" w:type="dxa"/>
            <w:vAlign w:val="bottom"/>
          </w:tcPr>
          <w:p>
            <w:pPr>
              <w:ind w:left="40"/>
              <w:spacing w:after="0"/>
              <w:rPr>
                <w:sz w:val="20"/>
                <w:szCs w:val="20"/>
                <w:color w:val="auto"/>
              </w:rPr>
            </w:pPr>
            <w:r>
              <w:rPr>
                <w:rFonts w:ascii="Arial" w:cs="Arial" w:eastAsia="Arial" w:hAnsi="Arial"/>
                <w:sz w:val="18"/>
                <w:szCs w:val="18"/>
                <w:color w:val="auto"/>
              </w:rPr>
              <w:t>Vanguard Target Retirement Fund 2050</w:t>
            </w:r>
          </w:p>
        </w:tc>
        <w:tc>
          <w:tcPr>
            <w:tcW w:w="3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1,018,147</w:t>
            </w:r>
          </w:p>
        </w:tc>
        <w:tc>
          <w:tcPr>
            <w:tcW w:w="3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1,018,147</w:t>
            </w:r>
          </w:p>
        </w:tc>
        <w:tc>
          <w:tcPr>
            <w:tcW w:w="3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360" w:type="dxa"/>
            <w:vAlign w:val="bottom"/>
          </w:tcPr>
          <w:p>
            <w:pPr>
              <w:spacing w:after="0"/>
              <w:rPr>
                <w:sz w:val="21"/>
                <w:szCs w:val="21"/>
                <w:color w:val="auto"/>
              </w:rPr>
            </w:pPr>
          </w:p>
        </w:tc>
        <w:tc>
          <w:tcPr>
            <w:tcW w:w="1280" w:type="dxa"/>
            <w:vAlign w:val="bottom"/>
          </w:tcPr>
          <w:p>
            <w:pPr>
              <w:ind w:left="1000"/>
              <w:spacing w:after="0"/>
              <w:rPr>
                <w:sz w:val="20"/>
                <w:szCs w:val="20"/>
                <w:color w:val="auto"/>
              </w:rPr>
            </w:pPr>
            <w:r>
              <w:rPr>
                <w:rFonts w:ascii="Arial" w:cs="Arial" w:eastAsia="Arial" w:hAnsi="Arial"/>
                <w:sz w:val="18"/>
                <w:szCs w:val="18"/>
                <w:b w:val="1"/>
                <w:bCs w:val="1"/>
                <w:color w:val="auto"/>
              </w:rPr>
              <w:t>—</w:t>
            </w:r>
          </w:p>
        </w:tc>
      </w:tr>
      <w:tr>
        <w:trPr>
          <w:trHeight w:val="27"/>
        </w:trPr>
        <w:tc>
          <w:tcPr>
            <w:tcW w:w="50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Common Collective Funds:</w:t>
            </w:r>
          </w:p>
        </w:tc>
        <w:tc>
          <w:tcPr>
            <w:tcW w:w="3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r>
      <w:tr>
        <w:trPr>
          <w:trHeight w:val="243"/>
        </w:trPr>
        <w:tc>
          <w:tcPr>
            <w:tcW w:w="5040" w:type="dxa"/>
            <w:vAlign w:val="bottom"/>
          </w:tcPr>
          <w:p>
            <w:pPr>
              <w:ind w:left="40"/>
              <w:spacing w:after="0"/>
              <w:rPr>
                <w:sz w:val="20"/>
                <w:szCs w:val="20"/>
                <w:color w:val="auto"/>
              </w:rPr>
            </w:pPr>
            <w:r>
              <w:rPr>
                <w:rFonts w:ascii="Arial" w:cs="Arial" w:eastAsia="Arial" w:hAnsi="Arial"/>
                <w:sz w:val="18"/>
                <w:szCs w:val="18"/>
                <w:color w:val="auto"/>
              </w:rPr>
              <w:t>JPMorgan Core Bond Funds I &amp; II</w:t>
            </w:r>
          </w:p>
        </w:tc>
        <w:tc>
          <w:tcPr>
            <w:tcW w:w="3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34,224,514</w:t>
            </w:r>
          </w:p>
        </w:tc>
        <w:tc>
          <w:tcPr>
            <w:tcW w:w="3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3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34,224,514</w:t>
            </w:r>
          </w:p>
        </w:tc>
        <w:tc>
          <w:tcPr>
            <w:tcW w:w="360" w:type="dxa"/>
            <w:vAlign w:val="bottom"/>
          </w:tcPr>
          <w:p>
            <w:pPr>
              <w:spacing w:after="0"/>
              <w:rPr>
                <w:sz w:val="21"/>
                <w:szCs w:val="21"/>
                <w:color w:val="auto"/>
              </w:rPr>
            </w:pPr>
          </w:p>
        </w:tc>
        <w:tc>
          <w:tcPr>
            <w:tcW w:w="1280" w:type="dxa"/>
            <w:vAlign w:val="bottom"/>
          </w:tcPr>
          <w:p>
            <w:pPr>
              <w:ind w:left="1000"/>
              <w:spacing w:after="0"/>
              <w:rPr>
                <w:sz w:val="20"/>
                <w:szCs w:val="20"/>
                <w:color w:val="auto"/>
              </w:rPr>
            </w:pPr>
            <w:r>
              <w:rPr>
                <w:rFonts w:ascii="Arial" w:cs="Arial" w:eastAsia="Arial" w:hAnsi="Arial"/>
                <w:sz w:val="18"/>
                <w:szCs w:val="18"/>
                <w:b w:val="1"/>
                <w:bCs w:val="1"/>
                <w:color w:val="auto"/>
              </w:rPr>
              <w:t>—</w:t>
            </w:r>
          </w:p>
        </w:tc>
      </w:tr>
      <w:tr>
        <w:trPr>
          <w:trHeight w:val="27"/>
        </w:trPr>
        <w:tc>
          <w:tcPr>
            <w:tcW w:w="50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JPMCB Equity Index - CF</w:t>
            </w:r>
          </w:p>
        </w:tc>
        <w:tc>
          <w:tcPr>
            <w:tcW w:w="3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75,366,540</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75,366,540</w:t>
            </w:r>
          </w:p>
        </w:tc>
        <w:tc>
          <w:tcPr>
            <w:tcW w:w="3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ind w:left="1000"/>
              <w:spacing w:after="0"/>
              <w:rPr>
                <w:sz w:val="20"/>
                <w:szCs w:val="20"/>
                <w:color w:val="auto"/>
              </w:rPr>
            </w:pPr>
            <w:r>
              <w:rPr>
                <w:rFonts w:ascii="Arial" w:cs="Arial" w:eastAsia="Arial" w:hAnsi="Arial"/>
                <w:sz w:val="18"/>
                <w:szCs w:val="18"/>
                <w:b w:val="1"/>
                <w:bCs w:val="1"/>
                <w:color w:val="auto"/>
              </w:rPr>
              <w:t>—</w:t>
            </w:r>
          </w:p>
        </w:tc>
      </w:tr>
      <w:tr>
        <w:trPr>
          <w:trHeight w:val="243"/>
        </w:trPr>
        <w:tc>
          <w:tcPr>
            <w:tcW w:w="5040" w:type="dxa"/>
            <w:vAlign w:val="bottom"/>
          </w:tcPr>
          <w:p>
            <w:pPr>
              <w:ind w:left="40"/>
              <w:spacing w:after="0"/>
              <w:rPr>
                <w:sz w:val="20"/>
                <w:szCs w:val="20"/>
                <w:color w:val="auto"/>
              </w:rPr>
            </w:pPr>
            <w:r>
              <w:rPr>
                <w:rFonts w:ascii="Arial" w:cs="Arial" w:eastAsia="Arial" w:hAnsi="Arial"/>
                <w:sz w:val="18"/>
                <w:szCs w:val="18"/>
                <w:color w:val="auto"/>
              </w:rPr>
              <w:t>Winslow Large Cap Growth - I</w:t>
            </w:r>
          </w:p>
        </w:tc>
        <w:tc>
          <w:tcPr>
            <w:tcW w:w="3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27,358,218</w:t>
            </w:r>
          </w:p>
        </w:tc>
        <w:tc>
          <w:tcPr>
            <w:tcW w:w="3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3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27,358,218</w:t>
            </w:r>
          </w:p>
        </w:tc>
        <w:tc>
          <w:tcPr>
            <w:tcW w:w="360" w:type="dxa"/>
            <w:vAlign w:val="bottom"/>
          </w:tcPr>
          <w:p>
            <w:pPr>
              <w:spacing w:after="0"/>
              <w:rPr>
                <w:sz w:val="21"/>
                <w:szCs w:val="21"/>
                <w:color w:val="auto"/>
              </w:rPr>
            </w:pPr>
          </w:p>
        </w:tc>
        <w:tc>
          <w:tcPr>
            <w:tcW w:w="1280" w:type="dxa"/>
            <w:vAlign w:val="bottom"/>
          </w:tcPr>
          <w:p>
            <w:pPr>
              <w:ind w:left="1000"/>
              <w:spacing w:after="0"/>
              <w:rPr>
                <w:sz w:val="20"/>
                <w:szCs w:val="20"/>
                <w:color w:val="auto"/>
              </w:rPr>
            </w:pPr>
            <w:r>
              <w:rPr>
                <w:rFonts w:ascii="Arial" w:cs="Arial" w:eastAsia="Arial" w:hAnsi="Arial"/>
                <w:sz w:val="18"/>
                <w:szCs w:val="18"/>
                <w:b w:val="1"/>
                <w:bCs w:val="1"/>
                <w:color w:val="auto"/>
              </w:rPr>
              <w:t>—</w:t>
            </w:r>
          </w:p>
        </w:tc>
      </w:tr>
      <w:tr>
        <w:trPr>
          <w:trHeight w:val="27"/>
        </w:trPr>
        <w:tc>
          <w:tcPr>
            <w:tcW w:w="50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SSgA Russell Small Cap Index NL-A</w:t>
            </w:r>
          </w:p>
        </w:tc>
        <w:tc>
          <w:tcPr>
            <w:tcW w:w="3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19,489,752</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19,489,752</w:t>
            </w:r>
          </w:p>
        </w:tc>
        <w:tc>
          <w:tcPr>
            <w:tcW w:w="3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ind w:left="1000"/>
              <w:spacing w:after="0"/>
              <w:rPr>
                <w:sz w:val="20"/>
                <w:szCs w:val="20"/>
                <w:color w:val="auto"/>
              </w:rPr>
            </w:pPr>
            <w:r>
              <w:rPr>
                <w:rFonts w:ascii="Arial" w:cs="Arial" w:eastAsia="Arial" w:hAnsi="Arial"/>
                <w:sz w:val="18"/>
                <w:szCs w:val="18"/>
                <w:b w:val="1"/>
                <w:bCs w:val="1"/>
                <w:color w:val="auto"/>
              </w:rPr>
              <w:t>—</w:t>
            </w:r>
          </w:p>
        </w:tc>
      </w:tr>
      <w:tr>
        <w:trPr>
          <w:trHeight w:val="243"/>
        </w:trPr>
        <w:tc>
          <w:tcPr>
            <w:tcW w:w="5040" w:type="dxa"/>
            <w:vAlign w:val="bottom"/>
          </w:tcPr>
          <w:p>
            <w:pPr>
              <w:ind w:left="40"/>
              <w:spacing w:after="0"/>
              <w:rPr>
                <w:sz w:val="20"/>
                <w:szCs w:val="20"/>
                <w:color w:val="auto"/>
              </w:rPr>
            </w:pPr>
            <w:r>
              <w:rPr>
                <w:rFonts w:ascii="Arial" w:cs="Arial" w:eastAsia="Arial" w:hAnsi="Arial"/>
                <w:sz w:val="18"/>
                <w:szCs w:val="18"/>
                <w:color w:val="auto"/>
              </w:rPr>
              <w:t>Wells Fargo Stable Value Funds E &amp; G</w:t>
            </w:r>
          </w:p>
        </w:tc>
        <w:tc>
          <w:tcPr>
            <w:tcW w:w="3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49,621,049</w:t>
            </w:r>
          </w:p>
        </w:tc>
        <w:tc>
          <w:tcPr>
            <w:tcW w:w="3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3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49,621,049</w:t>
            </w:r>
          </w:p>
        </w:tc>
        <w:tc>
          <w:tcPr>
            <w:tcW w:w="360" w:type="dxa"/>
            <w:vAlign w:val="bottom"/>
          </w:tcPr>
          <w:p>
            <w:pPr>
              <w:spacing w:after="0"/>
              <w:rPr>
                <w:sz w:val="21"/>
                <w:szCs w:val="21"/>
                <w:color w:val="auto"/>
              </w:rPr>
            </w:pPr>
          </w:p>
        </w:tc>
        <w:tc>
          <w:tcPr>
            <w:tcW w:w="1280" w:type="dxa"/>
            <w:vAlign w:val="bottom"/>
          </w:tcPr>
          <w:p>
            <w:pPr>
              <w:ind w:left="1000"/>
              <w:spacing w:after="0"/>
              <w:rPr>
                <w:sz w:val="20"/>
                <w:szCs w:val="20"/>
                <w:color w:val="auto"/>
              </w:rPr>
            </w:pPr>
            <w:r>
              <w:rPr>
                <w:rFonts w:ascii="Arial" w:cs="Arial" w:eastAsia="Arial" w:hAnsi="Arial"/>
                <w:sz w:val="18"/>
                <w:szCs w:val="18"/>
                <w:b w:val="1"/>
                <w:bCs w:val="1"/>
                <w:color w:val="auto"/>
              </w:rPr>
              <w:t>—</w:t>
            </w:r>
          </w:p>
        </w:tc>
      </w:tr>
      <w:tr>
        <w:trPr>
          <w:trHeight w:val="27"/>
        </w:trPr>
        <w:tc>
          <w:tcPr>
            <w:tcW w:w="50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57"/>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assets</w:t>
            </w:r>
          </w:p>
        </w:tc>
        <w:tc>
          <w:tcPr>
            <w:tcW w:w="36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w w:val="7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420,504,353</w:t>
            </w:r>
          </w:p>
        </w:tc>
        <w:tc>
          <w:tcPr>
            <w:tcW w:w="36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214,444,280</w:t>
            </w:r>
          </w:p>
        </w:tc>
        <w:tc>
          <w:tcPr>
            <w:tcW w:w="36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206,060,073</w:t>
            </w:r>
          </w:p>
        </w:tc>
        <w:tc>
          <w:tcPr>
            <w:tcW w:w="36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w:t>
            </w:r>
          </w:p>
        </w:tc>
        <w:tc>
          <w:tcPr>
            <w:tcW w:w="1280" w:type="dxa"/>
            <w:vAlign w:val="bottom"/>
            <w:tcBorders>
              <w:bottom w:val="single" w:sz="8" w:color="auto"/>
            </w:tcBorders>
            <w:shd w:val="clear" w:color="auto" w:fill="CCEEFF"/>
          </w:tcPr>
          <w:p>
            <w:pPr>
              <w:ind w:left="1000"/>
              <w:spacing w:after="0"/>
              <w:rPr>
                <w:sz w:val="20"/>
                <w:szCs w:val="20"/>
                <w:color w:val="auto"/>
              </w:rPr>
            </w:pPr>
            <w:r>
              <w:rPr>
                <w:rFonts w:ascii="Arial" w:cs="Arial" w:eastAsia="Arial" w:hAnsi="Arial"/>
                <w:sz w:val="18"/>
                <w:szCs w:val="18"/>
                <w:b w:val="1"/>
                <w:bCs w:val="1"/>
                <w:color w:val="auto"/>
              </w:rPr>
              <w:t>—</w:t>
            </w:r>
          </w:p>
        </w:tc>
      </w:tr>
      <w:tr>
        <w:trPr>
          <w:trHeight w:val="20"/>
        </w:trPr>
        <w:tc>
          <w:tcPr>
            <w:tcW w:w="50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r>
    </w:tbl>
    <w:p>
      <w:pPr>
        <w:spacing w:after="0" w:line="168" w:lineRule="exact"/>
        <w:rPr>
          <w:sz w:val="20"/>
          <w:szCs w:val="20"/>
          <w:color w:val="auto"/>
        </w:rPr>
      </w:pPr>
    </w:p>
    <w:p>
      <w:pPr>
        <w:jc w:val="both"/>
        <w:spacing w:after="0" w:line="253" w:lineRule="auto"/>
        <w:rPr>
          <w:sz w:val="20"/>
          <w:szCs w:val="20"/>
          <w:color w:val="auto"/>
        </w:rPr>
      </w:pPr>
      <w:r>
        <w:rPr>
          <w:rFonts w:ascii="Arial" w:cs="Arial" w:eastAsia="Arial" w:hAnsi="Arial"/>
          <w:sz w:val="22"/>
          <w:szCs w:val="22"/>
          <w:color w:val="auto"/>
        </w:rPr>
        <w:t>The investment strategy for American Funds Washington Mutual-R6 is to invest in common stocks of established companies that are listed on, or meet the financial listing requirements of, the New York Stock Exchange and have a strong record of earnings and dividends.</w:t>
      </w:r>
    </w:p>
    <w:p>
      <w:pPr>
        <w:spacing w:after="0" w:line="145" w:lineRule="exact"/>
        <w:rPr>
          <w:sz w:val="20"/>
          <w:szCs w:val="20"/>
          <w:color w:val="auto"/>
        </w:rPr>
      </w:pPr>
    </w:p>
    <w:p>
      <w:pPr>
        <w:jc w:val="both"/>
        <w:spacing w:after="0" w:line="271" w:lineRule="auto"/>
        <w:rPr>
          <w:sz w:val="20"/>
          <w:szCs w:val="20"/>
          <w:color w:val="auto"/>
        </w:rPr>
      </w:pPr>
      <w:r>
        <w:rPr>
          <w:rFonts w:ascii="Arial" w:cs="Arial" w:eastAsia="Arial" w:hAnsi="Arial"/>
          <w:sz w:val="21"/>
          <w:szCs w:val="21"/>
          <w:color w:val="auto"/>
        </w:rPr>
        <w:t>TimkenSteel Corporation ESOP Stock Fund participates in units and is valued based on the closing price of TimkenSteel Corporation Common Shares traded on a national securities exchange. Registered investment companies are valued based on quoted market prices reported on the active market on which the individual securities are traded.</w:t>
      </w: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125" w:right="239"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TimkenSteel Corporation Savings Plan</w:t>
      </w:r>
    </w:p>
    <w:p>
      <w:pPr>
        <w:spacing w:after="0" w:line="28"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for Certain Bargaining Employees</w:t>
      </w:r>
    </w:p>
    <w:p>
      <w:pPr>
        <w:spacing w:after="0" w:line="4"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Notes to Financial Statements (continued)</w:t>
      </w:r>
    </w:p>
    <w:p>
      <w:pPr>
        <w:spacing w:after="0" w:line="161" w:lineRule="exact"/>
        <w:rPr>
          <w:sz w:val="20"/>
          <w:szCs w:val="20"/>
          <w:color w:val="auto"/>
        </w:rPr>
      </w:pPr>
    </w:p>
    <w:p>
      <w:pPr>
        <w:jc w:val="both"/>
        <w:spacing w:after="0" w:line="265" w:lineRule="auto"/>
        <w:rPr>
          <w:sz w:val="20"/>
          <w:szCs w:val="20"/>
          <w:color w:val="auto"/>
        </w:rPr>
      </w:pPr>
      <w:r>
        <w:rPr>
          <w:rFonts w:ascii="Arial" w:cs="Arial" w:eastAsia="Arial" w:hAnsi="Arial"/>
          <w:sz w:val="21"/>
          <w:szCs w:val="21"/>
          <w:color w:val="auto"/>
        </w:rPr>
        <w:t>The Timken Company Stock Fund participates in units and is valued based on the closing price of Timken common shares traded on a national securities exchange. Registered investment companies are valued based on quoted market prices reported on the active market on which the individual securities are traded. Effective June 30, 2014, participants will not be allowed to invest future contributions or transfer money into The Timken Company Stock Fund.</w:t>
      </w:r>
    </w:p>
    <w:p>
      <w:pPr>
        <w:spacing w:after="0" w:line="135" w:lineRule="exact"/>
        <w:rPr>
          <w:sz w:val="20"/>
          <w:szCs w:val="20"/>
          <w:color w:val="auto"/>
        </w:rPr>
      </w:pPr>
    </w:p>
    <w:p>
      <w:pPr>
        <w:jc w:val="both"/>
        <w:spacing w:after="0" w:line="253" w:lineRule="auto"/>
        <w:rPr>
          <w:sz w:val="20"/>
          <w:szCs w:val="20"/>
          <w:color w:val="auto"/>
        </w:rPr>
      </w:pPr>
      <w:r>
        <w:rPr>
          <w:rFonts w:ascii="Arial" w:cs="Arial" w:eastAsia="Arial" w:hAnsi="Arial"/>
          <w:sz w:val="22"/>
          <w:szCs w:val="22"/>
          <w:color w:val="auto"/>
        </w:rPr>
        <w:t>The JPMCB Equity Index-CF includes investments that provide exposure to a broad equity market and are designed to mirror the aggregate price and dividend performance of the S&amp;P 500 Index. The fair value of the investments in this fund has been determined using the net asset value per share.</w:t>
      </w:r>
    </w:p>
    <w:p>
      <w:pPr>
        <w:spacing w:after="0" w:line="145" w:lineRule="exact"/>
        <w:rPr>
          <w:sz w:val="20"/>
          <w:szCs w:val="20"/>
          <w:color w:val="auto"/>
        </w:rPr>
      </w:pPr>
    </w:p>
    <w:p>
      <w:pPr>
        <w:jc w:val="both"/>
        <w:spacing w:after="0" w:line="253" w:lineRule="auto"/>
        <w:rPr>
          <w:sz w:val="20"/>
          <w:szCs w:val="20"/>
          <w:color w:val="auto"/>
        </w:rPr>
      </w:pPr>
      <w:r>
        <w:rPr>
          <w:rFonts w:ascii="Arial" w:cs="Arial" w:eastAsia="Arial" w:hAnsi="Arial"/>
          <w:sz w:val="22"/>
          <w:szCs w:val="22"/>
          <w:color w:val="auto"/>
        </w:rPr>
        <w:t>The JPMorgan Core Bond Funds I and II include investments that seek to maximize total return by investing primarily in a diversified portfolio of intermediate and long-term debt securities. The fair value of the investments in these funds has been determined using the net asset value per share.</w:t>
      </w:r>
    </w:p>
    <w:p>
      <w:pPr>
        <w:spacing w:after="0" w:line="145" w:lineRule="exact"/>
        <w:rPr>
          <w:sz w:val="20"/>
          <w:szCs w:val="20"/>
          <w:color w:val="auto"/>
        </w:rPr>
      </w:pPr>
    </w:p>
    <w:p>
      <w:pPr>
        <w:jc w:val="both"/>
        <w:spacing w:after="0" w:line="312" w:lineRule="auto"/>
        <w:rPr>
          <w:sz w:val="20"/>
          <w:szCs w:val="20"/>
          <w:color w:val="auto"/>
        </w:rPr>
      </w:pPr>
      <w:r>
        <w:rPr>
          <w:rFonts w:ascii="Arial" w:cs="Arial" w:eastAsia="Arial" w:hAnsi="Arial"/>
          <w:sz w:val="19"/>
          <w:szCs w:val="19"/>
          <w:color w:val="auto"/>
        </w:rPr>
        <w:t>The SSgA Russell Small Cap Index NL-A includes investments seeking an investment return that approximates as closely as practicable, before expenses, the performance of the Russell 2000 Index over the long term. The fund includes exposure to stocks of small U.S. companies. The fair value of the investments in this fund has been determined using the net asset value per share.</w:t>
      </w:r>
    </w:p>
    <w:p>
      <w:pPr>
        <w:spacing w:after="0" w:line="93" w:lineRule="exact"/>
        <w:rPr>
          <w:sz w:val="20"/>
          <w:szCs w:val="20"/>
          <w:color w:val="auto"/>
        </w:rPr>
      </w:pPr>
    </w:p>
    <w:p>
      <w:pPr>
        <w:jc w:val="both"/>
        <w:spacing w:after="0" w:line="312" w:lineRule="auto"/>
        <w:rPr>
          <w:sz w:val="20"/>
          <w:szCs w:val="20"/>
          <w:color w:val="auto"/>
        </w:rPr>
      </w:pPr>
      <w:r>
        <w:rPr>
          <w:rFonts w:ascii="Arial" w:cs="Arial" w:eastAsia="Arial" w:hAnsi="Arial"/>
          <w:sz w:val="19"/>
          <w:szCs w:val="19"/>
          <w:color w:val="auto"/>
        </w:rPr>
        <w:t>The Winslow Large Cap Growth-I is a portfolio that invests at least 80% of its net assets in equity securities of U.S. companies with market capitalization in excess of $4 billion at the time of purchase. The fair value of the investments in this fund has been determined using the net asset value per share on the active market on which the individual securities are traded.</w:t>
      </w:r>
    </w:p>
    <w:p>
      <w:pPr>
        <w:spacing w:after="0" w:line="93" w:lineRule="exact"/>
        <w:rPr>
          <w:sz w:val="20"/>
          <w:szCs w:val="20"/>
          <w:color w:val="auto"/>
        </w:rPr>
      </w:pPr>
    </w:p>
    <w:p>
      <w:pPr>
        <w:jc w:val="both"/>
        <w:spacing w:after="0" w:line="263" w:lineRule="auto"/>
        <w:rPr>
          <w:sz w:val="20"/>
          <w:szCs w:val="20"/>
          <w:color w:val="auto"/>
        </w:rPr>
      </w:pPr>
      <w:r>
        <w:rPr>
          <w:rFonts w:ascii="Arial" w:cs="Arial" w:eastAsia="Arial" w:hAnsi="Arial"/>
          <w:sz w:val="21"/>
          <w:szCs w:val="21"/>
          <w:color w:val="auto"/>
        </w:rPr>
        <w:t>The Wells Fargo Stable Value Funds E and G are collective investment funds that actively manage a diversified portfolio of investment contracts, and the associated portfolio of underlying assets. An investment by a plan in these funds results in the issuance of a given number of participation interests (Units) in the fund for the plan's account. The Fund's Unit value equals the total value of each asset held by the fund, less any liabilities, divided by the total number of units outstanding on the valuation date. The purchase price and redemption price is determined at the close of each day.</w:t>
      </w:r>
    </w:p>
    <w:p>
      <w:pPr>
        <w:spacing w:after="0" w:line="135" w:lineRule="exact"/>
        <w:rPr>
          <w:sz w:val="20"/>
          <w:szCs w:val="20"/>
          <w:color w:val="auto"/>
        </w:rPr>
      </w:pPr>
    </w:p>
    <w:p>
      <w:pPr>
        <w:jc w:val="both"/>
        <w:spacing w:after="0" w:line="263" w:lineRule="auto"/>
        <w:rPr>
          <w:sz w:val="20"/>
          <w:szCs w:val="20"/>
          <w:color w:val="auto"/>
        </w:rPr>
      </w:pPr>
      <w:r>
        <w:rPr>
          <w:rFonts w:ascii="Arial" w:cs="Arial" w:eastAsia="Arial" w:hAnsi="Arial"/>
          <w:sz w:val="22"/>
          <w:szCs w:val="22"/>
          <w:color w:val="auto"/>
        </w:rPr>
        <w:t>All other registered investment companies are valued at the net asset value of shares held by the Trust at year-end based on quoted market prices.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125" w:right="23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 Savings Plan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for Certain Bargaining Employees</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Financial Statements (continued)</w:t>
      </w:r>
    </w:p>
    <w:p>
      <w:pPr>
        <w:spacing w:after="0" w:line="161" w:lineRule="exact"/>
        <w:rPr>
          <w:sz w:val="20"/>
          <w:szCs w:val="20"/>
          <w:color w:val="auto"/>
        </w:rPr>
      </w:pPr>
    </w:p>
    <w:p>
      <w:pPr>
        <w:ind w:right="140"/>
        <w:spacing w:after="0" w:line="263" w:lineRule="auto"/>
        <w:rPr>
          <w:sz w:val="20"/>
          <w:szCs w:val="20"/>
          <w:color w:val="auto"/>
        </w:rPr>
      </w:pPr>
      <w:r>
        <w:rPr>
          <w:rFonts w:ascii="Arial" w:cs="Arial" w:eastAsia="Arial" w:hAnsi="Arial"/>
          <w:sz w:val="22"/>
          <w:szCs w:val="22"/>
          <w:color w:val="auto"/>
        </w:rPr>
        <w:t>The following table summarizes investments measured at fair value based on net asset value (NAVs) per share as of December 31, 2014:</w:t>
      </w:r>
    </w:p>
    <w:p>
      <w:pPr>
        <w:spacing w:after="0" w:line="28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1940" w:type="dxa"/>
            <w:vAlign w:val="bottom"/>
          </w:tcPr>
          <w:p>
            <w:pPr>
              <w:jc w:val="center"/>
              <w:ind w:left="30"/>
              <w:spacing w:after="0"/>
              <w:rPr>
                <w:sz w:val="20"/>
                <w:szCs w:val="20"/>
                <w:color w:val="auto"/>
              </w:rPr>
            </w:pPr>
            <w:r>
              <w:rPr>
                <w:rFonts w:ascii="Arial" w:cs="Arial" w:eastAsia="Arial" w:hAnsi="Arial"/>
                <w:sz w:val="18"/>
                <w:szCs w:val="18"/>
                <w:b w:val="1"/>
                <w:bCs w:val="1"/>
                <w:color w:val="auto"/>
                <w:w w:val="90"/>
              </w:rPr>
              <w:t>Redemption</w:t>
            </w:r>
          </w:p>
        </w:tc>
      </w:tr>
      <w:tr>
        <w:trPr>
          <w:trHeight w:val="270"/>
        </w:trPr>
        <w:tc>
          <w:tcPr>
            <w:tcW w:w="350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1640" w:type="dxa"/>
            <w:vAlign w:val="bottom"/>
          </w:tcPr>
          <w:p>
            <w:pPr>
              <w:spacing w:after="0"/>
              <w:rPr>
                <w:sz w:val="23"/>
                <w:szCs w:val="23"/>
                <w:color w:val="auto"/>
              </w:rPr>
            </w:pPr>
          </w:p>
        </w:tc>
        <w:tc>
          <w:tcPr>
            <w:tcW w:w="1740" w:type="dxa"/>
            <w:vAlign w:val="bottom"/>
          </w:tcPr>
          <w:p>
            <w:pPr>
              <w:jc w:val="center"/>
              <w:ind w:right="90"/>
              <w:spacing w:after="0"/>
              <w:rPr>
                <w:sz w:val="20"/>
                <w:szCs w:val="20"/>
                <w:color w:val="auto"/>
              </w:rPr>
            </w:pPr>
            <w:r>
              <w:rPr>
                <w:rFonts w:ascii="Arial" w:cs="Arial" w:eastAsia="Arial" w:hAnsi="Arial"/>
                <w:sz w:val="18"/>
                <w:szCs w:val="18"/>
                <w:b w:val="1"/>
                <w:bCs w:val="1"/>
                <w:color w:val="auto"/>
                <w:w w:val="90"/>
              </w:rPr>
              <w:t>Unfunded</w:t>
            </w:r>
          </w:p>
        </w:tc>
        <w:tc>
          <w:tcPr>
            <w:tcW w:w="1660" w:type="dxa"/>
            <w:vAlign w:val="bottom"/>
          </w:tcPr>
          <w:p>
            <w:pPr>
              <w:jc w:val="center"/>
              <w:spacing w:after="0"/>
              <w:rPr>
                <w:sz w:val="20"/>
                <w:szCs w:val="20"/>
                <w:color w:val="auto"/>
              </w:rPr>
            </w:pPr>
            <w:r>
              <w:rPr>
                <w:rFonts w:ascii="Arial" w:cs="Arial" w:eastAsia="Arial" w:hAnsi="Arial"/>
                <w:sz w:val="18"/>
                <w:szCs w:val="18"/>
                <w:b w:val="1"/>
                <w:bCs w:val="1"/>
                <w:color w:val="auto"/>
                <w:w w:val="90"/>
              </w:rPr>
              <w:t>Redemption</w:t>
            </w:r>
          </w:p>
        </w:tc>
        <w:tc>
          <w:tcPr>
            <w:tcW w:w="1940" w:type="dxa"/>
            <w:vAlign w:val="bottom"/>
          </w:tcPr>
          <w:p>
            <w:pPr>
              <w:jc w:val="center"/>
              <w:ind w:left="30"/>
              <w:spacing w:after="0"/>
              <w:rPr>
                <w:sz w:val="20"/>
                <w:szCs w:val="20"/>
                <w:color w:val="auto"/>
              </w:rPr>
            </w:pPr>
            <w:r>
              <w:rPr>
                <w:rFonts w:ascii="Arial" w:cs="Arial" w:eastAsia="Arial" w:hAnsi="Arial"/>
                <w:sz w:val="18"/>
                <w:szCs w:val="18"/>
                <w:b w:val="1"/>
                <w:bCs w:val="1"/>
                <w:color w:val="auto"/>
                <w:w w:val="90"/>
              </w:rPr>
              <w:t>Notice</w:t>
            </w:r>
          </w:p>
        </w:tc>
      </w:tr>
      <w:tr>
        <w:trPr>
          <w:trHeight w:val="270"/>
        </w:trPr>
        <w:tc>
          <w:tcPr>
            <w:tcW w:w="3500" w:type="dxa"/>
            <w:vAlign w:val="bottom"/>
          </w:tcPr>
          <w:p>
            <w:pPr>
              <w:ind w:left="40"/>
              <w:spacing w:after="0"/>
              <w:rPr>
                <w:sz w:val="20"/>
                <w:szCs w:val="20"/>
                <w:color w:val="auto"/>
              </w:rPr>
            </w:pPr>
            <w:r>
              <w:rPr>
                <w:rFonts w:ascii="Arial" w:cs="Arial" w:eastAsia="Arial" w:hAnsi="Arial"/>
                <w:sz w:val="18"/>
                <w:szCs w:val="18"/>
                <w:b w:val="1"/>
                <w:bCs w:val="1"/>
                <w:color w:val="auto"/>
              </w:rPr>
              <w:t>December 31, 2014</w:t>
            </w:r>
          </w:p>
        </w:tc>
        <w:tc>
          <w:tcPr>
            <w:tcW w:w="940" w:type="dxa"/>
            <w:vAlign w:val="bottom"/>
          </w:tcPr>
          <w:p>
            <w:pPr>
              <w:spacing w:after="0"/>
              <w:rPr>
                <w:sz w:val="23"/>
                <w:szCs w:val="23"/>
                <w:color w:val="auto"/>
              </w:rPr>
            </w:pPr>
          </w:p>
        </w:tc>
        <w:tc>
          <w:tcPr>
            <w:tcW w:w="1640" w:type="dxa"/>
            <w:vAlign w:val="bottom"/>
          </w:tcPr>
          <w:p>
            <w:pPr>
              <w:jc w:val="right"/>
              <w:ind w:right="550"/>
              <w:spacing w:after="0"/>
              <w:rPr>
                <w:sz w:val="20"/>
                <w:szCs w:val="20"/>
                <w:color w:val="auto"/>
              </w:rPr>
            </w:pPr>
            <w:r>
              <w:rPr>
                <w:rFonts w:ascii="Arial" w:cs="Arial" w:eastAsia="Arial" w:hAnsi="Arial"/>
                <w:sz w:val="18"/>
                <w:szCs w:val="18"/>
                <w:b w:val="1"/>
                <w:bCs w:val="1"/>
                <w:color w:val="auto"/>
              </w:rPr>
              <w:t>Fair Value</w:t>
            </w:r>
          </w:p>
        </w:tc>
        <w:tc>
          <w:tcPr>
            <w:tcW w:w="1740" w:type="dxa"/>
            <w:vAlign w:val="bottom"/>
          </w:tcPr>
          <w:p>
            <w:pPr>
              <w:jc w:val="center"/>
              <w:ind w:right="90"/>
              <w:spacing w:after="0"/>
              <w:rPr>
                <w:sz w:val="20"/>
                <w:szCs w:val="20"/>
                <w:color w:val="auto"/>
              </w:rPr>
            </w:pPr>
            <w:r>
              <w:rPr>
                <w:rFonts w:ascii="Arial" w:cs="Arial" w:eastAsia="Arial" w:hAnsi="Arial"/>
                <w:sz w:val="18"/>
                <w:szCs w:val="18"/>
                <w:b w:val="1"/>
                <w:bCs w:val="1"/>
                <w:color w:val="auto"/>
                <w:w w:val="89"/>
              </w:rPr>
              <w:t>Commitments</w:t>
            </w:r>
          </w:p>
        </w:tc>
        <w:tc>
          <w:tcPr>
            <w:tcW w:w="1660" w:type="dxa"/>
            <w:vAlign w:val="bottom"/>
          </w:tcPr>
          <w:p>
            <w:pPr>
              <w:jc w:val="center"/>
              <w:spacing w:after="0"/>
              <w:rPr>
                <w:sz w:val="20"/>
                <w:szCs w:val="20"/>
                <w:color w:val="auto"/>
              </w:rPr>
            </w:pPr>
            <w:r>
              <w:rPr>
                <w:rFonts w:ascii="Arial" w:cs="Arial" w:eastAsia="Arial" w:hAnsi="Arial"/>
                <w:sz w:val="18"/>
                <w:szCs w:val="18"/>
                <w:b w:val="1"/>
                <w:bCs w:val="1"/>
                <w:color w:val="auto"/>
                <w:w w:val="90"/>
              </w:rPr>
              <w:t>Frequency</w:t>
            </w:r>
          </w:p>
        </w:tc>
        <w:tc>
          <w:tcPr>
            <w:tcW w:w="1940" w:type="dxa"/>
            <w:vAlign w:val="bottom"/>
          </w:tcPr>
          <w:p>
            <w:pPr>
              <w:jc w:val="center"/>
              <w:ind w:left="30"/>
              <w:spacing w:after="0"/>
              <w:rPr>
                <w:sz w:val="20"/>
                <w:szCs w:val="20"/>
                <w:color w:val="auto"/>
              </w:rPr>
            </w:pPr>
            <w:r>
              <w:rPr>
                <w:rFonts w:ascii="Arial" w:cs="Arial" w:eastAsia="Arial" w:hAnsi="Arial"/>
                <w:sz w:val="18"/>
                <w:szCs w:val="18"/>
                <w:b w:val="1"/>
                <w:bCs w:val="1"/>
                <w:color w:val="auto"/>
                <w:w w:val="89"/>
              </w:rPr>
              <w:t>Period</w:t>
            </w:r>
          </w:p>
        </w:tc>
      </w:tr>
      <w:tr>
        <w:trPr>
          <w:trHeight w:val="27"/>
        </w:trPr>
        <w:tc>
          <w:tcPr>
            <w:tcW w:w="35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r>
      <w:tr>
        <w:trPr>
          <w:trHeight w:val="244"/>
        </w:trPr>
        <w:tc>
          <w:tcPr>
            <w:tcW w:w="3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JPMorgan Core Bond Funds I &amp; II</w:t>
            </w:r>
          </w:p>
        </w:tc>
        <w:tc>
          <w:tcPr>
            <w:tcW w:w="94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w:t>
            </w:r>
          </w:p>
        </w:tc>
        <w:tc>
          <w:tcPr>
            <w:tcW w:w="16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rPr>
              <w:t>34,224,514</w:t>
            </w:r>
          </w:p>
        </w:tc>
        <w:tc>
          <w:tcPr>
            <w:tcW w:w="1740" w:type="dxa"/>
            <w:vAlign w:val="bottom"/>
            <w:tcBorders>
              <w:bottom w:val="single" w:sz="8" w:color="CCEEFF"/>
            </w:tcBorders>
            <w:shd w:val="clear" w:color="auto" w:fill="CCEEFF"/>
          </w:tcPr>
          <w:p>
            <w:pPr>
              <w:jc w:val="center"/>
              <w:ind w:right="90"/>
              <w:spacing w:after="0"/>
              <w:rPr>
                <w:sz w:val="20"/>
                <w:szCs w:val="20"/>
                <w:color w:val="auto"/>
              </w:rPr>
            </w:pPr>
            <w:r>
              <w:rPr>
                <w:rFonts w:ascii="Arial" w:cs="Arial" w:eastAsia="Arial" w:hAnsi="Arial"/>
                <w:sz w:val="18"/>
                <w:szCs w:val="18"/>
                <w:color w:val="auto"/>
                <w:w w:val="91"/>
              </w:rPr>
              <w:t>Not applicable</w:t>
            </w:r>
          </w:p>
        </w:tc>
        <w:tc>
          <w:tcPr>
            <w:tcW w:w="16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Daily</w:t>
            </w:r>
          </w:p>
        </w:tc>
        <w:tc>
          <w:tcPr>
            <w:tcW w:w="1940" w:type="dxa"/>
            <w:vAlign w:val="bottom"/>
            <w:tcBorders>
              <w:bottom w:val="single" w:sz="8" w:color="CCEEFF"/>
            </w:tcBorders>
            <w:shd w:val="clear" w:color="auto" w:fill="CCEEFF"/>
          </w:tcPr>
          <w:p>
            <w:pPr>
              <w:jc w:val="center"/>
              <w:ind w:left="30"/>
              <w:spacing w:after="0"/>
              <w:rPr>
                <w:sz w:val="20"/>
                <w:szCs w:val="20"/>
                <w:color w:val="auto"/>
              </w:rPr>
            </w:pPr>
            <w:r>
              <w:rPr>
                <w:rFonts w:ascii="Arial" w:cs="Arial" w:eastAsia="Arial" w:hAnsi="Arial"/>
                <w:sz w:val="18"/>
                <w:szCs w:val="18"/>
                <w:color w:val="auto"/>
                <w:w w:val="91"/>
              </w:rPr>
              <w:t>Trade Day + 1 Day</w:t>
            </w:r>
          </w:p>
        </w:tc>
      </w:tr>
      <w:tr>
        <w:trPr>
          <w:trHeight w:val="243"/>
        </w:trPr>
        <w:tc>
          <w:tcPr>
            <w:tcW w:w="3500" w:type="dxa"/>
            <w:vAlign w:val="bottom"/>
          </w:tcPr>
          <w:p>
            <w:pPr>
              <w:ind w:left="40"/>
              <w:spacing w:after="0"/>
              <w:rPr>
                <w:sz w:val="20"/>
                <w:szCs w:val="20"/>
                <w:color w:val="auto"/>
              </w:rPr>
            </w:pPr>
            <w:r>
              <w:rPr>
                <w:rFonts w:ascii="Arial" w:cs="Arial" w:eastAsia="Arial" w:hAnsi="Arial"/>
                <w:sz w:val="18"/>
                <w:szCs w:val="18"/>
                <w:color w:val="auto"/>
              </w:rPr>
              <w:t>JPMCB Equity Index - CF</w:t>
            </w:r>
          </w:p>
        </w:tc>
        <w:tc>
          <w:tcPr>
            <w:tcW w:w="940" w:type="dxa"/>
            <w:vAlign w:val="bottom"/>
          </w:tcPr>
          <w:p>
            <w:pPr>
              <w:jc w:val="right"/>
              <w:ind w:right="110"/>
              <w:spacing w:after="0"/>
              <w:rPr>
                <w:sz w:val="20"/>
                <w:szCs w:val="20"/>
                <w:color w:val="auto"/>
              </w:rPr>
            </w:pPr>
            <w:r>
              <w:rPr>
                <w:rFonts w:ascii="Arial" w:cs="Arial" w:eastAsia="Arial" w:hAnsi="Arial"/>
                <w:sz w:val="18"/>
                <w:szCs w:val="18"/>
                <w:b w:val="1"/>
                <w:bCs w:val="1"/>
                <w:color w:val="auto"/>
              </w:rPr>
              <w:t>$</w:t>
            </w:r>
          </w:p>
        </w:tc>
        <w:tc>
          <w:tcPr>
            <w:tcW w:w="1640" w:type="dxa"/>
            <w:vAlign w:val="bottom"/>
          </w:tcPr>
          <w:p>
            <w:pPr>
              <w:jc w:val="right"/>
              <w:ind w:right="150"/>
              <w:spacing w:after="0"/>
              <w:rPr>
                <w:sz w:val="20"/>
                <w:szCs w:val="20"/>
                <w:color w:val="auto"/>
              </w:rPr>
            </w:pPr>
            <w:r>
              <w:rPr>
                <w:rFonts w:ascii="Arial" w:cs="Arial" w:eastAsia="Arial" w:hAnsi="Arial"/>
                <w:sz w:val="18"/>
                <w:szCs w:val="18"/>
                <w:b w:val="1"/>
                <w:bCs w:val="1"/>
                <w:color w:val="auto"/>
              </w:rPr>
              <w:t>75,366,540</w:t>
            </w:r>
          </w:p>
        </w:tc>
        <w:tc>
          <w:tcPr>
            <w:tcW w:w="1740" w:type="dxa"/>
            <w:vAlign w:val="bottom"/>
          </w:tcPr>
          <w:p>
            <w:pPr>
              <w:jc w:val="center"/>
              <w:ind w:right="90"/>
              <w:spacing w:after="0"/>
              <w:rPr>
                <w:sz w:val="20"/>
                <w:szCs w:val="20"/>
                <w:color w:val="auto"/>
              </w:rPr>
            </w:pPr>
            <w:r>
              <w:rPr>
                <w:rFonts w:ascii="Arial" w:cs="Arial" w:eastAsia="Arial" w:hAnsi="Arial"/>
                <w:sz w:val="18"/>
                <w:szCs w:val="18"/>
                <w:color w:val="auto"/>
                <w:w w:val="91"/>
              </w:rPr>
              <w:t>Not applicable</w:t>
            </w:r>
          </w:p>
        </w:tc>
        <w:tc>
          <w:tcPr>
            <w:tcW w:w="1660" w:type="dxa"/>
            <w:vAlign w:val="bottom"/>
          </w:tcPr>
          <w:p>
            <w:pPr>
              <w:jc w:val="center"/>
              <w:spacing w:after="0"/>
              <w:rPr>
                <w:sz w:val="20"/>
                <w:szCs w:val="20"/>
                <w:color w:val="auto"/>
              </w:rPr>
            </w:pPr>
            <w:r>
              <w:rPr>
                <w:rFonts w:ascii="Arial" w:cs="Arial" w:eastAsia="Arial" w:hAnsi="Arial"/>
                <w:sz w:val="18"/>
                <w:szCs w:val="18"/>
                <w:color w:val="auto"/>
                <w:w w:val="99"/>
              </w:rPr>
              <w:t>Daily</w:t>
            </w:r>
          </w:p>
        </w:tc>
        <w:tc>
          <w:tcPr>
            <w:tcW w:w="1940" w:type="dxa"/>
            <w:vAlign w:val="bottom"/>
          </w:tcPr>
          <w:p>
            <w:pPr>
              <w:jc w:val="center"/>
              <w:ind w:left="30"/>
              <w:spacing w:after="0"/>
              <w:rPr>
                <w:sz w:val="20"/>
                <w:szCs w:val="20"/>
                <w:color w:val="auto"/>
              </w:rPr>
            </w:pPr>
            <w:r>
              <w:rPr>
                <w:rFonts w:ascii="Arial" w:cs="Arial" w:eastAsia="Arial" w:hAnsi="Arial"/>
                <w:sz w:val="18"/>
                <w:szCs w:val="18"/>
                <w:color w:val="auto"/>
                <w:w w:val="91"/>
              </w:rPr>
              <w:t>Trade Day + 1 Day</w:t>
            </w:r>
          </w:p>
        </w:tc>
      </w:tr>
      <w:tr>
        <w:trPr>
          <w:trHeight w:val="27"/>
        </w:trPr>
        <w:tc>
          <w:tcPr>
            <w:tcW w:w="35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50"/>
        </w:trPr>
        <w:tc>
          <w:tcPr>
            <w:tcW w:w="3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Winslow Large Cap Growth - I</w:t>
            </w:r>
          </w:p>
        </w:tc>
        <w:tc>
          <w:tcPr>
            <w:tcW w:w="94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w:t>
            </w:r>
          </w:p>
        </w:tc>
        <w:tc>
          <w:tcPr>
            <w:tcW w:w="16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rPr>
              <w:t>27,358,218</w:t>
            </w:r>
          </w:p>
        </w:tc>
        <w:tc>
          <w:tcPr>
            <w:tcW w:w="1740" w:type="dxa"/>
            <w:vAlign w:val="bottom"/>
            <w:tcBorders>
              <w:bottom w:val="single" w:sz="8" w:color="CCEEFF"/>
            </w:tcBorders>
            <w:shd w:val="clear" w:color="auto" w:fill="CCEEFF"/>
          </w:tcPr>
          <w:p>
            <w:pPr>
              <w:jc w:val="center"/>
              <w:ind w:right="90"/>
              <w:spacing w:after="0"/>
              <w:rPr>
                <w:sz w:val="20"/>
                <w:szCs w:val="20"/>
                <w:color w:val="auto"/>
              </w:rPr>
            </w:pPr>
            <w:r>
              <w:rPr>
                <w:rFonts w:ascii="Arial" w:cs="Arial" w:eastAsia="Arial" w:hAnsi="Arial"/>
                <w:sz w:val="18"/>
                <w:szCs w:val="18"/>
                <w:color w:val="auto"/>
                <w:w w:val="91"/>
              </w:rPr>
              <w:t>Not applicable</w:t>
            </w:r>
          </w:p>
        </w:tc>
        <w:tc>
          <w:tcPr>
            <w:tcW w:w="16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Daily</w:t>
            </w:r>
          </w:p>
        </w:tc>
        <w:tc>
          <w:tcPr>
            <w:tcW w:w="1940" w:type="dxa"/>
            <w:vAlign w:val="bottom"/>
            <w:tcBorders>
              <w:bottom w:val="single" w:sz="8" w:color="CCEEFF"/>
            </w:tcBorders>
            <w:shd w:val="clear" w:color="auto" w:fill="CCEEFF"/>
          </w:tcPr>
          <w:p>
            <w:pPr>
              <w:jc w:val="center"/>
              <w:ind w:left="10"/>
              <w:spacing w:after="0"/>
              <w:rPr>
                <w:sz w:val="20"/>
                <w:szCs w:val="20"/>
                <w:color w:val="auto"/>
              </w:rPr>
            </w:pPr>
            <w:r>
              <w:rPr>
                <w:rFonts w:ascii="Arial" w:cs="Arial" w:eastAsia="Arial" w:hAnsi="Arial"/>
                <w:sz w:val="18"/>
                <w:szCs w:val="18"/>
                <w:color w:val="auto"/>
                <w:w w:val="90"/>
              </w:rPr>
              <w:t>Trade Day</w:t>
            </w:r>
          </w:p>
        </w:tc>
      </w:tr>
      <w:tr>
        <w:trPr>
          <w:trHeight w:val="243"/>
        </w:trPr>
        <w:tc>
          <w:tcPr>
            <w:tcW w:w="3500" w:type="dxa"/>
            <w:vAlign w:val="bottom"/>
          </w:tcPr>
          <w:p>
            <w:pPr>
              <w:ind w:left="40"/>
              <w:spacing w:after="0"/>
              <w:rPr>
                <w:sz w:val="20"/>
                <w:szCs w:val="20"/>
                <w:color w:val="auto"/>
              </w:rPr>
            </w:pPr>
            <w:r>
              <w:rPr>
                <w:rFonts w:ascii="Arial" w:cs="Arial" w:eastAsia="Arial" w:hAnsi="Arial"/>
                <w:sz w:val="18"/>
                <w:szCs w:val="18"/>
                <w:color w:val="auto"/>
              </w:rPr>
              <w:t>SSgA Russell Small Cap Index NL-A</w:t>
            </w:r>
          </w:p>
        </w:tc>
        <w:tc>
          <w:tcPr>
            <w:tcW w:w="940" w:type="dxa"/>
            <w:vAlign w:val="bottom"/>
          </w:tcPr>
          <w:p>
            <w:pPr>
              <w:jc w:val="right"/>
              <w:ind w:right="110"/>
              <w:spacing w:after="0"/>
              <w:rPr>
                <w:sz w:val="20"/>
                <w:szCs w:val="20"/>
                <w:color w:val="auto"/>
              </w:rPr>
            </w:pPr>
            <w:r>
              <w:rPr>
                <w:rFonts w:ascii="Arial" w:cs="Arial" w:eastAsia="Arial" w:hAnsi="Arial"/>
                <w:sz w:val="18"/>
                <w:szCs w:val="18"/>
                <w:b w:val="1"/>
                <w:bCs w:val="1"/>
                <w:color w:val="auto"/>
              </w:rPr>
              <w:t>$</w:t>
            </w:r>
          </w:p>
        </w:tc>
        <w:tc>
          <w:tcPr>
            <w:tcW w:w="1640" w:type="dxa"/>
            <w:vAlign w:val="bottom"/>
          </w:tcPr>
          <w:p>
            <w:pPr>
              <w:jc w:val="right"/>
              <w:ind w:right="150"/>
              <w:spacing w:after="0"/>
              <w:rPr>
                <w:sz w:val="20"/>
                <w:szCs w:val="20"/>
                <w:color w:val="auto"/>
              </w:rPr>
            </w:pPr>
            <w:r>
              <w:rPr>
                <w:rFonts w:ascii="Arial" w:cs="Arial" w:eastAsia="Arial" w:hAnsi="Arial"/>
                <w:sz w:val="18"/>
                <w:szCs w:val="18"/>
                <w:b w:val="1"/>
                <w:bCs w:val="1"/>
                <w:color w:val="auto"/>
              </w:rPr>
              <w:t>19,489,752</w:t>
            </w:r>
          </w:p>
        </w:tc>
        <w:tc>
          <w:tcPr>
            <w:tcW w:w="1740" w:type="dxa"/>
            <w:vAlign w:val="bottom"/>
          </w:tcPr>
          <w:p>
            <w:pPr>
              <w:jc w:val="center"/>
              <w:ind w:right="90"/>
              <w:spacing w:after="0"/>
              <w:rPr>
                <w:sz w:val="20"/>
                <w:szCs w:val="20"/>
                <w:color w:val="auto"/>
              </w:rPr>
            </w:pPr>
            <w:r>
              <w:rPr>
                <w:rFonts w:ascii="Arial" w:cs="Arial" w:eastAsia="Arial" w:hAnsi="Arial"/>
                <w:sz w:val="18"/>
                <w:szCs w:val="18"/>
                <w:color w:val="auto"/>
                <w:w w:val="91"/>
              </w:rPr>
              <w:t>Not applicable</w:t>
            </w:r>
          </w:p>
        </w:tc>
        <w:tc>
          <w:tcPr>
            <w:tcW w:w="1660" w:type="dxa"/>
            <w:vAlign w:val="bottom"/>
          </w:tcPr>
          <w:p>
            <w:pPr>
              <w:jc w:val="center"/>
              <w:spacing w:after="0"/>
              <w:rPr>
                <w:sz w:val="20"/>
                <w:szCs w:val="20"/>
                <w:color w:val="auto"/>
              </w:rPr>
            </w:pPr>
            <w:r>
              <w:rPr>
                <w:rFonts w:ascii="Arial" w:cs="Arial" w:eastAsia="Arial" w:hAnsi="Arial"/>
                <w:sz w:val="18"/>
                <w:szCs w:val="18"/>
                <w:color w:val="auto"/>
                <w:w w:val="99"/>
              </w:rPr>
              <w:t>Daily</w:t>
            </w:r>
          </w:p>
        </w:tc>
        <w:tc>
          <w:tcPr>
            <w:tcW w:w="1940" w:type="dxa"/>
            <w:vAlign w:val="bottom"/>
          </w:tcPr>
          <w:p>
            <w:pPr>
              <w:jc w:val="center"/>
              <w:ind w:left="10"/>
              <w:spacing w:after="0"/>
              <w:rPr>
                <w:sz w:val="20"/>
                <w:szCs w:val="20"/>
                <w:color w:val="auto"/>
              </w:rPr>
            </w:pPr>
            <w:r>
              <w:rPr>
                <w:rFonts w:ascii="Arial" w:cs="Arial" w:eastAsia="Arial" w:hAnsi="Arial"/>
                <w:sz w:val="18"/>
                <w:szCs w:val="18"/>
                <w:color w:val="auto"/>
                <w:w w:val="90"/>
              </w:rPr>
              <w:t>Trade Day</w:t>
            </w:r>
          </w:p>
        </w:tc>
      </w:tr>
      <w:tr>
        <w:trPr>
          <w:trHeight w:val="27"/>
        </w:trPr>
        <w:tc>
          <w:tcPr>
            <w:tcW w:w="35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43"/>
        </w:trPr>
        <w:tc>
          <w:tcPr>
            <w:tcW w:w="3500" w:type="dxa"/>
            <w:vAlign w:val="bottom"/>
            <w:shd w:val="clear" w:color="auto" w:fill="CCEEFF"/>
          </w:tcPr>
          <w:p>
            <w:pPr>
              <w:ind w:left="40"/>
              <w:spacing w:after="0"/>
              <w:rPr>
                <w:sz w:val="20"/>
                <w:szCs w:val="20"/>
                <w:color w:val="auto"/>
              </w:rPr>
            </w:pPr>
            <w:r>
              <w:rPr>
                <w:rFonts w:ascii="Arial" w:cs="Arial" w:eastAsia="Arial" w:hAnsi="Arial"/>
                <w:sz w:val="18"/>
                <w:szCs w:val="18"/>
                <w:color w:val="auto"/>
              </w:rPr>
              <w:t>Wells Fargo Stable Value Funds E &amp; G</w:t>
            </w:r>
          </w:p>
        </w:tc>
        <w:tc>
          <w:tcPr>
            <w:tcW w:w="940" w:type="dxa"/>
            <w:vAlign w:val="bottom"/>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w:t>
            </w:r>
          </w:p>
        </w:tc>
        <w:tc>
          <w:tcPr>
            <w:tcW w:w="1640" w:type="dxa"/>
            <w:vAlign w:val="bottom"/>
            <w:shd w:val="clear" w:color="auto" w:fill="CCEEFF"/>
          </w:tcPr>
          <w:p>
            <w:pPr>
              <w:jc w:val="right"/>
              <w:ind w:right="150"/>
              <w:spacing w:after="0"/>
              <w:rPr>
                <w:sz w:val="20"/>
                <w:szCs w:val="20"/>
                <w:color w:val="auto"/>
              </w:rPr>
            </w:pPr>
            <w:r>
              <w:rPr>
                <w:rFonts w:ascii="Arial" w:cs="Arial" w:eastAsia="Arial" w:hAnsi="Arial"/>
                <w:sz w:val="18"/>
                <w:szCs w:val="18"/>
                <w:b w:val="1"/>
                <w:bCs w:val="1"/>
                <w:color w:val="auto"/>
              </w:rPr>
              <w:t>49,621,049</w:t>
            </w:r>
          </w:p>
        </w:tc>
        <w:tc>
          <w:tcPr>
            <w:tcW w:w="1740" w:type="dxa"/>
            <w:vAlign w:val="bottom"/>
            <w:shd w:val="clear" w:color="auto" w:fill="CCEEFF"/>
          </w:tcPr>
          <w:p>
            <w:pPr>
              <w:jc w:val="center"/>
              <w:ind w:right="90"/>
              <w:spacing w:after="0"/>
              <w:rPr>
                <w:sz w:val="20"/>
                <w:szCs w:val="20"/>
                <w:color w:val="auto"/>
              </w:rPr>
            </w:pPr>
            <w:r>
              <w:rPr>
                <w:rFonts w:ascii="Arial" w:cs="Arial" w:eastAsia="Arial" w:hAnsi="Arial"/>
                <w:sz w:val="18"/>
                <w:szCs w:val="18"/>
                <w:color w:val="auto"/>
                <w:w w:val="91"/>
              </w:rPr>
              <w:t>Not applicable</w:t>
            </w:r>
          </w:p>
        </w:tc>
        <w:tc>
          <w:tcPr>
            <w:tcW w:w="1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Daily</w:t>
            </w:r>
          </w:p>
        </w:tc>
        <w:tc>
          <w:tcPr>
            <w:tcW w:w="1940" w:type="dxa"/>
            <w:vAlign w:val="bottom"/>
            <w:shd w:val="clear" w:color="auto" w:fill="CCEEFF"/>
          </w:tcPr>
          <w:p>
            <w:pPr>
              <w:jc w:val="center"/>
              <w:ind w:left="10"/>
              <w:spacing w:after="0"/>
              <w:rPr>
                <w:sz w:val="20"/>
                <w:szCs w:val="20"/>
                <w:color w:val="auto"/>
              </w:rPr>
            </w:pPr>
            <w:r>
              <w:rPr>
                <w:rFonts w:ascii="Arial" w:cs="Arial" w:eastAsia="Arial" w:hAnsi="Arial"/>
                <w:sz w:val="18"/>
                <w:szCs w:val="18"/>
                <w:color w:val="auto"/>
                <w:w w:val="90"/>
              </w:rPr>
              <w:t>Trade Day</w:t>
            </w:r>
          </w:p>
        </w:tc>
      </w:tr>
      <w:tr>
        <w:trPr>
          <w:trHeight w:val="27"/>
        </w:trPr>
        <w:tc>
          <w:tcPr>
            <w:tcW w:w="350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1640" w:type="dxa"/>
            <w:vAlign w:val="bottom"/>
            <w:shd w:val="clear" w:color="auto" w:fill="CCEEFF"/>
          </w:tcPr>
          <w:p>
            <w:pPr>
              <w:spacing w:after="0"/>
              <w:rPr>
                <w:sz w:val="2"/>
                <w:szCs w:val="2"/>
                <w:color w:val="auto"/>
              </w:rPr>
            </w:pPr>
          </w:p>
        </w:tc>
        <w:tc>
          <w:tcPr>
            <w:tcW w:w="1740" w:type="dxa"/>
            <w:vAlign w:val="bottom"/>
            <w:shd w:val="clear" w:color="auto" w:fill="CCEEFF"/>
          </w:tcPr>
          <w:p>
            <w:pPr>
              <w:spacing w:after="0"/>
              <w:rPr>
                <w:sz w:val="2"/>
                <w:szCs w:val="2"/>
                <w:color w:val="auto"/>
              </w:rPr>
            </w:pPr>
          </w:p>
        </w:tc>
        <w:tc>
          <w:tcPr>
            <w:tcW w:w="1660" w:type="dxa"/>
            <w:vAlign w:val="bottom"/>
            <w:shd w:val="clear" w:color="auto" w:fill="CCEEFF"/>
          </w:tcPr>
          <w:p>
            <w:pPr>
              <w:spacing w:after="0"/>
              <w:rPr>
                <w:sz w:val="2"/>
                <w:szCs w:val="2"/>
                <w:color w:val="auto"/>
              </w:rPr>
            </w:pPr>
          </w:p>
        </w:tc>
        <w:tc>
          <w:tcPr>
            <w:tcW w:w="1940" w:type="dxa"/>
            <w:vAlign w:val="bottom"/>
            <w:shd w:val="clear" w:color="auto" w:fill="CCEEFF"/>
          </w:tcPr>
          <w:p>
            <w:pPr>
              <w:spacing w:after="0"/>
              <w:rPr>
                <w:sz w:val="2"/>
                <w:szCs w:val="2"/>
                <w:color w:val="auto"/>
              </w:rPr>
            </w:pPr>
          </w:p>
        </w:tc>
      </w:tr>
    </w:tbl>
    <w:p>
      <w:pPr>
        <w:spacing w:after="0" w:line="16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6. Related-Party Transactions</w:t>
      </w:r>
    </w:p>
    <w:p>
      <w:pPr>
        <w:spacing w:after="0" w:line="185" w:lineRule="exact"/>
        <w:rPr>
          <w:sz w:val="20"/>
          <w:szCs w:val="20"/>
          <w:color w:val="auto"/>
        </w:rPr>
      </w:pPr>
    </w:p>
    <w:p>
      <w:pPr>
        <w:jc w:val="both"/>
        <w:spacing w:after="0" w:line="263" w:lineRule="auto"/>
        <w:rPr>
          <w:sz w:val="20"/>
          <w:szCs w:val="20"/>
          <w:color w:val="auto"/>
        </w:rPr>
      </w:pPr>
      <w:r>
        <w:rPr>
          <w:rFonts w:ascii="Arial" w:cs="Arial" w:eastAsia="Arial" w:hAnsi="Arial"/>
          <w:sz w:val="22"/>
          <w:szCs w:val="22"/>
          <w:color w:val="auto"/>
        </w:rPr>
        <w:t>Related-party transactions included the investments in the common stock of TimkenSteel Corporation and the investment funds of the Trustee. Such transactions are exempt from being prohibited transactions.</w:t>
      </w:r>
    </w:p>
    <w:p>
      <w:pPr>
        <w:spacing w:after="0" w:line="134" w:lineRule="exact"/>
        <w:rPr>
          <w:sz w:val="20"/>
          <w:szCs w:val="20"/>
          <w:color w:val="auto"/>
        </w:rPr>
      </w:pPr>
    </w:p>
    <w:p>
      <w:pPr>
        <w:jc w:val="both"/>
        <w:spacing w:after="0" w:line="263" w:lineRule="auto"/>
        <w:rPr>
          <w:sz w:val="20"/>
          <w:szCs w:val="20"/>
          <w:color w:val="auto"/>
        </w:rPr>
      </w:pPr>
      <w:r>
        <w:rPr>
          <w:rFonts w:ascii="Arial" w:cs="Arial" w:eastAsia="Arial" w:hAnsi="Arial"/>
          <w:sz w:val="22"/>
          <w:szCs w:val="22"/>
          <w:color w:val="auto"/>
        </w:rPr>
        <w:t>The following is a summary of transactions in TimkenSteel Corporation common shares with the Master Trust for the six months ended December 31, 2014:</w:t>
      </w:r>
    </w:p>
    <w:p>
      <w:pPr>
        <w:spacing w:after="0" w:line="28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7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360" w:type="dxa"/>
            <w:vAlign w:val="bottom"/>
          </w:tcPr>
          <w:p>
            <w:pPr>
              <w:jc w:val="right"/>
              <w:ind w:right="490"/>
              <w:spacing w:after="0"/>
              <w:rPr>
                <w:sz w:val="20"/>
                <w:szCs w:val="20"/>
                <w:color w:val="auto"/>
              </w:rPr>
            </w:pPr>
            <w:r>
              <w:rPr>
                <w:rFonts w:ascii="Arial" w:cs="Arial" w:eastAsia="Arial" w:hAnsi="Arial"/>
                <w:sz w:val="18"/>
                <w:szCs w:val="18"/>
                <w:b w:val="1"/>
                <w:bCs w:val="1"/>
                <w:color w:val="auto"/>
              </w:rPr>
              <w:t>Dollars</w:t>
            </w:r>
          </w:p>
        </w:tc>
      </w:tr>
      <w:tr>
        <w:trPr>
          <w:trHeight w:val="27"/>
        </w:trPr>
        <w:tc>
          <w:tcPr>
            <w:tcW w:w="97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44"/>
        </w:trPr>
        <w:tc>
          <w:tcPr>
            <w:tcW w:w="9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Purchased</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w w:val="99"/>
              </w:rPr>
              <w:t>$</w:t>
            </w: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24,846,052</w:t>
            </w:r>
          </w:p>
        </w:tc>
      </w:tr>
      <w:tr>
        <w:trPr>
          <w:trHeight w:val="243"/>
        </w:trPr>
        <w:tc>
          <w:tcPr>
            <w:tcW w:w="9720" w:type="dxa"/>
            <w:vAlign w:val="bottom"/>
          </w:tcPr>
          <w:p>
            <w:pPr>
              <w:ind w:left="40"/>
              <w:spacing w:after="0"/>
              <w:rPr>
                <w:sz w:val="20"/>
                <w:szCs w:val="20"/>
                <w:color w:val="auto"/>
              </w:rPr>
            </w:pPr>
            <w:r>
              <w:rPr>
                <w:rFonts w:ascii="Arial" w:cs="Arial" w:eastAsia="Arial" w:hAnsi="Arial"/>
                <w:sz w:val="18"/>
                <w:szCs w:val="18"/>
                <w:color w:val="auto"/>
              </w:rPr>
              <w:t>Issued to participants for payment of benefits</w:t>
            </w:r>
          </w:p>
        </w:tc>
        <w:tc>
          <w:tcPr>
            <w:tcW w:w="340" w:type="dxa"/>
            <w:vAlign w:val="bottom"/>
          </w:tcPr>
          <w:p>
            <w:pPr>
              <w:jc w:val="right"/>
              <w:ind w:right="130"/>
              <w:spacing w:after="0"/>
              <w:rPr>
                <w:sz w:val="20"/>
                <w:szCs w:val="20"/>
                <w:color w:val="auto"/>
              </w:rPr>
            </w:pPr>
            <w:r>
              <w:rPr>
                <w:rFonts w:ascii="Arial" w:cs="Arial" w:eastAsia="Arial" w:hAnsi="Arial"/>
                <w:sz w:val="18"/>
                <w:szCs w:val="18"/>
                <w:b w:val="1"/>
                <w:bCs w:val="1"/>
                <w:color w:val="auto"/>
                <w:w w:val="99"/>
              </w:rPr>
              <w:t>$</w:t>
            </w:r>
          </w:p>
        </w:tc>
        <w:tc>
          <w:tcPr>
            <w:tcW w:w="1360" w:type="dxa"/>
            <w:vAlign w:val="bottom"/>
          </w:tcPr>
          <w:p>
            <w:pPr>
              <w:jc w:val="right"/>
              <w:ind w:right="10"/>
              <w:spacing w:after="0"/>
              <w:rPr>
                <w:sz w:val="20"/>
                <w:szCs w:val="20"/>
                <w:color w:val="auto"/>
              </w:rPr>
            </w:pPr>
            <w:r>
              <w:rPr>
                <w:rFonts w:ascii="Arial" w:cs="Arial" w:eastAsia="Arial" w:hAnsi="Arial"/>
                <w:sz w:val="18"/>
                <w:szCs w:val="18"/>
                <w:b w:val="1"/>
                <w:bCs w:val="1"/>
                <w:color w:val="auto"/>
              </w:rPr>
              <w:t>125,194</w:t>
            </w:r>
          </w:p>
        </w:tc>
      </w:tr>
    </w:tbl>
    <w:p>
      <w:pPr>
        <w:spacing w:after="0" w:line="195" w:lineRule="exact"/>
        <w:rPr>
          <w:sz w:val="20"/>
          <w:szCs w:val="20"/>
          <w:color w:val="auto"/>
        </w:rPr>
      </w:pPr>
    </w:p>
    <w:p>
      <w:pPr>
        <w:jc w:val="both"/>
        <w:spacing w:after="0" w:line="263" w:lineRule="auto"/>
        <w:rPr>
          <w:sz w:val="20"/>
          <w:szCs w:val="20"/>
          <w:color w:val="auto"/>
        </w:rPr>
      </w:pPr>
      <w:r>
        <w:rPr>
          <w:rFonts w:ascii="Arial" w:cs="Arial" w:eastAsia="Arial" w:hAnsi="Arial"/>
          <w:sz w:val="22"/>
          <w:szCs w:val="22"/>
          <w:color w:val="auto"/>
        </w:rPr>
        <w:t>Purchases and benefits paid to participants include TimkenSteel Corporation common shares valued at quoted market prices at the date of purchase or distribution.</w:t>
      </w:r>
    </w:p>
    <w:p>
      <w:pPr>
        <w:spacing w:after="0" w:line="134" w:lineRule="exact"/>
        <w:rPr>
          <w:sz w:val="20"/>
          <w:szCs w:val="20"/>
          <w:color w:val="auto"/>
        </w:rPr>
      </w:pPr>
    </w:p>
    <w:p>
      <w:pPr>
        <w:jc w:val="both"/>
        <w:spacing w:after="0" w:line="343" w:lineRule="auto"/>
        <w:rPr>
          <w:sz w:val="20"/>
          <w:szCs w:val="20"/>
          <w:color w:val="auto"/>
        </w:rPr>
      </w:pPr>
      <w:r>
        <w:rPr>
          <w:rFonts w:ascii="Arial" w:cs="Arial" w:eastAsia="Arial" w:hAnsi="Arial"/>
          <w:sz w:val="19"/>
          <w:szCs w:val="19"/>
          <w:color w:val="auto"/>
        </w:rPr>
        <w:t>Certain legal and accounting fees and certain administrative expenses relating to the maintenance of participant records are paid by The Company. Fees paid during the year for services rendered were based on customary and reasonable rates for such services.</w:t>
      </w:r>
    </w:p>
    <w:p>
      <w:pPr>
        <w:spacing w:after="0" w:line="5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7. Income Tax Status</w:t>
      </w:r>
    </w:p>
    <w:p>
      <w:pPr>
        <w:spacing w:after="0" w:line="185" w:lineRule="exact"/>
        <w:rPr>
          <w:sz w:val="20"/>
          <w:szCs w:val="20"/>
          <w:color w:val="auto"/>
        </w:rPr>
      </w:pPr>
    </w:p>
    <w:p>
      <w:pPr>
        <w:jc w:val="both"/>
        <w:spacing w:after="0" w:line="250" w:lineRule="auto"/>
        <w:rPr>
          <w:sz w:val="20"/>
          <w:szCs w:val="20"/>
          <w:color w:val="auto"/>
        </w:rPr>
      </w:pPr>
      <w:r>
        <w:rPr>
          <w:rFonts w:ascii="Arial" w:cs="Arial" w:eastAsia="Arial" w:hAnsi="Arial"/>
          <w:sz w:val="22"/>
          <w:szCs w:val="22"/>
          <w:color w:val="auto"/>
        </w:rPr>
        <w:t>The Plan has applied for a determination letter from the IRS in February 2015 and is awaiting its receipt at the filing date of the financial statements. The Plan Administrator and the Plan's legal counsel believe that the Plan is designed, and is currently being operated in compliance with the applicable requirements of the Internal Revenue Code (IRC) and therefore, believe that the Plan is qualified, and the related trust is tax-exempt.</w:t>
      </w:r>
    </w:p>
    <w:p>
      <w:pPr>
        <w:spacing w:after="0" w:line="3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125" w:right="239" w:bottom="1440" w:gutter="0" w:footer="0" w:header="0"/>
        </w:sectPr>
      </w:pPr>
    </w:p>
    <w:bookmarkStart w:id="14" w:name="page15"/>
    <w:bookmarkEnd w:id="14"/>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 Savings Plan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for Certain Bargaining Employees</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Financial Statements (continued)</w:t>
      </w:r>
    </w:p>
    <w:p>
      <w:pPr>
        <w:spacing w:after="0" w:line="161" w:lineRule="exact"/>
        <w:rPr>
          <w:sz w:val="20"/>
          <w:szCs w:val="20"/>
          <w:color w:val="auto"/>
        </w:rPr>
      </w:pPr>
    </w:p>
    <w:p>
      <w:pPr>
        <w:jc w:val="both"/>
        <w:spacing w:after="0" w:line="297" w:lineRule="auto"/>
        <w:rPr>
          <w:sz w:val="20"/>
          <w:szCs w:val="20"/>
          <w:color w:val="auto"/>
        </w:rPr>
      </w:pPr>
      <w:r>
        <w:rPr>
          <w:rFonts w:ascii="Arial" w:cs="Arial" w:eastAsia="Arial" w:hAnsi="Arial"/>
          <w:sz w:val="19"/>
          <w:szCs w:val="19"/>
          <w:color w:val="auto"/>
        </w:rPr>
        <w:t>U.S. GAAP requires Plan management to evaluate tax positions taken by the Plan and recognize a tax liability if the Plan has taken an uncertain position that more likely than not would not be sustained upon examination by the IRS. The Plan is subject to routine audits by taxing jurisdictions; however, there are currently no audits for any tax periods in progress.The Plan Administrator has analyzed the tax positions taken by the Plan, and has concluded that as of December 31, 2014, there are no uncertain positions taken or expected to be taken. The Plan has recognized no interest or penalties related to uncertain tax positions.</w:t>
      </w:r>
    </w:p>
    <w:p>
      <w:pPr>
        <w:spacing w:after="0" w:line="10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8. Risks and Uncertainties</w:t>
      </w:r>
    </w:p>
    <w:p>
      <w:pPr>
        <w:spacing w:after="0" w:line="185" w:lineRule="exact"/>
        <w:rPr>
          <w:sz w:val="20"/>
          <w:szCs w:val="20"/>
          <w:color w:val="auto"/>
        </w:rPr>
      </w:pPr>
    </w:p>
    <w:p>
      <w:pPr>
        <w:jc w:val="both"/>
        <w:spacing w:after="0" w:line="302" w:lineRule="auto"/>
        <w:rPr>
          <w:sz w:val="20"/>
          <w:szCs w:val="20"/>
          <w:color w:val="auto"/>
        </w:rPr>
      </w:pPr>
      <w:r>
        <w:rPr>
          <w:rFonts w:ascii="Arial" w:cs="Arial" w:eastAsia="Arial" w:hAnsi="Arial"/>
          <w:sz w:val="19"/>
          <w:szCs w:val="19"/>
          <w:color w:val="auto"/>
        </w:rPr>
        <w:t>The Master Trust invests in various investment securities. Investment securities are exposed to various risks such as interest rate, market and credit risks. Due to the level of risk associated with certain investment securities, it is at least reasonably possible that changes in the values of investment securities will occur in the near term and that such changes could materially affect participants’ account balances and the amounts reported in the statement of net assets available for benefits.</w:t>
      </w:r>
    </w:p>
    <w:p>
      <w:pPr>
        <w:spacing w:after="0" w:line="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9. Reconciliation of Financial Statements to Form 5500</w:t>
      </w:r>
    </w:p>
    <w:p>
      <w:pPr>
        <w:spacing w:after="0" w:line="253" w:lineRule="exact"/>
        <w:rPr>
          <w:sz w:val="20"/>
          <w:szCs w:val="20"/>
          <w:color w:val="auto"/>
        </w:rPr>
      </w:pPr>
    </w:p>
    <w:p>
      <w:pPr>
        <w:jc w:val="both"/>
        <w:spacing w:after="0" w:line="263" w:lineRule="auto"/>
        <w:rPr>
          <w:sz w:val="20"/>
          <w:szCs w:val="20"/>
          <w:color w:val="auto"/>
        </w:rPr>
      </w:pPr>
      <w:r>
        <w:rPr>
          <w:rFonts w:ascii="Arial" w:cs="Arial" w:eastAsia="Arial" w:hAnsi="Arial"/>
          <w:sz w:val="22"/>
          <w:szCs w:val="22"/>
          <w:color w:val="auto"/>
        </w:rPr>
        <w:t>The following is a reconciliation of net assets available for benefits per the financial statement at December 31, 2014 to the Form 5500:</w:t>
      </w:r>
    </w:p>
    <w:p>
      <w:pPr>
        <w:spacing w:after="0" w:line="35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1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20" w:type="dxa"/>
            <w:vAlign w:val="bottom"/>
          </w:tcPr>
          <w:p>
            <w:pPr>
              <w:jc w:val="right"/>
              <w:ind w:right="330"/>
              <w:spacing w:after="0"/>
              <w:rPr>
                <w:sz w:val="20"/>
                <w:szCs w:val="20"/>
                <w:color w:val="auto"/>
              </w:rPr>
            </w:pPr>
            <w:r>
              <w:rPr>
                <w:rFonts w:ascii="Arial" w:cs="Arial" w:eastAsia="Arial" w:hAnsi="Arial"/>
                <w:sz w:val="18"/>
                <w:szCs w:val="18"/>
                <w:b w:val="1"/>
                <w:bCs w:val="1"/>
                <w:color w:val="auto"/>
                <w:w w:val="97"/>
              </w:rPr>
              <w:t>December 31, 2014</w:t>
            </w:r>
          </w:p>
        </w:tc>
      </w:tr>
      <w:tr>
        <w:trPr>
          <w:trHeight w:val="27"/>
        </w:trPr>
        <w:tc>
          <w:tcPr>
            <w:tcW w:w="91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020" w:type="dxa"/>
            <w:vAlign w:val="bottom"/>
            <w:tcBorders>
              <w:bottom w:val="single" w:sz="8" w:color="auto"/>
            </w:tcBorders>
          </w:tcPr>
          <w:p>
            <w:pPr>
              <w:spacing w:after="0"/>
              <w:rPr>
                <w:sz w:val="2"/>
                <w:szCs w:val="2"/>
                <w:color w:val="auto"/>
              </w:rPr>
            </w:pPr>
          </w:p>
        </w:tc>
      </w:tr>
      <w:tr>
        <w:trPr>
          <w:trHeight w:val="244"/>
        </w:trPr>
        <w:tc>
          <w:tcPr>
            <w:tcW w:w="9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assets available for benefits per the financial statement</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2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1,617,642</w:t>
            </w:r>
          </w:p>
        </w:tc>
      </w:tr>
      <w:tr>
        <w:trPr>
          <w:trHeight w:val="243"/>
        </w:trPr>
        <w:tc>
          <w:tcPr>
            <w:tcW w:w="9140" w:type="dxa"/>
            <w:vAlign w:val="bottom"/>
          </w:tcPr>
          <w:p>
            <w:pPr>
              <w:ind w:left="40"/>
              <w:spacing w:after="0"/>
              <w:rPr>
                <w:sz w:val="20"/>
                <w:szCs w:val="20"/>
                <w:color w:val="auto"/>
              </w:rPr>
            </w:pPr>
            <w:r>
              <w:rPr>
                <w:rFonts w:ascii="Arial" w:cs="Arial" w:eastAsia="Arial" w:hAnsi="Arial"/>
                <w:sz w:val="18"/>
                <w:szCs w:val="18"/>
                <w:color w:val="auto"/>
              </w:rPr>
              <w:t>Adjustments from contract value to fair value for fully benefit-responsive investment contracts</w:t>
            </w:r>
          </w:p>
        </w:tc>
        <w:tc>
          <w:tcPr>
            <w:tcW w:w="260" w:type="dxa"/>
            <w:vAlign w:val="bottom"/>
          </w:tcPr>
          <w:p>
            <w:pPr>
              <w:spacing w:after="0"/>
              <w:rPr>
                <w:sz w:val="21"/>
                <w:szCs w:val="21"/>
                <w:color w:val="auto"/>
              </w:rPr>
            </w:pPr>
          </w:p>
        </w:tc>
        <w:tc>
          <w:tcPr>
            <w:tcW w:w="2020" w:type="dxa"/>
            <w:vAlign w:val="bottom"/>
          </w:tcPr>
          <w:p>
            <w:pPr>
              <w:jc w:val="right"/>
              <w:ind w:right="10"/>
              <w:spacing w:after="0"/>
              <w:rPr>
                <w:sz w:val="20"/>
                <w:szCs w:val="20"/>
                <w:color w:val="auto"/>
              </w:rPr>
            </w:pPr>
            <w:r>
              <w:rPr>
                <w:rFonts w:ascii="Arial" w:cs="Arial" w:eastAsia="Arial" w:hAnsi="Arial"/>
                <w:sz w:val="18"/>
                <w:szCs w:val="18"/>
                <w:b w:val="1"/>
                <w:bCs w:val="1"/>
                <w:color w:val="auto"/>
              </w:rPr>
              <w:t>2,700</w:t>
            </w:r>
          </w:p>
        </w:tc>
      </w:tr>
      <w:tr>
        <w:trPr>
          <w:trHeight w:val="27"/>
        </w:trPr>
        <w:tc>
          <w:tcPr>
            <w:tcW w:w="91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020" w:type="dxa"/>
            <w:vAlign w:val="bottom"/>
            <w:tcBorders>
              <w:bottom w:val="single" w:sz="8" w:color="auto"/>
            </w:tcBorders>
          </w:tcPr>
          <w:p>
            <w:pPr>
              <w:spacing w:after="0"/>
              <w:rPr>
                <w:sz w:val="2"/>
                <w:szCs w:val="2"/>
                <w:color w:val="auto"/>
              </w:rPr>
            </w:pPr>
          </w:p>
        </w:tc>
      </w:tr>
      <w:tr>
        <w:trPr>
          <w:trHeight w:val="257"/>
        </w:trPr>
        <w:tc>
          <w:tcPr>
            <w:tcW w:w="9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assets available for benefits per the Form 5500</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2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1,620,342</w:t>
            </w:r>
          </w:p>
        </w:tc>
      </w:tr>
      <w:tr>
        <w:trPr>
          <w:trHeight w:val="20"/>
        </w:trPr>
        <w:tc>
          <w:tcPr>
            <w:tcW w:w="9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20" w:type="dxa"/>
            <w:vAlign w:val="bottom"/>
            <w:tcBorders>
              <w:bottom w:val="single" w:sz="8" w:color="auto"/>
            </w:tcBorders>
          </w:tcPr>
          <w:p>
            <w:pPr>
              <w:spacing w:after="0" w:line="20" w:lineRule="exact"/>
              <w:rPr>
                <w:sz w:val="1"/>
                <w:szCs w:val="1"/>
                <w:color w:val="auto"/>
              </w:rPr>
            </w:pPr>
          </w:p>
        </w:tc>
      </w:tr>
    </w:tbl>
    <w:p>
      <w:pPr>
        <w:spacing w:after="0" w:line="208" w:lineRule="exact"/>
        <w:rPr>
          <w:sz w:val="20"/>
          <w:szCs w:val="20"/>
          <w:color w:val="auto"/>
        </w:rPr>
      </w:pPr>
    </w:p>
    <w:p>
      <w:pPr>
        <w:jc w:val="both"/>
        <w:spacing w:after="0" w:line="263" w:lineRule="auto"/>
        <w:rPr>
          <w:sz w:val="20"/>
          <w:szCs w:val="20"/>
          <w:color w:val="auto"/>
        </w:rPr>
      </w:pPr>
      <w:r>
        <w:rPr>
          <w:rFonts w:ascii="Arial" w:cs="Arial" w:eastAsia="Arial" w:hAnsi="Arial"/>
          <w:sz w:val="22"/>
          <w:szCs w:val="22"/>
          <w:color w:val="auto"/>
        </w:rPr>
        <w:t>The fully benefit-responsive investment contracts have been adjusted from fair value to contract value for purposes of the financial statements. For purposes of the Form 5500, the investment contracts will be stated at fair value.</w:t>
      </w: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125" w:right="239" w:bottom="1440" w:gutter="0" w:footer="0" w:header="0"/>
        </w:sectPr>
      </w:pPr>
    </w:p>
    <w:bookmarkStart w:id="15" w:name="page16"/>
    <w:bookmarkEnd w:id="15"/>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 Savings Plan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for Certain Bargaining Employees</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Financial Statements (continued)</w:t>
      </w:r>
    </w:p>
    <w:p>
      <w:pPr>
        <w:spacing w:after="0" w:line="377" w:lineRule="exact"/>
        <w:rPr>
          <w:sz w:val="20"/>
          <w:szCs w:val="20"/>
          <w:color w:val="auto"/>
        </w:rPr>
      </w:pPr>
    </w:p>
    <w:p>
      <w:pPr>
        <w:spacing w:after="0" w:line="263" w:lineRule="auto"/>
        <w:rPr>
          <w:sz w:val="20"/>
          <w:szCs w:val="20"/>
          <w:color w:val="auto"/>
        </w:rPr>
      </w:pPr>
      <w:r>
        <w:rPr>
          <w:rFonts w:ascii="Arial" w:cs="Arial" w:eastAsia="Arial" w:hAnsi="Arial"/>
          <w:sz w:val="22"/>
          <w:szCs w:val="22"/>
          <w:color w:val="auto"/>
        </w:rPr>
        <w:t>The following is a reconciliation of total additions per the financial statement for the six months ended December 31, 2014 to total income per the Form 5500 :</w:t>
      </w:r>
    </w:p>
    <w:p>
      <w:pPr>
        <w:spacing w:after="0" w:line="200" w:lineRule="exact"/>
        <w:rPr>
          <w:sz w:val="20"/>
          <w:szCs w:val="20"/>
          <w:color w:val="auto"/>
        </w:rPr>
      </w:pPr>
    </w:p>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1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20" w:type="dxa"/>
            <w:vAlign w:val="bottom"/>
          </w:tcPr>
          <w:p>
            <w:pPr>
              <w:jc w:val="right"/>
              <w:ind w:right="350"/>
              <w:spacing w:after="0"/>
              <w:rPr>
                <w:sz w:val="20"/>
                <w:szCs w:val="20"/>
                <w:color w:val="auto"/>
              </w:rPr>
            </w:pPr>
            <w:r>
              <w:rPr>
                <w:rFonts w:ascii="Arial" w:cs="Arial" w:eastAsia="Arial" w:hAnsi="Arial"/>
                <w:sz w:val="18"/>
                <w:szCs w:val="18"/>
                <w:b w:val="1"/>
                <w:bCs w:val="1"/>
                <w:color w:val="auto"/>
                <w:w w:val="99"/>
              </w:rPr>
              <w:t>Six Months Ended</w:t>
            </w:r>
          </w:p>
        </w:tc>
      </w:tr>
      <w:tr>
        <w:trPr>
          <w:trHeight w:val="270"/>
        </w:trPr>
        <w:tc>
          <w:tcPr>
            <w:tcW w:w="914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2020" w:type="dxa"/>
            <w:vAlign w:val="bottom"/>
          </w:tcPr>
          <w:p>
            <w:pPr>
              <w:jc w:val="right"/>
              <w:ind w:right="330"/>
              <w:spacing w:after="0"/>
              <w:rPr>
                <w:sz w:val="20"/>
                <w:szCs w:val="20"/>
                <w:color w:val="auto"/>
              </w:rPr>
            </w:pPr>
            <w:r>
              <w:rPr>
                <w:rFonts w:ascii="Arial" w:cs="Arial" w:eastAsia="Arial" w:hAnsi="Arial"/>
                <w:sz w:val="18"/>
                <w:szCs w:val="18"/>
                <w:b w:val="1"/>
                <w:bCs w:val="1"/>
                <w:color w:val="auto"/>
                <w:w w:val="97"/>
              </w:rPr>
              <w:t>December 31, 2014</w:t>
            </w:r>
          </w:p>
        </w:tc>
      </w:tr>
      <w:tr>
        <w:trPr>
          <w:trHeight w:val="27"/>
        </w:trPr>
        <w:tc>
          <w:tcPr>
            <w:tcW w:w="91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020" w:type="dxa"/>
            <w:vAlign w:val="bottom"/>
            <w:tcBorders>
              <w:bottom w:val="single" w:sz="8" w:color="auto"/>
            </w:tcBorders>
          </w:tcPr>
          <w:p>
            <w:pPr>
              <w:spacing w:after="0"/>
              <w:rPr>
                <w:sz w:val="2"/>
                <w:szCs w:val="2"/>
                <w:color w:val="auto"/>
              </w:rPr>
            </w:pPr>
          </w:p>
        </w:tc>
      </w:tr>
      <w:tr>
        <w:trPr>
          <w:trHeight w:val="244"/>
        </w:trPr>
        <w:tc>
          <w:tcPr>
            <w:tcW w:w="9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additions per the financial statement</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2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115,939</w:t>
            </w:r>
          </w:p>
        </w:tc>
      </w:tr>
      <w:tr>
        <w:trPr>
          <w:trHeight w:val="243"/>
        </w:trPr>
        <w:tc>
          <w:tcPr>
            <w:tcW w:w="9140" w:type="dxa"/>
            <w:vAlign w:val="bottom"/>
          </w:tcPr>
          <w:p>
            <w:pPr>
              <w:ind w:left="40"/>
              <w:spacing w:after="0"/>
              <w:rPr>
                <w:sz w:val="20"/>
                <w:szCs w:val="20"/>
                <w:color w:val="auto"/>
              </w:rPr>
            </w:pPr>
            <w:r>
              <w:rPr>
                <w:rFonts w:ascii="Arial" w:cs="Arial" w:eastAsia="Arial" w:hAnsi="Arial"/>
                <w:sz w:val="18"/>
                <w:szCs w:val="18"/>
                <w:color w:val="auto"/>
                <w:w w:val="99"/>
              </w:rPr>
              <w:t>Adjustment from contract value to fair value for fully benefit-responsive investment contracts at December 31, 2014</w:t>
            </w:r>
          </w:p>
        </w:tc>
        <w:tc>
          <w:tcPr>
            <w:tcW w:w="260" w:type="dxa"/>
            <w:vAlign w:val="bottom"/>
          </w:tcPr>
          <w:p>
            <w:pPr>
              <w:spacing w:after="0"/>
              <w:rPr>
                <w:sz w:val="21"/>
                <w:szCs w:val="21"/>
                <w:color w:val="auto"/>
              </w:rPr>
            </w:pPr>
          </w:p>
        </w:tc>
        <w:tc>
          <w:tcPr>
            <w:tcW w:w="2020" w:type="dxa"/>
            <w:vAlign w:val="bottom"/>
          </w:tcPr>
          <w:p>
            <w:pPr>
              <w:jc w:val="right"/>
              <w:ind w:right="10"/>
              <w:spacing w:after="0"/>
              <w:rPr>
                <w:sz w:val="20"/>
                <w:szCs w:val="20"/>
                <w:color w:val="auto"/>
              </w:rPr>
            </w:pPr>
            <w:r>
              <w:rPr>
                <w:rFonts w:ascii="Arial" w:cs="Arial" w:eastAsia="Arial" w:hAnsi="Arial"/>
                <w:sz w:val="18"/>
                <w:szCs w:val="18"/>
                <w:b w:val="1"/>
                <w:bCs w:val="1"/>
                <w:color w:val="auto"/>
              </w:rPr>
              <w:t>2,700</w:t>
            </w:r>
          </w:p>
        </w:tc>
      </w:tr>
      <w:tr>
        <w:trPr>
          <w:trHeight w:val="27"/>
        </w:trPr>
        <w:tc>
          <w:tcPr>
            <w:tcW w:w="91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020" w:type="dxa"/>
            <w:vAlign w:val="bottom"/>
            <w:tcBorders>
              <w:bottom w:val="single" w:sz="8" w:color="auto"/>
            </w:tcBorders>
          </w:tcPr>
          <w:p>
            <w:pPr>
              <w:spacing w:after="0"/>
              <w:rPr>
                <w:sz w:val="2"/>
                <w:szCs w:val="2"/>
                <w:color w:val="auto"/>
              </w:rPr>
            </w:pPr>
          </w:p>
        </w:tc>
      </w:tr>
      <w:tr>
        <w:trPr>
          <w:trHeight w:val="257"/>
        </w:trPr>
        <w:tc>
          <w:tcPr>
            <w:tcW w:w="9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income per the Form 5500</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2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118,639</w:t>
            </w:r>
          </w:p>
        </w:tc>
      </w:tr>
      <w:tr>
        <w:trPr>
          <w:trHeight w:val="20"/>
        </w:trPr>
        <w:tc>
          <w:tcPr>
            <w:tcW w:w="9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125" w:right="239" w:bottom="1440" w:gutter="0" w:footer="0" w:header="0"/>
        </w:sectPr>
      </w:pPr>
    </w:p>
    <w:bookmarkStart w:id="16" w:name="page17"/>
    <w:bookmarkEnd w:id="16"/>
    <w:p>
      <w:pPr>
        <w:jc w:val="center"/>
        <w:ind w:right="-139"/>
        <w:spacing w:after="0"/>
        <w:rPr>
          <w:sz w:val="20"/>
          <w:szCs w:val="20"/>
          <w:color w:val="auto"/>
        </w:rPr>
      </w:pPr>
      <w:r>
        <w:rPr>
          <w:rFonts w:ascii="Arial" w:cs="Arial" w:eastAsia="Arial" w:hAnsi="Arial"/>
          <w:sz w:val="22"/>
          <w:szCs w:val="22"/>
          <w:b w:val="1"/>
          <w:bCs w:val="1"/>
          <w:color w:val="auto"/>
        </w:rPr>
        <w:t>SIGNATURES</w:t>
      </w:r>
    </w:p>
    <w:p>
      <w:pPr>
        <w:spacing w:after="0" w:line="185" w:lineRule="exact"/>
        <w:rPr>
          <w:sz w:val="20"/>
          <w:szCs w:val="20"/>
          <w:color w:val="auto"/>
        </w:rPr>
      </w:pPr>
    </w:p>
    <w:p>
      <w:pPr>
        <w:spacing w:after="0" w:line="343" w:lineRule="auto"/>
        <w:rPr>
          <w:sz w:val="20"/>
          <w:szCs w:val="20"/>
          <w:color w:val="auto"/>
        </w:rPr>
      </w:pPr>
      <w:r>
        <w:rPr>
          <w:rFonts w:ascii="Arial" w:cs="Arial" w:eastAsia="Arial" w:hAnsi="Arial"/>
          <w:sz w:val="19"/>
          <w:szCs w:val="19"/>
          <w:i w:val="1"/>
          <w:iCs w:val="1"/>
          <w:color w:val="auto"/>
        </w:rPr>
        <w:t xml:space="preserve">The Plan. </w:t>
      </w:r>
      <w:r>
        <w:rPr>
          <w:rFonts w:ascii="Arial" w:cs="Arial" w:eastAsia="Arial" w:hAnsi="Arial"/>
          <w:sz w:val="19"/>
          <w:szCs w:val="19"/>
          <w:color w:val="auto"/>
        </w:rPr>
        <w:t>Pursuant to the requirements of the Securities Exchange Act of 1934, the trustees (or other person who administer the</w:t>
      </w:r>
      <w:r>
        <w:rPr>
          <w:rFonts w:ascii="Arial" w:cs="Arial" w:eastAsia="Arial" w:hAnsi="Arial"/>
          <w:sz w:val="19"/>
          <w:szCs w:val="19"/>
          <w:i w:val="1"/>
          <w:iCs w:val="1"/>
          <w:color w:val="auto"/>
        </w:rPr>
        <w:t xml:space="preserve"> </w:t>
      </w:r>
      <w:r>
        <w:rPr>
          <w:rFonts w:ascii="Arial" w:cs="Arial" w:eastAsia="Arial" w:hAnsi="Arial"/>
          <w:sz w:val="19"/>
          <w:szCs w:val="19"/>
          <w:color w:val="auto"/>
        </w:rPr>
        <w:t>employee benefit plan) have duly caused this annual report to be signed on its behalf by the undersigned hereunto duly authorized.</w:t>
      </w:r>
    </w:p>
    <w:p>
      <w:pPr>
        <w:spacing w:after="0" w:line="213" w:lineRule="exact"/>
        <w:rPr>
          <w:sz w:val="20"/>
          <w:szCs w:val="20"/>
          <w:color w:val="auto"/>
        </w:rPr>
      </w:pPr>
    </w:p>
    <w:p>
      <w:pPr>
        <w:ind w:left="5740"/>
        <w:spacing w:after="0"/>
        <w:rPr>
          <w:sz w:val="20"/>
          <w:szCs w:val="20"/>
          <w:color w:val="auto"/>
        </w:rPr>
      </w:pPr>
      <w:r>
        <w:rPr>
          <w:rFonts w:ascii="Arial" w:cs="Arial" w:eastAsia="Arial" w:hAnsi="Arial"/>
          <w:sz w:val="22"/>
          <w:szCs w:val="22"/>
          <w:color w:val="auto"/>
        </w:rPr>
        <w:t>TIMKENSTEEL CORPORATION</w:t>
      </w:r>
    </w:p>
    <w:p>
      <w:pPr>
        <w:spacing w:after="0" w:line="44" w:lineRule="exact"/>
        <w:rPr>
          <w:sz w:val="20"/>
          <w:szCs w:val="20"/>
          <w:color w:val="auto"/>
        </w:rPr>
      </w:pPr>
    </w:p>
    <w:p>
      <w:pPr>
        <w:ind w:left="5740"/>
        <w:spacing w:after="0"/>
        <w:rPr>
          <w:sz w:val="20"/>
          <w:szCs w:val="20"/>
          <w:color w:val="auto"/>
        </w:rPr>
      </w:pPr>
      <w:r>
        <w:rPr>
          <w:rFonts w:ascii="Arial" w:cs="Arial" w:eastAsia="Arial" w:hAnsi="Arial"/>
          <w:sz w:val="22"/>
          <w:szCs w:val="22"/>
          <w:color w:val="auto"/>
        </w:rPr>
        <w:t>SAVINGS PLAN FOR CERTAIN BARGAINING</w:t>
      </w:r>
    </w:p>
    <w:p>
      <w:pPr>
        <w:spacing w:after="0" w:line="8" w:lineRule="exact"/>
        <w:rPr>
          <w:sz w:val="20"/>
          <w:szCs w:val="20"/>
          <w:color w:val="auto"/>
        </w:rPr>
      </w:pPr>
    </w:p>
    <w:p>
      <w:pPr>
        <w:ind w:left="5740"/>
        <w:spacing w:after="0"/>
        <w:rPr>
          <w:sz w:val="20"/>
          <w:szCs w:val="20"/>
          <w:color w:val="auto"/>
        </w:rPr>
      </w:pPr>
      <w:r>
        <w:rPr>
          <w:rFonts w:ascii="Arial" w:cs="Arial" w:eastAsia="Arial" w:hAnsi="Arial"/>
          <w:sz w:val="22"/>
          <w:szCs w:val="22"/>
          <w:color w:val="auto"/>
        </w:rPr>
        <w:t>EMPLOYEES</w:t>
      </w:r>
    </w:p>
    <w:p>
      <w:pPr>
        <w:spacing w:after="0" w:line="350" w:lineRule="exact"/>
        <w:rPr>
          <w:sz w:val="20"/>
          <w:szCs w:val="20"/>
          <w:color w:val="auto"/>
        </w:rPr>
      </w:pPr>
    </w:p>
    <w:p>
      <w:pPr>
        <w:ind w:left="40"/>
        <w:spacing w:after="0"/>
        <w:tabs>
          <w:tab w:leader="none" w:pos="820" w:val="left"/>
          <w:tab w:leader="none" w:pos="5720" w:val="left"/>
        </w:tabs>
        <w:rPr>
          <w:sz w:val="20"/>
          <w:szCs w:val="20"/>
          <w:color w:val="auto"/>
        </w:rPr>
      </w:pPr>
      <w:r>
        <w:rPr>
          <w:rFonts w:ascii="Arial" w:cs="Arial" w:eastAsia="Arial" w:hAnsi="Arial"/>
          <w:sz w:val="22"/>
          <w:szCs w:val="22"/>
          <w:color w:val="auto"/>
        </w:rPr>
        <w:t>Date:</w:t>
      </w:r>
      <w:r>
        <w:rPr>
          <w:sz w:val="20"/>
          <w:szCs w:val="20"/>
          <w:color w:val="auto"/>
        </w:rPr>
        <w:tab/>
      </w:r>
      <w:r>
        <w:rPr>
          <w:rFonts w:ascii="Arial" w:cs="Arial" w:eastAsia="Arial" w:hAnsi="Arial"/>
          <w:sz w:val="22"/>
          <w:szCs w:val="22"/>
          <w:color w:val="auto"/>
        </w:rPr>
        <w:t>June 26, 2015</w:t>
      </w:r>
      <w:r>
        <w:rPr>
          <w:sz w:val="20"/>
          <w:szCs w:val="20"/>
          <w:color w:val="auto"/>
        </w:rPr>
        <w:tab/>
      </w:r>
      <w:r>
        <w:rPr>
          <w:rFonts w:ascii="Arial" w:cs="Arial" w:eastAsia="Arial" w:hAnsi="Arial"/>
          <w:sz w:val="19"/>
          <w:szCs w:val="19"/>
          <w:color w:val="auto"/>
        </w:rPr>
        <w:t>/s/ Amanda J. Sterling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24765</wp:posOffset>
            </wp:positionV>
            <wp:extent cx="361886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8" w:lineRule="exact"/>
        <w:rPr>
          <w:sz w:val="20"/>
          <w:szCs w:val="20"/>
          <w:color w:val="auto"/>
        </w:rPr>
      </w:pPr>
    </w:p>
    <w:p>
      <w:pPr>
        <w:ind w:left="5740"/>
        <w:spacing w:after="0"/>
        <w:rPr>
          <w:sz w:val="20"/>
          <w:szCs w:val="20"/>
          <w:color w:val="auto"/>
        </w:rPr>
      </w:pPr>
      <w:r>
        <w:rPr>
          <w:rFonts w:ascii="Arial" w:cs="Arial" w:eastAsia="Arial" w:hAnsi="Arial"/>
          <w:sz w:val="22"/>
          <w:szCs w:val="22"/>
          <w:color w:val="auto"/>
        </w:rPr>
        <w:t>Amanda J. Sterling</w:t>
      </w:r>
    </w:p>
    <w:p>
      <w:pPr>
        <w:spacing w:after="0" w:line="8" w:lineRule="exact"/>
        <w:rPr>
          <w:sz w:val="20"/>
          <w:szCs w:val="20"/>
          <w:color w:val="auto"/>
        </w:rPr>
      </w:pPr>
    </w:p>
    <w:p>
      <w:pPr>
        <w:ind w:left="5740"/>
        <w:spacing w:after="0"/>
        <w:rPr>
          <w:sz w:val="20"/>
          <w:szCs w:val="20"/>
          <w:color w:val="auto"/>
        </w:rPr>
      </w:pPr>
      <w:r>
        <w:rPr>
          <w:rFonts w:ascii="Arial" w:cs="Arial" w:eastAsia="Arial" w:hAnsi="Arial"/>
          <w:sz w:val="22"/>
          <w:szCs w:val="22"/>
          <w:color w:val="auto"/>
        </w:rPr>
        <w:t>Vice President and Corporate Controller</w:t>
      </w:r>
    </w:p>
    <w:sectPr>
      <w:pgSz w:w="11900" w:h="16838" w:orient="portrait"/>
      <w:cols w:equalWidth="0" w:num="1">
        <w:col w:w="11300"/>
      </w:cols>
      <w:pgMar w:left="240" w:top="369" w:right="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x"/>
      <w:numFmt w:val="bullet"/>
      <w:start w:val="1"/>
    </w:lvl>
  </w:abstractNum>
  <w:abstractNum w:abstractNumId="1">
    <w:nsid w:val="625558EC"/>
    <w:multiLevelType w:val="hybridMultilevel"/>
    <w:lvl w:ilvl="0">
      <w:lvlJc w:val="left"/>
      <w:lvlText w:val="o"/>
      <w:numFmt w:val="bullet"/>
      <w:start w:val="1"/>
    </w:lvl>
  </w:abstractNum>
  <w:abstractNum w:abstractNumId="2">
    <w:nsid w:val="238E1F29"/>
    <w:multiLevelType w:val="hybridMultilevel"/>
    <w:lvl w:ilvl="0">
      <w:lvlJc w:val="left"/>
      <w:lvlText w:val="(%1)"/>
      <w:numFmt w:val="lowerLetter"/>
      <w:start w:val="2"/>
    </w:lvl>
  </w:abstractNum>
  <w:abstractNum w:abstractNumId="3">
    <w:nsid w:val="46E87CCD"/>
    <w:multiLevelType w:val="hybridMultilevel"/>
    <w:lvl w:ilvl="0">
      <w:lvlJc w:val="left"/>
      <w:lvlText w:val="(%1)"/>
      <w:numFmt w:val="lowerRoman"/>
      <w:start w:val="1"/>
    </w:lvl>
  </w:abstractNum>
  <w:abstractNum w:abstractNumId="4">
    <w:nsid w:val="3D1B58BA"/>
    <w:multiLevelType w:val="hybridMultilevel"/>
    <w:lvl w:ilvl="0">
      <w:lvlJc w:val="left"/>
      <w:lvlText w:val="%1."/>
      <w:numFmt w:val="decimal"/>
      <w:start w:val="2"/>
    </w:lvl>
  </w:abstractNum>
  <w:abstractNum w:abstractNumId="5">
    <w:nsid w:val="507ED7A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2020-01-23T22:14:10Z</dcterms:created>
  <dcterms:modified xsi:type="dcterms:W3CDTF">2020-01-23T22:14:10Z</dcterms:modified>
</cp:coreProperties>
</file>