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TIMKENSTEEL CORP</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887399103</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2015</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887399103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3690395</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747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3776447</w:t>
      </w:r>
    </w:p>
    <w:p>
      <w:pPr>
        <w:sectPr>
          <w:pgSz w:w="11900" w:h="16848" w:orient="portrait"/>
          <w:cols w:equalWidth="0" w:num="1">
            <w:col w:w="10219"/>
          </w:cols>
          <w:pgMar w:left="240" w:top="244" w:right="1440" w:bottom="0" w:gutter="0" w:footer="0" w:header="0"/>
        </w:sectPr>
      </w:pPr>
    </w:p>
    <w:bookmarkStart w:id="1" w:name="page2"/>
    <w:bookmarkEnd w:id="1"/>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3776447</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8.5%</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TIMKENSTEEL CORP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1835 DUEBER AVENUE SW</w:t>
      </w:r>
    </w:p>
    <w:p>
      <w:pPr>
        <w:spacing w:after="0" w:line="238" w:lineRule="auto"/>
        <w:rPr>
          <w:sz w:val="20"/>
          <w:szCs w:val="20"/>
          <w:color w:val="auto"/>
        </w:rPr>
      </w:pPr>
      <w:r>
        <w:rPr>
          <w:rFonts w:ascii="Courier New" w:cs="Courier New" w:eastAsia="Courier New" w:hAnsi="Courier New"/>
          <w:sz w:val="18"/>
          <w:szCs w:val="18"/>
          <w:color w:val="auto"/>
        </w:rPr>
        <w:t>CANTON OH 44706-0928</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w:t>
      </w:r>
    </w:p>
    <w:p>
      <w:pPr>
        <w:sectPr>
          <w:pgSz w:w="11900" w:h="16838" w:orient="portrait"/>
          <w:cols w:equalWidth="0" w:num="1">
            <w:col w:w="10219"/>
          </w:cols>
          <w:pgMar w:left="240" w:top="136" w:right="1440" w:bottom="0" w:gutter="0" w:footer="0" w:header="0"/>
        </w:sectPr>
      </w:pPr>
    </w:p>
    <w:bookmarkStart w:id="2" w:name="page3"/>
    <w:bookmarkEnd w:id="2"/>
    <w:p>
      <w:pPr>
        <w:ind w:left="1280"/>
        <w:spacing w:after="0"/>
        <w:rPr>
          <w:sz w:val="20"/>
          <w:szCs w:val="20"/>
          <w:color w:val="auto"/>
        </w:rPr>
      </w:pPr>
      <w:r>
        <w:rPr>
          <w:rFonts w:ascii="Courier New" w:cs="Courier New" w:eastAsia="Courier New" w:hAnsi="Courier New"/>
          <w:sz w:val="18"/>
          <w:szCs w:val="18"/>
          <w:color w:val="auto"/>
        </w:rPr>
        <w:t>Rule 13d-1(b)(1)(ii)(F);</w:t>
      </w:r>
    </w:p>
    <w:p>
      <w:pPr>
        <w:spacing w:after="0" w:line="4" w:lineRule="exact"/>
        <w:rPr>
          <w:sz w:val="20"/>
          <w:szCs w:val="20"/>
          <w:color w:val="auto"/>
        </w:rPr>
      </w:pPr>
    </w:p>
    <w:p>
      <w:pPr>
        <w:ind w:left="1280" w:right="3359" w:hanging="1272"/>
        <w:spacing w:after="0" w:line="235" w:lineRule="auto"/>
        <w:tabs>
          <w:tab w:leader="none" w:pos="43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rPr>
          <w:sz w:val="20"/>
          <w:szCs w:val="20"/>
          <w:color w:val="auto"/>
        </w:rPr>
      </w:pPr>
      <w:r>
        <w:rPr>
          <w:rFonts w:ascii="Courier New" w:cs="Courier New" w:eastAsia="Courier New" w:hAnsi="Courier New"/>
          <w:sz w:val="18"/>
          <w:szCs w:val="18"/>
          <w:color w:val="auto"/>
        </w:rPr>
        <w:t>[ ] A non-U.S. institution in accordance with</w:t>
      </w:r>
    </w:p>
    <w:p>
      <w:pPr>
        <w:ind w:left="1280"/>
        <w:spacing w:after="0" w:line="238" w:lineRule="auto"/>
        <w:rPr>
          <w:sz w:val="20"/>
          <w:szCs w:val="20"/>
          <w:color w:val="auto"/>
        </w:rPr>
      </w:pPr>
      <w:r>
        <w:rPr>
          <w:rFonts w:ascii="Courier New" w:cs="Courier New" w:eastAsia="Courier New" w:hAnsi="Courier New"/>
          <w:sz w:val="18"/>
          <w:szCs w:val="18"/>
          <w:color w:val="auto"/>
        </w:rPr>
        <w:t>Rule 240.13d-1(b)(1)(ii)(J);</w:t>
      </w:r>
    </w:p>
    <w:p>
      <w:pPr>
        <w:spacing w:after="0" w:line="5" w:lineRule="exact"/>
        <w:rPr>
          <w:sz w:val="20"/>
          <w:szCs w:val="20"/>
          <w:color w:val="auto"/>
        </w:rPr>
      </w:pPr>
    </w:p>
    <w:p>
      <w:pPr>
        <w:ind w:left="1280" w:right="3039" w:hanging="1272"/>
        <w:spacing w:after="0" w:line="235" w:lineRule="auto"/>
        <w:tabs>
          <w:tab w:leader="none" w:pos="2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3776447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8.5%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3690395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3776447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right="24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580" w:type="dxa"/>
            <w:vAlign w:val="bottom"/>
            <w:gridSpan w:val="2"/>
          </w:tcPr>
          <w:p>
            <w:pPr>
              <w:spacing w:after="0"/>
              <w:rPr>
                <w:sz w:val="20"/>
                <w:szCs w:val="20"/>
                <w:color w:val="auto"/>
              </w:rPr>
            </w:pPr>
            <w:r>
              <w:rPr>
                <w:rFonts w:ascii="Courier New" w:cs="Courier New" w:eastAsia="Courier New" w:hAnsi="Courier New"/>
                <w:sz w:val="18"/>
                <w:szCs w:val="18"/>
                <w:color w:val="auto"/>
                <w:w w:val="98"/>
              </w:rPr>
              <w:t>Various persons have the</w:t>
            </w:r>
          </w:p>
        </w:tc>
        <w:tc>
          <w:tcPr>
            <w:tcW w:w="4160" w:type="dxa"/>
            <w:vAlign w:val="bottom"/>
          </w:tcPr>
          <w:p>
            <w:pPr>
              <w:ind w:left="60"/>
              <w:spacing w:after="0"/>
              <w:rPr>
                <w:sz w:val="20"/>
                <w:szCs w:val="20"/>
                <w:color w:val="auto"/>
              </w:rPr>
            </w:pPr>
            <w:r>
              <w:rPr>
                <w:rFonts w:ascii="Courier New" w:cs="Courier New" w:eastAsia="Courier New" w:hAnsi="Courier New"/>
                <w:sz w:val="18"/>
                <w:szCs w:val="18"/>
                <w:color w:val="auto"/>
                <w:w w:val="96"/>
              </w:rPr>
              <w:t>right to receive or the power to direct</w:t>
            </w:r>
          </w:p>
        </w:tc>
      </w:tr>
      <w:tr>
        <w:trPr>
          <w:trHeight w:val="203"/>
        </w:trPr>
        <w:tc>
          <w:tcPr>
            <w:tcW w:w="1220" w:type="dxa"/>
            <w:vAlign w:val="bottom"/>
          </w:tcPr>
          <w:p>
            <w:pPr>
              <w:spacing w:after="0" w:line="203" w:lineRule="exact"/>
              <w:rPr>
                <w:sz w:val="20"/>
                <w:szCs w:val="20"/>
                <w:color w:val="auto"/>
              </w:rPr>
            </w:pPr>
            <w:r>
              <w:rPr>
                <w:rFonts w:ascii="Courier New" w:cs="Courier New" w:eastAsia="Courier New" w:hAnsi="Courier New"/>
                <w:sz w:val="18"/>
                <w:szCs w:val="18"/>
                <w:color w:val="auto"/>
              </w:rPr>
              <w:t>the receipt</w:t>
            </w:r>
          </w:p>
        </w:tc>
        <w:tc>
          <w:tcPr>
            <w:tcW w:w="13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8"/>
              </w:rPr>
              <w:t>of dividends</w:t>
            </w:r>
          </w:p>
        </w:tc>
        <w:tc>
          <w:tcPr>
            <w:tcW w:w="41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9"/>
              </w:rPr>
              <w:t>from, or the proceeds from the sale of</w:t>
            </w:r>
          </w:p>
        </w:tc>
      </w:tr>
      <w:tr>
        <w:trPr>
          <w:trHeight w:val="203"/>
        </w:trPr>
        <w:tc>
          <w:tcPr>
            <w:tcW w:w="25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the common stock of</w:t>
            </w:r>
          </w:p>
        </w:tc>
        <w:tc>
          <w:tcPr>
            <w:tcW w:w="4160" w:type="dxa"/>
            <w:vAlign w:val="bottom"/>
          </w:tcPr>
          <w:p>
            <w:pPr>
              <w:spacing w:after="0"/>
              <w:rPr>
                <w:sz w:val="17"/>
                <w:szCs w:val="17"/>
                <w:color w:val="auto"/>
              </w:rPr>
            </w:pPr>
          </w:p>
        </w:tc>
      </w:tr>
      <w:tr>
        <w:trPr>
          <w:trHeight w:val="203"/>
        </w:trPr>
        <w:tc>
          <w:tcPr>
            <w:tcW w:w="1220" w:type="dxa"/>
            <w:vAlign w:val="bottom"/>
          </w:tcPr>
          <w:p>
            <w:pPr>
              <w:spacing w:after="0" w:line="203" w:lineRule="exact"/>
              <w:rPr>
                <w:sz w:val="20"/>
                <w:szCs w:val="20"/>
                <w:color w:val="auto"/>
              </w:rPr>
            </w:pPr>
            <w:r>
              <w:rPr>
                <w:rFonts w:ascii="Courier New" w:cs="Courier New" w:eastAsia="Courier New" w:hAnsi="Courier New"/>
                <w:sz w:val="18"/>
                <w:szCs w:val="18"/>
                <w:color w:val="auto"/>
              </w:rPr>
              <w:t>TIMKENSTEEL</w:t>
            </w:r>
          </w:p>
        </w:tc>
        <w:tc>
          <w:tcPr>
            <w:tcW w:w="13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CORP.</w:t>
            </w:r>
          </w:p>
        </w:tc>
        <w:tc>
          <w:tcPr>
            <w:tcW w:w="4160" w:type="dxa"/>
            <w:vAlign w:val="bottom"/>
          </w:tcPr>
          <w:p>
            <w:pPr>
              <w:spacing w:after="0"/>
              <w:rPr>
                <w:sz w:val="17"/>
                <w:szCs w:val="17"/>
                <w:color w:val="auto"/>
              </w:rPr>
            </w:pPr>
          </w:p>
        </w:tc>
      </w:tr>
      <w:tr>
        <w:trPr>
          <w:trHeight w:val="203"/>
        </w:trPr>
        <w:tc>
          <w:tcPr>
            <w:tcW w:w="25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w w:val="98"/>
              </w:rPr>
              <w:t>No one person's interest</w:t>
            </w:r>
          </w:p>
        </w:tc>
        <w:tc>
          <w:tcPr>
            <w:tcW w:w="41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in the common stock of</w:t>
            </w:r>
          </w:p>
        </w:tc>
      </w:tr>
      <w:tr>
        <w:trPr>
          <w:trHeight w:val="203"/>
        </w:trPr>
        <w:tc>
          <w:tcPr>
            <w:tcW w:w="1220" w:type="dxa"/>
            <w:vAlign w:val="bottom"/>
          </w:tcPr>
          <w:p>
            <w:pPr>
              <w:spacing w:after="0" w:line="203" w:lineRule="exact"/>
              <w:rPr>
                <w:sz w:val="20"/>
                <w:szCs w:val="20"/>
                <w:color w:val="auto"/>
              </w:rPr>
            </w:pPr>
            <w:r>
              <w:rPr>
                <w:rFonts w:ascii="Courier New" w:cs="Courier New" w:eastAsia="Courier New" w:hAnsi="Courier New"/>
                <w:sz w:val="18"/>
                <w:szCs w:val="18"/>
                <w:color w:val="auto"/>
              </w:rPr>
              <w:t>TIMKENSTEEL</w:t>
            </w:r>
          </w:p>
        </w:tc>
        <w:tc>
          <w:tcPr>
            <w:tcW w:w="13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CORP</w:t>
            </w:r>
          </w:p>
        </w:tc>
        <w:tc>
          <w:tcPr>
            <w:tcW w:w="4160" w:type="dxa"/>
            <w:vAlign w:val="bottom"/>
          </w:tcPr>
          <w:p>
            <w:pPr>
              <w:spacing w:after="0"/>
              <w:rPr>
                <w:sz w:val="17"/>
                <w:szCs w:val="17"/>
                <w:color w:val="auto"/>
              </w:rPr>
            </w:pPr>
          </w:p>
        </w:tc>
      </w:tr>
    </w:tbl>
    <w:p>
      <w:pPr>
        <w:sectPr>
          <w:pgSz w:w="11900" w:h="16838" w:orient="portrait"/>
          <w:cols w:equalWidth="0" w:num="1">
            <w:col w:w="10219"/>
          </w:cols>
          <w:pgMar w:left="240" w:top="136" w:right="1440" w:bottom="0" w:gutter="0" w:footer="0" w:header="0"/>
        </w:sectPr>
      </w:pPr>
    </w:p>
    <w:bookmarkStart w:id="3" w:name="page4"/>
    <w:bookmarkEnd w:id="3"/>
    <w:p>
      <w:pPr>
        <w:spacing w:after="0"/>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22, 2016</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335"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Subsidiary</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(Luxembourg) S.A.</w:t>
      </w:r>
    </w:p>
    <w:p>
      <w:pPr>
        <w:spacing w:after="0" w:line="238" w:lineRule="auto"/>
        <w:rPr>
          <w:sz w:val="20"/>
          <w:szCs w:val="20"/>
          <w:color w:val="auto"/>
        </w:rPr>
      </w:pPr>
      <w:r>
        <w:rPr>
          <w:rFonts w:ascii="Courier New" w:cs="Courier New" w:eastAsia="Courier New" w:hAnsi="Courier New"/>
          <w:sz w:val="18"/>
          <w:szCs w:val="18"/>
          <w:color w:val="auto"/>
        </w:rPr>
        <w:t>BlackRock Advisors, LLC</w:t>
      </w:r>
    </w:p>
    <w:p>
      <w:pPr>
        <w:spacing w:after="0"/>
        <w:rPr>
          <w:sz w:val="20"/>
          <w:szCs w:val="20"/>
          <w:color w:val="auto"/>
        </w:rPr>
      </w:pPr>
      <w:r>
        <w:rPr>
          <w:rFonts w:ascii="Courier New" w:cs="Courier New" w:eastAsia="Courier New" w:hAnsi="Courier New"/>
          <w:sz w:val="18"/>
          <w:szCs w:val="18"/>
          <w:color w:val="auto"/>
        </w:rPr>
        <w:t>BlackRock Asset Management Canada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spacing w:after="0" w:line="238" w:lineRule="auto"/>
        <w:rPr>
          <w:sz w:val="20"/>
          <w:szCs w:val="20"/>
          <w:color w:val="auto"/>
        </w:rPr>
      </w:pPr>
      <w:r>
        <w:rPr>
          <w:rFonts w:ascii="Courier New" w:cs="Courier New" w:eastAsia="Courier New" w:hAnsi="Courier New"/>
          <w:sz w:val="18"/>
          <w:szCs w:val="18"/>
          <w:color w:val="auto"/>
        </w:rPr>
        <w:t>BlackRock Asset Management Schweiz AG</w:t>
      </w:r>
    </w:p>
    <w:p>
      <w:pPr>
        <w:spacing w:after="0"/>
        <w:rPr>
          <w:sz w:val="20"/>
          <w:szCs w:val="20"/>
          <w:color w:val="auto"/>
        </w:rPr>
      </w:pPr>
      <w:r>
        <w:rPr>
          <w:rFonts w:ascii="Courier New" w:cs="Courier New" w:eastAsia="Courier New" w:hAnsi="Courier New"/>
          <w:sz w:val="18"/>
          <w:szCs w:val="18"/>
          <w:color w:val="auto"/>
        </w:rPr>
        <w:t>BlackRock Fund Advisors*</w:t>
      </w:r>
    </w:p>
    <w:p>
      <w:pPr>
        <w:spacing w:after="0" w:line="237" w:lineRule="auto"/>
        <w:rPr>
          <w:sz w:val="20"/>
          <w:szCs w:val="20"/>
          <w:color w:val="auto"/>
        </w:rPr>
      </w:pPr>
      <w:r>
        <w:rPr>
          <w:rFonts w:ascii="Courier New" w:cs="Courier New" w:eastAsia="Courier New" w:hAnsi="Courier New"/>
          <w:sz w:val="18"/>
          <w:szCs w:val="18"/>
          <w:color w:val="auto"/>
        </w:rPr>
        <w:t>BlackRock Institutional Trust Company, N.A.</w:t>
      </w:r>
    </w:p>
    <w:p>
      <w:pPr>
        <w:spacing w:after="0"/>
        <w:rPr>
          <w:sz w:val="20"/>
          <w:szCs w:val="20"/>
          <w:color w:val="auto"/>
        </w:rPr>
      </w:pPr>
      <w:r>
        <w:rPr>
          <w:rFonts w:ascii="Courier New" w:cs="Courier New" w:eastAsia="Courier New" w:hAnsi="Courier New"/>
          <w:sz w:val="18"/>
          <w:szCs w:val="18"/>
          <w:color w:val="auto"/>
        </w:rPr>
        <w:t>BlackRock Investment Management (Australia) Limited</w:t>
      </w:r>
    </w:p>
    <w:p>
      <w:pPr>
        <w:spacing w:after="0" w:line="237" w:lineRule="auto"/>
        <w:rPr>
          <w:sz w:val="20"/>
          <w:szCs w:val="20"/>
          <w:color w:val="auto"/>
        </w:rPr>
      </w:pPr>
      <w:r>
        <w:rPr>
          <w:rFonts w:ascii="Courier New" w:cs="Courier New" w:eastAsia="Courier New" w:hAnsi="Courier New"/>
          <w:sz w:val="18"/>
          <w:szCs w:val="18"/>
          <w:color w:val="auto"/>
        </w:rPr>
        <w:t>BlackRock Investment Management (UK) Ltd</w:t>
      </w:r>
    </w:p>
    <w:p>
      <w:pPr>
        <w:spacing w:after="0"/>
        <w:rPr>
          <w:sz w:val="20"/>
          <w:szCs w:val="20"/>
          <w:color w:val="auto"/>
        </w:rPr>
      </w:pPr>
      <w:r>
        <w:rPr>
          <w:rFonts w:ascii="Courier New" w:cs="Courier New" w:eastAsia="Courier New" w:hAnsi="Courier New"/>
          <w:sz w:val="18"/>
          <w:szCs w:val="18"/>
          <w:color w:val="auto"/>
        </w:rPr>
        <w:t>BlackRock Investment Management, LLC</w:t>
      </w:r>
    </w:p>
    <w:p>
      <w:pPr>
        <w:spacing w:after="0" w:line="237" w:lineRule="auto"/>
        <w:rPr>
          <w:sz w:val="20"/>
          <w:szCs w:val="20"/>
          <w:color w:val="auto"/>
        </w:rPr>
      </w:pPr>
      <w:r>
        <w:rPr>
          <w:rFonts w:ascii="Courier New" w:cs="Courier New" w:eastAsia="Courier New" w:hAnsi="Courier New"/>
          <w:sz w:val="18"/>
          <w:szCs w:val="18"/>
          <w:color w:val="auto"/>
        </w:rPr>
        <w:t>Xulu,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679"/>
        <w:spacing w:after="0" w:line="268"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 Chris Meade, Howard Surloff, Dan Waltcher, Georgina Fogo, Charles Park, Enda McMahon, Carsten Otto,</w:t>
      </w:r>
    </w:p>
    <w:p>
      <w:pPr>
        <w:spacing w:after="0" w:line="1" w:lineRule="exact"/>
        <w:rPr>
          <w:sz w:val="20"/>
          <w:szCs w:val="20"/>
          <w:color w:val="auto"/>
        </w:rPr>
      </w:pPr>
    </w:p>
    <w:p>
      <w:pPr>
        <w:ind w:right="3899"/>
        <w:spacing w:after="0" w:line="268" w:lineRule="auto"/>
        <w:rPr>
          <w:sz w:val="20"/>
          <w:szCs w:val="20"/>
          <w:color w:val="auto"/>
        </w:rPr>
      </w:pPr>
      <w:r>
        <w:rPr>
          <w:rFonts w:ascii="Courier New" w:cs="Courier New" w:eastAsia="Courier New" w:hAnsi="Courier New"/>
          <w:sz w:val="16"/>
          <w:szCs w:val="16"/>
          <w:color w:val="auto"/>
        </w:rPr>
        <w:t>Con Tzatzakis, Karen Clark, Andrew Crain, Herm Howerton, David Maryles, Daniel Ronnen, John Stelley, John Ardley, Maureen Gleeson and Spencer Fleming acting severally, as its</w:t>
      </w:r>
    </w:p>
    <w:p>
      <w:pPr>
        <w:spacing w:after="0" w:line="233" w:lineRule="auto"/>
        <w:rPr>
          <w:sz w:val="20"/>
          <w:szCs w:val="20"/>
          <w:color w:val="auto"/>
        </w:rPr>
      </w:pPr>
      <w:r>
        <w:rPr>
          <w:rFonts w:ascii="Courier New" w:cs="Courier New" w:eastAsia="Courier New" w:hAnsi="Courier New"/>
          <w:sz w:val="18"/>
          <w:szCs w:val="18"/>
          <w:color w:val="auto"/>
        </w:rPr>
        <w:t>true and lawful attorneys-in-fact, for the purpose of, from time to</w:t>
      </w:r>
    </w:p>
    <w:p>
      <w:pPr>
        <w:spacing w:after="0"/>
        <w:rPr>
          <w:sz w:val="20"/>
          <w:szCs w:val="20"/>
          <w:color w:val="auto"/>
        </w:rPr>
      </w:pPr>
      <w:r>
        <w:rPr>
          <w:rFonts w:ascii="Courier New" w:cs="Courier New" w:eastAsia="Courier New" w:hAnsi="Courier New"/>
          <w:sz w:val="18"/>
          <w:szCs w:val="18"/>
          <w:color w:val="auto"/>
        </w:rPr>
        <w:t>time, executing in its name and on its behalf, whether the</w:t>
      </w:r>
    </w:p>
    <w:p>
      <w:pPr>
        <w:spacing w:after="0" w:line="237" w:lineRule="auto"/>
        <w:rPr>
          <w:sz w:val="20"/>
          <w:szCs w:val="20"/>
          <w:color w:val="auto"/>
        </w:rPr>
      </w:pPr>
      <w:r>
        <w:rPr>
          <w:rFonts w:ascii="Courier New" w:cs="Courier New" w:eastAsia="Courier New" w:hAnsi="Courier New"/>
          <w:sz w:val="18"/>
          <w:szCs w:val="18"/>
          <w:color w:val="auto"/>
        </w:rPr>
        <w:t>Company is acting individually or as representative of others,</w:t>
      </w:r>
    </w:p>
    <w:p>
      <w:pPr>
        <w:spacing w:after="0"/>
        <w:rPr>
          <w:sz w:val="20"/>
          <w:szCs w:val="20"/>
          <w:color w:val="auto"/>
        </w:rPr>
      </w:pPr>
      <w:r>
        <w:rPr>
          <w:rFonts w:ascii="Courier New" w:cs="Courier New" w:eastAsia="Courier New" w:hAnsi="Courier New"/>
          <w:sz w:val="18"/>
          <w:szCs w:val="18"/>
          <w:color w:val="auto"/>
        </w:rPr>
        <w:t>any and all documents, certificates, instruments, statements, other</w:t>
      </w:r>
    </w:p>
    <w:p>
      <w:pPr>
        <w:spacing w:after="0" w:line="237" w:lineRule="auto"/>
        <w:rPr>
          <w:sz w:val="20"/>
          <w:szCs w:val="20"/>
          <w:color w:val="auto"/>
        </w:rPr>
      </w:pPr>
      <w:r>
        <w:rPr>
          <w:rFonts w:ascii="Courier New" w:cs="Courier New" w:eastAsia="Courier New" w:hAnsi="Courier New"/>
          <w:sz w:val="18"/>
          <w:szCs w:val="18"/>
          <w:color w:val="auto"/>
        </w:rPr>
        <w:t>filings and amendments to the foregoing (collectively, "documents")</w:t>
      </w:r>
    </w:p>
    <w:p>
      <w:pPr>
        <w:spacing w:after="0"/>
        <w:rPr>
          <w:sz w:val="20"/>
          <w:szCs w:val="20"/>
          <w:color w:val="auto"/>
        </w:rPr>
      </w:pPr>
      <w:r>
        <w:rPr>
          <w:rFonts w:ascii="Courier New" w:cs="Courier New" w:eastAsia="Courier New" w:hAnsi="Courier New"/>
          <w:sz w:val="18"/>
          <w:szCs w:val="18"/>
          <w:color w:val="auto"/>
        </w:rPr>
        <w:t>determined by such person to be necessary or appropriate to</w:t>
      </w:r>
    </w:p>
    <w:p>
      <w:pPr>
        <w:spacing w:after="0" w:line="237" w:lineRule="auto"/>
        <w:rPr>
          <w:sz w:val="20"/>
          <w:szCs w:val="20"/>
          <w:color w:val="auto"/>
        </w:rPr>
      </w:pPr>
      <w:r>
        <w:rPr>
          <w:rFonts w:ascii="Courier New" w:cs="Courier New" w:eastAsia="Courier New" w:hAnsi="Courier New"/>
          <w:sz w:val="18"/>
          <w:szCs w:val="18"/>
          <w:color w:val="auto"/>
        </w:rPr>
        <w:t>comply with ownership or control-person reporting requirements</w:t>
      </w:r>
    </w:p>
    <w:p>
      <w:pPr>
        <w:spacing w:after="0"/>
        <w:rPr>
          <w:sz w:val="20"/>
          <w:szCs w:val="20"/>
          <w:color w:val="auto"/>
        </w:rPr>
      </w:pPr>
      <w:r>
        <w:rPr>
          <w:rFonts w:ascii="Courier New" w:cs="Courier New" w:eastAsia="Courier New" w:hAnsi="Courier New"/>
          <w:sz w:val="18"/>
          <w:szCs w:val="18"/>
          <w:color w:val="auto"/>
        </w:rPr>
        <w:t>imposed by any United States or non-United States governmental</w:t>
      </w:r>
    </w:p>
    <w:p>
      <w:pPr>
        <w:spacing w:after="0" w:line="3"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or regulatory authority, Including without limitation Forms 3, 4, 5, 13D, 13F, 13G and 13H and any amendments to any of the</w:t>
      </w:r>
    </w:p>
    <w:p>
      <w:pPr>
        <w:spacing w:after="0" w:line="6"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7"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1st day of October,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77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8th day of December, 2015.</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Jones</w:t>
      </w:r>
    </w:p>
    <w:p>
      <w:pPr>
        <w:spacing w:after="0" w:line="238" w:lineRule="auto"/>
        <w:rPr>
          <w:sz w:val="20"/>
          <w:szCs w:val="20"/>
          <w:color w:val="auto"/>
        </w:rPr>
      </w:pPr>
      <w:r>
        <w:rPr>
          <w:rFonts w:ascii="Courier New" w:cs="Courier New" w:eastAsia="Courier New" w:hAnsi="Courier New"/>
          <w:sz w:val="18"/>
          <w:szCs w:val="18"/>
          <w:color w:val="auto"/>
        </w:rPr>
        <w:t>Name: Chris Jones</w:t>
      </w:r>
    </w:p>
    <w:p>
      <w:pPr>
        <w:spacing w:after="0"/>
        <w:rPr>
          <w:sz w:val="20"/>
          <w:szCs w:val="20"/>
          <w:color w:val="auto"/>
        </w:rPr>
      </w:pPr>
      <w:r>
        <w:rPr>
          <w:rFonts w:ascii="Courier New" w:cs="Courier New" w:eastAsia="Courier New" w:hAnsi="Courier New"/>
          <w:sz w:val="18"/>
          <w:szCs w:val="18"/>
          <w:color w:val="auto"/>
        </w:rPr>
        <w:t>Title: Chief Investment Officer</w:t>
      </w:r>
    </w:p>
    <w:sectPr>
      <w:pgSz w:w="11900" w:h="16838" w:orient="portrait"/>
      <w:cols w:equalWidth="0" w:num="1">
        <w:col w:w="10219"/>
      </w:cols>
      <w:pgMar w:left="240" w:top="33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upperLetter"/>
      <w:start w:val="24"/>
    </w:lvl>
  </w:abstractNum>
  <w:abstractNum w:abstractNumId="1">
    <w:nsid w:val="46E87CCD"/>
    <w:multiLevelType w:val="hybridMultilevel"/>
    <w:lvl w:ilvl="0">
      <w:lvlJc w:val="left"/>
      <w:lvlText w:val="(%1)"/>
      <w:numFmt w:val="decimal"/>
      <w:start w:val="2"/>
    </w:lvl>
  </w:abstractNum>
  <w:abstractNum w:abstractNumId="2">
    <w:nsid w:val="3D1B58BA"/>
    <w:multiLevelType w:val="hybridMultilevel"/>
    <w:lvl w:ilvl="0">
      <w:lvlJc w:val="left"/>
      <w:lvlText w:val="(%1)"/>
      <w:numFmt w:val="decimal"/>
      <w:start w:val="5"/>
    </w:lvl>
  </w:abstractNum>
  <w:abstractNum w:abstractNumId="3">
    <w:nsid w:val="507ED7AB"/>
    <w:multiLevelType w:val="hybridMultilevel"/>
    <w:lvl w:ilvl="0">
      <w:lvlJc w:val="left"/>
      <w:lvlText w:val="(%1)"/>
      <w:numFmt w:val="decimal"/>
      <w:start w:val="8"/>
    </w:lvl>
  </w:abstractNum>
  <w:abstractNum w:abstractNumId="4">
    <w:nsid w:val="2EB141F2"/>
    <w:multiLevelType w:val="hybridMultilevel"/>
    <w:lvl w:ilvl="0">
      <w:lvlJc w:val="left"/>
      <w:lvlText w:val="(%1)"/>
      <w:numFmt w:val="decimal"/>
      <w:start w:val="12"/>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upperLetter"/>
      <w:start w:val="24"/>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2019-12-15T20:55:50Z</dcterms:created>
  <dcterms:modified xsi:type="dcterms:W3CDTF">2019-12-15T20:55:50Z</dcterms:modified>
</cp:coreProperties>
</file>